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11D" w:rsidRPr="006B211D" w:rsidRDefault="00D20EDF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 w:rsidR="0007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отчет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71A7D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71A7D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 (Минэкономразвития России); Министерство </w:t>
            </w: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промышленности  и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Российской Федерации (Минпромторг); Федеральная служба по финансовому мониторингу (Росфинмониторинг); Федеральная налоговая служба (ФНС России); Федеральная таможенная служба (ФТС России); 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казначейство (ФК);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Центрального банка Российской Федерации (Банка России)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="005167EF" w:rsidRPr="00516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«О внесении изменений в </w:t>
            </w:r>
            <w:r w:rsidR="005167EF" w:rsidRPr="005167EF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законодательные акты Российской Федерации</w:t>
            </w:r>
            <w:r w:rsidR="005167EF" w:rsidRPr="00516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5167EF" w:rsidRPr="006168F0">
              <w:rPr>
                <w:bCs/>
                <w:iCs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67B" w:rsidRPr="00355089" w:rsidRDefault="00DB267B" w:rsidP="00355089">
            <w:pPr>
              <w:pStyle w:val="a4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04.06.2018 № 127-ФЗ «О мерах воздействия (противодействия) на недружественные действия Соединенных Штатов Америки и иных иностранных государств» Президент Российской Федерации наделен правом вводить меры воздействия (противодействия) на недружественные действия Соединенных Штатов Америки и иных иностранных государств, направленные на обеспечение финансовой стабильности Российской Федерации. Принятые в соответствии с указанным Законом Указы Президента Российской Федерации,</w:t>
            </w:r>
            <w:r w:rsidRPr="0035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нормативные акты Правительства Российской Федерации и Банка России устанавливают новые ограничения и обязанности для резидентов</w:t>
            </w:r>
            <w:r w:rsidR="005E3051"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 в целях защиты интересов Российской Федерации и ее экономической стабилизации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, но не устанавливают контроль за их исполнением.</w:t>
            </w:r>
          </w:p>
          <w:p w:rsidR="00355089" w:rsidRPr="00355089" w:rsidRDefault="00355089" w:rsidP="00355089">
            <w:pPr>
              <w:pBdr>
                <w:bottom w:val="single" w:sz="4" w:space="1" w:color="auto"/>
              </w:pBd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резидентов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с 1 января 2024 г. расчеты через свои счета, открытые в уполномоченных банках, что в условиях возникновения и усиления санкционного давления может оказать негативное влияние на возможность проведения резидентами операций в иностранной валюте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 в соответствии со статьей 4.2 Федерального закона от 04.06.2018                            № 127-ФЗ «О мерах воздействия (противодействия) на недружественные действия Соединенных Штатов Америки и иных иностранных государств»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15F" w:rsidRDefault="001D515F" w:rsidP="0035508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контроля со стороны государства за соблюдением </w:t>
            </w:r>
            <w:proofErr w:type="gramStart"/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резидентами</w:t>
            </w:r>
            <w:proofErr w:type="gramEnd"/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введенными Президентом Российской Федерации в целях защиты интересов Российской Федерации и ее экономической стабилизации новыми ограничениями и обязанностями. В целях осуществления контроля за соблюдением резидентами мер воздействия (противодействия) на недружественные действия Соединенных Штатов Америки и иных иностранных государств, введенных </w:t>
            </w:r>
            <w:r w:rsidR="00CA2955"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Указами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CA2955" w:rsidRPr="003550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="00CA2955"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актами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CA2955" w:rsidRPr="003550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r w:rsidR="00CA2955" w:rsidRPr="00355089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2955"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наделить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ФТС России, ФНС России и Банк России соответс</w:t>
            </w:r>
            <w:r w:rsidR="00C124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вующими полномочиями по осуществлению данного контроля. </w:t>
            </w:r>
          </w:p>
          <w:p w:rsidR="00355089" w:rsidRPr="00355089" w:rsidRDefault="00355089" w:rsidP="0035508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Перенос срока наделения Федерального казначейства полномочиями агента валютного контроля с 1 января 2024 г. на 1 января 2025 г.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5167E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законодательство Российской Федерации о мерах воздействия (противодействия) на недружественные действия Соединенных Штатов Америки и иных иностранных государств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государственном контроле (надзоре) и муниципальном контроле в Российской Федерации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7EF">
              <w:rPr>
                <w:sz w:val="28"/>
                <w:szCs w:val="28"/>
              </w:rPr>
              <w:t xml:space="preserve"> 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67EF" w:rsidRPr="005167EF">
              <w:rPr>
                <w:rFonts w:ascii="Times New Roman" w:hAnsi="Times New Roman" w:cs="Times New Roman"/>
                <w:sz w:val="28"/>
                <w:szCs w:val="28"/>
              </w:rPr>
              <w:t>б обязательных требованиях в Российской Федерации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 xml:space="preserve"> и валютное законодательство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Бердник Елена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1A7D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регулирования валютной сферы Департамента финансовой политики Минфина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645-13-13 (0540)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1A7D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Berdnik</w:t>
            </w:r>
            <w:proofErr w:type="spellEnd"/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DB267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1019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</w:tcPr>
          <w:p w:rsidR="00DB267B" w:rsidRDefault="007B51BA" w:rsidP="00DB26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B267B" w:rsidTr="00355089">
        <w:trPr>
          <w:trHeight w:val="1260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773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1780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224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418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70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DB267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B267B" w:rsidRDefault="00DB267B" w:rsidP="00355089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24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04.06.2018 № 127-ФЗ «О мерах воздействия (противодействия) на недружественные действия Соединенных Штатов Америки и иных иностранных государств» Президент Российской Федерации наделен правом вводить меры воздействия (противодействия) на недружественные действия Соединенных Штатов Америки и иных иностранных государств, направленные на обеспечение финансовой стабильности Российской Федерации. Принятые в соответствии с указанным Законом Указы Президента Российской Федерации,</w:t>
            </w:r>
            <w:r w:rsidRPr="007E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4D">
              <w:rPr>
                <w:rFonts w:ascii="Times New Roman" w:hAnsi="Times New Roman" w:cs="Times New Roman"/>
                <w:sz w:val="28"/>
                <w:szCs w:val="28"/>
              </w:rPr>
              <w:t>нормативные акты Правительства Российской Федерации и Банка России устанавливают новые ограничения и обязанности для резидентов, но не устанавливают контроль за их исполнением.</w:t>
            </w:r>
            <w:r w:rsidR="00E20562" w:rsidRPr="007E12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55089" w:rsidRPr="00355089" w:rsidRDefault="00355089" w:rsidP="00355089">
            <w:pPr>
              <w:pStyle w:val="a4"/>
              <w:numPr>
                <w:ilvl w:val="0"/>
                <w:numId w:val="4"/>
              </w:numPr>
              <w:pBdr>
                <w:bottom w:val="single" w:sz="4" w:space="1" w:color="auto"/>
              </w:pBd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резидентов осуществлять с 1 января 2024 г. расчеты через свои счета, открытые в уполномоченных банках, что в условиях возникновения и усиления санкционного давления может оказать негативное влияние на возможность проведения резидентами операций в иностранной валюте</w:t>
            </w:r>
          </w:p>
          <w:p w:rsidR="00355089" w:rsidRPr="007E124D" w:rsidRDefault="00355089" w:rsidP="00355089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562" w:rsidRPr="00016EE4" w:rsidRDefault="00E20562" w:rsidP="00DB26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5089" w:rsidRDefault="00355089" w:rsidP="00355089">
            <w:pPr>
              <w:pStyle w:val="a4"/>
              <w:numPr>
                <w:ilvl w:val="0"/>
                <w:numId w:val="5"/>
              </w:numPr>
              <w:pBdr>
                <w:bottom w:val="single" w:sz="4" w:space="1" w:color="auto"/>
              </w:pBd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0562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контроля в отношении резидентов за введенными 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Указами </w:t>
            </w:r>
            <w:r w:rsidR="00E20562" w:rsidRPr="007E124D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2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и нормативными правовыми актами </w:t>
            </w:r>
            <w:r w:rsidR="00E20562" w:rsidRPr="007E124D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2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  <w:r w:rsidR="00E20562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мерами воздействия (противодействия)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на недружественные действия Соединенных Штатов 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Америки и иных иностранных государств,</w:t>
            </w:r>
            <w:r w:rsidR="000E037C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может негативно отразится на экономической стабилизации Российской </w:t>
            </w:r>
            <w:r w:rsidR="00F52EE5" w:rsidRPr="007E124D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355089" w:rsidRDefault="00355089" w:rsidP="00355089">
            <w:pPr>
              <w:pStyle w:val="a4"/>
              <w:numPr>
                <w:ilvl w:val="0"/>
                <w:numId w:val="5"/>
              </w:numPr>
              <w:pBdr>
                <w:bottom w:val="single" w:sz="4" w:space="1" w:color="auto"/>
              </w:pBd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для резидентов осуществлять с 1 января 2024 г. расчеты через свои счета, открытые в уполномоченных банках, что в условиях возникновения и усиления санкционного давления может оказать негативное влияние на возможность проведения резидентами операций в иностранной валюте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проблемы связано с осуществлением регулятивной функции государством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1D515F" w:rsidRDefault="00355089" w:rsidP="001D5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контроля со стороны государства за соблюдением </w:t>
            </w:r>
            <w:proofErr w:type="gramStart"/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>резидентами</w:t>
            </w:r>
            <w:proofErr w:type="gramEnd"/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введенными Президентом Российской Федерации в целях защиты 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Российской Федерации и ее экономической стабилизации новыми ограничениями и обязанностями. В целях осуществления контроля за соблюдением резидентами мер воздействия (противодействия) на недружественные действия Соединенных Штатов Америки и иных иностранных государств, введенных</w:t>
            </w:r>
            <w:r w:rsidR="00935135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Указами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 w:rsidR="00935135" w:rsidRPr="007E12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="00935135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 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935135" w:rsidRPr="007E12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r w:rsidR="00935135" w:rsidRPr="007E124D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51BA">
              <w:rPr>
                <w:rFonts w:ascii="Times New Roman" w:hAnsi="Times New Roman" w:cs="Times New Roman"/>
                <w:sz w:val="28"/>
                <w:szCs w:val="28"/>
              </w:rPr>
              <w:t xml:space="preserve">наделить 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>ФТС России, ФНС России и Банк России</w:t>
            </w:r>
            <w:r w:rsidR="007B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="00992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515F" w:rsidRPr="007E124D">
              <w:rPr>
                <w:rFonts w:ascii="Times New Roman" w:hAnsi="Times New Roman" w:cs="Times New Roman"/>
                <w:sz w:val="28"/>
                <w:szCs w:val="28"/>
              </w:rPr>
              <w:t xml:space="preserve">вующими полномочиями по осуществлению данного контроля. </w:t>
            </w:r>
          </w:p>
          <w:p w:rsidR="00355089" w:rsidRPr="00355089" w:rsidRDefault="00355089" w:rsidP="00355089">
            <w:pPr>
              <w:tabs>
                <w:tab w:val="left" w:pos="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55089">
              <w:rPr>
                <w:rFonts w:ascii="Times New Roman" w:hAnsi="Times New Roman" w:cs="Times New Roman"/>
                <w:sz w:val="28"/>
                <w:szCs w:val="28"/>
              </w:rPr>
              <w:t>Перенос срока наделения Федерального казначейства полномочиями агента валютного контроля с 1 января 2024 г. на 1 января 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EAD" w:rsidRPr="00071A7D" w:rsidRDefault="00253EAD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471D4A" w:rsidP="00AE5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</w:t>
            </w:r>
            <w:r w:rsidR="00AE5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не затрагивает программные документы Президента Российской Федерации и Правительства Российской Федерации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F919C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законодательство Российской Федерации о мерах воздействия (противодействия) на недружественные действия Соединенных Штатов Америки и иных иностранных государств и о государственном контроле (надзоре) и муниципальном контроле в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7B51BA" w:rsidRDefault="00935135" w:rsidP="00E70A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>резиденты (юридические лица, созданные в соответствии с законодательством Российской Федерации,</w:t>
            </w:r>
            <w:r w:rsidR="00E70A9D"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 в т.ч. кредитные организации, некредитные финансовые организации, бюро кредитных историй, кредитные рейтинговые агентства и </w:t>
            </w:r>
            <w:proofErr w:type="spellStart"/>
            <w:r w:rsidR="00E70A9D" w:rsidRPr="007B51BA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E70A9D" w:rsidRPr="007B51B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Российской Федерации, дипломатические представительства и </w:t>
            </w:r>
            <w:proofErr w:type="spellStart"/>
            <w:r w:rsidRPr="007B51B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946B5"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нерезиденты, </w:t>
            </w: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>органы валютного контроля (ФНС России, ФТС России, Банк России)</w:t>
            </w:r>
            <w:r w:rsidR="00355089">
              <w:rPr>
                <w:rFonts w:ascii="Times New Roman" w:hAnsi="Times New Roman" w:cs="Times New Roman"/>
                <w:sz w:val="28"/>
                <w:szCs w:val="28"/>
              </w:rPr>
              <w:t>, Федеральное казначейство</w:t>
            </w:r>
          </w:p>
        </w:tc>
        <w:tc>
          <w:tcPr>
            <w:tcW w:w="2500" w:type="pct"/>
            <w:gridSpan w:val="2"/>
          </w:tcPr>
          <w:p w:rsidR="00D80217" w:rsidRPr="007B51BA" w:rsidRDefault="0093513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неограниченный круг участников                                           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5135" w:rsidRPr="007B51BA" w:rsidRDefault="00935135" w:rsidP="009351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10.12.2003 № 173-ФЗ «О валютном регулировании и валютном контроле» (част</w:t>
            </w:r>
            <w:r w:rsidR="008946B5" w:rsidRPr="007B51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 1 статьи 1, статья 22)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существующих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071A7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  <w:tc>
          <w:tcPr>
            <w:tcW w:w="1667" w:type="pct"/>
          </w:tcPr>
          <w:p w:rsidR="00CE0CCD" w:rsidRPr="00071A7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  <w:tc>
          <w:tcPr>
            <w:tcW w:w="1666" w:type="pct"/>
          </w:tcPr>
          <w:p w:rsidR="00CE0CCD" w:rsidRPr="00071A7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935135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B413A0">
        <w:tc>
          <w:tcPr>
            <w:tcW w:w="1267" w:type="pct"/>
            <w:gridSpan w:val="2"/>
            <w:vMerge w:val="restart"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935135" w:rsidRDefault="00935135" w:rsidP="00935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935135" w:rsidRDefault="00935135" w:rsidP="0093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6" w:type="pct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B413A0">
        <w:tc>
          <w:tcPr>
            <w:tcW w:w="1267" w:type="pct"/>
            <w:gridSpan w:val="2"/>
            <w:vMerge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6" w:type="pct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B413A0">
        <w:tc>
          <w:tcPr>
            <w:tcW w:w="1267" w:type="pct"/>
            <w:gridSpan w:val="2"/>
            <w:vMerge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6" w:type="pct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135" w:rsidTr="00935135">
        <w:tc>
          <w:tcPr>
            <w:tcW w:w="407" w:type="pct"/>
          </w:tcPr>
          <w:p w:rsidR="00935135" w:rsidRPr="00135D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037E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935135">
        <w:tc>
          <w:tcPr>
            <w:tcW w:w="407" w:type="pct"/>
          </w:tcPr>
          <w:p w:rsidR="00935135" w:rsidRPr="00135D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037E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935135">
        <w:tc>
          <w:tcPr>
            <w:tcW w:w="407" w:type="pct"/>
          </w:tcPr>
          <w:p w:rsidR="00935135" w:rsidRPr="00135D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037E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5135" w:rsidTr="00935135">
        <w:tc>
          <w:tcPr>
            <w:tcW w:w="407" w:type="pct"/>
          </w:tcPr>
          <w:p w:rsidR="00935135" w:rsidRPr="005B51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935135" w:rsidRPr="00A039A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4A4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935135">
        <w:tc>
          <w:tcPr>
            <w:tcW w:w="407" w:type="pct"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935135" w:rsidRPr="00A039A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4A4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E70A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935135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29D" w:rsidRDefault="00935135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4529D" w:rsidRPr="00A039A7" w:rsidRDefault="00935135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529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529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54529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935135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29D" w:rsidRDefault="00935135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4529D" w:rsidRPr="00A039A7" w:rsidRDefault="00935135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529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529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54529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93513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473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93513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935135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54E" w:rsidRDefault="00935135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935135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554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2554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2554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135" w:rsidTr="00E57FA6">
        <w:tc>
          <w:tcPr>
            <w:tcW w:w="1250" w:type="pct"/>
            <w:gridSpan w:val="2"/>
          </w:tcPr>
          <w:p w:rsidR="00935135" w:rsidRPr="00091128" w:rsidRDefault="00935135" w:rsidP="009351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35135" w:rsidRDefault="00935135" w:rsidP="00935135">
            <w:r w:rsidRPr="00CE2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</w:tcPr>
          <w:p w:rsidR="00935135" w:rsidRDefault="00935135" w:rsidP="00935135">
            <w:r w:rsidRPr="00CE2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</w:tcPr>
          <w:p w:rsidR="00935135" w:rsidRDefault="00935135" w:rsidP="00935135">
            <w:r w:rsidRPr="00CE2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35135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 w:rsidRPr="0047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8CB" w:rsidRDefault="0093513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935135" w:rsidTr="00026EAA">
        <w:tc>
          <w:tcPr>
            <w:tcW w:w="986" w:type="pct"/>
            <w:gridSpan w:val="2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1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7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8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93513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93513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935135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5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935135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5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935135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5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93513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 w:rsidRPr="0047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4E5" w:rsidRDefault="0093513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935135" w:rsidRDefault="0093513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Pr="0089208D" w:rsidRDefault="005704E5" w:rsidP="0093513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9351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484590" w:rsidRDefault="00067531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52A" w:rsidRPr="0089208D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Pr="0089208D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484590" w:rsidTr="00A56405">
        <w:trPr>
          <w:trHeight w:val="105"/>
        </w:trPr>
        <w:tc>
          <w:tcPr>
            <w:tcW w:w="371" w:type="pct"/>
            <w:vMerge/>
          </w:tcPr>
          <w:p w:rsidR="00484590" w:rsidRDefault="00484590" w:rsidP="0048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84590" w:rsidRPr="00677A82" w:rsidRDefault="00484590" w:rsidP="004845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84590" w:rsidRDefault="00484590" w:rsidP="00484590">
            <w:r w:rsidRPr="008961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84590" w:rsidTr="00A56405">
        <w:trPr>
          <w:trHeight w:val="105"/>
        </w:trPr>
        <w:tc>
          <w:tcPr>
            <w:tcW w:w="371" w:type="pct"/>
            <w:vMerge/>
          </w:tcPr>
          <w:p w:rsidR="00484590" w:rsidRDefault="00484590" w:rsidP="0048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84590" w:rsidRPr="00677A82" w:rsidRDefault="00484590" w:rsidP="004845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84590" w:rsidRDefault="00484590" w:rsidP="00484590">
            <w:r w:rsidRPr="008961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84590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89208D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F2DBA" w:rsidRDefault="00122E8B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89208D" w:rsidRDefault="000F2DBA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F2DBA" w:rsidRDefault="00122E8B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89208D" w:rsidRDefault="000F2DBA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0F2DBA" w:rsidRDefault="000F2DB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0F2DBA" w:rsidRPr="0089208D" w:rsidRDefault="000F2DBA" w:rsidP="000F2DB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B55C4">
              <w:rPr>
                <w:rFonts w:ascii="Times New Roman" w:hAnsi="Times New Roman" w:cs="Times New Roman"/>
                <w:i/>
                <w:sz w:val="28"/>
                <w:szCs w:val="28"/>
              </w:rPr>
              <w:t>выявлены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DBA" w:rsidRPr="00E37072" w:rsidRDefault="000F2DBA" w:rsidP="000F2DB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DBA" w:rsidRPr="00E37072" w:rsidRDefault="000F2DBA" w:rsidP="000F2DB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122B">
              <w:t xml:space="preserve"> </w:t>
            </w:r>
          </w:p>
          <w:p w:rsidR="005147B8" w:rsidRDefault="005147B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122B" w:rsidTr="00A56405">
        <w:trPr>
          <w:trHeight w:val="105"/>
        </w:trPr>
        <w:tc>
          <w:tcPr>
            <w:tcW w:w="371" w:type="pct"/>
            <w:vMerge/>
          </w:tcPr>
          <w:p w:rsidR="0047122B" w:rsidRDefault="0047122B" w:rsidP="0047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122B" w:rsidRPr="00677A82" w:rsidRDefault="0047122B" w:rsidP="00471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122B" w:rsidRPr="009B55C4" w:rsidRDefault="0047122B" w:rsidP="00AE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2B" w:rsidTr="00A56405">
        <w:trPr>
          <w:trHeight w:val="105"/>
        </w:trPr>
        <w:tc>
          <w:tcPr>
            <w:tcW w:w="371" w:type="pct"/>
            <w:vMerge/>
          </w:tcPr>
          <w:p w:rsidR="0047122B" w:rsidRDefault="0047122B" w:rsidP="0047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122B" w:rsidRPr="00677A82" w:rsidRDefault="0047122B" w:rsidP="00471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122B" w:rsidRPr="009B55C4" w:rsidRDefault="0047122B" w:rsidP="0047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47122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47122B" w:rsidRDefault="006B2A6F" w:rsidP="007B4074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122B" w:rsidRPr="00A60BF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200339" w:rsidRPr="0047122B" w:rsidRDefault="0047122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712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Российский союз промышленников, Торбин Олег Владимирович, Матросов Александр, Кроль Станислав Александрович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74A" w:rsidRPr="0089208D" w:rsidRDefault="0014474A" w:rsidP="0014474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контроля за внешними ограничениями Минфина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4474A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4E3" w:rsidRPr="0089208D" w:rsidRDefault="0014474A" w:rsidP="0014474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A02C8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финансовой политики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С.И. Вознесенский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071A7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586" w:rsidRDefault="002C5586" w:rsidP="00EA7CC1">
      <w:pPr>
        <w:spacing w:after="0" w:line="240" w:lineRule="auto"/>
      </w:pPr>
      <w:r>
        <w:separator/>
      </w:r>
    </w:p>
  </w:endnote>
  <w:endnote w:type="continuationSeparator" w:id="0">
    <w:p w:rsidR="002C5586" w:rsidRDefault="002C558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099800"/>
      <w:docPartObj>
        <w:docPartGallery w:val="Page Numbers (Bottom of Page)"/>
        <w:docPartUnique/>
      </w:docPartObj>
    </w:sdtPr>
    <w:sdtContent>
      <w:p w:rsidR="00355089" w:rsidRDefault="003550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6B">
          <w:rPr>
            <w:noProof/>
          </w:rPr>
          <w:t>14</w:t>
        </w:r>
        <w:r>
          <w:fldChar w:fldCharType="end"/>
        </w:r>
      </w:p>
    </w:sdtContent>
  </w:sdt>
  <w:p w:rsidR="00355089" w:rsidRDefault="00355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586" w:rsidRDefault="002C5586" w:rsidP="00EA7CC1">
      <w:pPr>
        <w:spacing w:after="0" w:line="240" w:lineRule="auto"/>
      </w:pPr>
      <w:r>
        <w:separator/>
      </w:r>
    </w:p>
  </w:footnote>
  <w:footnote w:type="continuationSeparator" w:id="0">
    <w:p w:rsidR="002C5586" w:rsidRDefault="002C5586" w:rsidP="00EA7CC1">
      <w:pPr>
        <w:spacing w:after="0" w:line="240" w:lineRule="auto"/>
      </w:pPr>
      <w:r>
        <w:continuationSeparator/>
      </w:r>
    </w:p>
  </w:footnote>
  <w:footnote w:id="1">
    <w:p w:rsidR="00355089" w:rsidRPr="00903A82" w:rsidRDefault="00355089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55089" w:rsidRPr="00F837C7" w:rsidRDefault="00355089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355089" w:rsidRPr="00F776B0" w:rsidRDefault="00355089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355089" w:rsidRPr="00F95A61" w:rsidRDefault="00355089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355089" w:rsidRPr="006007BA" w:rsidRDefault="00355089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355089" w:rsidRPr="001A71E6" w:rsidRDefault="00355089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355089" w:rsidRPr="000F64B5" w:rsidRDefault="00355089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355089" w:rsidRPr="00970A33" w:rsidRDefault="00355089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:rsidR="00355089" w:rsidRDefault="00355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6B">
          <w:rPr>
            <w:noProof/>
          </w:rPr>
          <w:t>14</w:t>
        </w:r>
        <w:r>
          <w:fldChar w:fldCharType="end"/>
        </w:r>
      </w:p>
    </w:sdtContent>
  </w:sdt>
  <w:p w:rsidR="00355089" w:rsidRDefault="003550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21"/>
    <w:multiLevelType w:val="hybridMultilevel"/>
    <w:tmpl w:val="1BBC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1418"/>
    <w:multiLevelType w:val="hybridMultilevel"/>
    <w:tmpl w:val="DA5E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87F"/>
    <w:multiLevelType w:val="hybridMultilevel"/>
    <w:tmpl w:val="DA5E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1FD1"/>
    <w:multiLevelType w:val="hybridMultilevel"/>
    <w:tmpl w:val="C65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84706">
    <w:abstractNumId w:val="2"/>
  </w:num>
  <w:num w:numId="2" w16cid:durableId="1530100609">
    <w:abstractNumId w:val="0"/>
  </w:num>
  <w:num w:numId="3" w16cid:durableId="1916628083">
    <w:abstractNumId w:val="4"/>
  </w:num>
  <w:num w:numId="4" w16cid:durableId="1743017602">
    <w:abstractNumId w:val="1"/>
  </w:num>
  <w:num w:numId="5" w16cid:durableId="291443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71A7D"/>
    <w:rsid w:val="00081B6B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E037C"/>
    <w:rsid w:val="000F11DA"/>
    <w:rsid w:val="000F2DB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74A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820"/>
    <w:rsid w:val="001D3F35"/>
    <w:rsid w:val="001D515F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6633C"/>
    <w:rsid w:val="0027040D"/>
    <w:rsid w:val="00273DEB"/>
    <w:rsid w:val="00284FDB"/>
    <w:rsid w:val="00286D2B"/>
    <w:rsid w:val="002909FB"/>
    <w:rsid w:val="002A016C"/>
    <w:rsid w:val="002A3FBF"/>
    <w:rsid w:val="002C0999"/>
    <w:rsid w:val="002C5586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55089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22B"/>
    <w:rsid w:val="00471D4A"/>
    <w:rsid w:val="00473026"/>
    <w:rsid w:val="00474C57"/>
    <w:rsid w:val="00480BF9"/>
    <w:rsid w:val="00484590"/>
    <w:rsid w:val="00493696"/>
    <w:rsid w:val="00497163"/>
    <w:rsid w:val="004B0752"/>
    <w:rsid w:val="004B1E9F"/>
    <w:rsid w:val="004C5C20"/>
    <w:rsid w:val="004C6292"/>
    <w:rsid w:val="004D369A"/>
    <w:rsid w:val="004F4982"/>
    <w:rsid w:val="00500365"/>
    <w:rsid w:val="00503DBC"/>
    <w:rsid w:val="00512D10"/>
    <w:rsid w:val="005147B8"/>
    <w:rsid w:val="005167EF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5E3051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4A0A"/>
    <w:rsid w:val="00645871"/>
    <w:rsid w:val="00646277"/>
    <w:rsid w:val="006535E0"/>
    <w:rsid w:val="0066247C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35853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51BA"/>
    <w:rsid w:val="007B64FD"/>
    <w:rsid w:val="007C4424"/>
    <w:rsid w:val="007D0451"/>
    <w:rsid w:val="007E124D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946B5"/>
    <w:rsid w:val="008A1083"/>
    <w:rsid w:val="008B3017"/>
    <w:rsid w:val="008D0773"/>
    <w:rsid w:val="008D6E4E"/>
    <w:rsid w:val="008E3009"/>
    <w:rsid w:val="009000E9"/>
    <w:rsid w:val="00903A82"/>
    <w:rsid w:val="00906A0A"/>
    <w:rsid w:val="009128EB"/>
    <w:rsid w:val="00931C2D"/>
    <w:rsid w:val="00935135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9254C"/>
    <w:rsid w:val="009932C7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2C85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5742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577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1240C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A2955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0EDF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267B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0A9D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46BA9"/>
    <w:rsid w:val="00F5109F"/>
    <w:rsid w:val="00F52EE5"/>
    <w:rsid w:val="00F53F88"/>
    <w:rsid w:val="00F65D11"/>
    <w:rsid w:val="00F70CBD"/>
    <w:rsid w:val="00F74B48"/>
    <w:rsid w:val="00F776B0"/>
    <w:rsid w:val="00F837C7"/>
    <w:rsid w:val="00F85764"/>
    <w:rsid w:val="00F919C3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9E24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DE7E-EB7A-4C93-8990-95C6F1C5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14</Pages>
  <Words>3414</Words>
  <Characters>19464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Парамонов</cp:lastModifiedBy>
  <cp:revision>24</cp:revision>
  <dcterms:created xsi:type="dcterms:W3CDTF">2022-10-20T11:25:00Z</dcterms:created>
  <dcterms:modified xsi:type="dcterms:W3CDTF">2023-03-22T00:34:00Z</dcterms:modified>
</cp:coreProperties>
</file>