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6B" w:rsidRPr="0041417B" w:rsidRDefault="00BF570F" w:rsidP="000D1FBB">
      <w:pPr>
        <w:ind w:left="6096" w:firstLine="0"/>
        <w:jc w:val="right"/>
        <w:rPr>
          <w:szCs w:val="28"/>
        </w:rPr>
      </w:pPr>
      <w:r w:rsidRPr="0041417B">
        <w:rPr>
          <w:szCs w:val="28"/>
        </w:rPr>
        <w:t xml:space="preserve">Вносится </w:t>
      </w:r>
      <w:r w:rsidR="006732A0">
        <w:rPr>
          <w:szCs w:val="28"/>
        </w:rPr>
        <w:t>Президентом</w:t>
      </w:r>
    </w:p>
    <w:p w:rsidR="005A0C6B" w:rsidRPr="0041417B" w:rsidRDefault="005A0C6B" w:rsidP="000D1FBB">
      <w:pPr>
        <w:ind w:left="6096" w:firstLine="0"/>
        <w:jc w:val="right"/>
        <w:rPr>
          <w:szCs w:val="28"/>
        </w:rPr>
      </w:pPr>
      <w:r w:rsidRPr="0041417B">
        <w:rPr>
          <w:szCs w:val="28"/>
        </w:rPr>
        <w:t>Российской Федерации</w:t>
      </w:r>
    </w:p>
    <w:p w:rsidR="00810597" w:rsidRDefault="00810597" w:rsidP="00810597">
      <w:pPr>
        <w:jc w:val="right"/>
        <w:rPr>
          <w:szCs w:val="28"/>
        </w:rPr>
      </w:pPr>
      <w:r>
        <w:rPr>
          <w:szCs w:val="28"/>
        </w:rPr>
        <w:t>Проект</w:t>
      </w:r>
    </w:p>
    <w:p w:rsidR="00EA732D" w:rsidRDefault="00EA732D" w:rsidP="000D1FBB">
      <w:pPr>
        <w:jc w:val="right"/>
        <w:rPr>
          <w:szCs w:val="28"/>
        </w:rPr>
      </w:pPr>
    </w:p>
    <w:p w:rsidR="00810597" w:rsidRPr="0041417B" w:rsidRDefault="00810597" w:rsidP="000D1FBB">
      <w:pPr>
        <w:jc w:val="right"/>
        <w:rPr>
          <w:szCs w:val="28"/>
        </w:rPr>
      </w:pPr>
    </w:p>
    <w:p w:rsidR="004A3E9D" w:rsidRPr="0041417B" w:rsidRDefault="004A3E9D" w:rsidP="000D1FBB">
      <w:pPr>
        <w:jc w:val="right"/>
        <w:rPr>
          <w:szCs w:val="28"/>
        </w:rPr>
      </w:pPr>
    </w:p>
    <w:p w:rsidR="001A2A78" w:rsidRPr="0041417B" w:rsidRDefault="001A2A78" w:rsidP="000D1FBB">
      <w:pPr>
        <w:jc w:val="right"/>
        <w:rPr>
          <w:szCs w:val="28"/>
        </w:rPr>
      </w:pPr>
    </w:p>
    <w:p w:rsidR="0060562B" w:rsidRPr="0041417B" w:rsidRDefault="0060562B" w:rsidP="00BF3B44">
      <w:pPr>
        <w:ind w:firstLine="0"/>
        <w:jc w:val="center"/>
        <w:rPr>
          <w:sz w:val="32"/>
          <w:szCs w:val="40"/>
        </w:rPr>
      </w:pPr>
      <w:r w:rsidRPr="0041417B">
        <w:rPr>
          <w:sz w:val="32"/>
          <w:szCs w:val="40"/>
        </w:rPr>
        <w:t>РОССИЙСКАЯ ФЕДЕРАЦИЯ</w:t>
      </w:r>
    </w:p>
    <w:p w:rsidR="00EA732D" w:rsidRPr="0041417B" w:rsidRDefault="00EA732D" w:rsidP="00810597">
      <w:pPr>
        <w:spacing w:before="480" w:after="760"/>
        <w:ind w:firstLine="0"/>
        <w:jc w:val="center"/>
        <w:rPr>
          <w:b/>
          <w:spacing w:val="40"/>
          <w:sz w:val="40"/>
          <w:szCs w:val="40"/>
        </w:rPr>
      </w:pPr>
      <w:r w:rsidRPr="0041417B">
        <w:rPr>
          <w:b/>
          <w:spacing w:val="40"/>
          <w:sz w:val="40"/>
          <w:szCs w:val="40"/>
        </w:rPr>
        <w:t>ФЕДЕРАЛЬНЫЙ ЗАКОН</w:t>
      </w:r>
    </w:p>
    <w:p w:rsidR="00EA732D" w:rsidRPr="0041417B" w:rsidRDefault="00EA732D" w:rsidP="00810597">
      <w:pPr>
        <w:spacing w:after="720"/>
        <w:ind w:firstLine="0"/>
        <w:jc w:val="center"/>
        <w:rPr>
          <w:b/>
          <w:szCs w:val="28"/>
        </w:rPr>
      </w:pPr>
      <w:r w:rsidRPr="0041417B">
        <w:rPr>
          <w:b/>
          <w:bCs/>
          <w:szCs w:val="28"/>
        </w:rPr>
        <w:t xml:space="preserve">О ратификации </w:t>
      </w:r>
      <w:r w:rsidR="00631217" w:rsidRPr="0041417B">
        <w:rPr>
          <w:b/>
          <w:szCs w:val="28"/>
        </w:rPr>
        <w:t xml:space="preserve">Соглашения </w:t>
      </w:r>
      <w:r w:rsidR="001A4A28">
        <w:rPr>
          <w:b/>
          <w:szCs w:val="28"/>
        </w:rPr>
        <w:t xml:space="preserve">между Правительством Российской Федерации </w:t>
      </w:r>
      <w:r w:rsidR="001A4A28" w:rsidRPr="001A4A28">
        <w:rPr>
          <w:b/>
          <w:szCs w:val="28"/>
        </w:rPr>
        <w:t xml:space="preserve">и Правительством Республики Узбекистан об открытии представительств таможенных служб </w:t>
      </w:r>
      <w:r w:rsidR="0005218E">
        <w:rPr>
          <w:b/>
          <w:szCs w:val="28"/>
        </w:rPr>
        <w:t xml:space="preserve">Российской Федерации </w:t>
      </w:r>
      <w:r w:rsidR="001A4A28" w:rsidRPr="001A4A28">
        <w:rPr>
          <w:b/>
          <w:szCs w:val="28"/>
        </w:rPr>
        <w:t>и Республики Узбекистан</w:t>
      </w:r>
    </w:p>
    <w:p w:rsidR="00261201" w:rsidRPr="00810597" w:rsidRDefault="00EA732D" w:rsidP="00810597">
      <w:pPr>
        <w:spacing w:after="720" w:line="480" w:lineRule="exact"/>
        <w:rPr>
          <w:sz w:val="30"/>
          <w:szCs w:val="30"/>
        </w:rPr>
      </w:pPr>
      <w:r w:rsidRPr="00810597">
        <w:rPr>
          <w:bCs/>
          <w:sz w:val="30"/>
          <w:szCs w:val="30"/>
        </w:rPr>
        <w:t xml:space="preserve">Ратифицировать </w:t>
      </w:r>
      <w:r w:rsidR="00412C97" w:rsidRPr="00810597">
        <w:rPr>
          <w:sz w:val="30"/>
          <w:szCs w:val="30"/>
        </w:rPr>
        <w:t xml:space="preserve">Соглашение </w:t>
      </w:r>
      <w:r w:rsidR="00D3402F" w:rsidRPr="00810597">
        <w:rPr>
          <w:sz w:val="30"/>
          <w:szCs w:val="30"/>
        </w:rPr>
        <w:t>между Правительством Российской Федерации и Правительством Республики Узбекистан об открытии представительств таможенных служб Российской Федерации и Республики Узбекистан, подписанное в городе Самарканде 2 декабря 2022 года.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C66848" w:rsidRPr="0041417B" w:rsidTr="00C66848">
        <w:tc>
          <w:tcPr>
            <w:tcW w:w="3369" w:type="dxa"/>
          </w:tcPr>
          <w:p w:rsidR="00C66848" w:rsidRPr="0041417B" w:rsidRDefault="00C66848" w:rsidP="00CD390C">
            <w:pPr>
              <w:ind w:right="315" w:firstLine="0"/>
              <w:jc w:val="center"/>
              <w:rPr>
                <w:szCs w:val="28"/>
              </w:rPr>
            </w:pPr>
            <w:r w:rsidRPr="0041417B">
              <w:rPr>
                <w:szCs w:val="28"/>
              </w:rPr>
              <w:t>Президент</w:t>
            </w:r>
          </w:p>
          <w:p w:rsidR="00C66848" w:rsidRPr="0041417B" w:rsidRDefault="00C66848" w:rsidP="00CD390C">
            <w:pPr>
              <w:ind w:right="315" w:firstLine="0"/>
              <w:jc w:val="center"/>
              <w:rPr>
                <w:szCs w:val="28"/>
              </w:rPr>
            </w:pPr>
            <w:r w:rsidRPr="0041417B">
              <w:rPr>
                <w:szCs w:val="28"/>
              </w:rPr>
              <w:t>Российской Федерации</w:t>
            </w:r>
          </w:p>
        </w:tc>
      </w:tr>
    </w:tbl>
    <w:p w:rsidR="00EE77C8" w:rsidRDefault="00EE77C8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AB0BC2" w:rsidRDefault="00AB0BC2" w:rsidP="00AB0BC2">
      <w:pPr>
        <w:ind w:firstLine="0"/>
        <w:jc w:val="left"/>
        <w:rPr>
          <w:szCs w:val="28"/>
        </w:rPr>
      </w:pPr>
    </w:p>
    <w:p w:rsidR="00960373" w:rsidRPr="00960373" w:rsidRDefault="00960373" w:rsidP="00960373">
      <w:pPr>
        <w:pStyle w:val="Style4"/>
        <w:shd w:val="clear" w:color="auto" w:fill="auto"/>
        <w:spacing w:after="0" w:line="360" w:lineRule="auto"/>
        <w:rPr>
          <w:rStyle w:val="CharStyle5"/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960373">
        <w:rPr>
          <w:rStyle w:val="CharStyle5"/>
          <w:rFonts w:ascii="Times New Roman" w:hAnsi="Times New Roman" w:cs="Times New Roman"/>
          <w:b/>
          <w:color w:val="000000"/>
          <w:kern w:val="28"/>
          <w:sz w:val="28"/>
          <w:szCs w:val="28"/>
        </w:rPr>
        <w:lastRenderedPageBreak/>
        <w:t>ПОЯСНИТЕЛЬНАЯ ЗАПИСКА</w:t>
      </w:r>
    </w:p>
    <w:p w:rsidR="00960373" w:rsidRPr="00960373" w:rsidRDefault="00960373" w:rsidP="00960373">
      <w:pPr>
        <w:jc w:val="center"/>
        <w:rPr>
          <w:b/>
          <w:szCs w:val="28"/>
        </w:rPr>
      </w:pPr>
      <w:r w:rsidRPr="00960373">
        <w:rPr>
          <w:rStyle w:val="CharStyle5"/>
          <w:color w:val="000000"/>
          <w:kern w:val="28"/>
          <w:sz w:val="28"/>
          <w:szCs w:val="28"/>
        </w:rPr>
        <w:t>по</w:t>
      </w:r>
      <w:r w:rsidRPr="00960373">
        <w:rPr>
          <w:b/>
          <w:szCs w:val="28"/>
        </w:rPr>
        <w:t xml:space="preserve"> вопросу ратификации Соглашения между Правительством</w:t>
      </w:r>
      <w:r w:rsidR="007150E4">
        <w:rPr>
          <w:b/>
          <w:szCs w:val="28"/>
        </w:rPr>
        <w:t xml:space="preserve"> </w:t>
      </w:r>
      <w:r w:rsidRPr="00960373">
        <w:rPr>
          <w:b/>
          <w:szCs w:val="28"/>
        </w:rPr>
        <w:t>Российской Федерации и Правительством Республики Узбекистан</w:t>
      </w:r>
      <w:r w:rsidR="007150E4">
        <w:rPr>
          <w:b/>
          <w:szCs w:val="28"/>
        </w:rPr>
        <w:t xml:space="preserve"> </w:t>
      </w:r>
      <w:r w:rsidRPr="00960373">
        <w:rPr>
          <w:b/>
          <w:szCs w:val="28"/>
        </w:rPr>
        <w:t>об открытии представительств таможенных служб Российской Федерации и Республики Узбекистан</w:t>
      </w:r>
    </w:p>
    <w:p w:rsidR="00960373" w:rsidRPr="00960373" w:rsidRDefault="00960373" w:rsidP="00960373">
      <w:pPr>
        <w:jc w:val="center"/>
        <w:rPr>
          <w:rStyle w:val="CharStyle7"/>
          <w:color w:val="000000"/>
          <w:kern w:val="28"/>
          <w:sz w:val="28"/>
          <w:szCs w:val="28"/>
        </w:rPr>
      </w:pPr>
    </w:p>
    <w:p w:rsidR="00960373" w:rsidRPr="00960373" w:rsidRDefault="00960373" w:rsidP="00960373">
      <w:pPr>
        <w:jc w:val="center"/>
        <w:rPr>
          <w:rStyle w:val="CharStyle7"/>
          <w:color w:val="000000"/>
          <w:kern w:val="28"/>
          <w:sz w:val="28"/>
          <w:szCs w:val="28"/>
        </w:rPr>
      </w:pP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Соглашение между Правительством Российской Федерации и Правительством Республики Узбекистан об открытии представительств таможенных служб Российской Федерации и Республики Узбекистан подписано в г. Самарканде 2 декабря 2022 года (далее – Соглашение).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Соглашением предусмотрено открытие представительства таможенной службы Российской Федерации в Республике Узбекистан и представительства таможенной службы Республики Узбекистан в Российской Федерации.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На основании распоряжения Президента Российской Федерации</w:t>
      </w:r>
      <w:r>
        <w:rPr>
          <w:rStyle w:val="CharStyle7"/>
          <w:kern w:val="28"/>
          <w:sz w:val="28"/>
          <w:szCs w:val="28"/>
        </w:rPr>
        <w:t xml:space="preserve"> </w:t>
      </w:r>
      <w:r w:rsidRPr="00960373">
        <w:rPr>
          <w:rStyle w:val="CharStyle7"/>
          <w:kern w:val="28"/>
          <w:sz w:val="28"/>
          <w:szCs w:val="28"/>
        </w:rPr>
        <w:t>от 22 июля 2019 г. № 242-рп «О представителях ФТС России в Республике Узбекистан» представители ФТС России направлены для работы в составе Посольства Российской Федерации в Республике Узбекистан.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 xml:space="preserve">Заключение Соглашения предложено </w:t>
      </w:r>
      <w:proofErr w:type="spellStart"/>
      <w:r w:rsidRPr="00960373">
        <w:rPr>
          <w:rStyle w:val="CharStyle7"/>
          <w:kern w:val="28"/>
          <w:sz w:val="28"/>
          <w:szCs w:val="28"/>
        </w:rPr>
        <w:t>узбекистанской</w:t>
      </w:r>
      <w:proofErr w:type="spellEnd"/>
      <w:r w:rsidRPr="00960373">
        <w:rPr>
          <w:rStyle w:val="CharStyle7"/>
          <w:kern w:val="28"/>
          <w:sz w:val="28"/>
          <w:szCs w:val="28"/>
        </w:rPr>
        <w:t xml:space="preserve"> стороной в целях создания договорно-правовой базы по эффективному осуществлению двустороннего таможенного сотрудничества. В Республике Узбекистан отсутствует законодательство, регулирующее вопросы создания представительств таможенной службы Республики Узбекистан в иностранных государствах. Вступление в силу Соглашения создаст соответствующие правовые основания. Соглашение предусматривает открытие и функционирование представительств таможенных служб Российской Федерации и Республики Узбекистан на взаимной основе.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Открытие представительства таможенной службы Российской Федерации в Республике Узбекистан (далее – Представительство) обусловлено необходимостью повышения уровня взаимодействия таможенных служб Российской Федерации и Республики Узбекистан в рамках Соглашения о сотрудничестве и взаимопомощи в таможенных делах от 15 апреля 1994 года (далее – Соглашение от 15 апреля 1994 года) в целях обеспечения надлежащего соблюдения таможенного законодательства, предотвращения, расследования и пресечения нарушений таможенного законодательства, обеспечения точного исчисления таможенных пошлин и налогов, ускорения перемещения товаров между Российской Федерацией и Республикой Узбекистан.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 xml:space="preserve">Наличие Представительства, по мнению ФТС России, позволит решить целый ряд вопросов, возникающих в российско-узбекской внешней торговле. Представительство будет осуществлять следующие основные функциональные обязанности: оказание содействия развитию таможенного сотрудничества между таможенными службами Российской Федерации и </w:t>
      </w:r>
      <w:r w:rsidRPr="00960373">
        <w:rPr>
          <w:rStyle w:val="CharStyle7"/>
          <w:kern w:val="28"/>
          <w:sz w:val="28"/>
          <w:szCs w:val="28"/>
        </w:rPr>
        <w:lastRenderedPageBreak/>
        <w:t>Республики Узбекистан; анализ таможенного законодательства Республики Узбекистан в целях выработки путей сотрудничества по вопросам борьбы с нарушениями таможенного законодательства; сбор и анализ информации о таможенной статистике российско-узбекской внешней торговли, данных о реальных поставках российских товаров на узбекский рынок и узбекских товаров на российский рынок в целях выявления каналов их незаконного перемещения, принятие мер по предотвращению негативных тенденций в данном вопросе; контроль за прохождением запросов, направляемых в рамках Соглашения от 15 апреля 1994 года, и другие функциональные обязанности.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В своей деятельности должностные лица Представительства будут руководствоваться Указом Президента Российской Федерации от 8 ноября 2011 г. № 1478 «О координирующей роли Министерства иностранных дел Российской Федерации в проведении единой внешнеполитической линии Российской Федерации».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Реализация мероприятий, предусмотренных Соглашением, будет осуществляться за счет бюджетных ассигнований, предусматриваемых ФТС России в федеральном бюджете на содержание представительств ФТС России в иностранных государствах, и не потребует выделения дополнительных средств из федерального бюджета.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Расходы на содержание Представительства составят 21 496 320,00 рублей.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 xml:space="preserve">Открытие Представительства для </w:t>
      </w:r>
      <w:r w:rsidR="0056550D">
        <w:rPr>
          <w:rStyle w:val="CharStyle7"/>
          <w:kern w:val="28"/>
          <w:sz w:val="28"/>
          <w:szCs w:val="28"/>
        </w:rPr>
        <w:t xml:space="preserve">работы в Республике Узбекистан </w:t>
      </w:r>
      <w:bookmarkStart w:id="0" w:name="_GoBack"/>
      <w:bookmarkEnd w:id="0"/>
      <w:r w:rsidRPr="00960373">
        <w:rPr>
          <w:rStyle w:val="CharStyle7"/>
          <w:kern w:val="28"/>
          <w:sz w:val="28"/>
          <w:szCs w:val="28"/>
        </w:rPr>
        <w:t>не отразится на установленной предельной численности работников представительств (представителей) ФТС России за рубежом.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Указанное Соглашение подлежит ратификации на основании подпункта «а» пункта 1 статьи 15 Федерального закона от 15 июля 1995 г. № 101-ФЗ «О международных договорах Российской Федерации», поскольку оно устанавливает иные правила, чем предусмотренные законодательством Российской Федерации. В частности, законодательством Российской Федерации не установлены привилегии и иммунитеты в отношении служебных и жилых помещений, имущества, а также архивов, документов и корреспонденции представительств таможенных служб иностранных государств, указанные в статье 7 Соглашения.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 xml:space="preserve">Проекты федерального закона «О ратификации Соглашения между Правительством Российской Федерации и Правительством Республики Узбекистан об открытии представительств таможенных служб Российской Федерации и Республики Узбекистан», постановления Правительства Российской Федерации «О представлении Президенту Российской Федерации для внесения на ратификацию Соглашения между Правительством Российской Федерации и Правительством Республики Узбекистан об открытии представительств таможенных служб Российской Федерации и Республики Узбекистан» и распоряжения Президента Российской Федерации о назначении официального представителя Президента Российской Федерации при рассмотрении палатами </w:t>
      </w:r>
      <w:r w:rsidRPr="00960373">
        <w:rPr>
          <w:rStyle w:val="CharStyle7"/>
          <w:kern w:val="28"/>
          <w:sz w:val="28"/>
          <w:szCs w:val="28"/>
        </w:rPr>
        <w:lastRenderedPageBreak/>
        <w:t>Федерального Собрания Российской Федерации вопроса о ратификации Соглашения (далее – проекты нормативных правовых актов, необходимых для ратификации Соглашения) соответствуют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960373" w:rsidRPr="00960373" w:rsidRDefault="00960373" w:rsidP="00960373">
      <w:pPr>
        <w:rPr>
          <w:rStyle w:val="CharStyle7"/>
          <w:kern w:val="28"/>
          <w:sz w:val="28"/>
          <w:szCs w:val="28"/>
        </w:rPr>
      </w:pPr>
      <w:r w:rsidRPr="00960373">
        <w:rPr>
          <w:rStyle w:val="CharStyle7"/>
          <w:kern w:val="28"/>
          <w:sz w:val="28"/>
          <w:szCs w:val="28"/>
        </w:rPr>
        <w:t>Реализация Соглашения не окажет влияния на достижение целей государственных программ Российской Федерации.</w:t>
      </w:r>
    </w:p>
    <w:p w:rsidR="00EE77C8" w:rsidRPr="005265CE" w:rsidRDefault="00960373" w:rsidP="005265CE">
      <w:pPr>
        <w:rPr>
          <w:kern w:val="28"/>
          <w:szCs w:val="28"/>
          <w:shd w:val="clear" w:color="auto" w:fill="FFFFFF"/>
        </w:rPr>
      </w:pPr>
      <w:r w:rsidRPr="00960373">
        <w:rPr>
          <w:rStyle w:val="CharStyle7"/>
          <w:kern w:val="28"/>
          <w:sz w:val="28"/>
          <w:szCs w:val="28"/>
        </w:rPr>
        <w:t>В проектах нормативных правовых актов, необходимых для ратификации Соглашения,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sectPr w:rsidR="00EE77C8" w:rsidRPr="005265CE" w:rsidSect="00EF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C9" w:rsidRDefault="001446C9" w:rsidP="004A50C2">
      <w:r>
        <w:separator/>
      </w:r>
    </w:p>
  </w:endnote>
  <w:endnote w:type="continuationSeparator" w:id="0">
    <w:p w:rsidR="001446C9" w:rsidRDefault="001446C9" w:rsidP="004A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C9" w:rsidRDefault="001446C9" w:rsidP="004A50C2">
      <w:r>
        <w:separator/>
      </w:r>
    </w:p>
  </w:footnote>
  <w:footnote w:type="continuationSeparator" w:id="0">
    <w:p w:rsidR="001446C9" w:rsidRDefault="001446C9" w:rsidP="004A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8A4"/>
    <w:multiLevelType w:val="hybridMultilevel"/>
    <w:tmpl w:val="7500EEB8"/>
    <w:lvl w:ilvl="0" w:tplc="55728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33"/>
    <w:rsid w:val="00003A4C"/>
    <w:rsid w:val="000068A7"/>
    <w:rsid w:val="00006F21"/>
    <w:rsid w:val="0001300E"/>
    <w:rsid w:val="00016217"/>
    <w:rsid w:val="000244D3"/>
    <w:rsid w:val="0003039A"/>
    <w:rsid w:val="000333C8"/>
    <w:rsid w:val="0003400A"/>
    <w:rsid w:val="00036EC9"/>
    <w:rsid w:val="00041209"/>
    <w:rsid w:val="00042D4D"/>
    <w:rsid w:val="0005218E"/>
    <w:rsid w:val="00052D19"/>
    <w:rsid w:val="000537B9"/>
    <w:rsid w:val="00072EC5"/>
    <w:rsid w:val="00074ABA"/>
    <w:rsid w:val="000753AC"/>
    <w:rsid w:val="00091A16"/>
    <w:rsid w:val="000A108F"/>
    <w:rsid w:val="000B15D8"/>
    <w:rsid w:val="000C3F38"/>
    <w:rsid w:val="000D1FBB"/>
    <w:rsid w:val="000D46B3"/>
    <w:rsid w:val="000D6BAF"/>
    <w:rsid w:val="000E65DA"/>
    <w:rsid w:val="001051B3"/>
    <w:rsid w:val="00122809"/>
    <w:rsid w:val="001375C9"/>
    <w:rsid w:val="001446C9"/>
    <w:rsid w:val="00150D16"/>
    <w:rsid w:val="00151D53"/>
    <w:rsid w:val="001678E1"/>
    <w:rsid w:val="00167E6B"/>
    <w:rsid w:val="00193289"/>
    <w:rsid w:val="001A2A78"/>
    <w:rsid w:val="001A4A28"/>
    <w:rsid w:val="001B2D24"/>
    <w:rsid w:val="001C0A7E"/>
    <w:rsid w:val="001D120D"/>
    <w:rsid w:val="001E3151"/>
    <w:rsid w:val="001E66DD"/>
    <w:rsid w:val="001E6BDE"/>
    <w:rsid w:val="001F4B8E"/>
    <w:rsid w:val="00206D41"/>
    <w:rsid w:val="0021427D"/>
    <w:rsid w:val="00214CE9"/>
    <w:rsid w:val="00227DA4"/>
    <w:rsid w:val="00232085"/>
    <w:rsid w:val="002323DF"/>
    <w:rsid w:val="00250EE7"/>
    <w:rsid w:val="002514DD"/>
    <w:rsid w:val="002519C2"/>
    <w:rsid w:val="00255BC3"/>
    <w:rsid w:val="0026047A"/>
    <w:rsid w:val="00260E6D"/>
    <w:rsid w:val="00261201"/>
    <w:rsid w:val="0026121B"/>
    <w:rsid w:val="00261607"/>
    <w:rsid w:val="00267D6C"/>
    <w:rsid w:val="00270F5A"/>
    <w:rsid w:val="0029074F"/>
    <w:rsid w:val="00291DBE"/>
    <w:rsid w:val="002A0773"/>
    <w:rsid w:val="002C2023"/>
    <w:rsid w:val="002D28AC"/>
    <w:rsid w:val="002E6CC5"/>
    <w:rsid w:val="002F1B0D"/>
    <w:rsid w:val="003027FF"/>
    <w:rsid w:val="00305179"/>
    <w:rsid w:val="003128D9"/>
    <w:rsid w:val="00314717"/>
    <w:rsid w:val="00322433"/>
    <w:rsid w:val="003224ED"/>
    <w:rsid w:val="003229DE"/>
    <w:rsid w:val="0032680F"/>
    <w:rsid w:val="0032779F"/>
    <w:rsid w:val="00331675"/>
    <w:rsid w:val="0034111E"/>
    <w:rsid w:val="00352CEC"/>
    <w:rsid w:val="00370AE3"/>
    <w:rsid w:val="0037249A"/>
    <w:rsid w:val="0038108B"/>
    <w:rsid w:val="003864DE"/>
    <w:rsid w:val="003A5E41"/>
    <w:rsid w:val="003B1C8C"/>
    <w:rsid w:val="003B645B"/>
    <w:rsid w:val="003D0184"/>
    <w:rsid w:val="003D6768"/>
    <w:rsid w:val="003F13C8"/>
    <w:rsid w:val="00412C97"/>
    <w:rsid w:val="0041417B"/>
    <w:rsid w:val="00421849"/>
    <w:rsid w:val="00424CEF"/>
    <w:rsid w:val="00425606"/>
    <w:rsid w:val="004440F2"/>
    <w:rsid w:val="00453506"/>
    <w:rsid w:val="00454C76"/>
    <w:rsid w:val="00460C62"/>
    <w:rsid w:val="004645FB"/>
    <w:rsid w:val="00467C53"/>
    <w:rsid w:val="00473354"/>
    <w:rsid w:val="004768F3"/>
    <w:rsid w:val="00480EEA"/>
    <w:rsid w:val="004873BB"/>
    <w:rsid w:val="004A1C4B"/>
    <w:rsid w:val="004A29BF"/>
    <w:rsid w:val="004A3580"/>
    <w:rsid w:val="004A3E9D"/>
    <w:rsid w:val="004A484D"/>
    <w:rsid w:val="004A50C2"/>
    <w:rsid w:val="004B1E1F"/>
    <w:rsid w:val="004C1358"/>
    <w:rsid w:val="004D0AB9"/>
    <w:rsid w:val="004D3B6E"/>
    <w:rsid w:val="004E18FE"/>
    <w:rsid w:val="004F302A"/>
    <w:rsid w:val="004F5D88"/>
    <w:rsid w:val="005022CF"/>
    <w:rsid w:val="00502984"/>
    <w:rsid w:val="00507763"/>
    <w:rsid w:val="0052199F"/>
    <w:rsid w:val="00522B39"/>
    <w:rsid w:val="005265CE"/>
    <w:rsid w:val="00541189"/>
    <w:rsid w:val="005529EA"/>
    <w:rsid w:val="00556C84"/>
    <w:rsid w:val="0056550D"/>
    <w:rsid w:val="00567EAD"/>
    <w:rsid w:val="0057134F"/>
    <w:rsid w:val="00571B34"/>
    <w:rsid w:val="00581C84"/>
    <w:rsid w:val="005A023F"/>
    <w:rsid w:val="005A0C6B"/>
    <w:rsid w:val="005A6B52"/>
    <w:rsid w:val="005B0D6B"/>
    <w:rsid w:val="005B63B4"/>
    <w:rsid w:val="005C286B"/>
    <w:rsid w:val="005C60A6"/>
    <w:rsid w:val="005D76C4"/>
    <w:rsid w:val="005E54E8"/>
    <w:rsid w:val="005F139E"/>
    <w:rsid w:val="005F17C5"/>
    <w:rsid w:val="00603710"/>
    <w:rsid w:val="0060562B"/>
    <w:rsid w:val="00607BBA"/>
    <w:rsid w:val="00615C4B"/>
    <w:rsid w:val="0062280B"/>
    <w:rsid w:val="0062784F"/>
    <w:rsid w:val="00630110"/>
    <w:rsid w:val="00631217"/>
    <w:rsid w:val="006315C8"/>
    <w:rsid w:val="00640354"/>
    <w:rsid w:val="00646FE0"/>
    <w:rsid w:val="006514A2"/>
    <w:rsid w:val="006732A0"/>
    <w:rsid w:val="0067599D"/>
    <w:rsid w:val="00675CD3"/>
    <w:rsid w:val="00677365"/>
    <w:rsid w:val="00681037"/>
    <w:rsid w:val="006868F7"/>
    <w:rsid w:val="00692CFC"/>
    <w:rsid w:val="006A74BF"/>
    <w:rsid w:val="006B2195"/>
    <w:rsid w:val="006B2A62"/>
    <w:rsid w:val="006B44D1"/>
    <w:rsid w:val="006C5C96"/>
    <w:rsid w:val="006C64BA"/>
    <w:rsid w:val="006D1432"/>
    <w:rsid w:val="006D2995"/>
    <w:rsid w:val="006D4F9F"/>
    <w:rsid w:val="006E02F9"/>
    <w:rsid w:val="006E6AD3"/>
    <w:rsid w:val="006E79E8"/>
    <w:rsid w:val="006F243D"/>
    <w:rsid w:val="006F64E8"/>
    <w:rsid w:val="00700619"/>
    <w:rsid w:val="00703207"/>
    <w:rsid w:val="007150E4"/>
    <w:rsid w:val="00715861"/>
    <w:rsid w:val="00722175"/>
    <w:rsid w:val="00725368"/>
    <w:rsid w:val="007305A6"/>
    <w:rsid w:val="00747632"/>
    <w:rsid w:val="007576BB"/>
    <w:rsid w:val="00767547"/>
    <w:rsid w:val="00784AF5"/>
    <w:rsid w:val="007A459D"/>
    <w:rsid w:val="007A48FC"/>
    <w:rsid w:val="007A7E70"/>
    <w:rsid w:val="007B16DC"/>
    <w:rsid w:val="007B444B"/>
    <w:rsid w:val="007D57F9"/>
    <w:rsid w:val="007E0CE1"/>
    <w:rsid w:val="007F5D70"/>
    <w:rsid w:val="00801461"/>
    <w:rsid w:val="00801DF2"/>
    <w:rsid w:val="00810597"/>
    <w:rsid w:val="008214AE"/>
    <w:rsid w:val="00822402"/>
    <w:rsid w:val="0084093C"/>
    <w:rsid w:val="008432E7"/>
    <w:rsid w:val="00847993"/>
    <w:rsid w:val="00855553"/>
    <w:rsid w:val="00863AF8"/>
    <w:rsid w:val="0087241F"/>
    <w:rsid w:val="00872513"/>
    <w:rsid w:val="008738F5"/>
    <w:rsid w:val="00876ED4"/>
    <w:rsid w:val="00882F87"/>
    <w:rsid w:val="0089732C"/>
    <w:rsid w:val="008A536C"/>
    <w:rsid w:val="008B4C71"/>
    <w:rsid w:val="008C38F4"/>
    <w:rsid w:val="008C5FFA"/>
    <w:rsid w:val="008C77ED"/>
    <w:rsid w:val="008E109D"/>
    <w:rsid w:val="008E3ECB"/>
    <w:rsid w:val="008E4235"/>
    <w:rsid w:val="008E719D"/>
    <w:rsid w:val="008F04E9"/>
    <w:rsid w:val="008F2250"/>
    <w:rsid w:val="00903345"/>
    <w:rsid w:val="00907FAF"/>
    <w:rsid w:val="0091565B"/>
    <w:rsid w:val="0093313C"/>
    <w:rsid w:val="00933DCE"/>
    <w:rsid w:val="00935F38"/>
    <w:rsid w:val="00936FD3"/>
    <w:rsid w:val="00940443"/>
    <w:rsid w:val="00945A93"/>
    <w:rsid w:val="00945D1E"/>
    <w:rsid w:val="00953225"/>
    <w:rsid w:val="00955B83"/>
    <w:rsid w:val="00960373"/>
    <w:rsid w:val="009629D2"/>
    <w:rsid w:val="00962BFF"/>
    <w:rsid w:val="00965F2C"/>
    <w:rsid w:val="0097655C"/>
    <w:rsid w:val="00976665"/>
    <w:rsid w:val="00982188"/>
    <w:rsid w:val="0099041C"/>
    <w:rsid w:val="009B0AD0"/>
    <w:rsid w:val="009B0AF5"/>
    <w:rsid w:val="009B607E"/>
    <w:rsid w:val="009B689E"/>
    <w:rsid w:val="009B7420"/>
    <w:rsid w:val="009C4EC1"/>
    <w:rsid w:val="009E0913"/>
    <w:rsid w:val="009E3351"/>
    <w:rsid w:val="009E372E"/>
    <w:rsid w:val="009E77D5"/>
    <w:rsid w:val="009F438B"/>
    <w:rsid w:val="00A11713"/>
    <w:rsid w:val="00A14B08"/>
    <w:rsid w:val="00A14F49"/>
    <w:rsid w:val="00A16FFE"/>
    <w:rsid w:val="00A20361"/>
    <w:rsid w:val="00A2054F"/>
    <w:rsid w:val="00A276BF"/>
    <w:rsid w:val="00A30153"/>
    <w:rsid w:val="00A3256C"/>
    <w:rsid w:val="00A37309"/>
    <w:rsid w:val="00A47FC2"/>
    <w:rsid w:val="00A6222B"/>
    <w:rsid w:val="00A638FD"/>
    <w:rsid w:val="00A6621E"/>
    <w:rsid w:val="00A67D4E"/>
    <w:rsid w:val="00A7356C"/>
    <w:rsid w:val="00A835AE"/>
    <w:rsid w:val="00A91FB0"/>
    <w:rsid w:val="00A93AC1"/>
    <w:rsid w:val="00AA0DBC"/>
    <w:rsid w:val="00AB0BC2"/>
    <w:rsid w:val="00AB20D2"/>
    <w:rsid w:val="00AB319C"/>
    <w:rsid w:val="00AB5972"/>
    <w:rsid w:val="00AB74EE"/>
    <w:rsid w:val="00AC299D"/>
    <w:rsid w:val="00AC3460"/>
    <w:rsid w:val="00AD1F42"/>
    <w:rsid w:val="00AD2A25"/>
    <w:rsid w:val="00AD71BA"/>
    <w:rsid w:val="00AF5EE9"/>
    <w:rsid w:val="00B00524"/>
    <w:rsid w:val="00B01A87"/>
    <w:rsid w:val="00B037D3"/>
    <w:rsid w:val="00B12B2D"/>
    <w:rsid w:val="00B13374"/>
    <w:rsid w:val="00B20342"/>
    <w:rsid w:val="00B216BA"/>
    <w:rsid w:val="00B2667C"/>
    <w:rsid w:val="00B32515"/>
    <w:rsid w:val="00B504D4"/>
    <w:rsid w:val="00B756B8"/>
    <w:rsid w:val="00B764FB"/>
    <w:rsid w:val="00B8218A"/>
    <w:rsid w:val="00B8273F"/>
    <w:rsid w:val="00B848BC"/>
    <w:rsid w:val="00B85005"/>
    <w:rsid w:val="00B85A4D"/>
    <w:rsid w:val="00B94376"/>
    <w:rsid w:val="00BA0FB7"/>
    <w:rsid w:val="00BB29E2"/>
    <w:rsid w:val="00BB422D"/>
    <w:rsid w:val="00BC333F"/>
    <w:rsid w:val="00BC6036"/>
    <w:rsid w:val="00BD25A2"/>
    <w:rsid w:val="00BE0D8C"/>
    <w:rsid w:val="00BE5513"/>
    <w:rsid w:val="00BF3B44"/>
    <w:rsid w:val="00BF570F"/>
    <w:rsid w:val="00C01F7C"/>
    <w:rsid w:val="00C020AE"/>
    <w:rsid w:val="00C034F3"/>
    <w:rsid w:val="00C2483D"/>
    <w:rsid w:val="00C270A0"/>
    <w:rsid w:val="00C31439"/>
    <w:rsid w:val="00C66848"/>
    <w:rsid w:val="00C67224"/>
    <w:rsid w:val="00C77D5E"/>
    <w:rsid w:val="00C84AB5"/>
    <w:rsid w:val="00C86E5D"/>
    <w:rsid w:val="00C871FE"/>
    <w:rsid w:val="00C90640"/>
    <w:rsid w:val="00C93E57"/>
    <w:rsid w:val="00C94FFA"/>
    <w:rsid w:val="00C9734D"/>
    <w:rsid w:val="00CA0037"/>
    <w:rsid w:val="00CA34FE"/>
    <w:rsid w:val="00CA414D"/>
    <w:rsid w:val="00CB7F24"/>
    <w:rsid w:val="00CC00B1"/>
    <w:rsid w:val="00CC16B0"/>
    <w:rsid w:val="00CC4C65"/>
    <w:rsid w:val="00CD30F1"/>
    <w:rsid w:val="00CD390C"/>
    <w:rsid w:val="00CE3BD1"/>
    <w:rsid w:val="00CF43D9"/>
    <w:rsid w:val="00CF7370"/>
    <w:rsid w:val="00D01A6E"/>
    <w:rsid w:val="00D3383D"/>
    <w:rsid w:val="00D3402F"/>
    <w:rsid w:val="00D468BF"/>
    <w:rsid w:val="00D5349C"/>
    <w:rsid w:val="00D669D4"/>
    <w:rsid w:val="00D66B0E"/>
    <w:rsid w:val="00D70127"/>
    <w:rsid w:val="00D703A0"/>
    <w:rsid w:val="00D80524"/>
    <w:rsid w:val="00D8300F"/>
    <w:rsid w:val="00DA5D09"/>
    <w:rsid w:val="00DB1C10"/>
    <w:rsid w:val="00DB209F"/>
    <w:rsid w:val="00DC09BB"/>
    <w:rsid w:val="00DC4417"/>
    <w:rsid w:val="00DD27A6"/>
    <w:rsid w:val="00DE0311"/>
    <w:rsid w:val="00DE4FAB"/>
    <w:rsid w:val="00DE5626"/>
    <w:rsid w:val="00DE7269"/>
    <w:rsid w:val="00E22B74"/>
    <w:rsid w:val="00E6686E"/>
    <w:rsid w:val="00E66BC7"/>
    <w:rsid w:val="00E67383"/>
    <w:rsid w:val="00E73DCE"/>
    <w:rsid w:val="00E82C38"/>
    <w:rsid w:val="00E86A2A"/>
    <w:rsid w:val="00E90FD5"/>
    <w:rsid w:val="00E9139F"/>
    <w:rsid w:val="00E9422C"/>
    <w:rsid w:val="00EA2956"/>
    <w:rsid w:val="00EA3A43"/>
    <w:rsid w:val="00EA732D"/>
    <w:rsid w:val="00EB01B3"/>
    <w:rsid w:val="00EB369B"/>
    <w:rsid w:val="00ED3465"/>
    <w:rsid w:val="00ED633B"/>
    <w:rsid w:val="00EE2991"/>
    <w:rsid w:val="00EE77C8"/>
    <w:rsid w:val="00EF2E93"/>
    <w:rsid w:val="00F02DA1"/>
    <w:rsid w:val="00F05767"/>
    <w:rsid w:val="00F1223F"/>
    <w:rsid w:val="00F225FF"/>
    <w:rsid w:val="00F23EFE"/>
    <w:rsid w:val="00F26281"/>
    <w:rsid w:val="00F3279E"/>
    <w:rsid w:val="00F4154D"/>
    <w:rsid w:val="00F437C1"/>
    <w:rsid w:val="00F4758E"/>
    <w:rsid w:val="00F50195"/>
    <w:rsid w:val="00F50D11"/>
    <w:rsid w:val="00F5527B"/>
    <w:rsid w:val="00F61FCE"/>
    <w:rsid w:val="00F7231F"/>
    <w:rsid w:val="00F87D42"/>
    <w:rsid w:val="00F92442"/>
    <w:rsid w:val="00FA3254"/>
    <w:rsid w:val="00FC39B3"/>
    <w:rsid w:val="00FC7CCC"/>
    <w:rsid w:val="00FD7F89"/>
    <w:rsid w:val="00FE79B5"/>
    <w:rsid w:val="00FF4653"/>
    <w:rsid w:val="00FF67EB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DF66"/>
  <w15:docId w15:val="{220071B6-0A5B-4C3D-A47F-F8838AB1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51D53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51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1FB0"/>
    <w:pPr>
      <w:ind w:left="720"/>
      <w:contextualSpacing/>
    </w:pPr>
  </w:style>
  <w:style w:type="character" w:customStyle="1" w:styleId="CharStyle7">
    <w:name w:val="Char Style 7"/>
    <w:link w:val="Style6"/>
    <w:uiPriority w:val="99"/>
    <w:locked/>
    <w:rsid w:val="00A7356C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7356C"/>
    <w:pPr>
      <w:widowControl w:val="0"/>
      <w:shd w:val="clear" w:color="auto" w:fill="FFFFFF"/>
      <w:spacing w:before="900" w:line="322" w:lineRule="exact"/>
      <w:ind w:firstLine="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EA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A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0C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C6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37249A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7249A"/>
    <w:pPr>
      <w:widowControl w:val="0"/>
      <w:shd w:val="clear" w:color="auto" w:fill="FFFFFF"/>
      <w:spacing w:after="420" w:line="240" w:lineRule="atLeast"/>
      <w:ind w:firstLine="0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 АЛЕКСАНДРА ЕВГЕНЬЕВНА</dc:creator>
  <cp:lastModifiedBy>Соловьев Иван Константинович</cp:lastModifiedBy>
  <cp:revision>58</cp:revision>
  <cp:lastPrinted>2015-03-12T06:34:00Z</cp:lastPrinted>
  <dcterms:created xsi:type="dcterms:W3CDTF">2019-09-10T09:42:00Z</dcterms:created>
  <dcterms:modified xsi:type="dcterms:W3CDTF">2023-01-13T07:26:00Z</dcterms:modified>
</cp:coreProperties>
</file>