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02/06/02-23/00135751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A54C8" w:rsidRDefault="005A54C8" w:rsidP="005A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2023 г.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5A54C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служба безопасности Российской Федерации (ФСБ России), Федеральная таможенная служба Российской Федерации (ФТС России), Федеральное казначейство, Федеральная пробирная палата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ввозе в Российскую </w:t>
            </w: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Федерацию  из</w:t>
            </w:r>
            <w:proofErr w:type="gram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государств, не входящих в Евразийский экономический союз, и вывозе  из Российской Федерации в эти государства драгоценных металлов, драгоценных камней и сырьевых товаров, содержащих драгоценные металлы, утвержденное Указом Президента Российской Федерации  от 20 сентября 2010 г. № 1137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внешним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санкционным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ограничениям, введенным недружественными странами в отношении субъектов добычи и производства драгоценных металлов и драгоценных камней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1 плана-графика подготовки нормативных правовых актов, необходимых для реализации норм Федерального закона от 29 декабря 2022 г.  № 607-ФЗ «О внесении изменений в отдельные законодательные акты Российской Федерации»,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от 31 января 2023 г. № 947п-П13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Положения в соответствие со статьями 2 и 23 Федерального закона от 26 марта 1998 г. № 41-ФЗ «О драгоценных металлах и драгоценных камнях»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Устанавливается возможность приема Гохраном России и уполномоченными органами исполнительной власти субъектов Российской Федерации драгоценных металлов и драгоценных камней по договору комиссии от субъектов их добычи и производства для реализации на внешнем рынке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Масленников Данила Дмитриевич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  <w:proofErr w:type="spellEnd"/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8(495) 983-38-88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(2226)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5A54C8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Danila</w:t>
            </w: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Maslennikov</w:t>
            </w:r>
            <w:proofErr w:type="spellEnd"/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Указа Президента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внешним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санкционным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ограничениям, введенным недружественными странами в отношении российских субъектов добычи и производства драгоценных металлов и драгоценных камней и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препятсвующим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российских драгоценных металлов и драгоценных камней на внешнем рынке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 российского экспорта драгоценных металлов и драгоценных камней, снижение налоговых поступлений в федеральный бюджет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целях стимулирования экспорта в условиях внешних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санкционных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приняты следующие нормативные правовые акты: постановление Правительства Российской Федерации от 18.10.2022 № 1853 «О выдаче генеральных лицензий на экспорт лигатурного золота (сплава Доре)»; постановление Правительства Российской Федерации от 26.03.2022 № 485 «О выдаче генеральных лицензий на экспорт аффинированных золота и серебра в виде гранул, аффинированных платины и металлов платиновой группы в виде слитков, гранул и порошков»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Снятие внешних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санкционных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палата, ФТС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5A54C8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приведение Положения в соответствие со статьями 2 и 23 Федерального закона от 26 марта 1998 г. № 41-ФЗ  «О драгоценных металлах и драгоценных камнях»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20.10.2023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Цель предлагаемого регулирования соответствует принципам правового регулирования. Несоответствие целей регулирования программным документам Президента Российской Федерации и Правительства Российской Федерации не выявлено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Субъекты добычи и производства драгоценных металлов, драгоценных камней и сырьевых товаров, содержащих драгоценные металлы и иные участники рынка, имеющие право осуществлять операции с драгоценными металлами, драгоценными камнями и сырьевыми товарами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25 000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субъектов</w:t>
            </w:r>
            <w:proofErr w:type="spellEnd"/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Государственная интегрированная информационная система в сфере контроля за оборотом драгоценных металлов, драгоценных камней и изделий из них на всех этапах этого оборота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5A54C8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 исполнительной власти субъектов Российской Федерации, на территориях которых добыты драгоценные металлы и драгоценные камни, предполагаемые к экспорту</w:t>
            </w:r>
          </w:p>
        </w:tc>
        <w:tc>
          <w:tcPr>
            <w:tcW w:w="1667" w:type="pct"/>
          </w:tcPr>
          <w:p w:rsidR="00CE0CCD" w:rsidRPr="005A54C8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 xml:space="preserve">Экспорт драгоценных металлов, драгоценных камней и сырьевых товаров, содержащих драгоценные металлы, осуществляется в порядке, установленном Положением о ввозе и вывозе драгоценных камней и Положением о ввозе и вывозе драгоценных металлов, утвержденных решением Коллегии Евразийской экономической комиссии от 21.04.2015 № 30, при условии выполнения субъектами их добычи договорных обязательств по поставке драгоценных металлов и драгоценных камней в </w:t>
            </w:r>
            <w:proofErr w:type="spellStart"/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 w:rsidRPr="005A54C8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контроля эффективности избранного способа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FE6FD9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</w:t>
            </w:r>
            <w:r w:rsidR="00FE6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решению  заместителя Министра финансов Российской Федерации </w:t>
            </w:r>
            <w:r w:rsidR="00FE7B02" w:rsidRPr="00FE7B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FE7B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 Моисеева от 19.03.2021 № 22-01-02/ВН-12483 уведомление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B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FE7B0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7D08" w:rsidRPr="00FE7B0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5A54C8" w:rsidRDefault="005A54C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5A54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54C8" w:rsidRDefault="005A54C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https://regulation.gov.ru/projects#npa=135751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5A54C8" w:rsidRDefault="005A54C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2023 г.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5A54C8" w:rsidRDefault="005A54C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2023 г.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5A54C8" w:rsidRDefault="00F70CBD" w:rsidP="005A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5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4C8" w:rsidRDefault="005A54C8" w:rsidP="005A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C8" w:rsidRDefault="005A54C8" w:rsidP="005A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</w:t>
            </w:r>
          </w:p>
          <w:p w:rsidR="005A54C8" w:rsidRDefault="005A54C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54C8" w:rsidRDefault="005A54C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Уралэлектромедь</w:t>
            </w:r>
            <w:proofErr w:type="spellEnd"/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ФГУП ГЦСС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Соколова Ксения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Жукова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54C8">
              <w:rPr>
                <w:rFonts w:ascii="Times New Roman" w:hAnsi="Times New Roman" w:cs="Times New Roman"/>
                <w:sz w:val="28"/>
                <w:szCs w:val="28"/>
              </w:rPr>
              <w:t>Бедуганов</w:t>
            </w:r>
            <w:proofErr w:type="spellEnd"/>
            <w:r w:rsidRPr="005A54C8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5A54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отрасли драгоценных металлов и драгоценных камней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5A54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5A54C8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разработчика, ответственного за подготовку проекта акта        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FE7B0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2023 г.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4D" w:rsidRDefault="00B8584D" w:rsidP="00EA7CC1">
      <w:pPr>
        <w:spacing w:after="0" w:line="240" w:lineRule="auto"/>
      </w:pPr>
      <w:r>
        <w:separator/>
      </w:r>
    </w:p>
  </w:endnote>
  <w:endnote w:type="continuationSeparator" w:id="0">
    <w:p w:rsidR="00B8584D" w:rsidRDefault="00B8584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4D" w:rsidRDefault="00B8584D" w:rsidP="00EA7CC1">
      <w:pPr>
        <w:spacing w:after="0" w:line="240" w:lineRule="auto"/>
      </w:pPr>
      <w:r>
        <w:separator/>
      </w:r>
    </w:p>
  </w:footnote>
  <w:footnote w:type="continuationSeparator" w:id="0">
    <w:p w:rsidR="00B8584D" w:rsidRDefault="00B8584D" w:rsidP="00EA7CC1">
      <w:pPr>
        <w:spacing w:after="0" w:line="240" w:lineRule="auto"/>
      </w:pPr>
      <w:r>
        <w:continuationSeparator/>
      </w:r>
    </w:p>
  </w:footnote>
  <w:footnote w:id="1">
    <w:p w:rsidR="005A54C8" w:rsidRPr="00903A82" w:rsidRDefault="005A54C8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A54C8" w:rsidRPr="00F837C7" w:rsidRDefault="005A54C8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A54C8" w:rsidRPr="00F776B0" w:rsidRDefault="005A54C8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A54C8" w:rsidRPr="00F95A61" w:rsidRDefault="005A54C8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A54C8" w:rsidRPr="006007BA" w:rsidRDefault="005A54C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A54C8" w:rsidRPr="001A71E6" w:rsidRDefault="005A54C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A54C8" w:rsidRPr="000F64B5" w:rsidRDefault="005A54C8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A54C8" w:rsidRPr="00970A33" w:rsidRDefault="005A54C8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5A54C8" w:rsidRDefault="005A54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02">
          <w:rPr>
            <w:noProof/>
          </w:rPr>
          <w:t>3</w:t>
        </w:r>
        <w:r>
          <w:fldChar w:fldCharType="end"/>
        </w:r>
      </w:p>
    </w:sdtContent>
  </w:sdt>
  <w:p w:rsidR="005A54C8" w:rsidRDefault="005A54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54C8"/>
    <w:rsid w:val="005B6FF3"/>
    <w:rsid w:val="005B7270"/>
    <w:rsid w:val="005C35EB"/>
    <w:rsid w:val="005C3AC2"/>
    <w:rsid w:val="005C4985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07B6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8584D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E6FD9"/>
    <w:rsid w:val="00FE7B02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3468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9972-40AD-42C6-93C8-3041B897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2938</Words>
  <Characters>16752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Масленников Данила Дмитриевич</cp:lastModifiedBy>
  <cp:revision>3</cp:revision>
  <dcterms:created xsi:type="dcterms:W3CDTF">2023-03-07T10:45:00Z</dcterms:created>
  <dcterms:modified xsi:type="dcterms:W3CDTF">2023-03-24T12:39:00Z</dcterms:modified>
</cp:coreProperties>
</file>