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171" w:rsidRDefault="00D54171">
      <w:pPr>
        <w:pStyle w:val="1"/>
      </w:pPr>
      <w:r>
        <w:t>Проект</w:t>
      </w:r>
    </w:p>
    <w:p w:rsidR="007E503B" w:rsidRDefault="007E503B" w:rsidP="007E503B"/>
    <w:p w:rsidR="007E503B" w:rsidRDefault="007E503B" w:rsidP="007E503B"/>
    <w:p w:rsidR="007E503B" w:rsidRDefault="007E503B" w:rsidP="007E503B"/>
    <w:p w:rsidR="008E724A" w:rsidRDefault="008E724A" w:rsidP="007E503B"/>
    <w:p w:rsidR="008E724A" w:rsidRDefault="008E724A" w:rsidP="007E503B"/>
    <w:p w:rsidR="00577762" w:rsidRDefault="00577762" w:rsidP="007E503B"/>
    <w:p w:rsidR="0088244C" w:rsidRPr="00744D35" w:rsidRDefault="0088244C" w:rsidP="0088244C">
      <w:pPr>
        <w:rPr>
          <w:sz w:val="16"/>
        </w:rPr>
      </w:pPr>
    </w:p>
    <w:p w:rsidR="00D54171" w:rsidRPr="00EF34D2" w:rsidRDefault="00D54171">
      <w:pPr>
        <w:pStyle w:val="2"/>
        <w:rPr>
          <w:b w:val="0"/>
          <w:sz w:val="40"/>
          <w:szCs w:val="40"/>
        </w:rPr>
      </w:pPr>
      <w:r w:rsidRPr="00EF34D2">
        <w:rPr>
          <w:b w:val="0"/>
          <w:sz w:val="40"/>
          <w:szCs w:val="40"/>
        </w:rPr>
        <w:t>У К А З</w:t>
      </w:r>
    </w:p>
    <w:p w:rsidR="00D54171" w:rsidRPr="003B596A" w:rsidRDefault="00D54171">
      <w:pPr>
        <w:jc w:val="center"/>
        <w:rPr>
          <w:sz w:val="28"/>
          <w:szCs w:val="24"/>
        </w:rPr>
      </w:pPr>
    </w:p>
    <w:p w:rsidR="00D54171" w:rsidRPr="00EF34D2" w:rsidRDefault="00D54171">
      <w:pPr>
        <w:pStyle w:val="3"/>
        <w:rPr>
          <w:sz w:val="40"/>
          <w:szCs w:val="40"/>
        </w:rPr>
      </w:pPr>
      <w:r w:rsidRPr="00EF34D2">
        <w:rPr>
          <w:sz w:val="40"/>
          <w:szCs w:val="40"/>
        </w:rPr>
        <w:t>ПРЕЗИДЕНТА РОССИЙСКОЙ ФЕДЕРАЦИИ</w:t>
      </w:r>
    </w:p>
    <w:p w:rsidR="003B596A" w:rsidRDefault="003B596A" w:rsidP="00AF6B50">
      <w:pPr>
        <w:pStyle w:val="4"/>
        <w:rPr>
          <w:b w:val="0"/>
        </w:rPr>
      </w:pPr>
    </w:p>
    <w:p w:rsidR="00EF34D2" w:rsidRPr="00EF34D2" w:rsidRDefault="00EF34D2" w:rsidP="00EF34D2">
      <w:pPr>
        <w:rPr>
          <w:sz w:val="28"/>
        </w:rPr>
      </w:pPr>
    </w:p>
    <w:p w:rsidR="008E724A" w:rsidRDefault="00D54171" w:rsidP="00AF6B50">
      <w:pPr>
        <w:pStyle w:val="4"/>
      </w:pPr>
      <w:r>
        <w:t xml:space="preserve">О </w:t>
      </w:r>
      <w:r w:rsidR="00AF6B50">
        <w:t xml:space="preserve">внесении изменений в перечень должностей высшего </w:t>
      </w:r>
    </w:p>
    <w:p w:rsidR="008E724A" w:rsidRDefault="00AF6B50" w:rsidP="00AF6B50">
      <w:pPr>
        <w:pStyle w:val="4"/>
      </w:pPr>
      <w:r>
        <w:t xml:space="preserve">начальствующего состава </w:t>
      </w:r>
      <w:r w:rsidR="005D5E73">
        <w:t xml:space="preserve">в </w:t>
      </w:r>
      <w:r>
        <w:t>таможенных орган</w:t>
      </w:r>
      <w:r w:rsidR="005D5E73">
        <w:t>ах</w:t>
      </w:r>
      <w:r>
        <w:t xml:space="preserve"> </w:t>
      </w:r>
    </w:p>
    <w:p w:rsidR="008E724A" w:rsidRDefault="00AF6B50" w:rsidP="00AF6B50">
      <w:pPr>
        <w:pStyle w:val="4"/>
      </w:pPr>
      <w:r>
        <w:t>Российской Федерации и со</w:t>
      </w:r>
      <w:r w:rsidR="00AF199E">
        <w:t>от</w:t>
      </w:r>
      <w:r>
        <w:t>вет</w:t>
      </w:r>
      <w:r w:rsidR="00AF199E">
        <w:t>ств</w:t>
      </w:r>
      <w:r>
        <w:t xml:space="preserve">ующих </w:t>
      </w:r>
    </w:p>
    <w:p w:rsidR="008E724A" w:rsidRDefault="00AF6B50" w:rsidP="00AF6B50">
      <w:pPr>
        <w:pStyle w:val="4"/>
      </w:pPr>
      <w:r>
        <w:t xml:space="preserve">этим должностям </w:t>
      </w:r>
      <w:r w:rsidR="00D54171">
        <w:t>специальн</w:t>
      </w:r>
      <w:r w:rsidR="00BE4A28">
        <w:t>ых</w:t>
      </w:r>
      <w:r w:rsidR="00D54171">
        <w:t xml:space="preserve"> звани</w:t>
      </w:r>
      <w:r w:rsidR="00BE4A28">
        <w:t>й</w:t>
      </w:r>
      <w:r w:rsidR="00497C50">
        <w:t>, утвержденны</w:t>
      </w:r>
      <w:r w:rsidR="00AF199E">
        <w:t>й</w:t>
      </w:r>
      <w:r w:rsidR="00497C50">
        <w:t xml:space="preserve"> </w:t>
      </w:r>
    </w:p>
    <w:p w:rsidR="008E724A" w:rsidRDefault="00497C50" w:rsidP="00AF6B50">
      <w:pPr>
        <w:pStyle w:val="4"/>
      </w:pPr>
      <w:r>
        <w:t xml:space="preserve">Указом Президента Российской Федерации </w:t>
      </w:r>
    </w:p>
    <w:p w:rsidR="00D54171" w:rsidRPr="00D506DB" w:rsidRDefault="00497C50" w:rsidP="00AF6B50">
      <w:pPr>
        <w:pStyle w:val="4"/>
      </w:pPr>
      <w:r>
        <w:t xml:space="preserve">от 22 ноября 2016 г. № 611 </w:t>
      </w:r>
      <w:r w:rsidR="00D54171">
        <w:t xml:space="preserve"> </w:t>
      </w:r>
    </w:p>
    <w:p w:rsidR="00C33E53" w:rsidRDefault="00AF6B50" w:rsidP="00577762">
      <w:pPr>
        <w:pStyle w:val="a3"/>
        <w:spacing w:before="480"/>
        <w:ind w:left="0" w:firstLine="709"/>
      </w:pPr>
      <w:r>
        <w:t xml:space="preserve">1. Внести в перечень должностей высшего начальствующего состава </w:t>
      </w:r>
      <w:r w:rsidR="003B0502">
        <w:t xml:space="preserve">                         в </w:t>
      </w:r>
      <w:r>
        <w:t>таможенных орган</w:t>
      </w:r>
      <w:r w:rsidR="003B0502">
        <w:t>ах</w:t>
      </w:r>
      <w:r>
        <w:t xml:space="preserve"> Российской Федерации и со</w:t>
      </w:r>
      <w:r w:rsidR="00AF199E">
        <w:t>от</w:t>
      </w:r>
      <w:r>
        <w:t>вет</w:t>
      </w:r>
      <w:r w:rsidR="00AF199E">
        <w:t>ству</w:t>
      </w:r>
      <w:r>
        <w:t>ющих этим должностям специальных званий, утвержденны</w:t>
      </w:r>
      <w:r w:rsidR="00A86707">
        <w:t>й</w:t>
      </w:r>
      <w:r>
        <w:t xml:space="preserve"> Указом Президента Российской Федерации от 22 ноября 2016 г. № </w:t>
      </w:r>
      <w:r w:rsidRPr="001C483A">
        <w:t>611 (Собрание законодательства</w:t>
      </w:r>
      <w:r w:rsidR="00A86707" w:rsidRPr="001C483A">
        <w:t xml:space="preserve"> Российской Федерации</w:t>
      </w:r>
      <w:r w:rsidR="001E515F" w:rsidRPr="001C483A">
        <w:t>,</w:t>
      </w:r>
      <w:r w:rsidRPr="001C483A">
        <w:t xml:space="preserve"> 2016, </w:t>
      </w:r>
      <w:r w:rsidR="001E515F" w:rsidRPr="001C483A">
        <w:t>№ </w:t>
      </w:r>
      <w:r w:rsidRPr="001C483A">
        <w:t>48, ст.</w:t>
      </w:r>
      <w:r w:rsidR="001E515F" w:rsidRPr="001C483A">
        <w:t> </w:t>
      </w:r>
      <w:r w:rsidRPr="001C483A">
        <w:t>6747</w:t>
      </w:r>
      <w:r w:rsidR="00577762" w:rsidRPr="001C483A">
        <w:t>;</w:t>
      </w:r>
      <w:r w:rsidR="001E515F" w:rsidRPr="001C483A">
        <w:t xml:space="preserve"> 2017, № 34, ст. 5263</w:t>
      </w:r>
      <w:r w:rsidR="001C483A" w:rsidRPr="001C483A">
        <w:t>; 2020, № 48, ст. 7713</w:t>
      </w:r>
      <w:r w:rsidR="00FE3323">
        <w:t>; 2021, № 52, ст. 9120</w:t>
      </w:r>
      <w:r w:rsidR="00497C50" w:rsidRPr="001C483A">
        <w:t>)</w:t>
      </w:r>
      <w:r w:rsidR="00A86707" w:rsidRPr="001C483A">
        <w:t>,</w:t>
      </w:r>
      <w:r w:rsidR="00497C50">
        <w:t xml:space="preserve"> следующие изменения:</w:t>
      </w:r>
    </w:p>
    <w:p w:rsidR="004F7AE2" w:rsidRDefault="003B0502" w:rsidP="00C6778C">
      <w:pPr>
        <w:pStyle w:val="a3"/>
        <w:ind w:left="0" w:firstLine="709"/>
        <w:rPr>
          <w:szCs w:val="28"/>
        </w:rPr>
      </w:pPr>
      <w:r>
        <w:rPr>
          <w:szCs w:val="28"/>
        </w:rPr>
        <w:t>а</w:t>
      </w:r>
      <w:r w:rsidR="00C6778C">
        <w:rPr>
          <w:szCs w:val="28"/>
        </w:rPr>
        <w:t xml:space="preserve">) пункт </w:t>
      </w:r>
      <w:r w:rsidR="00FB26CB">
        <w:rPr>
          <w:szCs w:val="28"/>
        </w:rPr>
        <w:t>40</w:t>
      </w:r>
      <w:r w:rsidR="00C6778C">
        <w:rPr>
          <w:szCs w:val="28"/>
        </w:rPr>
        <w:t xml:space="preserve"> </w:t>
      </w:r>
      <w:r w:rsidR="004F7AE2">
        <w:rPr>
          <w:szCs w:val="28"/>
        </w:rPr>
        <w:t>изложить в следующей редакции:</w:t>
      </w:r>
    </w:p>
    <w:p w:rsidR="008E724A" w:rsidRDefault="008E724A" w:rsidP="00C6778C">
      <w:pPr>
        <w:pStyle w:val="a3"/>
        <w:ind w:left="0" w:firstLine="709"/>
        <w:rPr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2245"/>
      </w:tblGrid>
      <w:tr w:rsidR="004F7AE2" w:rsidRPr="00497C50" w:rsidTr="00B27FB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F7AE2" w:rsidRPr="00497C50" w:rsidRDefault="004F7AE2" w:rsidP="00FB26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B26CB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4F7AE2" w:rsidRPr="00497C50" w:rsidRDefault="004F7AE2" w:rsidP="004026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7C50">
              <w:rPr>
                <w:color w:val="000000"/>
                <w:sz w:val="28"/>
                <w:szCs w:val="28"/>
              </w:rPr>
              <w:t xml:space="preserve">Начальник </w:t>
            </w:r>
            <w:r w:rsidR="00FB26CB">
              <w:rPr>
                <w:color w:val="000000"/>
                <w:sz w:val="28"/>
                <w:szCs w:val="28"/>
              </w:rPr>
              <w:t>таможни (Московской, Шереметьевской)</w:t>
            </w:r>
          </w:p>
          <w:p w:rsidR="004F7AE2" w:rsidRPr="00497C50" w:rsidRDefault="004F7AE2" w:rsidP="00B27F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7AE2" w:rsidRPr="00497C50" w:rsidRDefault="00FB26CB" w:rsidP="004026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F7AE2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F58E7" w:rsidRDefault="003B0502" w:rsidP="009F58E7">
      <w:pPr>
        <w:pStyle w:val="a3"/>
        <w:ind w:left="0" w:firstLine="709"/>
      </w:pPr>
      <w:r>
        <w:rPr>
          <w:szCs w:val="28"/>
        </w:rPr>
        <w:t>б</w:t>
      </w:r>
      <w:r w:rsidR="009F58E7">
        <w:rPr>
          <w:szCs w:val="28"/>
        </w:rPr>
        <w:t>) </w:t>
      </w:r>
      <w:r w:rsidR="009F58E7">
        <w:t>пункт 49 изложить в следующей редакции:</w:t>
      </w:r>
    </w:p>
    <w:p w:rsidR="009F58E7" w:rsidRPr="008E724A" w:rsidRDefault="009F58E7" w:rsidP="009F58E7">
      <w:pPr>
        <w:pStyle w:val="a3"/>
        <w:ind w:left="0"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2387"/>
      </w:tblGrid>
      <w:tr w:rsidR="009F58E7" w:rsidRPr="00497C50" w:rsidTr="0089712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F58E7" w:rsidRPr="00497C50" w:rsidRDefault="009F58E7" w:rsidP="004026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«49.</w:t>
            </w:r>
          </w:p>
        </w:tc>
        <w:tc>
          <w:tcPr>
            <w:tcW w:w="6520" w:type="dxa"/>
          </w:tcPr>
          <w:p w:rsidR="009F58E7" w:rsidRDefault="00FB26CB" w:rsidP="008971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E9E">
              <w:rPr>
                <w:color w:val="000000"/>
                <w:sz w:val="28"/>
                <w:szCs w:val="28"/>
              </w:rPr>
              <w:t>Начальник таможни (</w:t>
            </w:r>
            <w:r>
              <w:rPr>
                <w:color w:val="000000"/>
                <w:sz w:val="28"/>
                <w:szCs w:val="28"/>
              </w:rPr>
              <w:t xml:space="preserve">Алтайской, </w:t>
            </w:r>
            <w:r w:rsidRPr="00B37E9E">
              <w:rPr>
                <w:color w:val="000000"/>
                <w:sz w:val="28"/>
                <w:szCs w:val="28"/>
              </w:rPr>
              <w:t xml:space="preserve">Астраханской, Балтийской, </w:t>
            </w:r>
            <w:r>
              <w:rPr>
                <w:color w:val="000000"/>
                <w:sz w:val="28"/>
                <w:szCs w:val="28"/>
              </w:rPr>
              <w:t xml:space="preserve">Башкортостанской, </w:t>
            </w:r>
            <w:r w:rsidRPr="00B37E9E">
              <w:rPr>
                <w:color w:val="000000"/>
                <w:sz w:val="28"/>
                <w:szCs w:val="28"/>
              </w:rPr>
              <w:t>Белгородской, Брянской, Владивостокской, Внуковской, Выборгской, Дагестанской,</w:t>
            </w:r>
            <w:r>
              <w:rPr>
                <w:color w:val="000000"/>
                <w:sz w:val="28"/>
                <w:szCs w:val="28"/>
              </w:rPr>
              <w:t xml:space="preserve"> Дальневосточной электронной, Домодедовской, Донецкой, </w:t>
            </w:r>
            <w:r w:rsidRPr="00B37E9E">
              <w:rPr>
                <w:color w:val="000000"/>
                <w:sz w:val="28"/>
                <w:szCs w:val="28"/>
              </w:rPr>
              <w:t xml:space="preserve">Иркутской, Калининградской областной, Карельской, Краснодарской, </w:t>
            </w:r>
            <w:r>
              <w:rPr>
                <w:color w:val="000000"/>
                <w:sz w:val="28"/>
                <w:szCs w:val="28"/>
              </w:rPr>
              <w:t xml:space="preserve">Красноярской, Крымской, Луганской, </w:t>
            </w:r>
            <w:r w:rsidRPr="00B37E9E">
              <w:rPr>
                <w:color w:val="000000"/>
                <w:sz w:val="28"/>
                <w:szCs w:val="28"/>
              </w:rPr>
              <w:t xml:space="preserve">Минераловодской, Находкинской, Нижегородской, Новороссийской, </w:t>
            </w:r>
            <w:r>
              <w:rPr>
                <w:color w:val="000000"/>
                <w:sz w:val="28"/>
                <w:szCs w:val="28"/>
              </w:rPr>
              <w:t xml:space="preserve">Приволжской электронной, </w:t>
            </w:r>
            <w:r w:rsidRPr="00B37E9E">
              <w:rPr>
                <w:color w:val="000000"/>
                <w:sz w:val="28"/>
                <w:szCs w:val="28"/>
              </w:rPr>
              <w:t xml:space="preserve">Псковской, Пулковской, Ростовской, Самарской, Санкт-Петербургской, Сахалинской, </w:t>
            </w:r>
            <w:r>
              <w:rPr>
                <w:color w:val="000000"/>
                <w:sz w:val="28"/>
                <w:szCs w:val="28"/>
              </w:rPr>
              <w:t xml:space="preserve">Северо-Западной электронной, Северо-Кавказской электронной, Северо-Осетинской, Сибирской электронной, </w:t>
            </w:r>
            <w:r w:rsidRPr="00B37E9E">
              <w:rPr>
                <w:color w:val="000000"/>
                <w:sz w:val="28"/>
                <w:szCs w:val="28"/>
              </w:rPr>
              <w:lastRenderedPageBreak/>
              <w:t>Смоленской, Татарстанской,</w:t>
            </w:r>
            <w:r>
              <w:rPr>
                <w:color w:val="000000"/>
                <w:sz w:val="28"/>
                <w:szCs w:val="28"/>
              </w:rPr>
              <w:t xml:space="preserve"> Тюменской, Уральской электронной, </w:t>
            </w:r>
            <w:r w:rsidRPr="00B37E9E">
              <w:rPr>
                <w:color w:val="000000"/>
                <w:sz w:val="28"/>
                <w:szCs w:val="28"/>
              </w:rPr>
              <w:t xml:space="preserve">Уссурийской, </w:t>
            </w:r>
            <w:r>
              <w:rPr>
                <w:color w:val="000000"/>
                <w:sz w:val="28"/>
                <w:szCs w:val="28"/>
              </w:rPr>
              <w:t xml:space="preserve">Хабаровской, </w:t>
            </w:r>
            <w:r w:rsidRPr="00B37E9E">
              <w:rPr>
                <w:color w:val="000000"/>
                <w:sz w:val="28"/>
                <w:szCs w:val="28"/>
              </w:rPr>
              <w:t xml:space="preserve">Центральной акцизной, Центральной базовой, </w:t>
            </w:r>
            <w:r>
              <w:rPr>
                <w:color w:val="000000"/>
                <w:sz w:val="28"/>
                <w:szCs w:val="28"/>
              </w:rPr>
              <w:t xml:space="preserve">Центральной почтовой, Центральной электронной, </w:t>
            </w:r>
            <w:r w:rsidRPr="00B37E9E">
              <w:rPr>
                <w:color w:val="000000"/>
                <w:sz w:val="28"/>
                <w:szCs w:val="28"/>
              </w:rPr>
              <w:t>Центральной энергетической, Читинской</w:t>
            </w:r>
            <w:r>
              <w:rPr>
                <w:color w:val="000000"/>
                <w:sz w:val="28"/>
                <w:szCs w:val="28"/>
              </w:rPr>
              <w:t>, Южной электронной</w:t>
            </w:r>
            <w:r w:rsidRPr="00B37E9E">
              <w:rPr>
                <w:color w:val="000000"/>
                <w:sz w:val="28"/>
                <w:szCs w:val="28"/>
              </w:rPr>
              <w:t>)</w:t>
            </w:r>
          </w:p>
          <w:p w:rsidR="00BA5663" w:rsidRPr="00497C50" w:rsidRDefault="00BA5663" w:rsidP="008971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</w:tcPr>
          <w:p w:rsidR="009F58E7" w:rsidRPr="00497C50" w:rsidRDefault="009F58E7" w:rsidP="00FB26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FB26C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»</w:t>
            </w:r>
            <w:r w:rsidR="00FB26CB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B26CB" w:rsidRDefault="003B0502" w:rsidP="00FB26CB">
      <w:pPr>
        <w:pStyle w:val="a3"/>
        <w:ind w:left="0" w:firstLine="709"/>
        <w:rPr>
          <w:szCs w:val="28"/>
        </w:rPr>
      </w:pPr>
      <w:r>
        <w:rPr>
          <w:szCs w:val="28"/>
        </w:rPr>
        <w:t>в</w:t>
      </w:r>
      <w:r w:rsidR="00FB26CB">
        <w:rPr>
          <w:szCs w:val="28"/>
        </w:rPr>
        <w:t>) пункт 49</w:t>
      </w:r>
      <w:r>
        <w:rPr>
          <w:szCs w:val="28"/>
          <w:vertAlign w:val="superscript"/>
        </w:rPr>
        <w:t>1</w:t>
      </w:r>
      <w:r w:rsidR="00FB26CB">
        <w:rPr>
          <w:szCs w:val="28"/>
        </w:rPr>
        <w:t xml:space="preserve"> изложить в следующей редакции:</w:t>
      </w:r>
    </w:p>
    <w:p w:rsidR="00FB26CB" w:rsidRDefault="00FB26CB" w:rsidP="00FB26CB">
      <w:pPr>
        <w:pStyle w:val="a3"/>
        <w:ind w:left="0" w:firstLine="709"/>
        <w:rPr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2245"/>
      </w:tblGrid>
      <w:tr w:rsidR="00FB26CB" w:rsidRPr="00497C50" w:rsidTr="00056D4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B26CB" w:rsidRPr="00BA5663" w:rsidRDefault="00FB26CB" w:rsidP="003B05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«49</w:t>
            </w:r>
            <w:r w:rsidR="003B05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="00BA56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B26CB" w:rsidRPr="00497C50" w:rsidRDefault="00FB26CB" w:rsidP="00056D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начальника Московской</w:t>
            </w:r>
            <w:r w:rsidRPr="00497C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таможни </w:t>
            </w:r>
          </w:p>
          <w:p w:rsidR="00FB26CB" w:rsidRPr="00497C50" w:rsidRDefault="00FB26CB" w:rsidP="00056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26CB" w:rsidRPr="00497C50" w:rsidRDefault="00FB26CB" w:rsidP="00056D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1»;</w:t>
            </w:r>
          </w:p>
        </w:tc>
      </w:tr>
    </w:tbl>
    <w:p w:rsidR="00FB26CB" w:rsidRDefault="008E1863" w:rsidP="00FB26CB">
      <w:pPr>
        <w:pStyle w:val="a3"/>
        <w:ind w:left="0" w:firstLine="709"/>
        <w:rPr>
          <w:szCs w:val="28"/>
        </w:rPr>
      </w:pPr>
      <w:r>
        <w:rPr>
          <w:szCs w:val="28"/>
        </w:rPr>
        <w:t>г</w:t>
      </w:r>
      <w:r w:rsidR="00FB26CB">
        <w:rPr>
          <w:szCs w:val="28"/>
        </w:rPr>
        <w:t>) пункт 49</w:t>
      </w:r>
      <w:r w:rsidR="003B0502">
        <w:rPr>
          <w:szCs w:val="28"/>
          <w:vertAlign w:val="superscript"/>
        </w:rPr>
        <w:t>2</w:t>
      </w:r>
      <w:r w:rsidR="00FB26CB">
        <w:rPr>
          <w:szCs w:val="28"/>
        </w:rPr>
        <w:t xml:space="preserve"> изложить в следующей редакции:</w:t>
      </w:r>
    </w:p>
    <w:p w:rsidR="00FB26CB" w:rsidRDefault="00FB26CB" w:rsidP="00FB26CB">
      <w:pPr>
        <w:pStyle w:val="a3"/>
        <w:ind w:left="0" w:firstLine="709"/>
        <w:rPr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2245"/>
      </w:tblGrid>
      <w:tr w:rsidR="00FB26CB" w:rsidRPr="00497C50" w:rsidTr="00056D4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B26CB" w:rsidRPr="00BA5663" w:rsidRDefault="00FB26CB" w:rsidP="003B05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«49</w:t>
            </w:r>
            <w:r w:rsidR="003B05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BA56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B26CB" w:rsidRDefault="00FB26CB" w:rsidP="00056D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Московской</w:t>
            </w:r>
            <w:r w:rsidRPr="00497C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таможни – начальник Московского таможенного поста (центр электронного декларирования)</w:t>
            </w:r>
          </w:p>
          <w:p w:rsidR="00FB26CB" w:rsidRPr="00497C50" w:rsidRDefault="00FB26CB" w:rsidP="00056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26CB" w:rsidRPr="00497C50" w:rsidRDefault="00FB26CB" w:rsidP="00FB26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1».</w:t>
            </w:r>
          </w:p>
        </w:tc>
      </w:tr>
    </w:tbl>
    <w:p w:rsidR="00FC4A63" w:rsidRDefault="003B0502" w:rsidP="00FC4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A63">
        <w:rPr>
          <w:sz w:val="28"/>
          <w:szCs w:val="28"/>
        </w:rPr>
        <w:t>2</w:t>
      </w:r>
      <w:r w:rsidR="00886360" w:rsidRPr="00FC4A63">
        <w:rPr>
          <w:sz w:val="28"/>
          <w:szCs w:val="28"/>
        </w:rPr>
        <w:t>.</w:t>
      </w:r>
      <w:r w:rsidR="00886360">
        <w:rPr>
          <w:szCs w:val="28"/>
        </w:rPr>
        <w:t xml:space="preserve"> </w:t>
      </w:r>
      <w:r w:rsidR="00FC4A63">
        <w:rPr>
          <w:sz w:val="28"/>
          <w:szCs w:val="28"/>
        </w:rPr>
        <w:t>Финансирование расходов, связанных с реализацией настоящего Указа, осуществлять за счет бюджетных ассигнований, предусматриваемых                                   в федеральном бюджете Федеральной таможенной службе.</w:t>
      </w:r>
    </w:p>
    <w:p w:rsidR="00FC4A63" w:rsidRDefault="00FC4A63" w:rsidP="00FC4A63">
      <w:pPr>
        <w:pStyle w:val="a3"/>
        <w:ind w:left="0" w:firstLine="709"/>
        <w:rPr>
          <w:szCs w:val="28"/>
        </w:rPr>
      </w:pPr>
    </w:p>
    <w:p w:rsidR="00631244" w:rsidRDefault="00FC4A63" w:rsidP="00FC4A63">
      <w:pPr>
        <w:pStyle w:val="a3"/>
        <w:ind w:left="0" w:firstLine="709"/>
        <w:rPr>
          <w:szCs w:val="28"/>
        </w:rPr>
      </w:pPr>
      <w:r>
        <w:rPr>
          <w:szCs w:val="28"/>
        </w:rPr>
        <w:t>3. </w:t>
      </w:r>
      <w:r w:rsidR="00886360">
        <w:rPr>
          <w:szCs w:val="28"/>
        </w:rPr>
        <w:t xml:space="preserve">Настоящий </w:t>
      </w:r>
      <w:r w:rsidR="000B6D28">
        <w:rPr>
          <w:szCs w:val="28"/>
        </w:rPr>
        <w:t>Указ вступает в сил</w:t>
      </w:r>
      <w:r w:rsidR="003A7528">
        <w:rPr>
          <w:szCs w:val="28"/>
        </w:rPr>
        <w:t>у</w:t>
      </w:r>
      <w:r w:rsidR="000B6D28">
        <w:rPr>
          <w:szCs w:val="28"/>
        </w:rPr>
        <w:t xml:space="preserve"> со дня его подписания.</w:t>
      </w:r>
    </w:p>
    <w:p w:rsidR="0040036A" w:rsidRDefault="0040036A" w:rsidP="0040036A">
      <w:pPr>
        <w:pStyle w:val="a3"/>
        <w:spacing w:before="640"/>
        <w:ind w:left="0" w:firstLine="709"/>
      </w:pPr>
      <w:r>
        <w:t>Президент</w:t>
      </w:r>
    </w:p>
    <w:p w:rsidR="004B1D93" w:rsidRDefault="0040036A" w:rsidP="004B1D93">
      <w:pPr>
        <w:pStyle w:val="8"/>
        <w:spacing w:after="960"/>
        <w:ind w:left="0" w:firstLine="0"/>
        <w:jc w:val="left"/>
      </w:pPr>
      <w:r>
        <w:t>Российской Федерации</w:t>
      </w:r>
      <w:r>
        <w:tab/>
      </w:r>
      <w:r>
        <w:tab/>
      </w:r>
      <w:r w:rsidR="004B1D93">
        <w:tab/>
      </w:r>
      <w:r w:rsidR="004B1D93">
        <w:tab/>
      </w:r>
      <w:r w:rsidR="004B1D93">
        <w:tab/>
      </w:r>
      <w:r w:rsidR="004B1D93">
        <w:tab/>
      </w:r>
      <w:r w:rsidR="004B1D93">
        <w:tab/>
      </w:r>
      <w:r w:rsidR="004B1D93">
        <w:tab/>
      </w:r>
      <w:r w:rsidR="004B1D93">
        <w:tab/>
        <w:t>В.Путин</w:t>
      </w:r>
    </w:p>
    <w:p w:rsidR="004B1D93" w:rsidRDefault="004B1D93" w:rsidP="004B1D93">
      <w:r w:rsidRPr="0088244C">
        <w:rPr>
          <w:sz w:val="28"/>
          <w:szCs w:val="28"/>
        </w:rPr>
        <w:t>Москва, Кремль</w:t>
      </w:r>
    </w:p>
    <w:p w:rsidR="0040036A" w:rsidRDefault="0040036A" w:rsidP="00631244">
      <w:pPr>
        <w:pStyle w:val="a3"/>
        <w:ind w:left="0" w:firstLine="709"/>
        <w:rPr>
          <w:szCs w:val="28"/>
        </w:rPr>
      </w:pPr>
    </w:p>
    <w:sectPr w:rsidR="0040036A" w:rsidSect="00A17B83">
      <w:headerReference w:type="default" r:id="rId7"/>
      <w:pgSz w:w="11906" w:h="16838" w:code="9"/>
      <w:pgMar w:top="1134" w:right="851" w:bottom="851" w:left="1134" w:header="720" w:footer="720" w:gutter="0"/>
      <w:paperSrc w:first="262" w:other="26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8F6" w:rsidRDefault="009278F6" w:rsidP="003B596A">
      <w:r>
        <w:separator/>
      </w:r>
    </w:p>
  </w:endnote>
  <w:endnote w:type="continuationSeparator" w:id="0">
    <w:p w:rsidR="009278F6" w:rsidRDefault="009278F6" w:rsidP="003B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8F6" w:rsidRDefault="009278F6" w:rsidP="003B596A">
      <w:r>
        <w:separator/>
      </w:r>
    </w:p>
  </w:footnote>
  <w:footnote w:type="continuationSeparator" w:id="0">
    <w:p w:rsidR="009278F6" w:rsidRDefault="009278F6" w:rsidP="003B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96A" w:rsidRDefault="003B59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1D93">
      <w:rPr>
        <w:noProof/>
      </w:rPr>
      <w:t>2</w:t>
    </w:r>
    <w:r>
      <w:fldChar w:fldCharType="end"/>
    </w:r>
  </w:p>
  <w:p w:rsidR="003B596A" w:rsidRDefault="003B59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D9"/>
    <w:rsid w:val="00002F44"/>
    <w:rsid w:val="00014083"/>
    <w:rsid w:val="00033907"/>
    <w:rsid w:val="00056D4B"/>
    <w:rsid w:val="000814CD"/>
    <w:rsid w:val="000832DC"/>
    <w:rsid w:val="00091B39"/>
    <w:rsid w:val="000A0474"/>
    <w:rsid w:val="000B6D28"/>
    <w:rsid w:val="000E16DA"/>
    <w:rsid w:val="000F060E"/>
    <w:rsid w:val="000F4FEF"/>
    <w:rsid w:val="001256CB"/>
    <w:rsid w:val="00136DA1"/>
    <w:rsid w:val="001438AA"/>
    <w:rsid w:val="00150413"/>
    <w:rsid w:val="00152873"/>
    <w:rsid w:val="001712C8"/>
    <w:rsid w:val="001719C5"/>
    <w:rsid w:val="001952A6"/>
    <w:rsid w:val="00197AE5"/>
    <w:rsid w:val="001B31CD"/>
    <w:rsid w:val="001C483A"/>
    <w:rsid w:val="001C5032"/>
    <w:rsid w:val="001D05F6"/>
    <w:rsid w:val="001E515F"/>
    <w:rsid w:val="001F0396"/>
    <w:rsid w:val="002000E1"/>
    <w:rsid w:val="002218F9"/>
    <w:rsid w:val="00230B75"/>
    <w:rsid w:val="0023231A"/>
    <w:rsid w:val="00234009"/>
    <w:rsid w:val="002663F1"/>
    <w:rsid w:val="00293A7D"/>
    <w:rsid w:val="002A02CC"/>
    <w:rsid w:val="002B0D40"/>
    <w:rsid w:val="002C459D"/>
    <w:rsid w:val="002D70E2"/>
    <w:rsid w:val="00332D58"/>
    <w:rsid w:val="00344DD6"/>
    <w:rsid w:val="00345A0C"/>
    <w:rsid w:val="00354203"/>
    <w:rsid w:val="00370B03"/>
    <w:rsid w:val="003825C2"/>
    <w:rsid w:val="00385DE2"/>
    <w:rsid w:val="00396617"/>
    <w:rsid w:val="003A7528"/>
    <w:rsid w:val="003B0502"/>
    <w:rsid w:val="003B596A"/>
    <w:rsid w:val="003D0C13"/>
    <w:rsid w:val="003D27BA"/>
    <w:rsid w:val="003D4469"/>
    <w:rsid w:val="003E0CBA"/>
    <w:rsid w:val="003E7C9C"/>
    <w:rsid w:val="003F5205"/>
    <w:rsid w:val="0040036A"/>
    <w:rsid w:val="004026C0"/>
    <w:rsid w:val="00405FBC"/>
    <w:rsid w:val="004346D9"/>
    <w:rsid w:val="004435C1"/>
    <w:rsid w:val="00443A71"/>
    <w:rsid w:val="00476654"/>
    <w:rsid w:val="0048091F"/>
    <w:rsid w:val="00497C50"/>
    <w:rsid w:val="004B1D93"/>
    <w:rsid w:val="004B6FEC"/>
    <w:rsid w:val="004C7040"/>
    <w:rsid w:val="004E2DC9"/>
    <w:rsid w:val="004E36AF"/>
    <w:rsid w:val="004F7AE2"/>
    <w:rsid w:val="00520441"/>
    <w:rsid w:val="005269C1"/>
    <w:rsid w:val="0055741B"/>
    <w:rsid w:val="00577762"/>
    <w:rsid w:val="00596CD6"/>
    <w:rsid w:val="005A0007"/>
    <w:rsid w:val="005C33BA"/>
    <w:rsid w:val="005D5E73"/>
    <w:rsid w:val="005F245F"/>
    <w:rsid w:val="00631244"/>
    <w:rsid w:val="00637307"/>
    <w:rsid w:val="00641906"/>
    <w:rsid w:val="00642264"/>
    <w:rsid w:val="006456FA"/>
    <w:rsid w:val="00664305"/>
    <w:rsid w:val="00676EDF"/>
    <w:rsid w:val="006A65F7"/>
    <w:rsid w:val="006B0A8E"/>
    <w:rsid w:val="006B4FBD"/>
    <w:rsid w:val="006C0083"/>
    <w:rsid w:val="006C623F"/>
    <w:rsid w:val="006D44AE"/>
    <w:rsid w:val="006D6B81"/>
    <w:rsid w:val="006E39BA"/>
    <w:rsid w:val="006F297F"/>
    <w:rsid w:val="00704140"/>
    <w:rsid w:val="00744D35"/>
    <w:rsid w:val="00770ED1"/>
    <w:rsid w:val="007766D6"/>
    <w:rsid w:val="007A262F"/>
    <w:rsid w:val="007A7B13"/>
    <w:rsid w:val="007B2FB2"/>
    <w:rsid w:val="007C3AF1"/>
    <w:rsid w:val="007D179B"/>
    <w:rsid w:val="007E503B"/>
    <w:rsid w:val="007F6CBF"/>
    <w:rsid w:val="00810F2F"/>
    <w:rsid w:val="00813636"/>
    <w:rsid w:val="00814DCE"/>
    <w:rsid w:val="0088244C"/>
    <w:rsid w:val="00885D03"/>
    <w:rsid w:val="00886360"/>
    <w:rsid w:val="00891A8C"/>
    <w:rsid w:val="00897122"/>
    <w:rsid w:val="008B51D8"/>
    <w:rsid w:val="008E1863"/>
    <w:rsid w:val="008E724A"/>
    <w:rsid w:val="00923B86"/>
    <w:rsid w:val="009278F6"/>
    <w:rsid w:val="00952599"/>
    <w:rsid w:val="00957785"/>
    <w:rsid w:val="00966C74"/>
    <w:rsid w:val="009834ED"/>
    <w:rsid w:val="00983E98"/>
    <w:rsid w:val="009926B2"/>
    <w:rsid w:val="009B75CE"/>
    <w:rsid w:val="009F4CD9"/>
    <w:rsid w:val="009F58E7"/>
    <w:rsid w:val="00A17B83"/>
    <w:rsid w:val="00A600BD"/>
    <w:rsid w:val="00A72394"/>
    <w:rsid w:val="00A76349"/>
    <w:rsid w:val="00A76744"/>
    <w:rsid w:val="00A86707"/>
    <w:rsid w:val="00AA26F2"/>
    <w:rsid w:val="00AC4520"/>
    <w:rsid w:val="00AF199E"/>
    <w:rsid w:val="00AF1EEF"/>
    <w:rsid w:val="00AF6B50"/>
    <w:rsid w:val="00B11660"/>
    <w:rsid w:val="00B21D13"/>
    <w:rsid w:val="00B27FBE"/>
    <w:rsid w:val="00B37E9E"/>
    <w:rsid w:val="00B4698D"/>
    <w:rsid w:val="00B53380"/>
    <w:rsid w:val="00B55057"/>
    <w:rsid w:val="00B5585F"/>
    <w:rsid w:val="00B60837"/>
    <w:rsid w:val="00B71503"/>
    <w:rsid w:val="00B760DB"/>
    <w:rsid w:val="00B93E56"/>
    <w:rsid w:val="00BA5663"/>
    <w:rsid w:val="00BE2A11"/>
    <w:rsid w:val="00BE4A28"/>
    <w:rsid w:val="00C00BDE"/>
    <w:rsid w:val="00C10796"/>
    <w:rsid w:val="00C203E0"/>
    <w:rsid w:val="00C276DC"/>
    <w:rsid w:val="00C33E53"/>
    <w:rsid w:val="00C34AB4"/>
    <w:rsid w:val="00C35A1A"/>
    <w:rsid w:val="00C41251"/>
    <w:rsid w:val="00C444F4"/>
    <w:rsid w:val="00C6778C"/>
    <w:rsid w:val="00C73E8B"/>
    <w:rsid w:val="00CE562E"/>
    <w:rsid w:val="00CF76DA"/>
    <w:rsid w:val="00D506DB"/>
    <w:rsid w:val="00D54171"/>
    <w:rsid w:val="00D55343"/>
    <w:rsid w:val="00D669DF"/>
    <w:rsid w:val="00D71D8D"/>
    <w:rsid w:val="00D91832"/>
    <w:rsid w:val="00D94C21"/>
    <w:rsid w:val="00DA6A56"/>
    <w:rsid w:val="00DC1EC3"/>
    <w:rsid w:val="00DC51C1"/>
    <w:rsid w:val="00DD3CE4"/>
    <w:rsid w:val="00DF0E80"/>
    <w:rsid w:val="00DF471F"/>
    <w:rsid w:val="00E13879"/>
    <w:rsid w:val="00E3325C"/>
    <w:rsid w:val="00E6466F"/>
    <w:rsid w:val="00E845F6"/>
    <w:rsid w:val="00E91C12"/>
    <w:rsid w:val="00EA39D4"/>
    <w:rsid w:val="00EA7B68"/>
    <w:rsid w:val="00EB18E1"/>
    <w:rsid w:val="00ED2BB7"/>
    <w:rsid w:val="00ED4637"/>
    <w:rsid w:val="00EE3470"/>
    <w:rsid w:val="00EF0D12"/>
    <w:rsid w:val="00EF34D2"/>
    <w:rsid w:val="00F14CA1"/>
    <w:rsid w:val="00F27E04"/>
    <w:rsid w:val="00F46EFE"/>
    <w:rsid w:val="00F50A50"/>
    <w:rsid w:val="00F53E5D"/>
    <w:rsid w:val="00F711B6"/>
    <w:rsid w:val="00F7189B"/>
    <w:rsid w:val="00F815A9"/>
    <w:rsid w:val="00F83047"/>
    <w:rsid w:val="00F95FFD"/>
    <w:rsid w:val="00FB15EC"/>
    <w:rsid w:val="00FB26CB"/>
    <w:rsid w:val="00FC4A63"/>
    <w:rsid w:val="00FC7E2B"/>
    <w:rsid w:val="00FE0D95"/>
    <w:rsid w:val="00FE0F12"/>
    <w:rsid w:val="00FE3323"/>
    <w:rsid w:val="00FE5305"/>
    <w:rsid w:val="00FF05AA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F73DF-B2F2-4434-8E61-E2EFEB77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08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1134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13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left="1134" w:hanging="1134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694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4" w:firstLine="567"/>
      <w:jc w:val="both"/>
    </w:pPr>
    <w:rPr>
      <w:sz w:val="28"/>
    </w:rPr>
  </w:style>
  <w:style w:type="paragraph" w:styleId="a4">
    <w:name w:val="Balloon Text"/>
    <w:basedOn w:val="a"/>
    <w:semiHidden/>
    <w:rsid w:val="003E0C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B59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96A"/>
  </w:style>
  <w:style w:type="paragraph" w:styleId="a7">
    <w:name w:val="footer"/>
    <w:basedOn w:val="a"/>
    <w:link w:val="a8"/>
    <w:rsid w:val="003B5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596A"/>
  </w:style>
  <w:style w:type="character" w:customStyle="1" w:styleId="80">
    <w:name w:val="Заголовок 8 Знак"/>
    <w:link w:val="8"/>
    <w:rsid w:val="004B1D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BE98-A592-46EA-887D-16AFFDCA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ГТК России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Управление кадров</dc:creator>
  <cp:keywords/>
  <cp:lastModifiedBy>Алексей Парамонов</cp:lastModifiedBy>
  <cp:revision>2</cp:revision>
  <cp:lastPrinted>2023-03-31T13:28:00Z</cp:lastPrinted>
  <dcterms:created xsi:type="dcterms:W3CDTF">2023-05-18T22:15:00Z</dcterms:created>
  <dcterms:modified xsi:type="dcterms:W3CDTF">2023-05-18T22:15:00Z</dcterms:modified>
</cp:coreProperties>
</file>