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B6" w:rsidRDefault="00084FB6" w:rsidP="00084F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>ПРАВИТЕЛЬСТВО РОССИЙСКОЙ ФЕДЕРАЦИИ</w:t>
      </w: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ПОСТАНОВЛЕНИЕ</w:t>
      </w: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2021 г. № ____</w:t>
      </w: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</w:t>
      </w: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4FB6" w:rsidRDefault="00084FB6" w:rsidP="0008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4FB6" w:rsidRDefault="00084FB6" w:rsidP="00084F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федеральном государственном </w:t>
      </w:r>
    </w:p>
    <w:p w:rsidR="00084FB6" w:rsidRDefault="00084FB6" w:rsidP="00084F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(надзоре) за организацией и проведением азартных игр </w:t>
      </w:r>
    </w:p>
    <w:p w:rsidR="00084FB6" w:rsidRDefault="00084FB6" w:rsidP="00084F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84FB6" w:rsidRDefault="00084FB6" w:rsidP="00084FB6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084FB6" w:rsidRDefault="00084FB6" w:rsidP="00084FB6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Утвердить прилагаемое Положение о федеральном государственном контроле (надзоре) за организацией и проведением азартных игр.</w:t>
      </w:r>
    </w:p>
    <w:p w:rsidR="00084FB6" w:rsidRDefault="00084FB6" w:rsidP="00084FB6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утратившими силу:</w:t>
      </w:r>
    </w:p>
    <w:p w:rsidR="00084FB6" w:rsidRDefault="00084FB6" w:rsidP="00084FB6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                                              от 4 февраля 2013 г. № 75 «Об утверждении Положения о государственном надзоре в области организации и проведения азартных игр» (Собрание законодательства Российской Федерации,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2013, № 6, ст. 555;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51, ст. 6886; 2020, № 42, ст. 6644).</w:t>
      </w:r>
    </w:p>
    <w:p w:rsidR="00084FB6" w:rsidRDefault="00084FB6" w:rsidP="00084FB6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19 декабря 2013 г. № 1185 «О внесении изменения в Положение о государственном надзоре в области организации и проведения азартных игр» (Собрание законодательства Российской Федерации, 2013, № 51, ст. 6886).</w:t>
      </w:r>
    </w:p>
    <w:p w:rsidR="00084FB6" w:rsidRDefault="00084FB6" w:rsidP="00084FB6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14 октября 2020 г. № 1687 «О внесении изменений в Положение о государственном надзоре в области организации и проведения азартных игр» (Собрание законодательства Российской Федерации, 2020, № 42, ст. 6644).</w:t>
      </w:r>
    </w:p>
    <w:p w:rsidR="00084FB6" w:rsidRDefault="00084FB6" w:rsidP="00084F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настоящего постановления осуществляется Федеральной налоговой службой в пределах установленной Правительством Российской Федерации предельной численности работников Федеральной налоговой службы, а также бюджетных ассигнований,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указанной Службе в федеральном бюджете на руководство и управление в сфере установленных функций.</w:t>
      </w:r>
    </w:p>
    <w:p w:rsidR="00084FB6" w:rsidRDefault="00084FB6" w:rsidP="00084FB6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вступает в силу с 1 июля 2021 г. </w:t>
      </w:r>
    </w:p>
    <w:p w:rsidR="00084FB6" w:rsidRDefault="00084FB6" w:rsidP="00084FB6">
      <w:pPr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4FB6" w:rsidRDefault="00084FB6" w:rsidP="00084FB6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4FB6" w:rsidRDefault="00084FB6" w:rsidP="00084FB6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4FB6" w:rsidRDefault="00084FB6" w:rsidP="00084FB6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4FB6" w:rsidRDefault="00084FB6" w:rsidP="00084FB6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B6" w:rsidRDefault="00084FB6" w:rsidP="00084FB6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4FB6" w:rsidRDefault="00084FB6" w:rsidP="00084FB6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084FB6" w:rsidRDefault="00084FB6" w:rsidP="00084FB6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:rsidR="00084FB6" w:rsidRDefault="00084FB6" w:rsidP="00084FB6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FB6" w:rsidRDefault="00084FB6" w:rsidP="00084FB6"/>
    <w:p w:rsidR="009E1F01" w:rsidRDefault="009E1F01"/>
    <w:p w:rsidR="00084FB6" w:rsidRDefault="00084FB6"/>
    <w:p w:rsidR="00084FB6" w:rsidRDefault="00084FB6"/>
    <w:p w:rsidR="00084FB6" w:rsidRDefault="00084FB6"/>
    <w:p w:rsidR="00084FB6" w:rsidRDefault="00084FB6"/>
    <w:p w:rsidR="00084FB6" w:rsidRP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084FB6">
        <w:rPr>
          <w:rFonts w:ascii="Times New Roman" w:hAnsi="Times New Roman" w:cs="Times New Roman"/>
          <w:sz w:val="28"/>
          <w:szCs w:val="28"/>
        </w:rPr>
        <w:t>УТВЕРЖДЕНО</w:t>
      </w:r>
    </w:p>
    <w:p w:rsidR="00084FB6" w:rsidRPr="00084FB6" w:rsidRDefault="00084FB6" w:rsidP="00084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B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84FB6" w:rsidRPr="00084FB6" w:rsidRDefault="00084FB6" w:rsidP="00084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Российской Федерации</w:t>
      </w:r>
    </w:p>
    <w:p w:rsidR="00084FB6" w:rsidRPr="00084FB6" w:rsidRDefault="00084FB6" w:rsidP="00084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B6">
        <w:rPr>
          <w:rFonts w:ascii="Times New Roman" w:hAnsi="Times New Roman" w:cs="Times New Roman"/>
          <w:sz w:val="28"/>
          <w:szCs w:val="28"/>
        </w:rPr>
        <w:t>от «___» _______ 2021 г. № __</w:t>
      </w:r>
    </w:p>
    <w:p w:rsidR="00084FB6" w:rsidRPr="00084FB6" w:rsidRDefault="00084FB6" w:rsidP="00084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B6" w:rsidRPr="00084FB6" w:rsidRDefault="00084FB6" w:rsidP="00084F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B6" w:rsidRPr="00084FB6" w:rsidRDefault="00084FB6" w:rsidP="00084F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B6" w:rsidRPr="00084FB6" w:rsidRDefault="00084FB6" w:rsidP="00084F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B6" w:rsidRPr="00084FB6" w:rsidRDefault="00084FB6" w:rsidP="00084F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B6" w:rsidRPr="00084FB6" w:rsidRDefault="00084FB6" w:rsidP="00084F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84FB6" w:rsidRPr="00084FB6" w:rsidRDefault="00084FB6" w:rsidP="00084F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B6">
        <w:rPr>
          <w:rFonts w:ascii="Times New Roman" w:hAnsi="Times New Roman" w:cs="Times New Roman"/>
          <w:b/>
          <w:sz w:val="28"/>
          <w:szCs w:val="28"/>
        </w:rPr>
        <w:t xml:space="preserve">о федеральном государственном контроле (надзоре) </w:t>
      </w:r>
    </w:p>
    <w:p w:rsidR="00084FB6" w:rsidRPr="00084FB6" w:rsidRDefault="00084FB6" w:rsidP="00084F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B6">
        <w:rPr>
          <w:rFonts w:ascii="Times New Roman" w:hAnsi="Times New Roman" w:cs="Times New Roman"/>
          <w:b/>
          <w:sz w:val="28"/>
          <w:szCs w:val="28"/>
        </w:rPr>
        <w:t>за организацией и проведением азартных игр</w:t>
      </w:r>
    </w:p>
    <w:p w:rsidR="00084FB6" w:rsidRPr="00084FB6" w:rsidRDefault="00084FB6" w:rsidP="00084F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B6" w:rsidRPr="00084FB6" w:rsidRDefault="00084FB6" w:rsidP="00084F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B6" w:rsidRPr="00084FB6" w:rsidRDefault="00084FB6" w:rsidP="0008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Pr="00084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устанавливает порядок организации и осуществления федерального государственного контроля (надзора) за организацией и проведением азартных игр (далее – </w:t>
      </w:r>
      <w:bookmarkStart w:id="0" w:name="_Hlk66263803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контроль (надзор)</w:t>
      </w:r>
      <w:bookmarkEnd w:id="0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контроль (надзор) осуществляется Федеральной налоговой службой. 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66283708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Должностными лицами, уполномоченными на осуществление федерального государственного контроля (надзора) </w:t>
      </w:r>
      <w:bookmarkEnd w:id="1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084FB6" w:rsidRPr="00084FB6" w:rsidRDefault="00084FB6" w:rsidP="00084FB6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руководитель, заместитель руководителя Федеральной налоговой службы;</w:t>
      </w:r>
    </w:p>
    <w:p w:rsidR="00084FB6" w:rsidRPr="00084FB6" w:rsidRDefault="00084FB6" w:rsidP="00084FB6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FB6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территориальных органов Федеральной налоговой службы;</w:t>
      </w:r>
    </w:p>
    <w:p w:rsidR="00084FB6" w:rsidRPr="00084FB6" w:rsidRDefault="00084FB6" w:rsidP="00084FB6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руководители, заместители руководителей структурных подразделений Федеральной налоговой службы, уполномоченные в установленном порядке на осуществление федерального государственного контроля (надзора);</w:t>
      </w:r>
    </w:p>
    <w:p w:rsidR="00084FB6" w:rsidRPr="00084FB6" w:rsidRDefault="00084FB6" w:rsidP="00084FB6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другие должностные лица Федеральной налоговой службы и ее территориальных органов, уполномоченные в установленном порядке на осуществление государственного контроля (надзора).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лицами, уполномоченными на принятие решений о проведении контрольных (надзорных) мероприятий являются:</w:t>
      </w:r>
    </w:p>
    <w:p w:rsidR="00084FB6" w:rsidRPr="00084FB6" w:rsidRDefault="00084FB6" w:rsidP="00084FB6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руководитель, заместитель руководителя Федеральной налоговой службы;</w:t>
      </w:r>
    </w:p>
    <w:p w:rsidR="00084FB6" w:rsidRPr="00084FB6" w:rsidRDefault="00084FB6" w:rsidP="00084FB6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FB6">
        <w:rPr>
          <w:rFonts w:ascii="Times New Roman" w:hAnsi="Times New Roman" w:cs="Times New Roman"/>
          <w:sz w:val="28"/>
          <w:szCs w:val="28"/>
        </w:rPr>
        <w:lastRenderedPageBreak/>
        <w:t>руководители, заместители руководителей территориальных органов Федеральной налоговой службы.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лица, осуществляющие федеральный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</w:t>
      </w:r>
      <w:bookmarkStart w:id="2" w:name="_Hlk66268566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                                                </w:t>
      </w:r>
      <w:proofErr w:type="gramStart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bookmarkEnd w:id="2"/>
    <w:p w:rsidR="00084FB6" w:rsidRPr="00084FB6" w:rsidRDefault="00084FB6" w:rsidP="00084FB6">
      <w:pPr>
        <w:numPr>
          <w:ilvl w:val="0"/>
          <w:numId w:val="1"/>
        </w:numPr>
        <w:spacing w:after="0" w:line="259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отношениям, связанным с осуществлением федерального государственного контроля (надзора), применяются положения Федерального закона </w:t>
      </w:r>
      <w:bookmarkStart w:id="3" w:name="_Hlk66279343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bookmarkEnd w:id="3"/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налоговая служба осуществляет федеральный государственный контроль (надзор) за деятельностью юридических лиц, имеющих разрешение на осуществление деятельности по организации и проведению азартных игр в игорной зоне (далее – юридические лица).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налоговой службой в соответствии с частью 2 статьи 16 и частью 5 статьи 17 Федерального закона </w:t>
      </w:r>
      <w:bookmarkStart w:id="4" w:name="_Hlk66356434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государственном контроле (надзоре) и муниципальном контроле в Российской </w:t>
      </w:r>
      <w:bookmarkEnd w:id="4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 ведется учет объектов контроля с использованием информационной системы. 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при осуществлении федерального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:rsidR="00084FB6" w:rsidRPr="00084FB6" w:rsidRDefault="00084FB6" w:rsidP="00084FB6">
      <w:pPr>
        <w:numPr>
          <w:ilvl w:val="0"/>
          <w:numId w:val="8"/>
        </w:numPr>
        <w:spacing w:after="0" w:line="276" w:lineRule="auto"/>
        <w:ind w:left="567" w:firstLine="0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риск;</w:t>
      </w:r>
    </w:p>
    <w:p w:rsidR="00084FB6" w:rsidRPr="00084FB6" w:rsidRDefault="00084FB6" w:rsidP="00084FB6">
      <w:pPr>
        <w:numPr>
          <w:ilvl w:val="0"/>
          <w:numId w:val="8"/>
        </w:numPr>
        <w:spacing w:after="0" w:line="276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риск;</w:t>
      </w:r>
    </w:p>
    <w:p w:rsidR="00084FB6" w:rsidRPr="00084FB6" w:rsidRDefault="00084FB6" w:rsidP="00084FB6">
      <w:pPr>
        <w:numPr>
          <w:ilvl w:val="0"/>
          <w:numId w:val="8"/>
        </w:numPr>
        <w:spacing w:after="0" w:line="276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юридических </w:t>
      </w:r>
      <w:bookmarkStart w:id="5" w:name="_Hlk66356415"/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по организации и проведению азартных игр</w:t>
      </w:r>
      <w:bookmarkEnd w:id="5"/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залах игровых автоматов, относится к средней категории риска.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66352419"/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юридических лиц по организации и проведению азартных </w:t>
      </w:r>
      <w:bookmarkEnd w:id="6"/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в букмекерских конторах или тотализаторах,</w:t>
      </w:r>
      <w:r w:rsidRPr="00084FB6">
        <w:t xml:space="preserve"> </w:t>
      </w: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 игорных зонах, относится к умеренной категории риска.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юридических лиц по организации и проведению азартных игр в казино относится к низкой категории риска.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объектов контроля к одной из категорий риска, а также изменение категории риска, к которой ранее был отнесен объект контроля, осуществляются по решению руководителя (заместителя руководителя) </w:t>
      </w: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Федеральной налоговой службы, руководителя (заместителя руководителя) территориальных органов Федеральной налоговой службы.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в соответствии с частью 6 статьи 24 Федерального закона «О государственном контроле (надзоре) и муниципальном контроле в Российской Федерации» вправе подать в Федеральную налоговую службу, территориальные органы Федеральной налоговой службы заявление об изменении категории риска.  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контрольных (надзорных) мероприятий объектов контроля осуществляется со следующей периодичностью:</w:t>
      </w:r>
    </w:p>
    <w:p w:rsidR="00084FB6" w:rsidRPr="00084FB6" w:rsidRDefault="00084FB6" w:rsidP="00084FB6">
      <w:pPr>
        <w:numPr>
          <w:ilvl w:val="0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контроля, отнесенных к средней категории риска – один раз в 3 года;</w:t>
      </w:r>
    </w:p>
    <w:p w:rsidR="00084FB6" w:rsidRPr="00084FB6" w:rsidRDefault="00084FB6" w:rsidP="00084FB6">
      <w:pPr>
        <w:numPr>
          <w:ilvl w:val="0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контроля, отнесенных к умеренной категории риска – не чаще одного раза в 4 года.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федерального государственного контроля (надзора) могут проводится следующие виды профилактических мероприятий:</w:t>
      </w:r>
    </w:p>
    <w:p w:rsidR="00084FB6" w:rsidRPr="00084FB6" w:rsidRDefault="00084FB6" w:rsidP="00084FB6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информирование;</w:t>
      </w:r>
    </w:p>
    <w:p w:rsidR="00084FB6" w:rsidRPr="00084FB6" w:rsidRDefault="00084FB6" w:rsidP="00084FB6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правоприменительной практики;</w:t>
      </w:r>
    </w:p>
    <w:p w:rsidR="00084FB6" w:rsidRPr="00084FB6" w:rsidRDefault="00084FB6" w:rsidP="00084FB6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предостережения;</w:t>
      </w:r>
    </w:p>
    <w:p w:rsidR="00084FB6" w:rsidRPr="00084FB6" w:rsidRDefault="00084FB6" w:rsidP="00084FB6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консультирование;</w:t>
      </w:r>
    </w:p>
    <w:p w:rsidR="00084FB6" w:rsidRPr="00084FB6" w:rsidRDefault="00084FB6" w:rsidP="00084FB6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профилактический визит.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контроль (надзор) осуществляется посредством следующих контрольных (надзорных) мероприятий:</w:t>
      </w:r>
    </w:p>
    <w:p w:rsidR="00084FB6" w:rsidRPr="00084FB6" w:rsidRDefault="00084FB6" w:rsidP="00084FB6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документарная проверка;</w:t>
      </w:r>
    </w:p>
    <w:p w:rsidR="00084FB6" w:rsidRPr="00084FB6" w:rsidRDefault="00084FB6" w:rsidP="00084FB6">
      <w:pPr>
        <w:numPr>
          <w:ilvl w:val="0"/>
          <w:numId w:val="5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084FB6" w:rsidRPr="00084FB6" w:rsidRDefault="00084FB6" w:rsidP="00084FB6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письменных объяснений;</w:t>
      </w:r>
    </w:p>
    <w:p w:rsidR="00084FB6" w:rsidRPr="00084FB6" w:rsidRDefault="00084FB6" w:rsidP="00084FB6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 документов;</w:t>
      </w:r>
    </w:p>
    <w:p w:rsidR="00084FB6" w:rsidRPr="00084FB6" w:rsidRDefault="00084FB6" w:rsidP="00084FB6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084FB6" w:rsidRPr="00084FB6" w:rsidRDefault="00084FB6" w:rsidP="00084FB6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осмотр;</w:t>
      </w:r>
    </w:p>
    <w:p w:rsidR="00084FB6" w:rsidRPr="00084FB6" w:rsidRDefault="00084FB6" w:rsidP="00084FB6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084FB6" w:rsidRPr="00084FB6" w:rsidRDefault="00084FB6" w:rsidP="00084FB6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объяснений;</w:t>
      </w:r>
    </w:p>
    <w:p w:rsidR="00084FB6" w:rsidRPr="00084FB6" w:rsidRDefault="00084FB6" w:rsidP="00084FB6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документов;</w:t>
      </w:r>
    </w:p>
    <w:p w:rsidR="00084FB6" w:rsidRPr="00084FB6" w:rsidRDefault="00084FB6" w:rsidP="00084FB6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4F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эксперимент.</w:t>
      </w:r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Предметом проверок </w:t>
      </w:r>
      <w:bookmarkStart w:id="7" w:name="_Hlk66363759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федерального государственного контроля (надзора)</w:t>
      </w:r>
      <w:bookmarkEnd w:id="7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соблюдение юридическими лицами, имеющими разрешение на осуществление деятельности по организации и проведению азартных игр в игорной зоне, обязательных требований:</w:t>
      </w:r>
    </w:p>
    <w:p w:rsidR="00084FB6" w:rsidRPr="00084FB6" w:rsidRDefault="00084FB6" w:rsidP="00084FB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084F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предоставлению организатором азартных игр сведений </w:t>
      </w: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о техническом состоянии игрового оборудования в соответствии с частью 3 статьи 6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</w:t>
      </w:r>
    </w:p>
    <w:p w:rsidR="00084FB6" w:rsidRPr="00084FB6" w:rsidRDefault="00084FB6" w:rsidP="00084FB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к величине технически заложенного среднего процента выигрыша игрового автомата, предусмотренной, частью 5 статьи 8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</w:t>
      </w:r>
    </w:p>
    <w:p w:rsidR="00084FB6" w:rsidRPr="00084FB6" w:rsidRDefault="00084FB6" w:rsidP="00084FB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к предоставлению организаторами азартных игр сведений о лицах, предусмотренных частью 11 статьи 6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</w:t>
      </w:r>
    </w:p>
    <w:p w:rsidR="00084FB6" w:rsidRPr="00084FB6" w:rsidRDefault="00084FB6" w:rsidP="00084FB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к организаторам азартных игр, предусмотренных пунктами 2 и 3 части 1 статьи 6.1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bookmarkStart w:id="8" w:name="_Hlk68536508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8"/>
    </w:p>
    <w:p w:rsidR="00084FB6" w:rsidRPr="00084FB6" w:rsidRDefault="00084FB6" w:rsidP="00084FB6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при осуществлении </w:t>
      </w:r>
      <w:bookmarkStart w:id="9" w:name="_GoBack"/>
      <w:bookmarkEnd w:id="9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контроля (надзора) проводятся по основаниям, предусмотренным пунктами 1, 3 - 6 части 1 статьи 57 Федерального закона               </w:t>
      </w:r>
      <w:proofErr w:type="gramStart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084FB6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p w:rsidR="00084FB6" w:rsidRPr="00084FB6" w:rsidRDefault="00084FB6" w:rsidP="00084F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084FB6" w:rsidRDefault="00084FB6" w:rsidP="00084FB6">
      <w:pPr>
        <w:jc w:val="both"/>
      </w:pPr>
    </w:p>
    <w:p w:rsidR="00084FB6" w:rsidRDefault="00084FB6"/>
    <w:sectPr w:rsidR="0008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0AA"/>
    <w:multiLevelType w:val="hybridMultilevel"/>
    <w:tmpl w:val="97AC39B0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470C7"/>
    <w:multiLevelType w:val="hybridMultilevel"/>
    <w:tmpl w:val="CAD4C368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8A0427"/>
    <w:multiLevelType w:val="hybridMultilevel"/>
    <w:tmpl w:val="D04C77D8"/>
    <w:lvl w:ilvl="0" w:tplc="18283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929"/>
    <w:multiLevelType w:val="hybridMultilevel"/>
    <w:tmpl w:val="843C69E6"/>
    <w:lvl w:ilvl="0" w:tplc="B9600B82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9A7614F"/>
    <w:multiLevelType w:val="hybridMultilevel"/>
    <w:tmpl w:val="9E2C6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435658"/>
    <w:multiLevelType w:val="hybridMultilevel"/>
    <w:tmpl w:val="F78EBEB0"/>
    <w:lvl w:ilvl="0" w:tplc="DCE6E6F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C1A89"/>
    <w:multiLevelType w:val="hybridMultilevel"/>
    <w:tmpl w:val="90C8E80C"/>
    <w:lvl w:ilvl="0" w:tplc="929AAA6E">
      <w:start w:val="1"/>
      <w:numFmt w:val="decimal"/>
      <w:lvlText w:val="%1."/>
      <w:lvlJc w:val="left"/>
      <w:pPr>
        <w:ind w:left="1559" w:hanging="708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576BBA"/>
    <w:multiLevelType w:val="hybridMultilevel"/>
    <w:tmpl w:val="EE9EE178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5A6DF5"/>
    <w:multiLevelType w:val="hybridMultilevel"/>
    <w:tmpl w:val="1DCC5E0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F"/>
    <w:rsid w:val="00084FB6"/>
    <w:rsid w:val="00555BBF"/>
    <w:rsid w:val="009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15F"/>
  <w15:chartTrackingRefBased/>
  <w15:docId w15:val="{7740BC01-39CD-4AF5-AEA0-72CA5F68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3</cp:revision>
  <dcterms:created xsi:type="dcterms:W3CDTF">2021-04-06T12:24:00Z</dcterms:created>
  <dcterms:modified xsi:type="dcterms:W3CDTF">2021-04-06T12:32:00Z</dcterms:modified>
</cp:coreProperties>
</file>