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FAD0" w14:textId="77777777" w:rsidR="00646450" w:rsidRDefault="003E45BB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C17BF20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760C05FD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464EB32C" w14:textId="77777777" w:rsidR="00646450" w:rsidRDefault="00305767" w:rsidP="00646450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3927">
        <w:rPr>
          <w:rFonts w:ascii="Times New Roman" w:hAnsi="Times New Roman" w:cs="Times New Roman"/>
          <w:b/>
          <w:sz w:val="28"/>
          <w:szCs w:val="28"/>
        </w:rPr>
        <w:t>о средней</w:t>
      </w:r>
      <w:r w:rsidR="00646450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7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646450" w14:paraId="581C7004" w14:textId="77777777" w:rsidTr="00646450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679"/>
            </w:tblGrid>
            <w:tr w:rsidR="00646450" w14:paraId="5D79BF90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3C66FD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7E71B" w14:textId="77777777" w:rsidR="00646450" w:rsidRDefault="00646450">
                  <w:pPr>
                    <w:rPr>
                      <w:rFonts w:cs="Times New Roman"/>
                    </w:rPr>
                  </w:pPr>
                </w:p>
              </w:tc>
            </w:tr>
            <w:tr w:rsidR="00646450" w14:paraId="5CA79E23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6DF7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256A909D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01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46450" w14:paraId="205BA957" w14:textId="77777777" w:rsidTr="0064645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253D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28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2EA" w14:textId="77777777" w:rsidR="00646450" w:rsidRPr="00162C18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14:paraId="5FB727C7" w14:textId="77777777" w:rsidTr="0064645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BAB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40B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284" w14:textId="77777777" w:rsidR="00646450" w:rsidRPr="00162C18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DF7BB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7"/>
        <w:tblW w:w="5258" w:type="pct"/>
        <w:tblInd w:w="-176" w:type="dxa"/>
        <w:tblLook w:val="04A0" w:firstRow="1" w:lastRow="0" w:firstColumn="1" w:lastColumn="0" w:noHBand="0" w:noVBand="1"/>
      </w:tblPr>
      <w:tblGrid>
        <w:gridCol w:w="710"/>
        <w:gridCol w:w="3485"/>
        <w:gridCol w:w="5870"/>
      </w:tblGrid>
      <w:tr w:rsidR="00646450" w14:paraId="07DAED80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6CC4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F0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7C674777" w14:textId="77777777" w:rsidR="00AC4AC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212D94F9" w14:textId="77777777" w:rsidR="0064645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6CB8C7EE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46450" w14:paraId="294A4142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AAC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B02" w14:textId="77777777" w:rsidR="00646450" w:rsidRPr="00162C1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758D85BF" w14:textId="77777777" w:rsidR="00162C18" w:rsidRPr="00162C18" w:rsidRDefault="00162C18" w:rsidP="00CE25E7">
            <w:pPr>
              <w:pBdr>
                <w:bottom w:val="single" w:sz="4" w:space="1" w:color="auto"/>
              </w:pBdr>
              <w:spacing w:after="16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Министерство юстиции Российской Федерации</w:t>
            </w:r>
            <w:r w:rsidR="00CE25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162C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Минюст России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E25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Центральный банк Российской Федерации (Банк России)</w:t>
            </w:r>
          </w:p>
          <w:p w14:paraId="5150F16A" w14:textId="77777777" w:rsidR="00646450" w:rsidRDefault="005D00E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46450" w14:paraId="2A287142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AF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2C9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6A175C70" w14:textId="77777777" w:rsidR="00AB7C74" w:rsidRPr="00AB7C74" w:rsidRDefault="00AB7C74" w:rsidP="00AB7C74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7C74">
              <w:rPr>
                <w:rFonts w:ascii="Times New Roman" w:hAnsi="Times New Roman" w:cs="Times New Roman"/>
                <w:b/>
                <w:sz w:val="28"/>
                <w:szCs w:val="28"/>
              </w:rPr>
              <w:t>роект федерального закона</w:t>
            </w:r>
          </w:p>
          <w:p w14:paraId="1D422382" w14:textId="77777777" w:rsidR="000D3927" w:rsidRDefault="005D00E0" w:rsidP="00AB7C74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«О внесении изменения в статью 12 Федерального закона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br/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br/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>и признании утратившими силу отдельных положений законодательных актов Российской Федерации»</w:t>
            </w:r>
          </w:p>
          <w:p w14:paraId="0D58FE82" w14:textId="77777777" w:rsidR="00646450" w:rsidRDefault="00646450" w:rsidP="00646450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CC293D8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502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0B3C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4CC9B9DD" w14:textId="77777777" w:rsidR="005D00E0" w:rsidRPr="00CE25E7" w:rsidRDefault="005D00E0" w:rsidP="00CE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5D00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Необходимость повышения качества методологий кредитных рейтинговых агентств</w:t>
            </w:r>
            <w:r w:rsidRPr="005D00E0">
              <w:rPr>
                <w:b/>
                <w:bCs/>
                <w:iCs/>
                <w:sz w:val="28"/>
              </w:rPr>
              <w:t xml:space="preserve">, </w:t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>установления ясных и однозначных требований к ним, а также обеспечения соблюдения кредитными рейтинговыми агентствами таких требований.</w:t>
            </w:r>
          </w:p>
          <w:p w14:paraId="71EC2E8C" w14:textId="77777777" w:rsidR="00646450" w:rsidRDefault="00646450" w:rsidP="005D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4B58A1AD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7700" w14:textId="77777777" w:rsidR="00646450" w:rsidRPr="00305767" w:rsidRDefault="0030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0F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48836BB9" w14:textId="77777777" w:rsidR="005D00E0" w:rsidRPr="005D00E0" w:rsidRDefault="005D00E0" w:rsidP="005D00E0">
            <w:pPr>
              <w:spacing w:after="16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5D00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Поручение Исполняющего обязанности председателя Правительства Российской Федерации А.Р. Белоусова от 7 мая 2020 г. № АБ-П13-4622</w:t>
            </w:r>
          </w:p>
          <w:p w14:paraId="74C8830E" w14:textId="77777777" w:rsidR="00646450" w:rsidRPr="00305767" w:rsidRDefault="00B72EEF" w:rsidP="009B4EEA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6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36576AA1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1C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04B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5A7F6581" w14:textId="77777777" w:rsidR="00CE25E7" w:rsidRDefault="005D00E0" w:rsidP="00CE25E7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Реализация возможности проведения Банком России оценки соответствия методологий кредитных рейтинговых агентств требованиям, установленным частью 7 статьи 12 Федерального закона </w:t>
            </w:r>
            <w:r w:rsidR="00CE25E7" w:rsidRP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13 июля 2015 г.</w:t>
            </w:r>
            <w:r w:rsidR="00CE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222</w:t>
            </w:r>
            <w:r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noBreakHyphen/>
              <w:t>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465F43B" w14:textId="77777777" w:rsidR="00AC4AC0" w:rsidRPr="00AC4AC0" w:rsidRDefault="00646450" w:rsidP="00CE25E7">
            <w:pPr>
              <w:ind w:right="-1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441CB26" w14:textId="77777777" w:rsidTr="00B72EEF">
        <w:trPr>
          <w:trHeight w:val="10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B3E" w14:textId="77777777" w:rsidR="00646450" w:rsidRPr="0025091D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1AD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5D27DFC1" w14:textId="7F1088AB" w:rsidR="005D00E0" w:rsidRPr="005D00E0" w:rsidRDefault="005D00E0" w:rsidP="005D00E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редусматривается полномочие Банка России установить </w:t>
            </w:r>
            <w:r w:rsidR="00513DB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своем нормативном акте </w:t>
            </w:r>
            <w:r w:rsidR="009C3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дополнительные требования к методологии кредитных рейтинговых агентств, 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порядок проведения оценки соответствия методологий кредитных рейтинговых агентств общим требованиям, установленным частью 7 статьи 12 </w:t>
            </w:r>
            <w:r w:rsidR="00CE25E7"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Федерального закона </w:t>
            </w:r>
            <w:r w:rsidR="00CE25E7" w:rsidRP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13 июля 2015 г.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222-ФЗ</w:t>
            </w:r>
            <w:r w:rsidR="00CE2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E25E7"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>, включая порядок взаимодействия Банка России</w:t>
            </w:r>
            <w:r w:rsidR="00513D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>с кредитными рейтинговыми агентствами в ходе ее проведения.</w:t>
            </w:r>
          </w:p>
          <w:p w14:paraId="5DBFDB02" w14:textId="77777777" w:rsidR="00646450" w:rsidRDefault="00646450" w:rsidP="00AC4AC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09AC49D5" w14:textId="77777777" w:rsidTr="00B72EEF">
        <w:trPr>
          <w:trHeight w:val="4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81B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493C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170BFE3" w14:textId="77777777" w:rsidTr="00B72EE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2B5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CD4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46450" w14:paraId="29CB8814" w14:textId="77777777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5B2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D26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D66" w14:textId="77777777" w:rsidR="00646450" w:rsidRDefault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Полихрониди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Афина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Панаето</w:t>
            </w:r>
            <w:r w:rsidR="007D29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</w:p>
        </w:tc>
      </w:tr>
      <w:tr w:rsidR="00646450" w14:paraId="6D621EAB" w14:textId="77777777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FB0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EB5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553" w14:textId="77777777" w:rsidR="00646450" w:rsidRDefault="000D3927" w:rsidP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E1768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специалист-эксперт</w:t>
            </w:r>
          </w:p>
        </w:tc>
      </w:tr>
      <w:tr w:rsidR="00646450" w14:paraId="5884A895" w14:textId="77777777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64D4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09A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5EA" w14:textId="77777777" w:rsidR="00646450" w:rsidRPr="00E17685" w:rsidRDefault="000D3927" w:rsidP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(495) 983-38-88*05</w:t>
            </w:r>
            <w:r w:rsidR="00E1768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646450" w14:paraId="65BDBE88" w14:textId="77777777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F84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70A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161" w14:textId="77777777" w:rsidR="00646450" w:rsidRDefault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7685">
              <w:rPr>
                <w:rFonts w:ascii="Times New Roman" w:hAnsi="Times New Roman" w:cs="Times New Roman"/>
                <w:b/>
                <w:sz w:val="28"/>
                <w:szCs w:val="28"/>
              </w:rPr>
              <w:t>Afina.Polikhronidi@minfin.ru</w:t>
            </w:r>
          </w:p>
        </w:tc>
      </w:tr>
    </w:tbl>
    <w:p w14:paraId="3B4350D5" w14:textId="77777777" w:rsidR="00B72EEF" w:rsidRDefault="00B72EEF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0C4A9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E934D8" w:rsidRPr="00E934D8" w14:paraId="4971FCF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39A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E401" w14:textId="77777777" w:rsidR="00646450" w:rsidRPr="00E934D8" w:rsidRDefault="00646450">
            <w:pP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E8E2" w14:textId="77777777" w:rsidR="00646450" w:rsidRPr="00E934D8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Средняя </w:t>
            </w:r>
          </w:p>
        </w:tc>
      </w:tr>
      <w:tr w:rsidR="00E934D8" w:rsidRPr="00E934D8" w14:paraId="6AAE6EDC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766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279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footnoteReference w:id="1"/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14:paraId="1111FB33" w14:textId="77777777" w:rsidR="000D3927" w:rsidRPr="00E934D8" w:rsidRDefault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</w:p>
          <w:p w14:paraId="79DE92B0" w14:textId="77777777" w:rsidR="00646450" w:rsidRPr="00E934D8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(место для текстового описания)</w:t>
            </w:r>
          </w:p>
        </w:tc>
      </w:tr>
      <w:tr w:rsidR="00E934D8" w:rsidRPr="00E934D8" w14:paraId="0681FED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0C1" w14:textId="77777777" w:rsidR="00AC4AC0" w:rsidRPr="00E934D8" w:rsidRDefault="00AC4AC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5FE" w14:textId="77777777" w:rsidR="00AC4AC0" w:rsidRPr="00E934D8" w:rsidRDefault="00AC4AC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441B12BE" w14:textId="77777777" w:rsidR="00646450" w:rsidRPr="00E934D8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934D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E934D8" w:rsidRPr="00E934D8" w14:paraId="06AD85A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E2D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54D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32050CD3" w14:textId="77777777" w:rsidR="00513DB6" w:rsidRPr="00E934D8" w:rsidRDefault="00513DB6" w:rsidP="0016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8"/>
              </w:rPr>
            </w:pPr>
            <w:r w:rsidRPr="00E934D8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0"/>
                <w:lang w:eastAsia="ru-RU"/>
              </w:rPr>
              <w:t>Необходимость повышения качества методологий кредитных рейтинговых агентств</w:t>
            </w:r>
            <w:r w:rsidRPr="00E934D8">
              <w:rPr>
                <w:b/>
                <w:bCs/>
                <w:iCs/>
                <w:color w:val="0D0D0D" w:themeColor="text1" w:themeTint="F2"/>
                <w:sz w:val="28"/>
              </w:rPr>
              <w:t xml:space="preserve">, </w:t>
            </w:r>
            <w:r w:rsidRPr="00E934D8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8"/>
              </w:rPr>
              <w:t>установления ясных и однозначных требований к ним, а также обеспечения соблюдения кредитными рейтинговыми агентствами таких требований.</w:t>
            </w:r>
          </w:p>
          <w:p w14:paraId="06C9CC41" w14:textId="77777777" w:rsidR="00646450" w:rsidRPr="00E934D8" w:rsidRDefault="00B72EEF" w:rsidP="00B72EEF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                           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934D8" w:rsidRPr="00E934D8" w14:paraId="3CBA978F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E9D5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BC2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53CF0FA" w14:textId="77777777" w:rsidR="00454A56" w:rsidRPr="00E934D8" w:rsidRDefault="00E57821" w:rsidP="00E5782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Необходимость дополнительных требований к методологии кредитного рейтингового агентства, а также установления порядка оценки такой методологии на предмет ее соответствия законодательству Российской Федерации и нормативным актам Банка России.</w:t>
            </w:r>
          </w:p>
          <w:p w14:paraId="2DF575F2" w14:textId="77777777" w:rsidR="00646450" w:rsidRPr="00E934D8" w:rsidRDefault="003E45BB" w:rsidP="003E45B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</w:rPr>
              <w:t xml:space="preserve">                                 </w:t>
            </w: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934D8" w:rsidRPr="00E934D8" w14:paraId="648B92BC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3033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9E8" w14:textId="77777777" w:rsidR="00185591" w:rsidRPr="00E934D8" w:rsidRDefault="00646450" w:rsidP="003E45BB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185591"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 результатах решения проблемы:</w:t>
            </w:r>
          </w:p>
          <w:p w14:paraId="7A4E09E7" w14:textId="77777777" w:rsidR="00CE25E7" w:rsidRPr="00E934D8" w:rsidRDefault="00454A56" w:rsidP="00CE25E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</w:rPr>
              <w:t xml:space="preserve">Предлагаемые изменения позволят установить и подробно раскрыть в нормативном акте Банка России критерии обоснованности, системности и </w:t>
            </w:r>
            <w:proofErr w:type="spellStart"/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</w:rPr>
              <w:t>проверяемости</w:t>
            </w:r>
            <w:proofErr w:type="spellEnd"/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</w:rPr>
              <w:t xml:space="preserve">, на основе которых будет проводиться оценка соответствия методологий кредитных рейтинговых агентств общим требованиям, установленным частью 7 статьи 12 </w:t>
            </w:r>
            <w:r w:rsidR="00CE25E7"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Федерального закона от 13 июля 2015 г.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="00127C9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3E45B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                </w:t>
            </w:r>
          </w:p>
          <w:p w14:paraId="1EDECDD8" w14:textId="77777777" w:rsidR="00646450" w:rsidRPr="00E934D8" w:rsidRDefault="003E45BB" w:rsidP="00CE25E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</w:t>
            </w:r>
            <w:r w:rsidR="00127C9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646450" w14:paraId="389C7D50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A2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538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05EA976B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3BF9AA6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94F26B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9F1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142" w14:textId="77777777" w:rsidR="00185591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E8B197" w14:textId="77777777" w:rsidR="00D05F78" w:rsidRDefault="00D05F78" w:rsidP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России, Банк России</w:t>
            </w:r>
          </w:p>
          <w:p w14:paraId="41F1EE48" w14:textId="77777777" w:rsidR="00646450" w:rsidRDefault="00127C9B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F2F221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752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A8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12E23821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B90057C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E3AAC9C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14:paraId="6E414109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C9E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2255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06CF751" w14:textId="77777777" w:rsidR="00165BB7" w:rsidRPr="0054164A" w:rsidRDefault="00165BB7" w:rsidP="0054164A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64A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Положения, устанавливаемые проектом федерального закона, сопоставимы с аналогичными требованиями, действующими в Европейском Союзе в отношении процедур оценки соответствия методологий кредитных рейтинговых агентств требованиям, установленным Регламентом от 16.09.2009 № 1060/2009 Европейского парламента и Совета Европейского Союза «О кредитных рейтинговых агентствах»</w:t>
            </w:r>
            <w:r w:rsidRPr="0054164A"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  <w:r w:rsidRPr="0054164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4291CBB9" w14:textId="2F35566D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8DCB68F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56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F3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8C8F7AD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</w:t>
            </w:r>
            <w:r w:rsidR="00165BB7">
              <w:rPr>
                <w:rFonts w:ascii="Times New Roman" w:hAnsi="Times New Roman" w:cs="Times New Roman"/>
                <w:b/>
                <w:sz w:val="28"/>
                <w:szCs w:val="28"/>
              </w:rPr>
              <w:t>, Банк России</w:t>
            </w:r>
          </w:p>
          <w:p w14:paraId="60D28F9F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6543FBA" w14:textId="5371D0A4" w:rsidR="0025091D" w:rsidRDefault="00646450" w:rsidP="0025091D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3869"/>
        <w:gridCol w:w="672"/>
        <w:gridCol w:w="4255"/>
      </w:tblGrid>
      <w:tr w:rsidR="00646450" w14:paraId="529DC48A" w14:textId="77777777" w:rsidTr="00FE0624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9C1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A05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E18B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4F2A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46450" w14:paraId="31A68A60" w14:textId="77777777" w:rsidTr="00FE0624">
        <w:trPr>
          <w:trHeight w:val="52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A83" w14:textId="77777777" w:rsidR="00FE0624" w:rsidRDefault="00AB7C7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eastAsia="Calibri" w:hAnsi="Times New Roman" w:cs="Times New Roman"/>
                <w:b/>
                <w:sz w:val="28"/>
              </w:rPr>
              <w:t xml:space="preserve">Внесение соответствующих изменений </w:t>
            </w:r>
            <w:r w:rsidR="00FE0624" w:rsidRPr="00FE0624">
              <w:rPr>
                <w:rFonts w:ascii="Times New Roman" w:eastAsia="Calibri" w:hAnsi="Times New Roman" w:cs="Times New Roman"/>
                <w:b/>
                <w:sz w:val="28"/>
              </w:rPr>
              <w:t xml:space="preserve">позволит </w:t>
            </w:r>
            <w:r w:rsidR="00FE0624"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наделить Банк России компетенцией </w:t>
            </w:r>
          </w:p>
          <w:p w14:paraId="062AB80B" w14:textId="77777777" w:rsidR="00FE0624" w:rsidRDefault="00FE062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установлению в своем нормативном акте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требований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методологии кредитного рейтингового агентства, </w:t>
            </w:r>
          </w:p>
          <w:p w14:paraId="2FE3372B" w14:textId="77777777" w:rsidR="00FE0624" w:rsidRPr="00FE0624" w:rsidRDefault="00FE062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порядка оценки такой методологии на предмет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ее соответствия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законодательству Российской Федерации и нормативным актам Банка России.</w:t>
            </w:r>
          </w:p>
          <w:p w14:paraId="3AC836CD" w14:textId="77777777" w:rsidR="00646450" w:rsidRPr="00FE0624" w:rsidRDefault="00646450" w:rsidP="00FE062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992" w14:textId="77777777" w:rsidR="00646450" w:rsidRDefault="00646450" w:rsidP="00AB7C74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49FEE97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18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AE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1B3B38CE" w14:textId="77777777" w:rsidR="00646450" w:rsidRPr="00162C18" w:rsidRDefault="00AB7C74" w:rsidP="00FE0624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Целью проекта является </w:t>
            </w:r>
            <w:r w:rsidR="00FE0624" w:rsidRPr="00162C18">
              <w:rPr>
                <w:rFonts w:ascii="Times New Roman" w:hAnsi="Times New Roman" w:cs="Times New Roman"/>
                <w:b/>
                <w:sz w:val="28"/>
              </w:rPr>
              <w:t xml:space="preserve">необходимость повышения качества методологий кредитных рейтинговых агентств, установления ясных и однозначных требований к ним, а также обеспечения соблюдения кредитными рейтинговыми агентствами таких требований и реализации процедур проверки и контроля </w:t>
            </w:r>
            <w:r w:rsidR="00FE0624" w:rsidRPr="00162C18">
              <w:rPr>
                <w:rFonts w:ascii="Times New Roman" w:hAnsi="Times New Roman" w:cs="Times New Roman"/>
                <w:b/>
                <w:sz w:val="28"/>
              </w:rPr>
              <w:br/>
              <w:t>за соответствием методологий кредитных рейтинговых агентств законодательству Российской Федерации.</w:t>
            </w:r>
          </w:p>
        </w:tc>
      </w:tr>
      <w:tr w:rsidR="00646450" w14:paraId="0868C11A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322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8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2ADEDCEF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2CE88F4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5C4A85C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14:paraId="7C2C626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7D0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C0F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3DB47482" w14:textId="77777777" w:rsidR="00D05F78" w:rsidRDefault="00D05F78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 пункту 5.3</w:t>
            </w:r>
          </w:p>
          <w:p w14:paraId="4EE68295" w14:textId="77777777" w:rsidR="00646450" w:rsidRDefault="00127C9B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3D2FE86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B05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AA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519DD470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2EEBB6DD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C7F70E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240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07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200EFA81" w14:textId="77777777" w:rsidR="00D05F78" w:rsidRDefault="00D05F78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Аналогично пункту 5.3 </w:t>
            </w:r>
          </w:p>
          <w:p w14:paraId="79ACFD54" w14:textId="77777777" w:rsidR="00646450" w:rsidRDefault="00646450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315BA72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13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5F0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65DBBCF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4FAC2F2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9E7D10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7386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14:paraId="58D9BF25" w14:textId="77777777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C0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E9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EF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2150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46450" w14:paraId="3475E488" w14:textId="77777777" w:rsidTr="00646450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A6A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46450" w14:paraId="52D37F05" w14:textId="77777777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0EF2" w14:textId="77777777" w:rsidR="00CE25E7" w:rsidRPr="0054164A" w:rsidRDefault="00CE25E7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Кредитные </w:t>
            </w:r>
          </w:p>
          <w:p w14:paraId="3AC33614" w14:textId="77777777" w:rsidR="00646450" w:rsidRPr="0054164A" w:rsidRDefault="00CE25E7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</w:t>
            </w: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 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агентства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0C6" w14:textId="77777777" w:rsidR="00646450" w:rsidRDefault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6450" w14:paraId="619E4AB4" w14:textId="77777777" w:rsidTr="00646450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BCA9" w14:textId="77777777" w:rsidR="00646450" w:rsidRPr="0054164A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46450" w14:paraId="4951EBDB" w14:textId="77777777" w:rsidTr="00646450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4C9" w14:textId="77777777" w:rsidR="00646450" w:rsidRPr="0054164A" w:rsidRDefault="0068313A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Банк России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AE2" w14:textId="77777777"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14:paraId="68532A14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FC8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4A7" w14:textId="77777777" w:rsidR="00646450" w:rsidRDefault="00646450" w:rsidP="00AB7C74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14:paraId="31A37F30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98232B5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23BD" w14:textId="77777777" w:rsidR="00646450" w:rsidRDefault="00646450" w:rsidP="00646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246"/>
        <w:gridCol w:w="55"/>
        <w:gridCol w:w="505"/>
        <w:gridCol w:w="2233"/>
      </w:tblGrid>
      <w:tr w:rsidR="00646450" w14:paraId="14C38267" w14:textId="77777777" w:rsidTr="00A75DD2">
        <w:trPr>
          <w:trHeight w:val="1407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0FA2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650C8AFF" w14:textId="77777777" w:rsidR="00646450" w:rsidRDefault="0064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4DFA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488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2B1D0E8A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46450" w14:paraId="5501DE31" w14:textId="77777777" w:rsidTr="00A75DD2">
        <w:trPr>
          <w:trHeight w:val="49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AB9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329D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ED9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1761E06C" w14:textId="77777777" w:rsidTr="00A75DD2">
        <w:trPr>
          <w:trHeight w:val="56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2F4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CB9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621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61A5793F" w14:textId="77777777" w:rsidTr="00A75DD2">
        <w:trPr>
          <w:trHeight w:val="55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04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EB6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AE95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719E8FFB" w14:textId="77777777" w:rsidTr="00A75DD2">
        <w:trPr>
          <w:trHeight w:val="54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981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67C1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24E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6F28767C" w14:textId="77777777" w:rsidTr="00A75DD2">
        <w:trPr>
          <w:trHeight w:val="54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927B" w14:textId="77777777"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14:paraId="762E7416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46450" w14:paraId="13184A7B" w14:textId="77777777" w:rsidTr="00A75DD2">
        <w:trPr>
          <w:trHeight w:val="20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750B" w14:textId="77777777" w:rsidR="00646450" w:rsidRDefault="00646450">
            <w:pPr>
              <w:spacing w:before="120" w:after="120" w:line="254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  <w:p w14:paraId="55D52CE4" w14:textId="77777777" w:rsidR="00646450" w:rsidRDefault="006464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14:paraId="6E281771" w14:textId="77777777" w:rsidR="00646450" w:rsidRDefault="00646450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46450" w14:paraId="18243B48" w14:textId="77777777" w:rsidTr="00A75DD2">
        <w:trPr>
          <w:trHeight w:val="529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10D" w14:textId="77777777" w:rsidR="00646450" w:rsidRDefault="00646450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3910D453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B42" w14:textId="77777777"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46450" w14:paraId="7DC75A8A" w14:textId="77777777" w:rsidTr="00A75DD2">
        <w:trPr>
          <w:trHeight w:val="652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E6A3" w14:textId="77777777" w:rsidR="00646450" w:rsidRDefault="00646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ED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DAD1" w14:textId="77777777" w:rsidR="00646450" w:rsidRDefault="00646450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46450" w14:paraId="0AFF168B" w14:textId="77777777" w:rsidTr="00A75DD2">
        <w:trPr>
          <w:trHeight w:val="37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F6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46450" w14:paraId="3175E0FC" w14:textId="77777777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979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F4B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6C3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44ED01BE" w14:textId="77777777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FB9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3B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93B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724961CA" w14:textId="77777777" w:rsidTr="00A75DD2">
        <w:trPr>
          <w:trHeight w:val="41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089" w14:textId="77777777" w:rsidR="00646450" w:rsidRDefault="00646450">
            <w:pPr>
              <w:keepNext/>
              <w:spacing w:before="120" w:after="12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46450" w14:paraId="03C83E8C" w14:textId="77777777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36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24E5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1F30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72CA1C2C" w14:textId="77777777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26A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9096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06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11D9BCBF" w14:textId="77777777" w:rsidTr="00A75DD2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AE62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646450" w14:paraId="1F21C7AC" w14:textId="77777777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860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58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F981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350E41B7" w14:textId="77777777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C40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6498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97C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3CF1D127" w14:textId="77777777" w:rsidTr="00A75DD2">
        <w:trPr>
          <w:trHeight w:val="6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0E2" w14:textId="77777777"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1D897247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46450" w14:paraId="66C83541" w14:textId="77777777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A53" w14:textId="77777777"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DE0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4F0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14:paraId="7612D5F5" w14:textId="77777777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F60D" w14:textId="77777777"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8BA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6C3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14:paraId="04E55F55" w14:textId="77777777" w:rsidTr="00A75DD2">
        <w:trPr>
          <w:trHeight w:val="57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027" w14:textId="77777777"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7.1.7. Источник</w:t>
            </w:r>
            <w:r w:rsidR="0025091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 данных:      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60BDC496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6B2BA853" w14:textId="77777777"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46450" w14:paraId="4AE4F3B6" w14:textId="77777777" w:rsidTr="00A75DD2">
        <w:trPr>
          <w:trHeight w:val="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7FF" w14:textId="77777777" w:rsidR="00646450" w:rsidRDefault="006464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46450" w14:paraId="643EC1DE" w14:textId="77777777" w:rsidTr="00A75DD2">
        <w:trPr>
          <w:trHeight w:val="5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38B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0F4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14:paraId="7E671A19" w14:textId="77777777" w:rsidTr="00A75DD2">
        <w:trPr>
          <w:trHeight w:val="5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873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5B5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14:paraId="7F60121A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01F" w14:textId="77777777"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31E5B5A9" w14:textId="77777777" w:rsidR="00646450" w:rsidRDefault="00646450">
            <w:pPr>
              <w:spacing w:before="120" w:after="120" w:line="254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A69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</w:t>
            </w:r>
            <w:proofErr w:type="spellEnd"/>
            <w:r w:rsidR="00A75DD2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C10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67D4CD8F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C894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22C1C99B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46450" w14:paraId="041293FC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4A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77F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64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C0A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06A1FED9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CE7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78C1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4455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78B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</w:tbl>
    <w:p w14:paraId="0FBA8C06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14:paraId="1FE22E5D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6B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7AC8BDE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C04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16C141B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345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8FAFDA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431963D3" w14:textId="77777777"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14:paraId="283DA5D8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7EC7" w14:textId="77777777" w:rsidR="00646450" w:rsidRDefault="00D05F78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C10" w14:textId="77777777" w:rsidR="009D0956" w:rsidRDefault="00D05F78" w:rsidP="00D05F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AA97E7F" w14:textId="77777777" w:rsidR="009D0956" w:rsidRDefault="009D0956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26D" w14:textId="77777777" w:rsidR="00646450" w:rsidRDefault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71AF516C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591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0F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10F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DD3862E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646450" w14:paraId="7AF2B7A5" w14:textId="77777777" w:rsidTr="0064645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CE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435DF71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713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784D43D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86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14:paraId="2722BE7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4C7C26E8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1ED76C2" w14:textId="77777777"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05"/>
        <w:gridCol w:w="6149"/>
      </w:tblGrid>
      <w:tr w:rsidR="00646450" w14:paraId="32418368" w14:textId="77777777" w:rsidTr="0064645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E09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10B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CFF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450" w14:paraId="7720B4EE" w14:textId="77777777" w:rsidTr="006464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198"/>
              <w:gridCol w:w="772"/>
              <w:gridCol w:w="2306"/>
              <w:gridCol w:w="3061"/>
            </w:tblGrid>
            <w:tr w:rsidR="00646450" w14:paraId="6E8C4F4B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AEE6C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95D35" w14:textId="77777777"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9880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633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EF366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 w14:paraId="6666D025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AD5C7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7EB90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4DCF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A78D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1B26E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 w14:paraId="55AC3108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BFF66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1AB5F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821A6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F9161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9194B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49E1D121" w14:textId="77777777" w:rsidR="00646450" w:rsidRDefault="00646450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646450" w14:paraId="74C9945E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6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AD2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CF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6693947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A8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FBA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8A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6C2F98E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F35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D45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F1D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2A3F995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5FD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74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3B52B133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6E64C0A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EC9A5A7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96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74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39F449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401633A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E4D2C9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638"/>
        <w:gridCol w:w="4320"/>
        <w:gridCol w:w="2613"/>
      </w:tblGrid>
      <w:tr w:rsidR="00646450" w14:paraId="43B346F7" w14:textId="77777777" w:rsidTr="0064645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7B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6CD50E1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369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55CF52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B3A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7F964A7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46450" w14:paraId="205867E2" w14:textId="77777777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14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7A961C32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522"/>
        <w:gridCol w:w="4341"/>
        <w:gridCol w:w="2616"/>
      </w:tblGrid>
      <w:tr w:rsidR="00646450" w14:paraId="370CF530" w14:textId="77777777" w:rsidTr="00646450">
        <w:trPr>
          <w:trHeight w:val="1451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DC" w14:textId="77777777" w:rsidR="00646450" w:rsidRDefault="00CE25E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Кредитные 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ейтинговые агентства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FAEEF" w14:textId="77777777" w:rsidR="00646450" w:rsidRPr="00E86C73" w:rsidRDefault="00D05F78" w:rsidP="00C5640C">
            <w:pPr>
              <w:spacing w:after="160" w:line="254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021" w14:textId="77777777" w:rsidR="00646450" w:rsidRDefault="00D05F78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оявление новых полномочий по урегулированию проблемы</w:t>
            </w:r>
          </w:p>
        </w:tc>
      </w:tr>
    </w:tbl>
    <w:p w14:paraId="07270E61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F4DD9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109"/>
        <w:gridCol w:w="3254"/>
        <w:gridCol w:w="3208"/>
      </w:tblGrid>
      <w:tr w:rsidR="00646450" w14:paraId="6071EE22" w14:textId="77777777" w:rsidTr="0064645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308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4A65B6A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826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761FAF4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5A8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2E61291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46450" w14:paraId="03F0E2FE" w14:textId="77777777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09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B40DC1A" w14:textId="77777777"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2296"/>
        <w:gridCol w:w="6395"/>
      </w:tblGrid>
      <w:tr w:rsidR="00646450" w14:paraId="5A4F0C78" w14:textId="77777777" w:rsidTr="00646450">
        <w:trPr>
          <w:trHeight w:val="725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345" w14:textId="77777777" w:rsidR="00646450" w:rsidRDefault="00CE25E7" w:rsidP="005C2DF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Кредитные 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ейтинговые агентства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124"/>
            </w:tblGrid>
            <w:tr w:rsidR="00646450" w14:paraId="2FAF1655" w14:textId="77777777">
              <w:trPr>
                <w:trHeight w:val="890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C4F08" w14:textId="77777777"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ABE3" w14:textId="77777777"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6AF87FE3" w14:textId="77777777" w:rsidR="00646450" w:rsidRDefault="00646450" w:rsidP="005C2DF6">
            <w:pPr>
              <w:jc w:val="center"/>
              <w:rPr>
                <w:rFonts w:cs="Times New Roman"/>
              </w:rPr>
            </w:pPr>
          </w:p>
        </w:tc>
      </w:tr>
      <w:tr w:rsidR="00646450" w14:paraId="51FE6346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2BBD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AD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971E055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20B81B5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335FE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2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646450" w14:paraId="031E61D9" w14:textId="77777777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05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7704265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A9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3E7AABD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46450" w14:paraId="578A66E2" w14:textId="77777777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6B0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B17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14:paraId="32E86AB8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AB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7F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161D5D4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F8F2E1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52F594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646450" w14:paraId="5F934A2D" w14:textId="77777777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55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308353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FA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223EFA8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C6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373A958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7A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41D01DE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681743DC" w14:textId="77777777" w:rsidR="00646450" w:rsidRDefault="00646450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14:paraId="443A75CE" w14:textId="77777777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98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037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9D8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вероятности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>возникновления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и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>репутационных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 рисков НКО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179" w14:textId="77777777"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646450" w14:paraId="6FBC3FFF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382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6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A7AD790" w14:textId="77777777" w:rsidR="0054164A" w:rsidRDefault="0068313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Банк России </w:t>
            </w:r>
          </w:p>
          <w:p w14:paraId="6E9F48E4" w14:textId="4C797498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3F00C8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1201"/>
        <w:gridCol w:w="1730"/>
        <w:gridCol w:w="1609"/>
        <w:gridCol w:w="2137"/>
        <w:gridCol w:w="2137"/>
      </w:tblGrid>
      <w:tr w:rsidR="00646450" w14:paraId="382142D4" w14:textId="77777777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5D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1DE2D10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A9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14:paraId="479578B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171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37EFE5A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8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7D0F518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53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D74E27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46450" w14:paraId="5456104B" w14:textId="77777777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70E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E5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529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A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B94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14:paraId="27C5EE34" w14:textId="77777777" w:rsidTr="00646450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0D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736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E639" w14:textId="77777777"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6F4FFE08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93"/>
        <w:gridCol w:w="2297"/>
        <w:gridCol w:w="2519"/>
        <w:gridCol w:w="2362"/>
      </w:tblGrid>
      <w:tr w:rsidR="00646450" w14:paraId="60045788" w14:textId="77777777" w:rsidTr="006464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B2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7CA22CA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BB8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7C0271E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90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5BAF8AC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126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3EAF23F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219EE635" w14:textId="77777777"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67"/>
        <w:gridCol w:w="7101"/>
      </w:tblGrid>
      <w:tr w:rsidR="00646450" w14:paraId="4AA01258" w14:textId="77777777" w:rsidTr="00646450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50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543"/>
              <w:gridCol w:w="2269"/>
            </w:tblGrid>
            <w:tr w:rsidR="00646450" w14:paraId="7DA63C66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E620D" w14:textId="77777777" w:rsidR="00646450" w:rsidRDefault="00646450" w:rsidP="00C55517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E05" w14:textId="77777777" w:rsidR="00646450" w:rsidRDefault="00646450">
                  <w:pPr>
                    <w:tabs>
                      <w:tab w:val="left" w:pos="748"/>
                    </w:tabs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C2BA" w14:textId="77777777"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6D68054B" w14:textId="77777777" w:rsidR="00646450" w:rsidRDefault="00646450">
            <w:pPr>
              <w:rPr>
                <w:rFonts w:cs="Times New Roman"/>
              </w:rPr>
            </w:pPr>
          </w:p>
        </w:tc>
      </w:tr>
    </w:tbl>
    <w:p w14:paraId="79EC9CCC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646450" w14:paraId="7626CCD1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E5B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06E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1EAE2EB8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1B430BC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4DF80589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68B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30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98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46450" w14:paraId="65B5AA66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3C4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BA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21B9D142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09D82F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556EA4B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646450" w14:paraId="56BCC32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D8D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DCD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AC0" w14:textId="651BB2D7" w:rsidR="00646450" w:rsidRDefault="00AB7C74" w:rsidP="00AB7C74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305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625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46450" w14:paraId="51769A21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40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7D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(переходного периода):</w:t>
            </w:r>
          </w:p>
          <w:p w14:paraId="6089693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296AC2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95C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014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(если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необходимость):</w:t>
            </w:r>
          </w:p>
          <w:p w14:paraId="30B0090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C569A9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62276924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23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C8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49E69E9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2F5EC7E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34D2681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8D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BF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067AE6E2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33F82FC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A1F5EF0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47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254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16D05A3B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522254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DA85C4C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1D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50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2776FE0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1AFB16D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530C1B6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A4C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A77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423D9F3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0E6CF64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1CCD9419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44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AE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519AF9B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0572B67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B73968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14:paraId="386B1215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8B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E00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0E91EC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</w:pPr>
            <w:r>
              <w:t xml:space="preserve"> </w:t>
            </w:r>
          </w:p>
          <w:p w14:paraId="0F1B5A7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размещалось</w:t>
            </w:r>
          </w:p>
          <w:p w14:paraId="276A69D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DFE3AA3" w14:textId="77777777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733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D8A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46450" w14:paraId="1030DE76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E9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5EF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A17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14:paraId="276C3808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20FF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F1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27FF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14:paraId="2B0F0125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EF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AB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F994BBB" w14:textId="77777777" w:rsidR="0025091D" w:rsidRDefault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B203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E9EB168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04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95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66A146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FBA5B4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66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F36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764C147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B4D3779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646450" w14:paraId="44266E44" w14:textId="77777777" w:rsidTr="00646450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DA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A8C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912" w14:textId="77777777" w:rsidR="00646450" w:rsidRDefault="00C55517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14:paraId="1A0A4BB7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01A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43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2D39CD5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1D88895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807754A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646450" w14:paraId="3DEAFB8D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82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3FA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745DA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1582F72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15D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C67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738B4F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50F02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4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14:paraId="7A995B12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51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A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753B2F7A" w14:textId="6B3C7917" w:rsidR="00646450" w:rsidRPr="00AE328E" w:rsidRDefault="00AE328E" w:rsidP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anchor="npa=101973" w:history="1">
              <w:r w:rsidRPr="00AE328E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https://regulation.gov.ru/projects#npa=101973</w:t>
              </w:r>
            </w:hyperlink>
            <w:r w:rsidR="00646450" w:rsidRPr="00AE3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46450" w14:paraId="1C9E1DC4" w14:textId="77777777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B63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BB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46450" w14:paraId="75E5BEA9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9EF9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E3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1D6" w14:textId="786D29D3" w:rsidR="00646450" w:rsidRDefault="00AE328E" w:rsidP="00AE328E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 2020 г.</w:t>
            </w:r>
          </w:p>
        </w:tc>
      </w:tr>
      <w:tr w:rsidR="00646450" w14:paraId="5CA3B801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1C6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BD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8D0" w14:textId="46D234D1" w:rsidR="00646450" w:rsidRDefault="00AE328E" w:rsidP="00AE328E">
            <w:pPr>
              <w:tabs>
                <w:tab w:val="left" w:pos="1139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 2020 г.</w:t>
            </w:r>
          </w:p>
        </w:tc>
      </w:tr>
      <w:tr w:rsidR="00646450" w14:paraId="13C6D804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F36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59E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46450" w14:paraId="10E8DD65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CE3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201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C3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6BAA8964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28C2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5B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6A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0AD7E0FC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BD0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7EA" w14:textId="77777777" w:rsidR="00646450" w:rsidRDefault="00646450">
            <w:pPr>
              <w:spacing w:after="160"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4194F716" w14:textId="51A5F5C0" w:rsidR="00AE328E" w:rsidRPr="00AE328E" w:rsidRDefault="00AE328E" w:rsidP="00AE328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мразвития России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Банк России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российских банков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банков России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«Аналитическое Кредитное Рейтинговое Агентство» (Акц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ионерное общество),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Рейтинговое агентство АО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«Эксперт РА»,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совет финансового рынка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28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Экспертный совет при Правительстве Российской Федерации</w:t>
            </w:r>
          </w:p>
        </w:tc>
      </w:tr>
      <w:tr w:rsidR="00646450" w14:paraId="606A3E7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CC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28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0632A82B" w14:textId="09411D41" w:rsidR="00646450" w:rsidRPr="00AE328E" w:rsidRDefault="00AE328E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646450" w14:paraId="188B5CB8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BC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12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003F5422" w14:textId="77777777"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46450" w14:paraId="08FE02C0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37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1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1C6C7CD7" w14:textId="77777777"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14:paraId="13BC2D89" w14:textId="77777777" w:rsidR="00CB7ACF" w:rsidRDefault="00CB7ACF"/>
    <w:sectPr w:rsidR="00CB7ACF" w:rsidSect="0025091D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4086" w14:textId="77777777" w:rsidR="00D32E07" w:rsidRDefault="00D32E07" w:rsidP="00646450">
      <w:pPr>
        <w:spacing w:after="0" w:line="240" w:lineRule="auto"/>
      </w:pPr>
      <w:r>
        <w:separator/>
      </w:r>
    </w:p>
  </w:endnote>
  <w:endnote w:type="continuationSeparator" w:id="0">
    <w:p w14:paraId="4AA2F358" w14:textId="77777777" w:rsidR="00D32E07" w:rsidRDefault="00D32E07" w:rsidP="006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D5CA" w14:textId="77777777" w:rsidR="00D32E07" w:rsidRDefault="00D32E07" w:rsidP="00646450">
      <w:pPr>
        <w:spacing w:after="0" w:line="240" w:lineRule="auto"/>
      </w:pPr>
      <w:r>
        <w:separator/>
      </w:r>
    </w:p>
  </w:footnote>
  <w:footnote w:type="continuationSeparator" w:id="0">
    <w:p w14:paraId="6AD32834" w14:textId="77777777" w:rsidR="00D32E07" w:rsidRDefault="00D32E07" w:rsidP="00646450">
      <w:pPr>
        <w:spacing w:after="0" w:line="240" w:lineRule="auto"/>
      </w:pPr>
      <w:r>
        <w:continuationSeparator/>
      </w:r>
    </w:p>
  </w:footnote>
  <w:footnote w:id="1">
    <w:p w14:paraId="4B4C665B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4CFF7C96" w14:textId="77777777" w:rsidR="00165BB7" w:rsidRPr="00B8577A" w:rsidRDefault="00165BB7" w:rsidP="00165BB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D22ED">
        <w:rPr>
          <w:rStyle w:val="a6"/>
          <w:rFonts w:ascii="Times New Roman" w:hAnsi="Times New Roman" w:cs="Times New Roman"/>
        </w:rPr>
        <w:footnoteRef/>
      </w:r>
      <w:r w:rsidRPr="00FD22ED">
        <w:rPr>
          <w:rFonts w:ascii="Times New Roman" w:hAnsi="Times New Roman" w:cs="Times New Roman"/>
          <w:lang w:val="en-US"/>
        </w:rPr>
        <w:t xml:space="preserve"> </w:t>
      </w:r>
      <w:r w:rsidRPr="00B8577A">
        <w:rPr>
          <w:rFonts w:ascii="Times New Roman" w:hAnsi="Times New Roman" w:cs="Times New Roman"/>
          <w:lang w:val="en-US"/>
        </w:rPr>
        <w:t xml:space="preserve">Article 8(3) </w:t>
      </w:r>
      <w:r w:rsidRPr="00FD22ED">
        <w:rPr>
          <w:rFonts w:ascii="Times New Roman" w:hAnsi="Times New Roman" w:cs="Times New Roman"/>
          <w:lang w:val="en-US"/>
        </w:rPr>
        <w:t>Regulation (EC) № 1060/2009 of the European Parliament and of the Council on Credit Rating Agencies</w:t>
      </w:r>
      <w:r w:rsidRPr="00B8577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B8577A">
        <w:rPr>
          <w:rFonts w:ascii="Times New Roman" w:hAnsi="Times New Roman" w:cs="Times New Roman"/>
          <w:lang w:val="en-US"/>
        </w:rPr>
        <w:t>Commission Delegated Regulation (EU) № 447/2012 of 21 March 2012 supplementing Regulation (EC) № 1060/2009 of the European Parliament and of the Council on credit rating agencies by laying down regulatory technical standards for the assessment of compliance of credit rating methodologies</w:t>
      </w:r>
      <w:r>
        <w:rPr>
          <w:rFonts w:ascii="Times New Roman" w:hAnsi="Times New Roman" w:cs="Times New Roman"/>
          <w:lang w:val="en-US"/>
        </w:rPr>
        <w:t>,</w:t>
      </w:r>
    </w:p>
    <w:p w14:paraId="005B63EF" w14:textId="77777777" w:rsidR="00165BB7" w:rsidRPr="00B8577A" w:rsidRDefault="00165BB7" w:rsidP="00165BB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302380">
        <w:rPr>
          <w:rFonts w:ascii="Times New Roman" w:hAnsi="Times New Roman" w:cs="Times New Roman"/>
          <w:lang w:val="en-US"/>
        </w:rPr>
        <w:t>Guidelines on the validation and review of Credit Rating Agencies’ methodologies № ESMA/2016/1575</w:t>
      </w:r>
      <w:r w:rsidRPr="00230C0E">
        <w:rPr>
          <w:rFonts w:ascii="Times New Roman" w:hAnsi="Times New Roman" w:cs="Times New Roman"/>
          <w:lang w:val="en-US"/>
        </w:rPr>
        <w:t xml:space="preserve">, </w:t>
      </w:r>
      <w:r w:rsidRPr="00302380">
        <w:rPr>
          <w:rFonts w:ascii="Times New Roman" w:hAnsi="Times New Roman" w:cs="Times New Roman"/>
          <w:lang w:val="en-US"/>
        </w:rPr>
        <w:t>23.03.2017</w:t>
      </w:r>
      <w:r w:rsidRPr="00230C0E">
        <w:rPr>
          <w:rFonts w:ascii="Times New Roman" w:hAnsi="Times New Roman" w:cs="Times New Roman"/>
          <w:lang w:val="en-US"/>
        </w:rPr>
        <w:t>.</w:t>
      </w:r>
    </w:p>
  </w:footnote>
  <w:footnote w:id="3">
    <w:p w14:paraId="4D156858" w14:textId="77777777" w:rsidR="00165BB7" w:rsidRDefault="00165BB7" w:rsidP="00646450">
      <w:pPr>
        <w:pStyle w:val="a4"/>
        <w:jc w:val="both"/>
      </w:pPr>
      <w:r w:rsidRPr="00561C05">
        <w:rPr>
          <w:rStyle w:val="a6"/>
        </w:rPr>
        <w:footnoteRef/>
      </w:r>
      <w:r w:rsidRPr="00561C05">
        <w:t xml:space="preserve"> </w:t>
      </w:r>
      <w:hyperlink r:id="rId1" w:history="1">
        <w:r w:rsidRPr="00561C05">
          <w:rPr>
            <w:rStyle w:val="a3"/>
            <w:rFonts w:cs="Times New Roman"/>
            <w:color w:val="auto"/>
            <w:u w:val="none"/>
          </w:rPr>
          <w:t>Стратегия</w:t>
        </w:r>
      </w:hyperlink>
      <w:r w:rsidRPr="00561C05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</w:t>
      </w:r>
      <w:r>
        <w:rPr>
          <w:rFonts w:cs="Times New Roman"/>
        </w:rPr>
        <w:t xml:space="preserve">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4">
    <w:p w14:paraId="4950CB5D" w14:textId="77777777" w:rsidR="00165BB7" w:rsidRDefault="00165BB7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5">
    <w:p w14:paraId="3B969D61" w14:textId="77777777" w:rsidR="00165BB7" w:rsidRDefault="00165BB7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6">
    <w:p w14:paraId="1C206FFA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7">
    <w:p w14:paraId="23748637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84DAEE4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9">
    <w:p w14:paraId="673B4288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67745636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1">
    <w:p w14:paraId="751C4AA7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10 сводного отчета.</w:t>
      </w:r>
    </w:p>
  </w:footnote>
  <w:footnote w:id="12">
    <w:p w14:paraId="5968DE3B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27225720" w14:textId="77777777" w:rsidR="00165BB7" w:rsidRDefault="00165BB7" w:rsidP="00646450">
      <w:pPr>
        <w:pStyle w:val="a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3">
    <w:p w14:paraId="6B752A5C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5 сводного отчета.</w:t>
      </w:r>
    </w:p>
  </w:footnote>
  <w:footnote w:id="14">
    <w:p w14:paraId="08E6ED0F" w14:textId="77777777" w:rsidR="00165BB7" w:rsidRDefault="00165BB7" w:rsidP="006464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85248"/>
      <w:docPartObj>
        <w:docPartGallery w:val="Page Numbers (Top of Page)"/>
        <w:docPartUnique/>
      </w:docPartObj>
    </w:sdtPr>
    <w:sdtEndPr/>
    <w:sdtContent>
      <w:p w14:paraId="79C3B444" w14:textId="77777777" w:rsidR="00165BB7" w:rsidRDefault="0016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8E">
          <w:rPr>
            <w:noProof/>
          </w:rPr>
          <w:t>2</w:t>
        </w:r>
        <w:r>
          <w:fldChar w:fldCharType="end"/>
        </w:r>
      </w:p>
    </w:sdtContent>
  </w:sdt>
  <w:p w14:paraId="63E79DE5" w14:textId="77777777" w:rsidR="00165BB7" w:rsidRDefault="00165B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F"/>
    <w:rsid w:val="00010E82"/>
    <w:rsid w:val="00032991"/>
    <w:rsid w:val="00045A7E"/>
    <w:rsid w:val="000525A5"/>
    <w:rsid w:val="000D3927"/>
    <w:rsid w:val="00126501"/>
    <w:rsid w:val="00127607"/>
    <w:rsid w:val="00127C9B"/>
    <w:rsid w:val="0014714F"/>
    <w:rsid w:val="00162C18"/>
    <w:rsid w:val="001638AF"/>
    <w:rsid w:val="00165BB7"/>
    <w:rsid w:val="00185591"/>
    <w:rsid w:val="001A227E"/>
    <w:rsid w:val="001E48EF"/>
    <w:rsid w:val="00206CC3"/>
    <w:rsid w:val="0025091D"/>
    <w:rsid w:val="002A432F"/>
    <w:rsid w:val="002D7307"/>
    <w:rsid w:val="003012D7"/>
    <w:rsid w:val="00305767"/>
    <w:rsid w:val="00393BE1"/>
    <w:rsid w:val="003E45BB"/>
    <w:rsid w:val="00454A56"/>
    <w:rsid w:val="004A2F5F"/>
    <w:rsid w:val="00513DB6"/>
    <w:rsid w:val="0054164A"/>
    <w:rsid w:val="00561C05"/>
    <w:rsid w:val="00577542"/>
    <w:rsid w:val="005C2DF6"/>
    <w:rsid w:val="005D00E0"/>
    <w:rsid w:val="00625DC4"/>
    <w:rsid w:val="00646450"/>
    <w:rsid w:val="0068313A"/>
    <w:rsid w:val="00720D04"/>
    <w:rsid w:val="007226E0"/>
    <w:rsid w:val="007D2998"/>
    <w:rsid w:val="007F2BE6"/>
    <w:rsid w:val="008219CE"/>
    <w:rsid w:val="008536B0"/>
    <w:rsid w:val="0086092E"/>
    <w:rsid w:val="008854BF"/>
    <w:rsid w:val="008E4468"/>
    <w:rsid w:val="008F1CC2"/>
    <w:rsid w:val="0096309B"/>
    <w:rsid w:val="00996992"/>
    <w:rsid w:val="009B4EEA"/>
    <w:rsid w:val="009C3949"/>
    <w:rsid w:val="009D0956"/>
    <w:rsid w:val="009F63CC"/>
    <w:rsid w:val="00A2651F"/>
    <w:rsid w:val="00A40052"/>
    <w:rsid w:val="00A6003F"/>
    <w:rsid w:val="00A75DD2"/>
    <w:rsid w:val="00A7646F"/>
    <w:rsid w:val="00AB5F47"/>
    <w:rsid w:val="00AB7C74"/>
    <w:rsid w:val="00AC4AC0"/>
    <w:rsid w:val="00AD73DD"/>
    <w:rsid w:val="00AE328E"/>
    <w:rsid w:val="00B44679"/>
    <w:rsid w:val="00B4606A"/>
    <w:rsid w:val="00B470C5"/>
    <w:rsid w:val="00B72EEF"/>
    <w:rsid w:val="00C05A36"/>
    <w:rsid w:val="00C55517"/>
    <w:rsid w:val="00C5640C"/>
    <w:rsid w:val="00CB7ACF"/>
    <w:rsid w:val="00CE25E7"/>
    <w:rsid w:val="00D05F78"/>
    <w:rsid w:val="00D32E07"/>
    <w:rsid w:val="00E075E3"/>
    <w:rsid w:val="00E17685"/>
    <w:rsid w:val="00E4583A"/>
    <w:rsid w:val="00E52842"/>
    <w:rsid w:val="00E57821"/>
    <w:rsid w:val="00E860D1"/>
    <w:rsid w:val="00E86C73"/>
    <w:rsid w:val="00E934D8"/>
    <w:rsid w:val="00E95BB7"/>
    <w:rsid w:val="00EF1224"/>
    <w:rsid w:val="00EF7CE9"/>
    <w:rsid w:val="00FE062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4645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  <w:style w:type="paragraph" w:styleId="ac">
    <w:name w:val="No Spacing"/>
    <w:uiPriority w:val="1"/>
    <w:qFormat/>
    <w:rsid w:val="00513DB6"/>
    <w:pPr>
      <w:spacing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4645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  <w:style w:type="paragraph" w:styleId="ac">
    <w:name w:val="No Spacing"/>
    <w:uiPriority w:val="1"/>
    <w:qFormat/>
    <w:rsid w:val="00513DB6"/>
    <w:pPr>
      <w:spacing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ПОЛИХРОНИДИ АФИНА ПАНАЕТОВНА</cp:lastModifiedBy>
  <cp:revision>3</cp:revision>
  <dcterms:created xsi:type="dcterms:W3CDTF">2020-06-04T19:16:00Z</dcterms:created>
  <dcterms:modified xsi:type="dcterms:W3CDTF">2020-06-30T16:53:00Z</dcterms:modified>
</cp:coreProperties>
</file>