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90" w:rsidRDefault="008C102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СВОДКА</w:t>
      </w:r>
    </w:p>
    <w:p w:rsidR="00E56890" w:rsidRDefault="008C10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предложений по итогам проведения публичного обсуждения </w:t>
      </w:r>
      <w:bookmarkStart w:id="1" w:name="OLE_LINK1"/>
      <w:bookmarkStart w:id="2" w:name="OLE_LINK2"/>
      <w:r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>
        <w:rPr>
          <w:b/>
          <w:bCs/>
          <w:sz w:val="28"/>
          <w:szCs w:val="28"/>
        </w:rPr>
        <w:t xml:space="preserve">приказа Минфина России </w:t>
      </w:r>
      <w:r>
        <w:rPr>
          <w:b/>
          <w:bCs/>
          <w:sz w:val="28"/>
          <w:szCs w:val="28"/>
        </w:rPr>
        <w:br/>
        <w:t>«</w:t>
      </w:r>
      <w:r>
        <w:rPr>
          <w:b/>
          <w:sz w:val="28"/>
        </w:rPr>
        <w:t>О  полномочиях  таможенных  органов по регистрации таможенных деклараций»</w:t>
      </w:r>
    </w:p>
    <w:p w:rsidR="00E56890" w:rsidRDefault="00E56890">
      <w:pPr>
        <w:jc w:val="center"/>
        <w:rPr>
          <w:b/>
          <w:bCs/>
          <w:sz w:val="28"/>
          <w:szCs w:val="28"/>
        </w:rPr>
      </w:pPr>
    </w:p>
    <w:p w:rsidR="00E56890" w:rsidRPr="009A43C9" w:rsidRDefault="008C1021">
      <w:pPr>
        <w:rPr>
          <w:sz w:val="28"/>
          <w:szCs w:val="28"/>
        </w:rPr>
      </w:pPr>
      <w:r w:rsidRPr="009A43C9">
        <w:rPr>
          <w:sz w:val="28"/>
          <w:szCs w:val="28"/>
          <w:lang w:val="en-US"/>
        </w:rPr>
        <w:t>ID</w:t>
      </w:r>
      <w:r w:rsidRPr="009A43C9">
        <w:rPr>
          <w:sz w:val="28"/>
          <w:szCs w:val="28"/>
        </w:rPr>
        <w:t xml:space="preserve"> проекта: ID 02/08/10-20/00109902</w:t>
      </w:r>
    </w:p>
    <w:p w:rsidR="00E56890" w:rsidRPr="009A43C9" w:rsidRDefault="009A43C9">
      <w:r w:rsidRPr="009A43C9">
        <w:rPr>
          <w:sz w:val="28"/>
          <w:szCs w:val="28"/>
        </w:rPr>
        <w:t xml:space="preserve">Дата проведения публичного обсуждения: </w:t>
      </w:r>
      <w:r w:rsidRPr="009A43C9">
        <w:rPr>
          <w:sz w:val="28"/>
          <w:szCs w:val="28"/>
        </w:rPr>
        <w:t>05</w:t>
      </w:r>
      <w:r w:rsidRPr="009A43C9">
        <w:rPr>
          <w:sz w:val="28"/>
          <w:szCs w:val="28"/>
        </w:rPr>
        <w:t>.</w:t>
      </w:r>
      <w:r w:rsidRPr="009A43C9">
        <w:rPr>
          <w:sz w:val="28"/>
          <w:szCs w:val="28"/>
        </w:rPr>
        <w:t>02</w:t>
      </w:r>
      <w:r w:rsidRPr="009A43C9">
        <w:rPr>
          <w:sz w:val="28"/>
          <w:szCs w:val="28"/>
        </w:rPr>
        <w:t>.202</w:t>
      </w:r>
      <w:r w:rsidRPr="009A43C9">
        <w:rPr>
          <w:sz w:val="28"/>
          <w:szCs w:val="28"/>
        </w:rPr>
        <w:t>1</w:t>
      </w:r>
      <w:r w:rsidRPr="009A43C9">
        <w:rPr>
          <w:sz w:val="28"/>
          <w:szCs w:val="28"/>
        </w:rPr>
        <w:t xml:space="preserve"> – </w:t>
      </w:r>
      <w:r w:rsidRPr="009A43C9">
        <w:rPr>
          <w:sz w:val="28"/>
          <w:szCs w:val="28"/>
        </w:rPr>
        <w:t>16</w:t>
      </w:r>
      <w:r w:rsidRPr="009A43C9">
        <w:rPr>
          <w:sz w:val="28"/>
          <w:szCs w:val="28"/>
        </w:rPr>
        <w:t>.</w:t>
      </w:r>
      <w:r w:rsidRPr="009A43C9">
        <w:rPr>
          <w:sz w:val="28"/>
          <w:szCs w:val="28"/>
        </w:rPr>
        <w:t>02</w:t>
      </w:r>
      <w:r w:rsidRPr="009A43C9">
        <w:rPr>
          <w:sz w:val="28"/>
          <w:szCs w:val="28"/>
        </w:rPr>
        <w:t>.202</w:t>
      </w:r>
      <w:r w:rsidRPr="009A43C9">
        <w:rPr>
          <w:sz w:val="28"/>
          <w:szCs w:val="28"/>
        </w:rPr>
        <w:t>1</w:t>
      </w:r>
    </w:p>
    <w:p w:rsidR="009A43C9" w:rsidRDefault="009A43C9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464"/>
        <w:gridCol w:w="5159"/>
      </w:tblGrid>
      <w:tr w:rsidR="00E56890">
        <w:trPr>
          <w:trHeight w:val="270"/>
        </w:trPr>
        <w:tc>
          <w:tcPr>
            <w:tcW w:w="567" w:type="dxa"/>
          </w:tcPr>
          <w:p w:rsidR="00E56890" w:rsidRDefault="008C1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56890" w:rsidRDefault="008C10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6464" w:type="dxa"/>
          </w:tcPr>
          <w:p w:rsidR="00E56890" w:rsidRDefault="008C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Позиция участника обсуждения</w:t>
            </w:r>
          </w:p>
        </w:tc>
        <w:tc>
          <w:tcPr>
            <w:tcW w:w="5159" w:type="dxa"/>
          </w:tcPr>
          <w:p w:rsidR="00E56890" w:rsidRDefault="008C10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Комментарии </w:t>
            </w: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44444"/>
                <w:sz w:val="19"/>
                <w:szCs w:val="19"/>
              </w:rPr>
              <w:t>Перроте Александр Алланович</w:t>
            </w:r>
          </w:p>
        </w:tc>
        <w:tc>
          <w:tcPr>
            <w:tcW w:w="6464" w:type="dxa"/>
          </w:tcPr>
          <w:p w:rsidR="00E56890" w:rsidRDefault="008C1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Какое влияние на социально-экономическое развитие субъектов Российской Федерации может оказать предлагаемое регулирование?</w:t>
            </w:r>
          </w:p>
          <w:p w:rsidR="00E56890" w:rsidRDefault="008C1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Отрицательное. Не согласуется с процедурами по соблюдению запретов и ограничений в части сертификации партий товаров. Замедлит таможенное оформление товаров. Приведет к удорожанию импортируемой продукции.</w:t>
            </w:r>
          </w:p>
        </w:tc>
        <w:tc>
          <w:tcPr>
            <w:tcW w:w="5159" w:type="dxa"/>
          </w:tcPr>
          <w:p w:rsidR="009A43C9" w:rsidRDefault="009A43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учтено.</w:t>
            </w:r>
          </w:p>
          <w:p w:rsidR="009A43C9" w:rsidRDefault="009A43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E56890" w:rsidRDefault="008C10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полностью соответствует подходам и принципам создания единой сети электронных таможен и центров электронного декларирования (далее – ЦЭД), одобренным Президентом Российской Федерации </w:t>
            </w:r>
            <w:r>
              <w:rPr>
                <w:rFonts w:ascii="Times New Roman" w:hAnsi="Times New Roman" w:cs="Times New Roman"/>
              </w:rPr>
              <w:br/>
              <w:t xml:space="preserve">и Правительством Российской Федерации. Реализованный в проекте приказа механизм позволяет обеспечить подачу деклараций на товары в «одну точку»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Единую автоматизированную информационную систему таможенных органов с последующим автоматическим их распределением между ЦЭД независимо от местонахождения товара и категории декларанта, что предусмотрено планом мероприятий «Трансформация делового климата»</w:t>
            </w:r>
            <w:r w:rsidR="00E445B1">
              <w:rPr>
                <w:rFonts w:ascii="Times New Roman" w:hAnsi="Times New Roman" w:cs="Times New Roman"/>
              </w:rPr>
              <w:t xml:space="preserve"> (</w:t>
            </w:r>
            <w:r w:rsidR="00E445B1" w:rsidRPr="00E445B1">
              <w:rPr>
                <w:rFonts w:ascii="Times New Roman" w:hAnsi="Times New Roman" w:cs="Times New Roman"/>
              </w:rPr>
              <w:t>Пункт 7 перечня мероприятий по направлению «Таможенное администрирование» плана мероприятий «Трансформация делового климата», утвержденного распоряжением Правительства Российской Федерации от 17.01.2019 № 20-р</w:t>
            </w:r>
            <w:r w:rsidR="00E445B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(далее – ТДК</w:t>
            </w:r>
            <w:r w:rsidR="00E445B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E56890" w:rsidRDefault="008C10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не регулирует процедуру сертификации товаров и не содержит </w:t>
            </w:r>
            <w:r>
              <w:rPr>
                <w:rFonts w:ascii="Times New Roman" w:hAnsi="Times New Roman" w:cs="Times New Roman"/>
              </w:rPr>
              <w:lastRenderedPageBreak/>
              <w:t>ограничений в части нетарифного регулирования.</w:t>
            </w:r>
          </w:p>
          <w:p w:rsidR="00E56890" w:rsidRDefault="008C10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Применяемые во всех ЦЭД единые информационные таможенные технологии, единая система управления рисками, постоянный контроль единообразия правоприменения, принятие кадровых и организационных мер в целях выравнивания нагрузки на должностных лиц ЦЭД создают предпосылки для минимизации сроков выпуска товаров всеми ЦЭД.</w:t>
            </w: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44444"/>
                <w:sz w:val="19"/>
                <w:szCs w:val="19"/>
              </w:rPr>
              <w:t>Перроте Александр Алланович</w:t>
            </w:r>
          </w:p>
        </w:tc>
        <w:tc>
          <w:tcPr>
            <w:tcW w:w="6464" w:type="dxa"/>
          </w:tcPr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Повлияет ли принятие проекта НПА на расходные обязательства субъектов Российской Федерации?</w:t>
            </w:r>
          </w:p>
          <w:p w:rsidR="00E56890" w:rsidRDefault="00E56890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</w:p>
        </w:tc>
        <w:tc>
          <w:tcPr>
            <w:tcW w:w="5159" w:type="dxa"/>
          </w:tcPr>
          <w:p w:rsidR="009A43C9" w:rsidRDefault="009A43C9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Учтено.</w:t>
            </w:r>
          </w:p>
          <w:p w:rsidR="009A43C9" w:rsidRDefault="009A43C9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56890" w:rsidRDefault="008C1021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Заложенные в проекте приказа подходы к автоматическому распределению деклараций на товары между таможенными органами позволяют прогнозировать нагрузку на должностных лиц ЦЭД, что обеспечит оптимизацию штатной численности и организационной структуры таможенных органов.</w:t>
            </w:r>
          </w:p>
          <w:p w:rsidR="00E56890" w:rsidRDefault="008C1021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Таким образом, вступление в силу проекта приказа не повлечет дополнительных расходов федерального бюджета и бюджетов субъектов Российской Федерации. </w:t>
            </w: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44444"/>
                <w:sz w:val="19"/>
                <w:szCs w:val="19"/>
              </w:rPr>
              <w:t>Перроте Александр Алланович</w:t>
            </w:r>
          </w:p>
        </w:tc>
        <w:tc>
          <w:tcPr>
            <w:tcW w:w="6464" w:type="dxa"/>
          </w:tcPr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Является ли предлагаемое регулирование оптимальным способом решения проблемы?</w:t>
            </w:r>
          </w:p>
          <w:p w:rsidR="00E56890" w:rsidRDefault="00E56890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Нет. Необходимо вывести из под действия Приказа, по крайней мере, лиц низкой категории риска, присвоенной лицам в порядке, определенном Приказом Минфина России от 21.02.2020 № 29н, и п. 3 статьи 430 ТК ЕАЭС.</w:t>
            </w:r>
          </w:p>
        </w:tc>
        <w:tc>
          <w:tcPr>
            <w:tcW w:w="5159" w:type="dxa"/>
          </w:tcPr>
          <w:p w:rsidR="009A43C9" w:rsidRDefault="009A43C9" w:rsidP="00B26297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 учтено.</w:t>
            </w:r>
          </w:p>
          <w:p w:rsidR="009A43C9" w:rsidRDefault="009A43C9" w:rsidP="00B26297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56890" w:rsidRDefault="008C1021" w:rsidP="00B26297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ТДК предусмотрено обеспечение </w:t>
            </w:r>
            <w:r>
              <w:rPr>
                <w:rFonts w:ascii="Times New Roman" w:hAnsi="Times New Roman" w:cs="Times New Roman"/>
              </w:rPr>
              <w:t>автоматической диспетчеризации на товары между ЦЭД независимо от местонахождения товара и категории декларанта. С учетом применения автоматической диспетчеризации в том числе с целью минимизации случаев направления ДТ в неуполномоченный таможенный орган, вывод из</w:t>
            </w:r>
            <w:r w:rsidR="00B2629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под действия Приказа участников низкого уровня риска </w:t>
            </w:r>
            <w:r>
              <w:rPr>
                <w:rFonts w:ascii="Times New Roman" w:hAnsi="Times New Roman" w:cs="Times New Roman"/>
              </w:rPr>
              <w:lastRenderedPageBreak/>
              <w:t>нецелесообраз</w:t>
            </w:r>
            <w:r w:rsidR="00B26297">
              <w:rPr>
                <w:rFonts w:ascii="Times New Roman" w:hAnsi="Times New Roman" w:cs="Times New Roman"/>
              </w:rPr>
              <w:t>ен</w:t>
            </w:r>
            <w:r>
              <w:rPr>
                <w:rFonts w:ascii="Times New Roman" w:hAnsi="Times New Roman" w:cs="Times New Roman"/>
              </w:rPr>
              <w:t>. Риск-категорирование участников ВЭД обеспечивает неприменение мер по минимизации рисков при проверке ДТ. Объем специальных упрощений УЭО проектом приказа не ограничивается.</w:t>
            </w: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4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44444"/>
                <w:sz w:val="19"/>
                <w:szCs w:val="19"/>
              </w:rPr>
              <w:t>Перроте Александр Алланович</w:t>
            </w:r>
          </w:p>
        </w:tc>
        <w:tc>
          <w:tcPr>
            <w:tcW w:w="6464" w:type="dxa"/>
          </w:tcPr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ind w:firstLin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Замедление процесса таможенного оформления, удорожание импортных товаров.</w:t>
            </w:r>
          </w:p>
        </w:tc>
        <w:tc>
          <w:tcPr>
            <w:tcW w:w="5159" w:type="dxa"/>
          </w:tcPr>
          <w:p w:rsidR="009A43C9" w:rsidRDefault="009A43C9" w:rsidP="009A43C9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 учтено.</w:t>
            </w:r>
          </w:p>
          <w:p w:rsidR="009A43C9" w:rsidRDefault="009A43C9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</w:rPr>
            </w:pPr>
          </w:p>
          <w:p w:rsidR="00E56890" w:rsidRDefault="008C1021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Применяемые во всех ЦЭД единые информационные таможенные технологии (авторегистрация, автовыпуск), единая система управления рисками, постоянный контроль единообразия правоприменения, принятие кадровых и организационных мер в целях выравнивания нагрузки на должностных лиц ЦЭД создают условия для минимизации сроков выпуска товаров всеми ЦЭД. При этом, положения Приказа не регулируют вопросы логистики и мест хранения товара</w:t>
            </w:r>
            <w:r w:rsidR="00B26297">
              <w:rPr>
                <w:rFonts w:ascii="Times New Roman" w:hAnsi="Times New Roman" w:cs="Times New Roman"/>
              </w:rPr>
              <w:t>.</w:t>
            </w: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44444"/>
                <w:sz w:val="19"/>
                <w:szCs w:val="19"/>
              </w:rPr>
              <w:t>Перроте Александр Алланович</w:t>
            </w:r>
          </w:p>
        </w:tc>
        <w:tc>
          <w:tcPr>
            <w:tcW w:w="6464" w:type="dxa"/>
          </w:tcPr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E56890" w:rsidRDefault="00E56890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Никаких.</w:t>
            </w:r>
          </w:p>
        </w:tc>
        <w:tc>
          <w:tcPr>
            <w:tcW w:w="5159" w:type="dxa"/>
          </w:tcPr>
          <w:p w:rsidR="009A43C9" w:rsidRDefault="009A43C9" w:rsidP="009A43C9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 учтено.</w:t>
            </w:r>
          </w:p>
          <w:p w:rsidR="009A43C9" w:rsidRDefault="009A43C9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56890" w:rsidRDefault="008C1021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 стороны таможенных органов – оптимизация штатной численность и организационной структуры таможенных органов, единообразие применение норм таможенного законодательства, автоматизация отдельных проверок</w:t>
            </w:r>
            <w:r w:rsidR="004002F2">
              <w:rPr>
                <w:rFonts w:ascii="Times New Roman" w:hAnsi="Times New Roman" w:cs="Times New Roman"/>
                <w:szCs w:val="28"/>
              </w:rPr>
              <w:t xml:space="preserve">, обеспечение контроля после выпуска </w:t>
            </w:r>
            <w:r w:rsidR="00B81B5C">
              <w:rPr>
                <w:rFonts w:ascii="Times New Roman" w:hAnsi="Times New Roman" w:cs="Times New Roman"/>
                <w:szCs w:val="28"/>
              </w:rPr>
              <w:t xml:space="preserve">товаров </w:t>
            </w:r>
            <w:r w:rsidR="004002F2">
              <w:rPr>
                <w:rFonts w:ascii="Times New Roman" w:hAnsi="Times New Roman" w:cs="Times New Roman"/>
                <w:szCs w:val="28"/>
              </w:rPr>
              <w:t>в рамках региона налогового учета декларанта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E56890" w:rsidRDefault="008C1021" w:rsidP="004002F2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Со стороны бизнеса – сокращение сроков выпуска товаров, </w:t>
            </w:r>
            <w:r w:rsidR="00A362C9">
              <w:rPr>
                <w:rFonts w:ascii="Times New Roman" w:hAnsi="Times New Roman" w:cs="Times New Roman"/>
                <w:szCs w:val="28"/>
              </w:rPr>
              <w:t xml:space="preserve">за счет выравнивания нагрузки на должностных лиц ЦЭД и расширения автоматизации совершения таможенных операций; </w:t>
            </w:r>
            <w:r>
              <w:rPr>
                <w:rFonts w:ascii="Times New Roman" w:hAnsi="Times New Roman" w:cs="Times New Roman"/>
                <w:szCs w:val="28"/>
              </w:rPr>
              <w:t xml:space="preserve">минимизация случаев  направления декларантом ДТ в таможенный орган, у которого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отсутствует компетенция по оформлению декларируемой категории товаров</w:t>
            </w:r>
            <w:r w:rsidR="004002F2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44444"/>
                <w:sz w:val="19"/>
                <w:szCs w:val="19"/>
              </w:rPr>
              <w:t>Перроте Александр Алланович</w:t>
            </w:r>
          </w:p>
        </w:tc>
        <w:tc>
          <w:tcPr>
            <w:tcW w:w="6464" w:type="dxa"/>
          </w:tcPr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Существуют ли альтернативные (менее затратные и (или) более эффективные) способы решения проблемы?</w:t>
            </w:r>
          </w:p>
          <w:p w:rsidR="00E56890" w:rsidRDefault="00E56890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Спросите у разработчиков. Я проблемы, для решение которой создан этот проект НПА, вообще не вижу</w:t>
            </w:r>
          </w:p>
        </w:tc>
        <w:tc>
          <w:tcPr>
            <w:tcW w:w="5159" w:type="dxa"/>
          </w:tcPr>
          <w:p w:rsidR="00F4723C" w:rsidRDefault="00F4723C" w:rsidP="00F4723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 учтено.</w:t>
            </w:r>
          </w:p>
          <w:p w:rsidR="00F4723C" w:rsidRDefault="00F4723C" w:rsidP="00B81B5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56890" w:rsidRDefault="008C1021" w:rsidP="00B81B5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Непрогнозируемое распределение декларационного массива между таможенными органами повлечет необходимость увеличения штатной численности должностных лиц ЦЭД. Вероятность некорректного определения таможенного органа декларирования влечет необходимость дополнительного контроля со стороны таможенных органов и ресурсных затрат на операции по отказу в регистрации ДТ</w:t>
            </w:r>
            <w:r w:rsidR="00B81B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44444"/>
                <w:sz w:val="19"/>
                <w:szCs w:val="19"/>
              </w:rPr>
              <w:t>Перроте Александр Алланович</w:t>
            </w:r>
          </w:p>
        </w:tc>
        <w:tc>
          <w:tcPr>
            <w:tcW w:w="6464" w:type="dxa"/>
          </w:tcPr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Ваше общее мнение по предлагаемому регулированию?</w:t>
            </w:r>
          </w:p>
          <w:p w:rsidR="00E56890" w:rsidRDefault="00E56890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Отрицательное.</w:t>
            </w:r>
          </w:p>
        </w:tc>
        <w:tc>
          <w:tcPr>
            <w:tcW w:w="5159" w:type="dxa"/>
          </w:tcPr>
          <w:p w:rsidR="00F4723C" w:rsidRDefault="00F4723C" w:rsidP="00F4723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 учтено.</w:t>
            </w:r>
          </w:p>
          <w:p w:rsidR="00F4723C" w:rsidRDefault="00F4723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</w:rPr>
            </w:pPr>
          </w:p>
          <w:p w:rsidR="00E56890" w:rsidRDefault="008C1021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Проект приказа полностью соответствует подходам и принципам создания единой сети электронных таможен и центров электронного декларирования, одобренным Президентом Российской Федерации и Правительством Российской Федерации</w:t>
            </w:r>
            <w:r w:rsidR="00B81B5C">
              <w:rPr>
                <w:rFonts w:ascii="Times New Roman" w:hAnsi="Times New Roman" w:cs="Times New Roman"/>
              </w:rPr>
              <w:t>.</w:t>
            </w: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44444"/>
                <w:sz w:val="19"/>
                <w:szCs w:val="19"/>
              </w:rPr>
              <w:t>Перроте Александр Алланович</w:t>
            </w:r>
          </w:p>
        </w:tc>
        <w:tc>
          <w:tcPr>
            <w:tcW w:w="6464" w:type="dxa"/>
          </w:tcPr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 не вижу необходимости в принятии этого НПА. Более того, считаю его вредным. Если ФТС по каким-либо причинам будет настаивать на его принятии, то необходимо вывести из под действия Приказа, по крайней мере, лиц низкой категории риска, присвоенной лицам в порядке, определенном Приказом Минфина России от 21.02.2020 № 29н, и п. 3 статьи 430 ТК ЕАЭС.</w:t>
            </w:r>
          </w:p>
        </w:tc>
        <w:tc>
          <w:tcPr>
            <w:tcW w:w="5159" w:type="dxa"/>
          </w:tcPr>
          <w:p w:rsidR="00F4723C" w:rsidRDefault="00F4723C" w:rsidP="00F4723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 учтено.</w:t>
            </w:r>
          </w:p>
          <w:p w:rsidR="00F4723C" w:rsidRDefault="00F4723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56890" w:rsidRDefault="008C1021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связи с завершением реформирования структуры таможенных органов и созданием единой сети электронных таможен и ЦЭД необходимо определить полномочия по регистрации таможенных деклараций для каждого таможенного органа.</w:t>
            </w:r>
          </w:p>
          <w:p w:rsidR="00E56890" w:rsidRDefault="008C1021" w:rsidP="006C0210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Возможность определенным категориям декларантов самостоятельно определять ЦЭД </w:t>
            </w:r>
            <w:r w:rsidR="006C0210">
              <w:rPr>
                <w:rFonts w:ascii="Times New Roman" w:hAnsi="Times New Roman" w:cs="Times New Roman"/>
                <w:szCs w:val="28"/>
              </w:rPr>
              <w:t>при подаче ДТ</w:t>
            </w:r>
            <w:r>
              <w:rPr>
                <w:rFonts w:ascii="Times New Roman" w:hAnsi="Times New Roman" w:cs="Times New Roman"/>
                <w:szCs w:val="28"/>
              </w:rPr>
              <w:t xml:space="preserve"> влечет непрогнозируемые пиковые нагрузки на должностных лиц, выпускающих декларации на товары, что может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негативно сказаться на сроках выпуска и качестве таможенного контроля. Также существует вероятность ошибочного указания таможенного органа декларирования, что повлечет дополнительные расходы декларанта в связи с отказом в регистрации ДТ.</w:t>
            </w: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Helvetica" w:eastAsia="Times New Roman" w:hAnsi="Helvetica" w:cs="Helvetica"/>
                <w:b/>
                <w:bCs/>
                <w:color w:val="444444"/>
                <w:sz w:val="19"/>
                <w:szCs w:val="19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44444"/>
                <w:sz w:val="19"/>
                <w:szCs w:val="19"/>
              </w:rPr>
              <w:t>Гладкова Светлана Александровна</w:t>
            </w:r>
          </w:p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</w:rPr>
              <w:t>ПАО "Газпром нефть"</w:t>
            </w:r>
          </w:p>
        </w:tc>
        <w:tc>
          <w:tcPr>
            <w:tcW w:w="6464" w:type="dxa"/>
          </w:tcPr>
          <w:p w:rsidR="00E56890" w:rsidRDefault="008C1021">
            <w:pPr>
              <w:pStyle w:val="Style20"/>
              <w:tabs>
                <w:tab w:val="left" w:pos="826"/>
                <w:tab w:val="right" w:pos="8954"/>
              </w:tabs>
              <w:spacing w:after="0" w:line="240" w:lineRule="auto"/>
              <w:ind w:firstLine="17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Добавить новые пп. в П.4:</w:t>
            </w:r>
          </w:p>
          <w:p w:rsidR="00E56890" w:rsidRDefault="00E56890">
            <w:pPr>
              <w:pStyle w:val="Style20"/>
              <w:tabs>
                <w:tab w:val="left" w:pos="826"/>
                <w:tab w:val="right" w:pos="8954"/>
              </w:tabs>
              <w:spacing w:after="0" w:line="240" w:lineRule="auto"/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890" w:rsidRDefault="008C1021">
            <w:pPr>
              <w:pStyle w:val="Style20"/>
              <w:tabs>
                <w:tab w:val="left" w:pos="826"/>
                <w:tab w:val="right" w:pos="8954"/>
              </w:tabs>
              <w:spacing w:after="0" w:line="240" w:lineRule="auto"/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12) энергоносителей, обладают Энергетический таможенный пост (центр электронного декларирования) Центральной энергетической таможни, а также таможенные посты ЦЭТ в случае, если эти таможенные посты наделены компетенцией по совершению таможенных операций в отношении указанных товаров иными нормативными правовыми актами.</w:t>
            </w:r>
          </w:p>
          <w:p w:rsidR="00E56890" w:rsidRDefault="00E56890">
            <w:pPr>
              <w:pStyle w:val="Style20"/>
              <w:tabs>
                <w:tab w:val="left" w:pos="826"/>
                <w:tab w:val="right" w:pos="8954"/>
              </w:tabs>
              <w:spacing w:after="0" w:line="240" w:lineRule="auto"/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890" w:rsidRDefault="008C1021">
            <w:pPr>
              <w:pStyle w:val="Style20"/>
              <w:tabs>
                <w:tab w:val="left" w:pos="826"/>
                <w:tab w:val="right" w:pos="8954"/>
              </w:tabs>
              <w:spacing w:after="0" w:line="240" w:lineRule="auto"/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13) в отношении подакцизных и иных товаров, обладают Акцизный специализированный таможенный пост (центр электронного декларирования) Центральной акцизной таможни, а также таможенные посты ЦАТ в случае, если эти таможенные посты наделены компетенцией по совершению таможенных операций в отношении указанных товаров иными нормативными правовыми актами.</w:t>
            </w:r>
          </w:p>
          <w:p w:rsidR="00E56890" w:rsidRDefault="00E56890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890" w:rsidRDefault="008C1021">
            <w:pPr>
              <w:pStyle w:val="Style20"/>
              <w:tabs>
                <w:tab w:val="left" w:pos="826"/>
                <w:tab w:val="right" w:pos="8954"/>
              </w:tabs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 избежание неоднозначного толкования полномочий специализированных ЦЭД, поименованных ниже:</w:t>
            </w:r>
          </w:p>
          <w:p w:rsidR="00E56890" w:rsidRDefault="008C1021">
            <w:pPr>
              <w:pStyle w:val="Style20"/>
              <w:numPr>
                <w:ilvl w:val="0"/>
                <w:numId w:val="11"/>
              </w:numPr>
              <w:tabs>
                <w:tab w:val="left" w:pos="826"/>
                <w:tab w:val="right" w:pos="8954"/>
              </w:tabs>
              <w:spacing w:after="0"/>
              <w:ind w:left="178" w:firstLine="3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Энергетического т/п (ЦЭД) ЦЭТ и не однозначным определением полномочий таможенных постов, подчиненных ЦЭТ и находящихся в морских пунктах пропуска, по совершению таможенных операций, связанных с регистрацией ДТ в отношении припасов, классифицируемых в 27 группе ТН ВЭД ЕАЭС;</w:t>
            </w:r>
          </w:p>
          <w:p w:rsidR="00E56890" w:rsidRDefault="008C1021">
            <w:pPr>
              <w:pStyle w:val="Style20"/>
              <w:numPr>
                <w:ilvl w:val="0"/>
                <w:numId w:val="11"/>
              </w:numPr>
              <w:tabs>
                <w:tab w:val="left" w:pos="826"/>
                <w:tab w:val="right" w:pos="8954"/>
              </w:tabs>
              <w:spacing w:after="0"/>
              <w:ind w:left="178" w:firstLine="3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Акцизного специализированного т/п (ЦЭД);</w:t>
            </w:r>
          </w:p>
          <w:p w:rsidR="00E56890" w:rsidRDefault="008C1021">
            <w:pPr>
              <w:pStyle w:val="Style20"/>
              <w:tabs>
                <w:tab w:val="left" w:pos="826"/>
                <w:tab w:val="right" w:pos="8954"/>
              </w:tabs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Некорректная структура приказа, по ряду таможенных операций есть отдельные положения, касающиеся карнетов АТА, Особых экономических зон Калининград и Магадан, Сколково, а по полномочиям специализированных ЦЭД ЦЭТ и ЦАТ такие положения отсутствуют.</w:t>
            </w:r>
          </w:p>
          <w:p w:rsidR="00E56890" w:rsidRDefault="008C1021">
            <w:pPr>
              <w:pStyle w:val="Style20"/>
              <w:tabs>
                <w:tab w:val="left" w:pos="826"/>
                <w:tab w:val="right" w:pos="8954"/>
              </w:tabs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Полагаем целесообразным конкретизировать - какие именно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ЦЭДы и таможенные посты указанных таможен обладают компетенциями по оформлению деклараций на товар, исходя из установленных их Положениями компетенций</w:t>
            </w:r>
          </w:p>
          <w:p w:rsidR="00E56890" w:rsidRDefault="00E56890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9" w:type="dxa"/>
          </w:tcPr>
          <w:p w:rsidR="00F4723C" w:rsidRDefault="00F4723C" w:rsidP="00F4723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Не учтено.</w:t>
            </w:r>
          </w:p>
          <w:p w:rsidR="00F4723C" w:rsidRDefault="00F4723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56890" w:rsidRDefault="008C1021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Отдельными нормативными правовыми актами определена компетенция таможенных органов по регистрации деклараций на отдельные категории товаров: энергоносители, подакцизные товары, драгоценные металлов и драгоценные камни, делящиеся радиоактивные материалы, товары, перемещаемые иностранными лицами, дипломатическая почта, МПО, товары, декларируемые с особенностями, определенными статьей 117 ТК ЕАЭС, и др. Разработка каждого акта - длительн</w:t>
            </w:r>
            <w:r w:rsidR="00B326BC">
              <w:rPr>
                <w:rFonts w:ascii="Times New Roman" w:hAnsi="Times New Roman" w:cs="Times New Roman"/>
                <w:szCs w:val="28"/>
              </w:rPr>
              <w:t>ы</w:t>
            </w:r>
            <w:r>
              <w:rPr>
                <w:rFonts w:ascii="Times New Roman" w:hAnsi="Times New Roman" w:cs="Times New Roman"/>
                <w:szCs w:val="28"/>
              </w:rPr>
              <w:t xml:space="preserve">й трудоемкий процесс, требующий проработки </w:t>
            </w:r>
            <w:r w:rsidR="00B326BC">
              <w:rPr>
                <w:rFonts w:ascii="Times New Roman" w:hAnsi="Times New Roman" w:cs="Times New Roman"/>
                <w:szCs w:val="28"/>
              </w:rPr>
              <w:t>специальных</w:t>
            </w:r>
            <w:r>
              <w:rPr>
                <w:rFonts w:ascii="Times New Roman" w:hAnsi="Times New Roman" w:cs="Times New Roman"/>
                <w:szCs w:val="28"/>
              </w:rPr>
              <w:t xml:space="preserve"> норм и исключений из них. С учетом возможных изменений как в состав</w:t>
            </w:r>
            <w:r w:rsidR="00553A48">
              <w:rPr>
                <w:rFonts w:ascii="Times New Roman" w:hAnsi="Times New Roman" w:cs="Times New Roman"/>
                <w:szCs w:val="28"/>
              </w:rPr>
              <w:t>е</w:t>
            </w:r>
            <w:r>
              <w:rPr>
                <w:rFonts w:ascii="Times New Roman" w:hAnsi="Times New Roman" w:cs="Times New Roman"/>
                <w:szCs w:val="28"/>
              </w:rPr>
              <w:t xml:space="preserve"> категорий товаров, так и в состав</w:t>
            </w:r>
            <w:r w:rsidR="00553A48">
              <w:rPr>
                <w:rFonts w:ascii="Times New Roman" w:hAnsi="Times New Roman" w:cs="Times New Roman"/>
                <w:szCs w:val="28"/>
              </w:rPr>
              <w:t>е</w:t>
            </w:r>
            <w:r>
              <w:rPr>
                <w:rFonts w:ascii="Times New Roman" w:hAnsi="Times New Roman" w:cs="Times New Roman"/>
                <w:szCs w:val="28"/>
              </w:rPr>
              <w:t xml:space="preserve"> таможенных органов, обладающих соответствующими компетенциями (например, переименование), </w:t>
            </w:r>
            <w:r w:rsidR="00553A48">
              <w:rPr>
                <w:rFonts w:ascii="Times New Roman" w:hAnsi="Times New Roman" w:cs="Times New Roman"/>
                <w:szCs w:val="28"/>
              </w:rPr>
              <w:t>в Приказе целесообразнее сохранить отсылочную</w:t>
            </w:r>
            <w:r>
              <w:rPr>
                <w:rFonts w:ascii="Times New Roman" w:hAnsi="Times New Roman" w:cs="Times New Roman"/>
                <w:szCs w:val="28"/>
              </w:rPr>
              <w:t xml:space="preserve"> норм</w:t>
            </w:r>
            <w:r w:rsidR="00553A48">
              <w:rPr>
                <w:rFonts w:ascii="Times New Roman" w:hAnsi="Times New Roman" w:cs="Times New Roman"/>
                <w:szCs w:val="28"/>
              </w:rPr>
              <w:t>у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E56890" w:rsidRDefault="008C1021" w:rsidP="007511DE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Внесение в единый приказ полномочий в отношении исчерпывающего перечня категорий товаров усложнит структуру приказа и затруднит внесение необходимых изменений.</w:t>
            </w: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Helvetica" w:eastAsia="Times New Roman" w:hAnsi="Helvetica" w:cs="Helvetica"/>
                <w:b/>
                <w:bCs/>
                <w:color w:val="444444"/>
                <w:sz w:val="19"/>
                <w:szCs w:val="19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44444"/>
                <w:sz w:val="19"/>
                <w:szCs w:val="19"/>
              </w:rPr>
              <w:t>Гладкова Светлана Александровна</w:t>
            </w:r>
          </w:p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</w:rPr>
              <w:t>ПАО "Газпром нефть"</w:t>
            </w:r>
          </w:p>
        </w:tc>
        <w:tc>
          <w:tcPr>
            <w:tcW w:w="6464" w:type="dxa"/>
          </w:tcPr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Необходимо  доработать вопрос введения круглосуточного режима мест таможенного оформления.</w:t>
            </w:r>
          </w:p>
          <w:p w:rsidR="00E56890" w:rsidRDefault="00E56890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56890" w:rsidRDefault="008C1021">
            <w:pPr>
              <w:pStyle w:val="24"/>
              <w:tabs>
                <w:tab w:val="left" w:pos="0"/>
              </w:tabs>
              <w:spacing w:after="0" w:line="240" w:lineRule="auto"/>
              <w:ind w:left="-1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Во избежание увеличения сроков совершения таможенных операций,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отказов в регистрации ДТ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в связи с разницей во времени и отсутствием круглосуточного режима декларирования в разных ЦЭДах.</w:t>
            </w:r>
          </w:p>
          <w:p w:rsidR="00E56890" w:rsidRDefault="008C1021">
            <w:pPr>
              <w:pStyle w:val="af2"/>
              <w:tabs>
                <w:tab w:val="left" w:pos="0"/>
              </w:tabs>
              <w:spacing w:line="240" w:lineRule="auto"/>
              <w:ind w:left="3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Например, при подаче 08.02.21 г. в 10 утра по Омскому времени (+3 часа МСК) декларации на товар (далее –ДТ) 29 группы ТН ВЭД ЕАЭС, ДТ была автоматически переадресована в Северо-Западный т/п (ЦЭД), после чего был получен автоматический отказ в выпуске по причине нерабочего времени таможенного поста.</w:t>
            </w:r>
          </w:p>
          <w:p w:rsidR="00E56890" w:rsidRDefault="008C1021">
            <w:pPr>
              <w:pStyle w:val="Style20"/>
              <w:shd w:val="clear" w:color="auto" w:fill="auto"/>
              <w:tabs>
                <w:tab w:val="left" w:pos="0"/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Ранее при подаче аналогичных ДТ на ЦЭД ЦЭТа  таких проблем не возникало, в связи с круглосуточным режимом работы ЦЭТ и полномочием по совершению таможенных операций в отношении данных категорий товаров в соответствии с Положением о ЦЭТ.</w:t>
            </w:r>
          </w:p>
        </w:tc>
        <w:tc>
          <w:tcPr>
            <w:tcW w:w="5159" w:type="dxa"/>
          </w:tcPr>
          <w:p w:rsidR="00F4723C" w:rsidRDefault="00F4723C" w:rsidP="00F4723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 учтено.</w:t>
            </w:r>
          </w:p>
          <w:p w:rsidR="00F4723C" w:rsidRDefault="00F4723C" w:rsidP="00F4723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E56890" w:rsidRDefault="00F4723C" w:rsidP="00F4723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</w:t>
            </w:r>
            <w:r w:rsidR="008C10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настоящее время для всех ЦЭД время работы увеличено до 12 часов. При наличии обращения участника ВЭД оформление товаров может быть осуществлено вне установленного времени работы ЦЭД (</w:t>
            </w:r>
            <w:r w:rsidR="007511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ст. 79 ТК ЕАЭС, </w:t>
            </w:r>
            <w:r w:rsidR="008C10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ст. 84 Федерального закона от 03.08.2018 № 289-ФЗ). Большинство ЦЭД работает </w:t>
            </w:r>
            <w:r w:rsidR="008568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 дней в неделю</w:t>
            </w:r>
            <w:r w:rsidR="008C10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Рассматривается вопрос о переходе на круглосуточный режим работы всех ЦЭД.</w:t>
            </w:r>
          </w:p>
          <w:p w:rsidR="00E56890" w:rsidRDefault="00E56890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РСПП</w:t>
            </w:r>
          </w:p>
        </w:tc>
        <w:tc>
          <w:tcPr>
            <w:tcW w:w="6464" w:type="dxa"/>
          </w:tcPr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8) товаров, необходимых для использования при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строительстве, оборудовании и техническом оснащении объектов недвижимости на территории инновационного центра «Сколково» или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 территории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международного медицинского кластера, а также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 территории инновационных научно-технологических центров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товаров, необходимых для осуществления исследовательской деятельности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коммерциализации ее результатов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участниками проекта создания и обеспечения функционирования территориально обособленного комплекса (инновационного центра «Сколково») или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для осуществления деятельности, соответствующей целям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международного медицинского кластера,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 также для осуществления научно-технологической деятельности участниками проектов по созданию и обеспечению функционирования инновационных научно-технологических центров,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  <w:t>за исключением случаев, предусмотренных подпунктом 11 настоящего пункта,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обладает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Центральный таможенный пост (центр электронного декларирования) Центральной электронной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таможни.</w:t>
            </w:r>
          </w:p>
          <w:p w:rsidR="00E56890" w:rsidRDefault="00E56890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56890" w:rsidRDefault="008C1021">
            <w:pPr>
              <w:pStyle w:val="24"/>
              <w:tabs>
                <w:tab w:val="left" w:pos="993"/>
              </w:tabs>
              <w:spacing w:after="0" w:line="240" w:lineRule="auto"/>
              <w:ind w:left="-1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Поправки внесены в целях:</w:t>
            </w:r>
          </w:p>
          <w:p w:rsidR="00E56890" w:rsidRDefault="008C1021">
            <w:pPr>
              <w:pStyle w:val="24"/>
              <w:numPr>
                <w:ilvl w:val="0"/>
                <w:numId w:val="12"/>
              </w:numPr>
              <w:tabs>
                <w:tab w:val="left" w:pos="993"/>
              </w:tabs>
              <w:spacing w:after="0" w:line="240" w:lineRule="auto"/>
              <w:ind w:left="-14"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приведения наименования целей перемещения товаров, необходимых для проекта «Сколково», в соответствие с редакцией, предусмотренной статьей 11 и пунктом 2 части 3 статьи 20.1 Федерального закона от 28.09.2010 № 244-ФЗ «Об инновационном центре «Сколково»;</w:t>
            </w:r>
          </w:p>
          <w:p w:rsidR="00E56890" w:rsidRDefault="008C1021">
            <w:pPr>
              <w:pStyle w:val="24"/>
              <w:numPr>
                <w:ilvl w:val="0"/>
                <w:numId w:val="12"/>
              </w:numPr>
              <w:tabs>
                <w:tab w:val="left" w:pos="826"/>
                <w:tab w:val="left" w:pos="993"/>
                <w:tab w:val="right" w:pos="8954"/>
              </w:tabs>
              <w:spacing w:after="0" w:line="240" w:lineRule="auto"/>
              <w:ind w:left="-14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обеспечения исполнения Федерального закона от 29.07.2017 № 216-ФЗ «Об инновационных научно-технологических центрах и о внесении изменений в отдельные законодательные акты Российской Федерации», а именно пункта 6 части 2 статьи 23 (в части наделения полномочиями специального органа в области таможенного дела) и статьи 15 (в части наименования целей перемещения товаров, необходимых для инновационных научно-технологических центров);</w:t>
            </w:r>
          </w:p>
          <w:p w:rsidR="00E56890" w:rsidRDefault="008C1021">
            <w:pPr>
              <w:pStyle w:val="24"/>
              <w:numPr>
                <w:ilvl w:val="0"/>
                <w:numId w:val="12"/>
              </w:numPr>
              <w:tabs>
                <w:tab w:val="left" w:pos="826"/>
                <w:tab w:val="left" w:pos="993"/>
                <w:tab w:val="right" w:pos="8954"/>
              </w:tabs>
              <w:spacing w:after="0" w:line="240" w:lineRule="auto"/>
              <w:ind w:left="-14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исполнения пункта 6 части 2 статьи 19 Федерального закона от 28.09.2010 № 244-ФЗ «Об инновационном центре «Сколково» и пункта 6 части 2 статьи 23 Федерального закона от 29.07.2017 № 216-ФЗ «Об инновационных научно-технологических центрах и о внесении изменений в отдельные законодательные акты Российской Федерации» и обеспечения регистрации Центральным таможенным постом (центром электронного декларирования) Центральной электронной таможни всех деклараций в отношении товаров, необходимых для соответствующих проектов, в том числе при заявлении таможенных процедур таких, как например переработка.</w:t>
            </w:r>
          </w:p>
        </w:tc>
        <w:tc>
          <w:tcPr>
            <w:tcW w:w="5159" w:type="dxa"/>
          </w:tcPr>
          <w:p w:rsidR="00F4723C" w:rsidRDefault="00F4723C" w:rsidP="00F4723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Не учтено.</w:t>
            </w:r>
          </w:p>
          <w:p w:rsidR="00F4723C" w:rsidRDefault="00F4723C" w:rsidP="00EA690E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56890" w:rsidRDefault="008C1021" w:rsidP="00EA690E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 связи с тем, что субсидирование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инновационного центра «Сколково» и инновационных научно-технологических центров осуществляется в рамках отдельных федеральных законов,  а также с учетом того, что </w:t>
            </w:r>
            <w:r w:rsidR="00856871">
              <w:rPr>
                <w:rFonts w:ascii="Times New Roman" w:hAnsi="Times New Roman" w:cs="Times New Roman"/>
                <w:sz w:val="22"/>
                <w:szCs w:val="22"/>
              </w:rPr>
              <w:t>процесс создания инновационных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научно-технологически</w:t>
            </w:r>
            <w:r w:rsidR="008568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центр</w:t>
            </w:r>
            <w:r w:rsidR="00856871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6871">
              <w:rPr>
                <w:rFonts w:ascii="Times New Roman" w:hAnsi="Times New Roman" w:cs="Times New Roman"/>
                <w:sz w:val="22"/>
                <w:szCs w:val="22"/>
              </w:rPr>
              <w:t>в настоящее время не завершен</w:t>
            </w:r>
            <w:r w:rsidR="00EA690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практика таможенного декларирования товаров инновационных научно-технологических центров </w:t>
            </w:r>
            <w:r w:rsidR="00EA690E">
              <w:rPr>
                <w:rFonts w:ascii="Times New Roman" w:hAnsi="Times New Roman" w:cs="Times New Roman"/>
                <w:sz w:val="22"/>
                <w:szCs w:val="22"/>
              </w:rPr>
              <w:t xml:space="preserve">окончательно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 сложилась, считаем преждевременным регулирование мест декларирования товаров инновационных научно-технологических центров в данном приказе.</w:t>
            </w: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РСПП</w:t>
            </w:r>
          </w:p>
        </w:tc>
        <w:tc>
          <w:tcPr>
            <w:tcW w:w="6464" w:type="dxa"/>
          </w:tcPr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Style w:val="CharStyle12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CharStyle12"/>
                <w:rFonts w:ascii="Times New Roman" w:hAnsi="Times New Roman" w:cs="Times New Roman"/>
                <w:sz w:val="22"/>
                <w:szCs w:val="22"/>
              </w:rPr>
              <w:t xml:space="preserve">5)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отношении товаров, ввозимых (ввезенных) на таможенную территорию Евразийского экономического союза воздушным транспортом через </w:t>
            </w:r>
            <w:r>
              <w:rPr>
                <w:rStyle w:val="CharStyle12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воздушные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пункты пропуска</w:t>
            </w:r>
            <w:r>
              <w:rPr>
                <w:rStyle w:val="CharStyle12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через Государственную границу Российской Федерации или иные места, являющиеся местами перемещения товаров в соответствии с ТК ЕАЭС, </w:t>
            </w:r>
            <w:r>
              <w:rPr>
                <w:rStyle w:val="CharStyle12"/>
                <w:rFonts w:ascii="Times New Roman" w:hAnsi="Times New Roman" w:cs="Times New Roman"/>
                <w:sz w:val="22"/>
                <w:szCs w:val="22"/>
              </w:rPr>
              <w:t>функционирующие в регионе деятельности Внуковской, Домодедовской и Шереметьевской таможен, об</w:t>
            </w:r>
            <w:r>
              <w:rPr>
                <w:rStyle w:val="CharStyle12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ладает Авиационный таможенный пост (центр электронного декларирования) Шереметьевской таможни </w:t>
            </w:r>
            <w:r>
              <w:rPr>
                <w:rStyle w:val="CharStyle12"/>
                <w:rFonts w:ascii="Times New Roman" w:hAnsi="Times New Roman" w:cs="Times New Roman"/>
                <w:b/>
                <w:sz w:val="22"/>
                <w:szCs w:val="22"/>
              </w:rPr>
              <w:t xml:space="preserve">при условии фактичекского нахождения указанных товаров в регионе </w:t>
            </w:r>
            <w:r>
              <w:rPr>
                <w:rStyle w:val="CharStyle12"/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деятельности Внуковской, Домодедовской и Шереметьевской таможен.</w:t>
            </w:r>
          </w:p>
          <w:p w:rsidR="00E56890" w:rsidRDefault="00E56890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890" w:rsidRDefault="008C102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Предлагаем исключить из подпункта 5 пункта 1 приказа товары, которые ввезены через Московский авиаузел и были перемещены по процедуре таможенного транзита в иные таможенные органы.</w:t>
            </w:r>
          </w:p>
          <w:p w:rsidR="00E56890" w:rsidRDefault="008C102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правило, перемещение товаров с использованием процедуры таможенного транзита осуществляется по месту фактического нахождения производственных мощностей участников ВЭД. С учетом большой разницы во времени между Москвой, регионами Сибири и Дальнего Востока, не представляется возможным обеспечить своевременное взаимодействие между декларантом, Авиационным ЦЭДом и таможенным органом местонахождения товара (при наличии мер контроля, связанных с проведением осмотра, досмотра товаров).</w:t>
            </w:r>
          </w:p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Дополнение подпункта 5 пункта 1 позволит установить полномочия таможенных органов, поименованных в подпункте 1 пункта 1 настоящего приказа для регистрации декларации на указанные товары.</w:t>
            </w:r>
          </w:p>
        </w:tc>
        <w:tc>
          <w:tcPr>
            <w:tcW w:w="5159" w:type="dxa"/>
          </w:tcPr>
          <w:p w:rsidR="00F4723C" w:rsidRDefault="00F4723C" w:rsidP="00F4723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Не учтено.</w:t>
            </w:r>
          </w:p>
          <w:p w:rsidR="00F4723C" w:rsidRDefault="00F4723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56890" w:rsidRDefault="008C102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настоящее время обеспечен ежедневный режим работы Авиационного таможенного поста (ЦЭД) Шереметьевской таможни,  также осуществляется круглосуточное оформление определенных категорий товаров (живые животные, авиазапчасти).</w:t>
            </w:r>
          </w:p>
          <w:p w:rsidR="00E56890" w:rsidRDefault="008C102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По результатам тестирования алгоритма автоматической диспетчеризации деклараций на товары между ЦЭД, проведенного в период с ноября 2020 по январь 2021 года, увеличена штатная численность должностных лиц Авиационного ЦЭД.</w:t>
            </w:r>
          </w:p>
          <w:p w:rsidR="00E56890" w:rsidRDefault="008C102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 учетом проведенной подготовительной работы изменение полномочий по регистрации деклараций на товары Авиационного таможенного поста (ЦЭД) Шереметьевской таможни представляется нецелесообразным.</w:t>
            </w: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13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РСПП</w:t>
            </w:r>
          </w:p>
        </w:tc>
        <w:tc>
          <w:tcPr>
            <w:tcW w:w="6464" w:type="dxa"/>
          </w:tcPr>
          <w:p w:rsidR="00E56890" w:rsidRDefault="008C102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Дополнить проект пунктами 12 и 13:</w:t>
            </w:r>
          </w:p>
          <w:p w:rsidR="00E56890" w:rsidRDefault="008C1021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12) энергоносителей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2"/>
                <w:szCs w:val="22"/>
              </w:rPr>
              <w:t xml:space="preserve">, обладают Энергетический таможенный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пост (центр электронного декларирования) Центральной энергетической таможни, а также таможенные посты ЦЭТ в случае,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2"/>
                <w:szCs w:val="22"/>
              </w:rPr>
              <w:t xml:space="preserve"> если эти таможенные посты наделены компетенцией по совершению таможенных операций в отношении указанных товаров иными нормативными правовыми актами.</w:t>
            </w:r>
          </w:p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2"/>
                <w:szCs w:val="22"/>
              </w:rPr>
              <w:t xml:space="preserve">13)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отношении 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2"/>
                <w:szCs w:val="22"/>
              </w:rPr>
              <w:t>подакцизных и иных товаров,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обладают Акцизный специализированный 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2"/>
                <w:szCs w:val="22"/>
              </w:rPr>
              <w:t xml:space="preserve">таможенный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пост (центр электронного декларирования) Центральной акцизной таможни,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 также таможенные посты ЦАТ в случае,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2"/>
                <w:szCs w:val="22"/>
              </w:rPr>
              <w:t xml:space="preserve"> если эти таможенные посты наделены компетенцией по совершению таможенных операций в отношении указанных товаров иными нормативными правовыми актами.</w:t>
            </w:r>
          </w:p>
          <w:p w:rsidR="00E56890" w:rsidRDefault="00E56890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2"/>
                <w:szCs w:val="22"/>
              </w:rPr>
            </w:pPr>
          </w:p>
          <w:p w:rsidR="00E56890" w:rsidRDefault="008C1021">
            <w:pPr>
              <w:pStyle w:val="24"/>
              <w:tabs>
                <w:tab w:val="left" w:pos="993"/>
              </w:tabs>
              <w:spacing w:after="0" w:line="240" w:lineRule="auto"/>
              <w:ind w:left="-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 избежание неоднозначного толкования полномочий специализированных ЦЭД, поименованных ниже:</w:t>
            </w:r>
          </w:p>
          <w:p w:rsidR="00E56890" w:rsidRDefault="008C1021">
            <w:pPr>
              <w:pStyle w:val="24"/>
              <w:tabs>
                <w:tab w:val="left" w:pos="993"/>
              </w:tabs>
              <w:spacing w:after="0" w:line="240" w:lineRule="auto"/>
              <w:ind w:left="-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Энергетического т/п (ЦЭД) ЦЭТ и не однозначным определением полномочий таможенных постов, подчиненных ЦЭТ и находящихся в морских пунктах пропуска, по совершению таможенных операций, связанных с регистрацией ДТ в отношении припасов, классифицируемых в 27 группе ТН ВЭД ЕАЭС;</w:t>
            </w:r>
          </w:p>
          <w:p w:rsidR="00E56890" w:rsidRDefault="008C1021">
            <w:pPr>
              <w:pStyle w:val="24"/>
              <w:tabs>
                <w:tab w:val="left" w:pos="993"/>
              </w:tabs>
              <w:spacing w:after="0" w:line="240" w:lineRule="auto"/>
              <w:ind w:left="-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Акцизного специализированного т/п (ЦЭД);</w:t>
            </w:r>
          </w:p>
          <w:p w:rsidR="00E56890" w:rsidRDefault="00E56890">
            <w:pPr>
              <w:pStyle w:val="24"/>
              <w:tabs>
                <w:tab w:val="left" w:pos="993"/>
              </w:tabs>
              <w:spacing w:after="0" w:line="240" w:lineRule="auto"/>
              <w:ind w:left="-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890" w:rsidRDefault="008C1021">
            <w:pPr>
              <w:pStyle w:val="24"/>
              <w:tabs>
                <w:tab w:val="left" w:pos="993"/>
              </w:tabs>
              <w:spacing w:after="0" w:line="240" w:lineRule="auto"/>
              <w:ind w:left="-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проекте есть отдельные положения, касающиеся карнетов АТА, Особых экономических зон Калининград и Магадан, Сколково, а по полномочиям специализированных ЦЭД ЦЭТ и ЦАТ такие положения отсутствуют.</w:t>
            </w:r>
          </w:p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Полагаем целесообразным конкретизировать, какие именно ЦЭДы и таможенные посты указанных таможен обладают компетенциями по оформлению деклараций на товар, исходя из установленных их Положениями компетенций.</w:t>
            </w:r>
          </w:p>
        </w:tc>
        <w:tc>
          <w:tcPr>
            <w:tcW w:w="5159" w:type="dxa"/>
          </w:tcPr>
          <w:p w:rsidR="00F4723C" w:rsidRDefault="00F4723C" w:rsidP="00F4723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Не учтено.</w:t>
            </w:r>
          </w:p>
          <w:p w:rsidR="00F4723C" w:rsidRDefault="00F4723C" w:rsidP="00E445B1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445B1" w:rsidRDefault="00E445B1" w:rsidP="00E445B1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Отдельными нормативными правовыми актами определена компетенция таможенных органов по регистрации деклараций на отдельные категории товаров: энергоносители, подакцизные товары, драгоценные металлов и драгоценные камни, делящиеся радиоактивные материалы, товары, перемещаемые иностранными лицами, дипломатическая почта, МПО, товары, декларируемые с особенностями, определенными статьей 117 ТК ЕАЭС, и др. Разработка каждого акта - длительный трудоемкий процесс, требующий проработки специальных норм и исключений из них. С учетом возможных изменений как в составе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категорий товаров, так и в составе таможенных органов, обладающих соответствующими компетенциями (например, переименование), в Приказе целесообразнее сохранить отсылочную норму.</w:t>
            </w:r>
          </w:p>
          <w:p w:rsidR="00E56890" w:rsidRDefault="00E445B1" w:rsidP="00E445B1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Внесение в единый приказ полномочий в отношении и</w:t>
            </w:r>
            <w:r>
              <w:rPr>
                <w:rFonts w:ascii="Times New Roman" w:hAnsi="Times New Roman" w:cs="Times New Roman"/>
                <w:szCs w:val="28"/>
              </w:rPr>
              <w:t xml:space="preserve">счерпывающего перечня категорий </w:t>
            </w:r>
            <w:r>
              <w:rPr>
                <w:rFonts w:ascii="Times New Roman" w:hAnsi="Times New Roman" w:cs="Times New Roman"/>
                <w:szCs w:val="28"/>
              </w:rPr>
              <w:t>товаров усложнит структуру приказа и затруднит внесение необходимых изменений.</w:t>
            </w:r>
          </w:p>
        </w:tc>
      </w:tr>
      <w:tr w:rsidR="00E56890">
        <w:trPr>
          <w:trHeight w:val="308"/>
        </w:trPr>
        <w:tc>
          <w:tcPr>
            <w:tcW w:w="567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2552" w:type="dxa"/>
          </w:tcPr>
          <w:p w:rsidR="00E56890" w:rsidRDefault="008C10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44444"/>
                <w:sz w:val="19"/>
                <w:szCs w:val="19"/>
              </w:rPr>
              <w:t>Мезинова Мария Сергеевна (Роснефть)</w:t>
            </w:r>
          </w:p>
        </w:tc>
        <w:tc>
          <w:tcPr>
            <w:tcW w:w="6464" w:type="dxa"/>
          </w:tcPr>
          <w:p w:rsidR="00E56890" w:rsidRDefault="008C1021">
            <w:pPr>
              <w:pStyle w:val="Style20"/>
              <w:tabs>
                <w:tab w:val="left" w:pos="826"/>
                <w:tab w:val="right" w:pos="8954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4) категорий товаров, предусмотренных подпунктом 13 пункта 2 статьи 253 ТК ЕАЭС, помещаемых под специальную таможенную процедуру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 также при помещении таких товаров под таможенные процедуры при завершении действия специальной таможенной процедуры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E56890" w:rsidRDefault="008C1021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До вступления в силу решения  Евразийской экономической комиссии, которое в соответствии со статьей 254 ТК ЕАЭС регулирует условия помещения товаров под специальную таможенную процедуру и порядок ее применения в отношении категории товаров, предусмотренной подпунктом 13 пункта 2 статьи 253 ТК ЕАЭС, настоящий подпункт применяется в отношении категорий товаров, предусмотренных пунктом 11 Перечня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утверждённого Решением Комиссии Таможенного союза </w:t>
            </w:r>
            <w:r w:rsidRPr="00E445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 20 мая 2010 г. № 329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«О перечне категорий товаров, в отношении которых может быть установлена специальная таможенная процедура, и условий их помещения под такую таможенную процедуру» (опубликовано на официальном сайте Комиссии Таможенного союза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http://www.tsouz.ru 19 июля 2010), с изменениями, внесенными Решениями Комиссии Таможенного союза от 18 ноября 2010 № 513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опубликовано на официальном сайте Комиссии Таможенного союза http://www.tsouz.ru 18 января 2011), от 14 марта 2011 № 663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опубликовано на официальном сайте Комиссии Таможенного союза http://www.tsouz.ru 24 июня 2011),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 07 апреля 2011 N 849 (опубликовано на официальном сайте Комиссии Таможенного союза http://www.tsouz.ru 08 ноября 2011), от 11 декабря 2012 N 266 (опубликовано на официальном сайте Комиссии Таможенного союза http://www.tsouz.ru 13 декабря 2012), от 23.04.2013 N 25 (опубликовано на официальном сайте Комиссии Таможенного союза http://www.tsouz.ru 15 мая 2013), от 24.10.2013 N 77 (опубликовано на официальном сайте Комиссии Таможенного союза http://www.tsouz.ru 25 октября 2013), от 19.02.2014 N 8 (опубликовано на официальном сайте Комиссии Таможенного союза http://www.tsouz.ru 21 февраля 2014), от 16.07.2014 N 50 (опубликовано на официальном сайте Комиссии Таможенного союза http://www.tsouz.ru 18 июля 2014), от 23.12.2014 N 128 (опубликовано на официальном сайте Комиссии Таможенного союза http://www.tsouz.ru 25 декабря 2014), от 16.05.2016 N 59 (опубликовано на официальном сайте Комиссии Таможенного союза http://www.tsouz.ru 26 сентября 2016), от 18.10.2016 N 165 (опубликовано на официальном сайте Комиссии Таможенного союза http://www.tsouz.ru 21 марта 2017), от 30.11.2016 N 124 (опубликовано на официальном сайте Комиссии Таможенного союза http://www.tsouz.ru 23 декабря 2016), от 13.01.2017 N 15  (опубликовано на официальном сайте Комиссии Таможенного союза http://www.tsouz.ru 2 мая 2017), от 28.04.2017 N 31 (опубликовано на официальном сайте Комиссии Таможенного союза http://www.tsouz.ru 20 июня 2017), от 29.03.2019 N 46 (опубликовано на официальном сайте Комиссии Таможенного союза http://www.tsouz.ru 06 мая 2019), от 21.02.2020 N 19 (опубликовано на официальном сайте Комиссии Таможенного союза http://www.tsouz.ru 02 марта 2020), от 23.11.2020 N 120 (опубликовано на официальном сайте Комиссии Таможенного союза http://www.tsouz.ru 29 декабря 2020)</w:t>
            </w:r>
          </w:p>
          <w:p w:rsidR="00E56890" w:rsidRDefault="00E56890">
            <w:pPr>
              <w:pStyle w:val="Style20"/>
              <w:shd w:val="clear" w:color="auto" w:fill="auto"/>
              <w:tabs>
                <w:tab w:val="left" w:pos="826"/>
                <w:tab w:val="right" w:pos="8954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56890" w:rsidRDefault="008C1021">
            <w:pPr>
              <w:pStyle w:val="Style20"/>
              <w:tabs>
                <w:tab w:val="left" w:pos="826"/>
                <w:tab w:val="right" w:pos="8954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Проектом приказа не урегулированы вопросы регистрации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таможенных деклараций при завершении специальной таможенной процедуры в отношении товаров, поименованных в п.п.4 п.2 проекта приказа. Учитывая тот факт, что таможенные операции с такими товарами совершаются в местах убытия с таможенной территории ЕАЭС, которыми являются пункты пропуска, предлагаем дополнить полномочия таможенных органов по регистрации таможенных деклараций в отношении товаров, помещаемых под специальную таможенную процедуру, полномочиями по регистрации таможенных деклараций при помещении под таможенные процедуры для завершения действия специальной таможенной процедуры (аналогичный подход предлагается подпунктами 1) - 4) пункта 4 проекта приказа при завершении действия таможенной процедуры свободной таможенной зоны).</w:t>
            </w:r>
          </w:p>
          <w:p w:rsidR="00E56890" w:rsidRDefault="008C1021">
            <w:pPr>
              <w:pStyle w:val="Style20"/>
              <w:tabs>
                <w:tab w:val="left" w:pos="826"/>
                <w:tab w:val="right" w:pos="8954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соответствии с п.10 статьи 444 ТК ЕАЭС, в  отношении категорий товаров, определенных Решением Комиссии Таможенного союза от 20 мая 2010 г. № 329 «О перечне категорий товаров, в отношении которых может быть установлена специальная таможенная процедура, и условий их помещения под такую таможенную процедуру», до вступления в силу решений Комиссии, которые в соответствии со статьей 254 ТК ЕАЭС регулируют условия помещения товаров под специальную таможенную процедуру и порядок ее применения, к таким товарам специальная таможенная процедура применяется на условиях, определенных указанным решением Комиссии, определившим категории товаров. </w:t>
            </w:r>
          </w:p>
          <w:p w:rsidR="00E56890" w:rsidRDefault="008C1021">
            <w:pPr>
              <w:pStyle w:val="Style20"/>
              <w:tabs>
                <w:tab w:val="left" w:pos="826"/>
                <w:tab w:val="right" w:pos="8954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Поскольку решение Комиссии, направленное на установление условий и порядка применения специальной таможенной процедуры в отношении товаров, указанных в пп.13. п.2 ст.253 ТК ЕАЭС, до настоящего времени не принято, в целях исключения различного толкования приказа таможенными органами на местах необходимо дополнить подпункт 4) предлагаемым абзацем о применении нормы по регистрации деклараций к товарам, поименованным в пункте 11 Перечня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утверждённого Решением Комиссии Таможенного союза от 20 мая 2010 г. № 329.</w:t>
            </w:r>
          </w:p>
        </w:tc>
        <w:tc>
          <w:tcPr>
            <w:tcW w:w="5159" w:type="dxa"/>
          </w:tcPr>
          <w:p w:rsidR="00F4723C" w:rsidRDefault="00F4723C" w:rsidP="00F4723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Не учтено.</w:t>
            </w:r>
          </w:p>
          <w:p w:rsidR="00F4723C" w:rsidRDefault="00F4723C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56890" w:rsidRDefault="008C1021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При необходимости завершения специальной таможенной процедуры помещением товаров, вывезенных для строительства (создания, сооружения), обеспечения функционирования (эксплуатации, использования) искусственных островов, установок, сооружений или иных объектов, находящихся за пределами территории государства-члена, помещением под иную таможенную процедуру подача декларации на товары </w:t>
            </w:r>
            <w:r w:rsidR="00B00F7C">
              <w:rPr>
                <w:rFonts w:ascii="Times New Roman" w:hAnsi="Times New Roman" w:cs="Times New Roman"/>
                <w:szCs w:val="28"/>
              </w:rPr>
              <w:t>должна</w:t>
            </w:r>
            <w:r>
              <w:rPr>
                <w:rFonts w:ascii="Times New Roman" w:hAnsi="Times New Roman" w:cs="Times New Roman"/>
                <w:szCs w:val="28"/>
              </w:rPr>
              <w:t xml:space="preserve"> осуществляться с учетом положений проекта приказа. </w:t>
            </w:r>
          </w:p>
          <w:p w:rsidR="00E56890" w:rsidRDefault="008C1021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Наличие предшествующей процедуры в данном случае не влияет на полномочия таможенных органов по регистрации таможенных деклараций.  </w:t>
            </w:r>
          </w:p>
          <w:p w:rsidR="00E56890" w:rsidRDefault="00E56890">
            <w:pPr>
              <w:spacing w:after="0" w:line="240" w:lineRule="auto"/>
              <w:ind w:firstLine="512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E56890" w:rsidRDefault="00E56890">
      <w:pPr>
        <w:rPr>
          <w:sz w:val="28"/>
          <w:szCs w:val="28"/>
        </w:rPr>
      </w:pPr>
    </w:p>
    <w:p w:rsidR="009A43C9" w:rsidRDefault="009A43C9" w:rsidP="009A43C9">
      <w:pPr>
        <w:jc w:val="both"/>
        <w:rPr>
          <w:sz w:val="28"/>
          <w:szCs w:val="28"/>
        </w:rPr>
      </w:pPr>
    </w:p>
    <w:tbl>
      <w:tblPr>
        <w:tblW w:w="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9A43C9" w:rsidTr="009A43C9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C9" w:rsidRDefault="009A43C9" w:rsidP="00C41B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C9" w:rsidRDefault="009A43C9" w:rsidP="00C41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A43C9" w:rsidTr="009A43C9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C9" w:rsidRDefault="009A43C9" w:rsidP="00C41B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C9" w:rsidRDefault="00F4723C" w:rsidP="00C41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43C9" w:rsidTr="009A43C9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C9" w:rsidRDefault="009A43C9" w:rsidP="00C41B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C9" w:rsidRDefault="00F4723C" w:rsidP="00C41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A43C9" w:rsidTr="009A43C9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C9" w:rsidRDefault="009A43C9" w:rsidP="00C41B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C9" w:rsidRDefault="00F4723C" w:rsidP="00C41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9A43C9" w:rsidRDefault="009A43C9" w:rsidP="009A43C9">
      <w:pPr>
        <w:jc w:val="both"/>
        <w:rPr>
          <w:sz w:val="28"/>
          <w:szCs w:val="28"/>
        </w:rPr>
      </w:pPr>
    </w:p>
    <w:p w:rsidR="009A43C9" w:rsidRDefault="009A43C9" w:rsidP="009A43C9">
      <w:pPr>
        <w:jc w:val="both"/>
        <w:rPr>
          <w:sz w:val="28"/>
          <w:szCs w:val="28"/>
        </w:rPr>
      </w:pPr>
    </w:p>
    <w:p w:rsidR="009A43C9" w:rsidRDefault="009A43C9" w:rsidP="009A43C9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6"/>
        <w:gridCol w:w="709"/>
        <w:gridCol w:w="4678"/>
        <w:gridCol w:w="1733"/>
        <w:gridCol w:w="2914"/>
      </w:tblGrid>
      <w:tr w:rsidR="009A43C9" w:rsidTr="00C41B00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3C9" w:rsidRDefault="009A43C9" w:rsidP="009A43C9">
            <w:pPr>
              <w:jc w:val="both"/>
            </w:pPr>
            <w:r>
              <w:t xml:space="preserve">                         </w:t>
            </w:r>
            <w:r>
              <w:t>А</w:t>
            </w:r>
            <w:r>
              <w:t>.</w:t>
            </w:r>
            <w:r>
              <w:t>М</w:t>
            </w:r>
            <w:r>
              <w:t xml:space="preserve">. </w:t>
            </w:r>
            <w:r>
              <w:t>Волков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43C9" w:rsidRDefault="009A43C9" w:rsidP="00C41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3C9" w:rsidRDefault="009A43C9" w:rsidP="009A43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  »                                           </w:t>
            </w:r>
            <w:r>
              <w:rPr>
                <w:szCs w:val="28"/>
              </w:rPr>
              <w:t>202</w:t>
            </w:r>
            <w:r>
              <w:rPr>
                <w:szCs w:val="28"/>
              </w:rPr>
              <w:t>1</w:t>
            </w:r>
            <w:r>
              <w:rPr>
                <w:szCs w:val="28"/>
              </w:rPr>
              <w:t xml:space="preserve">   г.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A43C9" w:rsidRDefault="009A43C9" w:rsidP="00C41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3C9" w:rsidRDefault="009A43C9" w:rsidP="00C41B00">
            <w:pPr>
              <w:jc w:val="both"/>
              <w:rPr>
                <w:sz w:val="28"/>
                <w:szCs w:val="28"/>
              </w:rPr>
            </w:pPr>
          </w:p>
        </w:tc>
      </w:tr>
      <w:tr w:rsidR="009A43C9" w:rsidTr="00C41B00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43C9" w:rsidRDefault="009A43C9" w:rsidP="00C41B00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</w:rPr>
              <w:t>ФИО руководителя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43C9" w:rsidRDefault="009A43C9" w:rsidP="00C41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43C9" w:rsidRDefault="009A43C9" w:rsidP="00C41B00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A43C9" w:rsidRDefault="009A43C9" w:rsidP="00C41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43C9" w:rsidRDefault="009A43C9" w:rsidP="00C41B00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</w:rPr>
              <w:t>Подпись</w:t>
            </w:r>
          </w:p>
        </w:tc>
      </w:tr>
    </w:tbl>
    <w:p w:rsidR="009A43C9" w:rsidRDefault="009A43C9">
      <w:pPr>
        <w:rPr>
          <w:sz w:val="28"/>
          <w:szCs w:val="28"/>
        </w:rPr>
      </w:pPr>
    </w:p>
    <w:sectPr w:rsidR="009A43C9">
      <w:headerReference w:type="even" r:id="rId7"/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A65" w:rsidRDefault="00115A65">
      <w:r>
        <w:separator/>
      </w:r>
    </w:p>
  </w:endnote>
  <w:endnote w:type="continuationSeparator" w:id="0">
    <w:p w:rsidR="00115A65" w:rsidRDefault="0011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A65" w:rsidRDefault="00115A65">
      <w:r>
        <w:separator/>
      </w:r>
    </w:p>
  </w:footnote>
  <w:footnote w:type="continuationSeparator" w:id="0">
    <w:p w:rsidR="00115A65" w:rsidRDefault="0011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90" w:rsidRDefault="008C102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56890" w:rsidRDefault="00E5689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498702"/>
      <w:docPartObj>
        <w:docPartGallery w:val="Page Numbers (Top of Page)"/>
        <w:docPartUnique/>
      </w:docPartObj>
    </w:sdtPr>
    <w:sdtEndPr/>
    <w:sdtContent>
      <w:p w:rsidR="00E56890" w:rsidRDefault="008C102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23C">
          <w:rPr>
            <w:noProof/>
          </w:rPr>
          <w:t>12</w:t>
        </w:r>
        <w:r>
          <w:fldChar w:fldCharType="end"/>
        </w:r>
      </w:p>
    </w:sdtContent>
  </w:sdt>
  <w:p w:rsidR="00E56890" w:rsidRDefault="00E5689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A3D"/>
    <w:multiLevelType w:val="hybridMultilevel"/>
    <w:tmpl w:val="4FFA987C"/>
    <w:lvl w:ilvl="0" w:tplc="47088114">
      <w:start w:val="1"/>
      <w:numFmt w:val="lowerLetter"/>
      <w:lvlText w:val="%1)"/>
      <w:lvlJc w:val="left"/>
      <w:pPr>
        <w:ind w:left="1080" w:hanging="360"/>
      </w:pPr>
    </w:lvl>
    <w:lvl w:ilvl="1" w:tplc="5BB0E9AA">
      <w:start w:val="1"/>
      <w:numFmt w:val="lowerLetter"/>
      <w:lvlText w:val="%2."/>
      <w:lvlJc w:val="left"/>
      <w:pPr>
        <w:ind w:left="1800" w:hanging="360"/>
      </w:pPr>
    </w:lvl>
    <w:lvl w:ilvl="2" w:tplc="CFD4940C">
      <w:start w:val="1"/>
      <w:numFmt w:val="lowerRoman"/>
      <w:lvlText w:val="%3."/>
      <w:lvlJc w:val="right"/>
      <w:pPr>
        <w:ind w:left="2520" w:hanging="180"/>
      </w:pPr>
    </w:lvl>
    <w:lvl w:ilvl="3" w:tplc="0BCE2680">
      <w:start w:val="1"/>
      <w:numFmt w:val="decimal"/>
      <w:lvlText w:val="%4."/>
      <w:lvlJc w:val="left"/>
      <w:pPr>
        <w:ind w:left="3240" w:hanging="360"/>
      </w:pPr>
    </w:lvl>
    <w:lvl w:ilvl="4" w:tplc="89BC5C2A">
      <w:start w:val="1"/>
      <w:numFmt w:val="lowerLetter"/>
      <w:lvlText w:val="%5."/>
      <w:lvlJc w:val="left"/>
      <w:pPr>
        <w:ind w:left="3960" w:hanging="360"/>
      </w:pPr>
    </w:lvl>
    <w:lvl w:ilvl="5" w:tplc="3BFE1316">
      <w:start w:val="1"/>
      <w:numFmt w:val="lowerRoman"/>
      <w:lvlText w:val="%6."/>
      <w:lvlJc w:val="right"/>
      <w:pPr>
        <w:ind w:left="4680" w:hanging="180"/>
      </w:pPr>
    </w:lvl>
    <w:lvl w:ilvl="6" w:tplc="A19ED5AC">
      <w:start w:val="1"/>
      <w:numFmt w:val="decimal"/>
      <w:lvlText w:val="%7."/>
      <w:lvlJc w:val="left"/>
      <w:pPr>
        <w:ind w:left="5400" w:hanging="360"/>
      </w:pPr>
    </w:lvl>
    <w:lvl w:ilvl="7" w:tplc="D2A24D5C">
      <w:start w:val="1"/>
      <w:numFmt w:val="lowerLetter"/>
      <w:lvlText w:val="%8."/>
      <w:lvlJc w:val="left"/>
      <w:pPr>
        <w:ind w:left="6120" w:hanging="360"/>
      </w:pPr>
    </w:lvl>
    <w:lvl w:ilvl="8" w:tplc="26BEA74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241EA"/>
    <w:multiLevelType w:val="hybridMultilevel"/>
    <w:tmpl w:val="CBC6E4AA"/>
    <w:lvl w:ilvl="0" w:tplc="E370C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7EA0FE">
      <w:start w:val="1"/>
      <w:numFmt w:val="lowerLetter"/>
      <w:lvlText w:val="%2."/>
      <w:lvlJc w:val="left"/>
      <w:pPr>
        <w:ind w:left="1440" w:hanging="360"/>
      </w:pPr>
    </w:lvl>
    <w:lvl w:ilvl="2" w:tplc="C95A0230">
      <w:start w:val="1"/>
      <w:numFmt w:val="lowerRoman"/>
      <w:lvlText w:val="%3."/>
      <w:lvlJc w:val="right"/>
      <w:pPr>
        <w:ind w:left="2160" w:hanging="180"/>
      </w:pPr>
    </w:lvl>
    <w:lvl w:ilvl="3" w:tplc="5F4656E0">
      <w:start w:val="1"/>
      <w:numFmt w:val="decimal"/>
      <w:lvlText w:val="%4."/>
      <w:lvlJc w:val="left"/>
      <w:pPr>
        <w:ind w:left="2880" w:hanging="360"/>
      </w:pPr>
    </w:lvl>
    <w:lvl w:ilvl="4" w:tplc="6AC2FB32">
      <w:start w:val="1"/>
      <w:numFmt w:val="lowerLetter"/>
      <w:lvlText w:val="%5."/>
      <w:lvlJc w:val="left"/>
      <w:pPr>
        <w:ind w:left="3600" w:hanging="360"/>
      </w:pPr>
    </w:lvl>
    <w:lvl w:ilvl="5" w:tplc="32289104">
      <w:start w:val="1"/>
      <w:numFmt w:val="lowerRoman"/>
      <w:lvlText w:val="%6."/>
      <w:lvlJc w:val="right"/>
      <w:pPr>
        <w:ind w:left="4320" w:hanging="180"/>
      </w:pPr>
    </w:lvl>
    <w:lvl w:ilvl="6" w:tplc="C4CA12C2">
      <w:start w:val="1"/>
      <w:numFmt w:val="decimal"/>
      <w:lvlText w:val="%7."/>
      <w:lvlJc w:val="left"/>
      <w:pPr>
        <w:ind w:left="5040" w:hanging="360"/>
      </w:pPr>
    </w:lvl>
    <w:lvl w:ilvl="7" w:tplc="086EA7C8">
      <w:start w:val="1"/>
      <w:numFmt w:val="lowerLetter"/>
      <w:lvlText w:val="%8."/>
      <w:lvlJc w:val="left"/>
      <w:pPr>
        <w:ind w:left="5760" w:hanging="360"/>
      </w:pPr>
    </w:lvl>
    <w:lvl w:ilvl="8" w:tplc="57D616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460EA"/>
    <w:multiLevelType w:val="hybridMultilevel"/>
    <w:tmpl w:val="6B982E92"/>
    <w:lvl w:ilvl="0" w:tplc="23A4D7FE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EBBAD6A0">
      <w:start w:val="1"/>
      <w:numFmt w:val="lowerLetter"/>
      <w:lvlText w:val="%2."/>
      <w:lvlJc w:val="left"/>
      <w:pPr>
        <w:ind w:left="1080" w:hanging="360"/>
      </w:pPr>
    </w:lvl>
    <w:lvl w:ilvl="2" w:tplc="3208BDDA">
      <w:start w:val="1"/>
      <w:numFmt w:val="lowerRoman"/>
      <w:lvlText w:val="%3."/>
      <w:lvlJc w:val="right"/>
      <w:pPr>
        <w:ind w:left="1800" w:hanging="180"/>
      </w:pPr>
    </w:lvl>
    <w:lvl w:ilvl="3" w:tplc="E91C6352">
      <w:start w:val="1"/>
      <w:numFmt w:val="decimal"/>
      <w:lvlText w:val="%4."/>
      <w:lvlJc w:val="left"/>
      <w:pPr>
        <w:ind w:left="2520" w:hanging="360"/>
      </w:pPr>
    </w:lvl>
    <w:lvl w:ilvl="4" w:tplc="A6AEF17E">
      <w:start w:val="1"/>
      <w:numFmt w:val="lowerLetter"/>
      <w:lvlText w:val="%5."/>
      <w:lvlJc w:val="left"/>
      <w:pPr>
        <w:ind w:left="3240" w:hanging="360"/>
      </w:pPr>
    </w:lvl>
    <w:lvl w:ilvl="5" w:tplc="383A8C96">
      <w:start w:val="1"/>
      <w:numFmt w:val="lowerRoman"/>
      <w:lvlText w:val="%6."/>
      <w:lvlJc w:val="right"/>
      <w:pPr>
        <w:ind w:left="3960" w:hanging="180"/>
      </w:pPr>
    </w:lvl>
    <w:lvl w:ilvl="6" w:tplc="CFA233AE">
      <w:start w:val="1"/>
      <w:numFmt w:val="decimal"/>
      <w:lvlText w:val="%7."/>
      <w:lvlJc w:val="left"/>
      <w:pPr>
        <w:ind w:left="4680" w:hanging="360"/>
      </w:pPr>
    </w:lvl>
    <w:lvl w:ilvl="7" w:tplc="1DB2C14C">
      <w:start w:val="1"/>
      <w:numFmt w:val="lowerLetter"/>
      <w:lvlText w:val="%8."/>
      <w:lvlJc w:val="left"/>
      <w:pPr>
        <w:ind w:left="5400" w:hanging="360"/>
      </w:pPr>
    </w:lvl>
    <w:lvl w:ilvl="8" w:tplc="2FEE287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8D46C1"/>
    <w:multiLevelType w:val="hybridMultilevel"/>
    <w:tmpl w:val="3F6A2CCA"/>
    <w:lvl w:ilvl="0" w:tplc="BFB41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DC62774">
      <w:start w:val="1"/>
      <w:numFmt w:val="lowerLetter"/>
      <w:lvlText w:val="%2."/>
      <w:lvlJc w:val="left"/>
      <w:pPr>
        <w:ind w:left="1440" w:hanging="360"/>
      </w:pPr>
    </w:lvl>
    <w:lvl w:ilvl="2" w:tplc="EF985BE0">
      <w:start w:val="1"/>
      <w:numFmt w:val="lowerRoman"/>
      <w:lvlText w:val="%3."/>
      <w:lvlJc w:val="right"/>
      <w:pPr>
        <w:ind w:left="2160" w:hanging="180"/>
      </w:pPr>
    </w:lvl>
    <w:lvl w:ilvl="3" w:tplc="FCAE429A">
      <w:start w:val="1"/>
      <w:numFmt w:val="decimal"/>
      <w:lvlText w:val="%4."/>
      <w:lvlJc w:val="left"/>
      <w:pPr>
        <w:ind w:left="2880" w:hanging="360"/>
      </w:pPr>
    </w:lvl>
    <w:lvl w:ilvl="4" w:tplc="939C70DA">
      <w:start w:val="1"/>
      <w:numFmt w:val="lowerLetter"/>
      <w:lvlText w:val="%5."/>
      <w:lvlJc w:val="left"/>
      <w:pPr>
        <w:ind w:left="3600" w:hanging="360"/>
      </w:pPr>
    </w:lvl>
    <w:lvl w:ilvl="5" w:tplc="DD1287BA">
      <w:start w:val="1"/>
      <w:numFmt w:val="lowerRoman"/>
      <w:lvlText w:val="%6."/>
      <w:lvlJc w:val="right"/>
      <w:pPr>
        <w:ind w:left="4320" w:hanging="180"/>
      </w:pPr>
    </w:lvl>
    <w:lvl w:ilvl="6" w:tplc="93908A78">
      <w:start w:val="1"/>
      <w:numFmt w:val="decimal"/>
      <w:lvlText w:val="%7."/>
      <w:lvlJc w:val="left"/>
      <w:pPr>
        <w:ind w:left="5040" w:hanging="360"/>
      </w:pPr>
    </w:lvl>
    <w:lvl w:ilvl="7" w:tplc="A9CC6166">
      <w:start w:val="1"/>
      <w:numFmt w:val="lowerLetter"/>
      <w:lvlText w:val="%8."/>
      <w:lvlJc w:val="left"/>
      <w:pPr>
        <w:ind w:left="5760" w:hanging="360"/>
      </w:pPr>
    </w:lvl>
    <w:lvl w:ilvl="8" w:tplc="087263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19F8"/>
    <w:multiLevelType w:val="hybridMultilevel"/>
    <w:tmpl w:val="D1043BBA"/>
    <w:lvl w:ilvl="0" w:tplc="BF862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324C4A">
      <w:start w:val="1"/>
      <w:numFmt w:val="lowerLetter"/>
      <w:lvlText w:val="%2."/>
      <w:lvlJc w:val="left"/>
      <w:pPr>
        <w:ind w:left="1440" w:hanging="360"/>
      </w:pPr>
    </w:lvl>
    <w:lvl w:ilvl="2" w:tplc="3C2825A0">
      <w:start w:val="1"/>
      <w:numFmt w:val="lowerRoman"/>
      <w:lvlText w:val="%3."/>
      <w:lvlJc w:val="right"/>
      <w:pPr>
        <w:ind w:left="2160" w:hanging="180"/>
      </w:pPr>
    </w:lvl>
    <w:lvl w:ilvl="3" w:tplc="BAE21EDC">
      <w:start w:val="1"/>
      <w:numFmt w:val="decimal"/>
      <w:lvlText w:val="%4."/>
      <w:lvlJc w:val="left"/>
      <w:pPr>
        <w:ind w:left="2880" w:hanging="360"/>
      </w:pPr>
    </w:lvl>
    <w:lvl w:ilvl="4" w:tplc="5F34AC42">
      <w:start w:val="1"/>
      <w:numFmt w:val="lowerLetter"/>
      <w:lvlText w:val="%5."/>
      <w:lvlJc w:val="left"/>
      <w:pPr>
        <w:ind w:left="3600" w:hanging="360"/>
      </w:pPr>
    </w:lvl>
    <w:lvl w:ilvl="5" w:tplc="05A04A00">
      <w:start w:val="1"/>
      <w:numFmt w:val="lowerRoman"/>
      <w:lvlText w:val="%6."/>
      <w:lvlJc w:val="right"/>
      <w:pPr>
        <w:ind w:left="4320" w:hanging="180"/>
      </w:pPr>
    </w:lvl>
    <w:lvl w:ilvl="6" w:tplc="621AE976">
      <w:start w:val="1"/>
      <w:numFmt w:val="decimal"/>
      <w:lvlText w:val="%7."/>
      <w:lvlJc w:val="left"/>
      <w:pPr>
        <w:ind w:left="5040" w:hanging="360"/>
      </w:pPr>
    </w:lvl>
    <w:lvl w:ilvl="7" w:tplc="F5EACA30">
      <w:start w:val="1"/>
      <w:numFmt w:val="lowerLetter"/>
      <w:lvlText w:val="%8."/>
      <w:lvlJc w:val="left"/>
      <w:pPr>
        <w:ind w:left="5760" w:hanging="360"/>
      </w:pPr>
    </w:lvl>
    <w:lvl w:ilvl="8" w:tplc="150E1D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B5353"/>
    <w:multiLevelType w:val="hybridMultilevel"/>
    <w:tmpl w:val="BD32DB02"/>
    <w:lvl w:ilvl="0" w:tplc="7932D0F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3C0E390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298A060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B4A83A3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3270797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B3CC065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5A6E84C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EAA66DC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54C6A15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A0155"/>
    <w:multiLevelType w:val="hybridMultilevel"/>
    <w:tmpl w:val="A91AD25E"/>
    <w:lvl w:ilvl="0" w:tplc="F376AF4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1E04E2A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190EA2F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C35AD1B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F8F4450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B92A147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06507F7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7D7EB55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3D24167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57458"/>
    <w:multiLevelType w:val="hybridMultilevel"/>
    <w:tmpl w:val="45FC6884"/>
    <w:lvl w:ilvl="0" w:tplc="ED102070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BF582984">
      <w:start w:val="1"/>
      <w:numFmt w:val="lowerLetter"/>
      <w:lvlText w:val="%2."/>
      <w:lvlJc w:val="left"/>
      <w:pPr>
        <w:ind w:left="1066" w:hanging="360"/>
      </w:pPr>
    </w:lvl>
    <w:lvl w:ilvl="2" w:tplc="2D86E8DA">
      <w:start w:val="1"/>
      <w:numFmt w:val="lowerRoman"/>
      <w:lvlText w:val="%3."/>
      <w:lvlJc w:val="right"/>
      <w:pPr>
        <w:ind w:left="1786" w:hanging="180"/>
      </w:pPr>
    </w:lvl>
    <w:lvl w:ilvl="3" w:tplc="928695B0">
      <w:start w:val="1"/>
      <w:numFmt w:val="decimal"/>
      <w:lvlText w:val="%4."/>
      <w:lvlJc w:val="left"/>
      <w:pPr>
        <w:ind w:left="2506" w:hanging="360"/>
      </w:pPr>
    </w:lvl>
    <w:lvl w:ilvl="4" w:tplc="019E4968">
      <w:start w:val="1"/>
      <w:numFmt w:val="lowerLetter"/>
      <w:lvlText w:val="%5."/>
      <w:lvlJc w:val="left"/>
      <w:pPr>
        <w:ind w:left="3226" w:hanging="360"/>
      </w:pPr>
    </w:lvl>
    <w:lvl w:ilvl="5" w:tplc="725807BA">
      <w:start w:val="1"/>
      <w:numFmt w:val="lowerRoman"/>
      <w:lvlText w:val="%6."/>
      <w:lvlJc w:val="right"/>
      <w:pPr>
        <w:ind w:left="3946" w:hanging="180"/>
      </w:pPr>
    </w:lvl>
    <w:lvl w:ilvl="6" w:tplc="A7CA7518">
      <w:start w:val="1"/>
      <w:numFmt w:val="decimal"/>
      <w:lvlText w:val="%7."/>
      <w:lvlJc w:val="left"/>
      <w:pPr>
        <w:ind w:left="4666" w:hanging="360"/>
      </w:pPr>
    </w:lvl>
    <w:lvl w:ilvl="7" w:tplc="901607F8">
      <w:start w:val="1"/>
      <w:numFmt w:val="lowerLetter"/>
      <w:lvlText w:val="%8."/>
      <w:lvlJc w:val="left"/>
      <w:pPr>
        <w:ind w:left="5386" w:hanging="360"/>
      </w:pPr>
    </w:lvl>
    <w:lvl w:ilvl="8" w:tplc="10AAAA86">
      <w:start w:val="1"/>
      <w:numFmt w:val="lowerRoman"/>
      <w:lvlText w:val="%9."/>
      <w:lvlJc w:val="right"/>
      <w:pPr>
        <w:ind w:left="6106" w:hanging="180"/>
      </w:pPr>
    </w:lvl>
  </w:abstractNum>
  <w:abstractNum w:abstractNumId="8" w15:restartNumberingAfterBreak="0">
    <w:nsid w:val="54A509FD"/>
    <w:multiLevelType w:val="multilevel"/>
    <w:tmpl w:val="CE1CA3A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</w:abstractNum>
  <w:abstractNum w:abstractNumId="9" w15:restartNumberingAfterBreak="0">
    <w:nsid w:val="56C45CE2"/>
    <w:multiLevelType w:val="hybridMultilevel"/>
    <w:tmpl w:val="20EC5AAC"/>
    <w:lvl w:ilvl="0" w:tplc="E86E77C8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D46A8F76">
      <w:start w:val="1"/>
      <w:numFmt w:val="lowerLetter"/>
      <w:lvlText w:val="%2."/>
      <w:lvlJc w:val="left"/>
      <w:pPr>
        <w:ind w:left="1708" w:hanging="360"/>
      </w:pPr>
    </w:lvl>
    <w:lvl w:ilvl="2" w:tplc="372E4E7E">
      <w:start w:val="1"/>
      <w:numFmt w:val="lowerRoman"/>
      <w:lvlText w:val="%3."/>
      <w:lvlJc w:val="right"/>
      <w:pPr>
        <w:ind w:left="2428" w:hanging="180"/>
      </w:pPr>
    </w:lvl>
    <w:lvl w:ilvl="3" w:tplc="B19AD9A6">
      <w:start w:val="1"/>
      <w:numFmt w:val="decimal"/>
      <w:lvlText w:val="%4."/>
      <w:lvlJc w:val="left"/>
      <w:pPr>
        <w:ind w:left="3148" w:hanging="360"/>
      </w:pPr>
    </w:lvl>
    <w:lvl w:ilvl="4" w:tplc="5B80A21A">
      <w:start w:val="1"/>
      <w:numFmt w:val="lowerLetter"/>
      <w:lvlText w:val="%5."/>
      <w:lvlJc w:val="left"/>
      <w:pPr>
        <w:ind w:left="3868" w:hanging="360"/>
      </w:pPr>
    </w:lvl>
    <w:lvl w:ilvl="5" w:tplc="2E0842EA">
      <w:start w:val="1"/>
      <w:numFmt w:val="lowerRoman"/>
      <w:lvlText w:val="%6."/>
      <w:lvlJc w:val="right"/>
      <w:pPr>
        <w:ind w:left="4588" w:hanging="180"/>
      </w:pPr>
    </w:lvl>
    <w:lvl w:ilvl="6" w:tplc="796A4124">
      <w:start w:val="1"/>
      <w:numFmt w:val="decimal"/>
      <w:lvlText w:val="%7."/>
      <w:lvlJc w:val="left"/>
      <w:pPr>
        <w:ind w:left="5308" w:hanging="360"/>
      </w:pPr>
    </w:lvl>
    <w:lvl w:ilvl="7" w:tplc="77E06382">
      <w:start w:val="1"/>
      <w:numFmt w:val="lowerLetter"/>
      <w:lvlText w:val="%8."/>
      <w:lvlJc w:val="left"/>
      <w:pPr>
        <w:ind w:left="6028" w:hanging="360"/>
      </w:pPr>
    </w:lvl>
    <w:lvl w:ilvl="8" w:tplc="E3082762">
      <w:start w:val="1"/>
      <w:numFmt w:val="lowerRoman"/>
      <w:lvlText w:val="%9."/>
      <w:lvlJc w:val="right"/>
      <w:pPr>
        <w:ind w:left="6748" w:hanging="180"/>
      </w:pPr>
    </w:lvl>
  </w:abstractNum>
  <w:abstractNum w:abstractNumId="10" w15:restartNumberingAfterBreak="0">
    <w:nsid w:val="63EA5946"/>
    <w:multiLevelType w:val="hybridMultilevel"/>
    <w:tmpl w:val="2376A6EE"/>
    <w:lvl w:ilvl="0" w:tplc="7BA29044">
      <w:start w:val="1"/>
      <w:numFmt w:val="decimal"/>
      <w:lvlText w:val="%1."/>
      <w:lvlJc w:val="left"/>
      <w:pPr>
        <w:tabs>
          <w:tab w:val="left" w:pos="750"/>
        </w:tabs>
        <w:ind w:left="750" w:hanging="390"/>
      </w:pPr>
      <w:rPr>
        <w:rFonts w:hint="default"/>
      </w:rPr>
    </w:lvl>
    <w:lvl w:ilvl="1" w:tplc="06649D3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260298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7923EE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39CF46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7B83DA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094BBB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548596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EB6473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FE11C3D"/>
    <w:multiLevelType w:val="hybridMultilevel"/>
    <w:tmpl w:val="1EDAEE90"/>
    <w:lvl w:ilvl="0" w:tplc="8F32D64C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1" w:tplc="C0AE56C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2" w:tplc="34EA701C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3" w:tplc="6CAC5CEA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4" w:tplc="127C5BFC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5" w:tplc="393AC46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6" w:tplc="3420FE5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7" w:tplc="E226652A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8" w:tplc="7206CC2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90"/>
    <w:rsid w:val="0008255F"/>
    <w:rsid w:val="00115A65"/>
    <w:rsid w:val="004002F2"/>
    <w:rsid w:val="00553A48"/>
    <w:rsid w:val="006C0210"/>
    <w:rsid w:val="007511DE"/>
    <w:rsid w:val="00856871"/>
    <w:rsid w:val="008C1021"/>
    <w:rsid w:val="00951A14"/>
    <w:rsid w:val="009A43C9"/>
    <w:rsid w:val="00A362C9"/>
    <w:rsid w:val="00B00F7C"/>
    <w:rsid w:val="00B26297"/>
    <w:rsid w:val="00B326BC"/>
    <w:rsid w:val="00B81B5C"/>
    <w:rsid w:val="00E445B1"/>
    <w:rsid w:val="00E56890"/>
    <w:rsid w:val="00EA690E"/>
    <w:rsid w:val="00F4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F481"/>
  <w15:docId w15:val="{F4C22706-EB4C-4379-A344-7ED1D6D1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styleId="ae">
    <w:name w:val="page number"/>
    <w:basedOn w:val="a0"/>
  </w:style>
  <w:style w:type="paragraph" w:customStyle="1" w:styleId="ConsPlusTitle">
    <w:name w:val="ConsPlusTitle"/>
    <w:rPr>
      <w:rFonts w:ascii="Arial" w:hAnsi="Arial" w:cs="Arial"/>
      <w:b/>
      <w:bCs/>
    </w:rPr>
  </w:style>
  <w:style w:type="paragraph" w:styleId="af">
    <w:name w:val="Balloon Text"/>
    <w:basedOn w:val="a"/>
    <w:link w:val="af0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table" w:customStyle="1" w:styleId="tablebody">
    <w:name w:val="table_body"/>
    <w:uiPriority w:val="99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  <w:insideH w:val="single" w:sz="5" w:space="0" w:color="000000"/>
        <w:insideV w:val="single" w:sz="5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footer"/>
    <w:basedOn w:val="a"/>
    <w:link w:val="af4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Pr>
      <w:sz w:val="24"/>
      <w:szCs w:val="24"/>
    </w:rPr>
  </w:style>
  <w:style w:type="character" w:styleId="af5">
    <w:name w:val="Placeholder Text"/>
    <w:basedOn w:val="a0"/>
    <w:uiPriority w:val="99"/>
    <w:semiHidden/>
    <w:rPr>
      <w:color w:val="808080"/>
    </w:rPr>
  </w:style>
  <w:style w:type="character" w:styleId="af6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ad">
    <w:name w:val="Верхний колонтитул Знак"/>
    <w:basedOn w:val="a0"/>
    <w:link w:val="ac"/>
    <w:uiPriority w:val="99"/>
    <w:rPr>
      <w:sz w:val="24"/>
      <w:szCs w:val="24"/>
    </w:rPr>
  </w:style>
  <w:style w:type="character" w:customStyle="1" w:styleId="CharStyle7">
    <w:name w:val="Char Style 7"/>
    <w:basedOn w:val="a0"/>
    <w:link w:val="Style6"/>
    <w:uiPriority w:val="99"/>
    <w:rPr>
      <w:sz w:val="26"/>
      <w:szCs w:val="26"/>
      <w:shd w:val="clear" w:color="auto" w:fill="FFFFFF"/>
    </w:rPr>
  </w:style>
  <w:style w:type="character" w:customStyle="1" w:styleId="CharStyle14">
    <w:name w:val="Char Style 14"/>
    <w:basedOn w:val="CharStyle7"/>
    <w:uiPriority w:val="99"/>
    <w:rPr>
      <w:sz w:val="26"/>
      <w:szCs w:val="26"/>
      <w:u w:val="single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pPr>
      <w:widowControl w:val="0"/>
      <w:shd w:val="clear" w:color="auto" w:fill="FFFFFF"/>
      <w:spacing w:before="420" w:line="240" w:lineRule="atLeast"/>
      <w:jc w:val="both"/>
    </w:pPr>
    <w:rPr>
      <w:sz w:val="26"/>
      <w:szCs w:val="26"/>
    </w:rPr>
  </w:style>
  <w:style w:type="character" w:customStyle="1" w:styleId="CharStyle22">
    <w:name w:val="Char Style 22"/>
    <w:basedOn w:val="a0"/>
    <w:link w:val="Style21"/>
    <w:uiPriority w:val="99"/>
    <w:rPr>
      <w:sz w:val="26"/>
      <w:szCs w:val="26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pPr>
      <w:widowControl w:val="0"/>
      <w:shd w:val="clear" w:color="auto" w:fill="FFFFFF"/>
      <w:spacing w:line="322" w:lineRule="exact"/>
      <w:jc w:val="right"/>
    </w:pPr>
    <w:rPr>
      <w:sz w:val="26"/>
      <w:szCs w:val="26"/>
    </w:rPr>
  </w:style>
  <w:style w:type="character" w:customStyle="1" w:styleId="CharStyle21">
    <w:name w:val="Char Style 21"/>
    <w:basedOn w:val="a0"/>
    <w:link w:val="Style20"/>
    <w:uiPriority w:val="99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0">
    <w:name w:val="Style 20"/>
    <w:basedOn w:val="a"/>
    <w:link w:val="CharStyle21"/>
    <w:uiPriority w:val="99"/>
    <w:pPr>
      <w:widowControl w:val="0"/>
      <w:shd w:val="clear" w:color="auto" w:fill="FFFFFF"/>
      <w:spacing w:line="240" w:lineRule="exact"/>
      <w:ind w:hanging="580"/>
    </w:pPr>
    <w:rPr>
      <w:rFonts w:ascii="Arial" w:hAnsi="Arial" w:cs="Arial"/>
      <w:sz w:val="19"/>
      <w:szCs w:val="19"/>
    </w:rPr>
  </w:style>
  <w:style w:type="character" w:customStyle="1" w:styleId="CharStyle16Exact">
    <w:name w:val="Char Style 16 Exact"/>
    <w:basedOn w:val="a0"/>
    <w:uiPriority w:val="99"/>
    <w:rPr>
      <w:rFonts w:ascii="Arial" w:hAnsi="Arial" w:cs="Arial"/>
      <w:b/>
      <w:bCs/>
      <w:color w:val="154A92"/>
      <w:spacing w:val="-6"/>
      <w:sz w:val="32"/>
      <w:szCs w:val="32"/>
      <w:u w:val="none"/>
      <w:lang w:val="en-US" w:eastAsia="en-US"/>
    </w:rPr>
  </w:style>
  <w:style w:type="paragraph" w:customStyle="1" w:styleId="af7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CharStyle12">
    <w:name w:val="Char Style 12"/>
    <w:link w:val="Style2"/>
    <w:uiPriority w:val="99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12"/>
    <w:uiPriority w:val="99"/>
    <w:pPr>
      <w:widowControl w:val="0"/>
      <w:shd w:val="clear" w:color="auto" w:fill="FFFFFF"/>
      <w:spacing w:before="300" w:line="317" w:lineRule="exact"/>
      <w:jc w:val="both"/>
    </w:pPr>
    <w:rPr>
      <w:sz w:val="26"/>
      <w:szCs w:val="26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af9">
    <w:name w:val="Текст сноски Знак"/>
    <w:basedOn w:val="a0"/>
    <w:link w:val="af8"/>
  </w:style>
  <w:style w:type="character" w:styleId="afa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24254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МЕРЗЛЯКОВ ЮРИЙ СЕРГЕЕВИЧ</cp:lastModifiedBy>
  <cp:revision>3</cp:revision>
  <dcterms:created xsi:type="dcterms:W3CDTF">2021-02-20T10:17:00Z</dcterms:created>
  <dcterms:modified xsi:type="dcterms:W3CDTF">2021-02-20T10:31:00Z</dcterms:modified>
</cp:coreProperties>
</file>