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496C" w14:textId="77777777" w:rsidR="006828B6" w:rsidRDefault="006828B6" w:rsidP="006828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45F903F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D9CD3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14:paraId="6DE61F9E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14:paraId="3057EFDA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14:paraId="389956FC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14:paraId="6DAAE4C0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ПРАВИТЕЛЬСТВО РОССИЙСКОЙ ФЕДЕРАЦИИ</w:t>
      </w:r>
    </w:p>
    <w:p w14:paraId="50168678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319904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</w:p>
    <w:p w14:paraId="08C7E5C1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C5D289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2021 г. № ____</w:t>
      </w:r>
    </w:p>
    <w:p w14:paraId="7B2ABF29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F48F97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356BE6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</w:t>
      </w:r>
    </w:p>
    <w:p w14:paraId="32791A71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82A41" w14:textId="77777777" w:rsidR="006828B6" w:rsidRDefault="006828B6" w:rsidP="0068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79EB36" w14:textId="77777777" w:rsidR="006828B6" w:rsidRDefault="006828B6" w:rsidP="00682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федеральном государственном </w:t>
      </w:r>
    </w:p>
    <w:p w14:paraId="59414A29" w14:textId="77777777" w:rsidR="006828B6" w:rsidRDefault="006828B6" w:rsidP="00682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(надзоре) за проведением лотерей </w:t>
      </w:r>
    </w:p>
    <w:p w14:paraId="38C6F50A" w14:textId="77777777" w:rsidR="006828B6" w:rsidRDefault="006828B6" w:rsidP="006828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3B35AEC" w14:textId="77777777" w:rsidR="006828B6" w:rsidRDefault="006828B6" w:rsidP="006828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14:paraId="52B3E4DA" w14:textId="77777777" w:rsidR="006828B6" w:rsidRDefault="006828B6" w:rsidP="006828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прилагаемое Положение о федеральном государственном контроле (надзоре) за проведением лотерей.</w:t>
      </w:r>
    </w:p>
    <w:p w14:paraId="5A5F6638" w14:textId="77777777" w:rsidR="006828B6" w:rsidRDefault="006828B6" w:rsidP="006828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утратившими силу:</w:t>
      </w:r>
    </w:p>
    <w:p w14:paraId="18E1692F" w14:textId="77777777" w:rsidR="006828B6" w:rsidRDefault="006828B6" w:rsidP="006828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сентября 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федеральном государственном надзоре за проведением лотерей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2012, № 38, ст. 5125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CE6B3" w14:textId="77777777" w:rsidR="006828B6" w:rsidRDefault="006828B6" w:rsidP="006828B6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3F50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3F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21 мая 2014 г. №</w:t>
      </w:r>
      <w:r w:rsidRPr="00613F50">
        <w:rPr>
          <w:rFonts w:ascii="Times New Roman" w:hAnsi="Times New Roman" w:cs="Times New Roman"/>
          <w:sz w:val="28"/>
          <w:szCs w:val="28"/>
        </w:rPr>
        <w:t xml:space="preserve"> 473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3F5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11 сентября 2012 г. № 913» </w:t>
      </w:r>
      <w:r w:rsidRPr="00613F5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2014, №</w:t>
      </w:r>
      <w:r w:rsidRPr="00613F50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F50">
        <w:rPr>
          <w:rFonts w:ascii="Times New Roman" w:hAnsi="Times New Roman" w:cs="Times New Roman"/>
          <w:sz w:val="28"/>
          <w:szCs w:val="28"/>
        </w:rPr>
        <w:t xml:space="preserve"> ст. 2881)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7B2477" w14:textId="77777777" w:rsidR="006828B6" w:rsidRDefault="006828B6" w:rsidP="006828B6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052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4052E">
        <w:rPr>
          <w:rFonts w:ascii="Times New Roman" w:hAnsi="Times New Roman" w:cs="Times New Roman"/>
          <w:sz w:val="28"/>
          <w:szCs w:val="28"/>
        </w:rPr>
        <w:t>17 февраля 2020 г. № 165 «О внесении изменений в Положение о федеральном государственном надзоре за проведением лотерей» (Собрание законодательства Российской Федерации, 2020, № 8, ст. 1027).</w:t>
      </w:r>
    </w:p>
    <w:p w14:paraId="5132AEFD" w14:textId="77777777" w:rsidR="006828B6" w:rsidRDefault="006828B6" w:rsidP="006828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настоящего постановления осуществляется Федеральной налоговой службой в пределах установленной Правительством Российской Федерации предельной численности работников Федеральной налоговой службы, а также бюджетных ассигнований, предусмотренных указанной Службе в федеральном бюджете на руководство и управление в сфере установленных функций.</w:t>
      </w:r>
    </w:p>
    <w:p w14:paraId="206FFDDF" w14:textId="77777777" w:rsidR="006828B6" w:rsidRDefault="006828B6" w:rsidP="006828B6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с 1 июля 2021 г. </w:t>
      </w:r>
    </w:p>
    <w:p w14:paraId="036B2550" w14:textId="77777777" w:rsidR="006828B6" w:rsidRDefault="006828B6" w:rsidP="006828B6">
      <w:pPr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083249C" w14:textId="77777777" w:rsidR="006828B6" w:rsidRDefault="006828B6" w:rsidP="006828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2205782" w14:textId="77777777" w:rsidR="006828B6" w:rsidRDefault="006828B6" w:rsidP="006828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DC9B9BE" w14:textId="77777777" w:rsidR="006828B6" w:rsidRDefault="006828B6" w:rsidP="006828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EE78B9D" w14:textId="77777777" w:rsidR="006828B6" w:rsidRDefault="006828B6" w:rsidP="006828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3CB7F" w14:textId="77777777" w:rsidR="006828B6" w:rsidRDefault="006828B6" w:rsidP="006828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5028939" w14:textId="77777777" w:rsidR="006828B6" w:rsidRDefault="006828B6" w:rsidP="006828B6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5D57317D" w14:textId="77777777" w:rsidR="006828B6" w:rsidRDefault="006828B6" w:rsidP="006828B6">
      <w:pPr>
        <w:spacing w:after="0" w:line="276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879D0B4" w14:textId="77777777" w:rsidR="00FD02CF" w:rsidRDefault="00FD02CF" w:rsidP="00FD02CF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DD970" w14:textId="77777777" w:rsidR="006828B6" w:rsidRDefault="008A603F" w:rsidP="008A6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828B6" w:rsidSect="00F54F4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54487B0E" w14:textId="20ABEC3F" w:rsidR="00FD02CF" w:rsidRDefault="008A603F" w:rsidP="008A6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2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D02CF">
        <w:rPr>
          <w:rFonts w:ascii="Times New Roman" w:hAnsi="Times New Roman" w:cs="Times New Roman"/>
          <w:sz w:val="28"/>
          <w:szCs w:val="28"/>
        </w:rPr>
        <w:t>УТВЕРЖДЕНО</w:t>
      </w:r>
    </w:p>
    <w:p w14:paraId="7BA5B6FA" w14:textId="77777777" w:rsidR="00FD02CF" w:rsidRDefault="00FD02CF" w:rsidP="008A6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F698E6E" w14:textId="19301F59" w:rsidR="00FD02CF" w:rsidRDefault="008A603F" w:rsidP="008A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D02C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F89E44F" w14:textId="5B3481B4" w:rsidR="00FD02CF" w:rsidRDefault="00FD02CF" w:rsidP="008A6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603F">
        <w:rPr>
          <w:rFonts w:ascii="Times New Roman" w:hAnsi="Times New Roman" w:cs="Times New Roman"/>
          <w:sz w:val="28"/>
          <w:szCs w:val="28"/>
        </w:rPr>
        <w:t>«___» _______ 2021 г. № __</w:t>
      </w:r>
    </w:p>
    <w:p w14:paraId="58087613" w14:textId="77777777" w:rsidR="00FD02CF" w:rsidRDefault="00FD02CF" w:rsidP="008A6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A6ACC3" w14:textId="77777777" w:rsidR="00FD02CF" w:rsidRDefault="00FD02CF" w:rsidP="00FD02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AA54" w14:textId="77777777" w:rsidR="00FD02CF" w:rsidRDefault="00FD02CF" w:rsidP="00FD02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92B29" w14:textId="77777777" w:rsidR="00FD02CF" w:rsidRDefault="00FD02CF" w:rsidP="00FD02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9AB26" w14:textId="77777777" w:rsidR="00FD02CF" w:rsidRDefault="00FD02CF" w:rsidP="00FD02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78FF9" w14:textId="77777777" w:rsidR="00FD02CF" w:rsidRDefault="00FD02CF" w:rsidP="00FD02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96AFBA7" w14:textId="77777777" w:rsidR="00FD02CF" w:rsidRDefault="00FD02CF" w:rsidP="00FD02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федеральном государственном контроле (надзоре) </w:t>
      </w:r>
    </w:p>
    <w:p w14:paraId="58451859" w14:textId="56BD7A97" w:rsidR="00FD02CF" w:rsidRDefault="00FD02CF" w:rsidP="00FD02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проведением </w:t>
      </w:r>
      <w:r w:rsidR="00F1148A">
        <w:rPr>
          <w:rFonts w:ascii="Times New Roman" w:hAnsi="Times New Roman" w:cs="Times New Roman"/>
          <w:b/>
          <w:sz w:val="28"/>
          <w:szCs w:val="28"/>
        </w:rPr>
        <w:t>лотерей</w:t>
      </w:r>
    </w:p>
    <w:p w14:paraId="6DC3F0A3" w14:textId="77777777" w:rsidR="00FD02CF" w:rsidRDefault="00FD02CF" w:rsidP="00FD02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3830C" w14:textId="77777777" w:rsidR="00FD02CF" w:rsidRDefault="00FD02CF" w:rsidP="00FD02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96B3E" w14:textId="77777777" w:rsidR="004C597B" w:rsidRPr="004C597B" w:rsidRDefault="004C597B" w:rsidP="004C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5DF8C772" w14:textId="1EB1F527" w:rsidR="00C1793C" w:rsidRDefault="004C597B" w:rsidP="00C1793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Pr="002B1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устанавливает порядок организации и осуществления федерального государственного контроля (надзора) за проведением </w:t>
      </w:r>
      <w:r w:rsidR="00F1148A">
        <w:rPr>
          <w:rFonts w:ascii="Times New Roman" w:hAnsi="Times New Roman" w:cs="Times New Roman"/>
          <w:color w:val="000000" w:themeColor="text1"/>
          <w:sz w:val="28"/>
          <w:szCs w:val="28"/>
        </w:rPr>
        <w:t>лотерей</w:t>
      </w: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bookmarkStart w:id="0" w:name="_Hlk66263803"/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 w:rsidR="002B1398"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2B1398"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="002B1398"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(надзор)</w:t>
      </w:r>
      <w:bookmarkEnd w:id="0"/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A56090" w14:textId="059EE9CA" w:rsidR="00C1793C" w:rsidRPr="00C1793C" w:rsidRDefault="00C1793C" w:rsidP="00C1793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ой.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47DFBF" w14:textId="4C9316F2" w:rsidR="00C1793C" w:rsidRDefault="00FF7390" w:rsidP="00C1793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66283708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C1793C">
        <w:rPr>
          <w:rFonts w:ascii="Times New Roman" w:hAnsi="Times New Roman" w:cs="Times New Roman"/>
          <w:color w:val="000000" w:themeColor="text1"/>
          <w:sz w:val="28"/>
          <w:szCs w:val="28"/>
        </w:rPr>
        <w:t>жностными лицами, уполномоченными на осуществление федерального государственного контроля (надзора)</w:t>
      </w:r>
      <w:r w:rsidR="00587E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="00C1793C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1A7E52B7" w14:textId="0706A0FC" w:rsidR="00C1793C" w:rsidRDefault="00C1793C" w:rsidP="00C1793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заместитель руководителя Федеральной налоговой службы;</w:t>
      </w:r>
    </w:p>
    <w:p w14:paraId="245A9035" w14:textId="277FF9E3" w:rsidR="00D5228C" w:rsidRPr="008A603F" w:rsidRDefault="00D5228C" w:rsidP="00C1793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3F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территориальных органов Федеральной налоговой службы;</w:t>
      </w:r>
    </w:p>
    <w:p w14:paraId="0607966D" w14:textId="77777777" w:rsidR="00C1793C" w:rsidRDefault="00C1793C" w:rsidP="00C1793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руководители, заместители руководителей структурных подразделений Федеральной налоговой службы, уполномоченные в установленном порядке на осуществление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(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9B7EE2" w14:textId="500EDF2A" w:rsidR="00C1793C" w:rsidRPr="00C1793C" w:rsidRDefault="00C1793C" w:rsidP="00C1793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должностные лица Федеральной налоговой службы и ее территориальных органов, уполномоченные в установленном порядке на осуществление государственного </w:t>
      </w:r>
      <w:r w:rsidR="001C63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(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1C63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B14B68" w14:textId="0BCBC606" w:rsidR="00C1793C" w:rsidRDefault="001E4097" w:rsidP="001E409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лицами, уполномоченными на принятие решений о проведении контрольных (надзорных) мероприятий</w:t>
      </w:r>
      <w:r w:rsidR="00587E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3138CC49" w14:textId="20DAD73F" w:rsidR="00D5228C" w:rsidRDefault="00D5228C" w:rsidP="00E523D4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заместитель руководителя Федеральной налоговой службы;</w:t>
      </w:r>
    </w:p>
    <w:p w14:paraId="314F494B" w14:textId="51BAA5AC" w:rsidR="00D5228C" w:rsidRPr="008A603F" w:rsidRDefault="00D5228C" w:rsidP="00E523D4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3F">
        <w:rPr>
          <w:rFonts w:ascii="Times New Roman" w:hAnsi="Times New Roman" w:cs="Times New Roman"/>
          <w:sz w:val="28"/>
          <w:szCs w:val="28"/>
        </w:rPr>
        <w:lastRenderedPageBreak/>
        <w:t>руководители, заместители руководителей территориальных органов Федеральной налоговой службы</w:t>
      </w:r>
      <w:r w:rsidR="00D56344" w:rsidRPr="008A603F">
        <w:rPr>
          <w:rFonts w:ascii="Times New Roman" w:hAnsi="Times New Roman" w:cs="Times New Roman"/>
          <w:sz w:val="28"/>
          <w:szCs w:val="28"/>
        </w:rPr>
        <w:t>.</w:t>
      </w:r>
    </w:p>
    <w:p w14:paraId="5327F679" w14:textId="2AB670AF" w:rsidR="002F0015" w:rsidRPr="00356B82" w:rsidRDefault="002F0015" w:rsidP="00356B8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осуществляющие федеральный государственный контроль (надзор)</w:t>
      </w:r>
      <w:r w:rsidR="00587E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</w:t>
      </w:r>
      <w:r w:rsidR="00305FF7">
        <w:rPr>
          <w:rFonts w:ascii="Times New Roman" w:hAnsi="Times New Roman" w:cs="Times New Roman"/>
          <w:color w:val="000000" w:themeColor="text1"/>
          <w:sz w:val="28"/>
          <w:szCs w:val="28"/>
        </w:rPr>
        <w:t>2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</w:t>
      </w:r>
      <w:bookmarkStart w:id="2" w:name="_Hlk66268566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35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00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6B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14:paraId="47B7777F" w14:textId="4F6890B0" w:rsidR="00356B82" w:rsidRDefault="00356B82" w:rsidP="00356B8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связанным с осуществлением федерального государственного контроля (надзора</w:t>
      </w:r>
      <w:r w:rsidR="00305FF7"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5FF7"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</w:t>
      </w:r>
      <w:r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66279343"/>
      <w:r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bookmarkEnd w:id="3"/>
    </w:p>
    <w:p w14:paraId="1282AD38" w14:textId="0D5D75ED" w:rsidR="00E523D4" w:rsidRPr="007A487C" w:rsidRDefault="00305FF7" w:rsidP="00E523D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8A60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контроль </w:t>
      </w:r>
      <w:r w:rsidR="001C630A">
        <w:rPr>
          <w:rFonts w:ascii="Times New Roman" w:hAnsi="Times New Roman" w:cs="Times New Roman"/>
          <w:color w:val="000000" w:themeColor="text1"/>
          <w:sz w:val="28"/>
          <w:szCs w:val="28"/>
        </w:rPr>
        <w:t>(надзор)</w:t>
      </w:r>
      <w:r w:rsidR="0066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1148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F1148A" w:rsidRPr="00F1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операторами лотерей </w:t>
      </w:r>
      <w:r w:rsidR="00F438AF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распространителями</w:t>
      </w:r>
      <w:r w:rsidR="0061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объекты контроля, юридические лица)</w:t>
      </w:r>
      <w:r w:rsidR="00F438AF" w:rsidRPr="00F1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48A" w:rsidRPr="00F1148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требований</w:t>
      </w:r>
      <w:r w:rsidR="0051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5D08" w:rsidRPr="00C262E3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в сфере лотерей</w:t>
      </w:r>
      <w:r w:rsidR="00E523D4" w:rsidRPr="00515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9C335F" w14:textId="66ECEF6C" w:rsidR="000B6869" w:rsidRDefault="000B6869" w:rsidP="00E523D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налоговой </w:t>
      </w:r>
      <w:r w:rsidR="00305FF7"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службой </w:t>
      </w:r>
      <w:r w:rsidR="00305F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B31E3"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частью 2 статьи 16 и частью 5 статьи 17 Федерального закона</w:t>
      </w:r>
      <w:r w:rsidR="00CB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66356434"/>
      <w:r w:rsidR="00CB31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1E3"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контроле в Российской </w:t>
      </w:r>
      <w:bookmarkEnd w:id="4"/>
      <w:r w:rsidR="00305FF7"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30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</w:t>
      </w:r>
      <w:r w:rsidR="0020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объектов контроля </w:t>
      </w:r>
      <w:r w:rsidR="00202365"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информационной системы</w:t>
      </w:r>
      <w:r w:rsidR="00CB31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87D455" w14:textId="480AEED0" w:rsidR="00CB31E3" w:rsidRPr="00985636" w:rsidRDefault="00CB31E3" w:rsidP="00A5029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при осуществлении федерального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14:paraId="51E96A2A" w14:textId="3549B9AE" w:rsidR="00CB31E3" w:rsidRPr="00985636" w:rsidRDefault="00B16631" w:rsidP="00A50298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E3"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риск;</w:t>
      </w:r>
      <w:r w:rsidR="00F6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D71167" w14:textId="09E0E985" w:rsidR="00985636" w:rsidRPr="00985636" w:rsidRDefault="00B16631" w:rsidP="00A50298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умеренный </w:t>
      </w:r>
      <w:r w:rsidR="00CB31E3"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риск;</w:t>
      </w:r>
      <w:r w:rsidR="00F6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53B1D3" w14:textId="73D51C6A" w:rsidR="00985636" w:rsidRPr="00985636" w:rsidRDefault="007162A1" w:rsidP="00A50298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="0010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CB31E3"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FAC0ED" w14:textId="283E8264" w:rsidR="00A50298" w:rsidRPr="009C7DA9" w:rsidRDefault="009C7DA9" w:rsidP="00A5029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распространителей по распространению (реализации, выдаче) лотерейных билетов </w:t>
      </w:r>
      <w:proofErr w:type="spellStart"/>
      <w:r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бестиражных</w:t>
      </w:r>
      <w:proofErr w:type="spellEnd"/>
      <w:r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лотерей, а также выплате, передаче или предоставлению выигрышей участникам таких лотерей относится к средней категории риска.</w:t>
      </w:r>
    </w:p>
    <w:p w14:paraId="41E62224" w14:textId="68A4A25D" w:rsidR="006015EB" w:rsidRPr="006828B6" w:rsidRDefault="00A50298" w:rsidP="009C7DA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6352419"/>
      <w:r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bookmarkStart w:id="6" w:name="_Hlk70686731"/>
      <w:bookmarkEnd w:id="5"/>
      <w:r w:rsidR="001059B1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распространителей по распространению (реализаци</w:t>
      </w:r>
      <w:r w:rsidR="007A487C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9B1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</w:t>
      </w:r>
      <w:r w:rsidR="00321184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9B1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лотерейных билетов</w:t>
      </w:r>
      <w:r w:rsidR="00321184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тиражных лотерей</w:t>
      </w:r>
      <w:r w:rsidR="001059B1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лотерейных квитанций, электронных лотерейных билетов, приему лотерейных ставок среди участ</w:t>
      </w:r>
      <w:r w:rsidR="00FB07EE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="00321184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тиражных </w:t>
      </w:r>
      <w:r w:rsidR="001059B1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</w:t>
      </w:r>
      <w:r w:rsidR="00321184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59B1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выплате, передаче или предоставлению выигрышей участникам</w:t>
      </w:r>
      <w:r w:rsidR="00FB07EE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1059B1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</w:t>
      </w:r>
      <w:r w:rsidR="00321184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4760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</w:t>
      </w:r>
      <w:r w:rsidR="00992687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4760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bookmarkEnd w:id="6"/>
      <w:r w:rsidR="006C4760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C7DA9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умеренной </w:t>
      </w:r>
      <w:r w:rsidR="006C4760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риска.</w:t>
      </w:r>
      <w:r w:rsidR="00F6233D" w:rsidRPr="009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A065AE" w14:textId="79D96CE8" w:rsidR="009C7DA9" w:rsidRPr="006828B6" w:rsidRDefault="009C7DA9" w:rsidP="009C7DA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операторов лотерей по проведению лотерей, относится к низкой категории риска.</w:t>
      </w:r>
    </w:p>
    <w:p w14:paraId="7579D536" w14:textId="0183759D" w:rsidR="0085631C" w:rsidRPr="008A603F" w:rsidRDefault="008A603F" w:rsidP="006727C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</w:t>
      </w:r>
      <w:r w:rsidR="0085631C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к одной из категорий риска, а также изменение категории риск</w:t>
      </w: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BD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которой ранее был отнесен </w:t>
      </w:r>
      <w:r w:rsidR="0085631C" w:rsidRPr="00BD6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85631C"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31C"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 решению руководителя (заместителя руководителя) </w:t>
      </w:r>
      <w:r w:rsid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службы, </w:t>
      </w:r>
      <w:r w:rsidR="0085631C" w:rsidRPr="008A6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(заместителя руководителя) территориальных органов Федеральной налоговой службы.</w:t>
      </w:r>
    </w:p>
    <w:p w14:paraId="2CFCE4B6" w14:textId="1585DFFD" w:rsidR="0085631C" w:rsidRPr="00992687" w:rsidRDefault="009B2838" w:rsidP="0099268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контроля </w:t>
      </w:r>
      <w:r w:rsidR="00AB6AD1"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24 Федерального закона </w:t>
      </w:r>
      <w:r w:rsidR="00992687" w:rsidRPr="00992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99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AD1"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подать в </w:t>
      </w:r>
      <w:r w:rsid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Федеральную налоговую службу, территориальные органы Федеральной </w:t>
      </w:r>
      <w:r w:rsidR="0099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="00AB6AD1"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изменении категории риска</w:t>
      </w:r>
      <w:r w:rsidR="0099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AD1"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26F731" w14:textId="641D82D9" w:rsidR="00980C5C" w:rsidRPr="0085631C" w:rsidRDefault="008A603F" w:rsidP="00C55B41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</w:t>
      </w:r>
      <w:r w:rsidR="0098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(надзорных) мероприятий </w:t>
      </w:r>
      <w:r w:rsidR="00980C5C"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осуществляется со следующей периодичностью:</w:t>
      </w:r>
    </w:p>
    <w:p w14:paraId="54197D46" w14:textId="271AEE46" w:rsidR="002216F5" w:rsidRDefault="001059B1" w:rsidP="006828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контроля, отнесенных к </w:t>
      </w:r>
      <w:r w:rsidR="00A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риска – один раз в </w:t>
      </w:r>
      <w:r w:rsidR="00A227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76A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14:paraId="72ED3E24" w14:textId="64BAD31D" w:rsidR="0085631C" w:rsidRPr="006828B6" w:rsidRDefault="00980C5C" w:rsidP="006828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5631C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контроля, отнесенных к </w:t>
      </w:r>
      <w:r w:rsidR="00A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умеренной  </w:t>
      </w:r>
      <w:r w:rsidR="00A2276A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риска – </w:t>
      </w:r>
      <w:r w:rsidR="0085631C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</w:t>
      </w: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14:paraId="451B4C3F" w14:textId="694B3F6C" w:rsidR="00980C5C" w:rsidRPr="006828B6" w:rsidRDefault="008A603F" w:rsidP="006828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5631C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контроля, отнесенных к </w:t>
      </w:r>
      <w:r w:rsidR="00980C5C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 категории риска</w:t>
      </w:r>
      <w:r w:rsidR="00A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6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2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проводятся</w:t>
      </w:r>
      <w:r w:rsidR="0085631C" w:rsidRPr="00682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282127" w14:textId="5FDF15A7" w:rsidR="00BC0960" w:rsidRDefault="00020535" w:rsidP="001E409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федерального государственного контроля (надзора) </w:t>
      </w:r>
      <w:r w:rsidR="009A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</w:t>
      </w:r>
      <w:r w:rsidR="009A66E1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A215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A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виды профилактических мероприятий:</w:t>
      </w:r>
    </w:p>
    <w:p w14:paraId="38930008" w14:textId="00A11936" w:rsidR="00020535" w:rsidRPr="006828B6" w:rsidRDefault="0002053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информирование;</w:t>
      </w:r>
    </w:p>
    <w:p w14:paraId="00709FFD" w14:textId="23308E2C" w:rsidR="00020535" w:rsidRPr="00020535" w:rsidRDefault="00020535" w:rsidP="0002053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консультирование;</w:t>
      </w:r>
    </w:p>
    <w:p w14:paraId="4C26772A" w14:textId="62010F29" w:rsidR="009A66E1" w:rsidRDefault="00020535" w:rsidP="009A66E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 визит.</w:t>
      </w:r>
    </w:p>
    <w:p w14:paraId="1A366BDB" w14:textId="17082B99" w:rsidR="00A2276A" w:rsidRPr="006828B6" w:rsidRDefault="00A2276A" w:rsidP="00BD0C1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70664693"/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налоговая служба осуществляет информирование объектов контроля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заинтересованных лиц по вопросам соблюдения обязательных требований, установленных законодательством Российской Федерации в сфере лотерей, в порядке, установленном статьей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закона «О государственном контроле (надзоре) и муниципальном контроле в Российской Федерации»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7D4408" w14:textId="23A25E1D" w:rsidR="009F580B" w:rsidRPr="006828B6" w:rsidRDefault="009F580B" w:rsidP="00BD0C1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</w:t>
      </w:r>
      <w:r w:rsidR="00C55B4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 иных заинтересованных лиц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(разъяснения по вопросам, связанным с организацией и осуществлением </w:t>
      </w:r>
      <w:r w:rsidR="00883D94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контроля (надзора) осуществляется уполномоченным </w:t>
      </w:r>
      <w:r w:rsidR="00883D94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лицом Федеральной налоговой службы в пор</w:t>
      </w:r>
      <w:r w:rsidR="00883D94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83D94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статьей 50 Федерального закона</w:t>
      </w:r>
      <w:r w:rsidR="00883D94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2BBFF482" w14:textId="259B22DE" w:rsidR="00883D94" w:rsidRPr="00DF6003" w:rsidRDefault="009F580B" w:rsidP="006828B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</w:t>
      </w:r>
      <w:r w:rsidR="00883D94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письменное консультирование)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вопросам, касающимся </w:t>
      </w:r>
      <w:r w:rsidR="00883D94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федерального государственного контроля (надзора), </w:t>
      </w:r>
      <w:r w:rsidR="00883D94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F30BDB" w14:textId="0EFC5808" w:rsidR="00883D94" w:rsidRPr="006828B6" w:rsidRDefault="00883D94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федерального государственного контроля</w:t>
      </w:r>
      <w:r w:rsidR="0050438B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(надзора)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B71950" w14:textId="4B9571D2" w:rsidR="00883D94" w:rsidRPr="00DF6003" w:rsidRDefault="009F580B" w:rsidP="006828B6">
      <w:pPr>
        <w:pStyle w:val="a3"/>
        <w:spacing w:after="0" w:line="276" w:lineRule="auto"/>
        <w:ind w:left="0" w:firstLine="709"/>
        <w:jc w:val="both"/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отнесения объектов контроля к категориям риска</w:t>
      </w:r>
      <w:r w:rsidR="00883D94" w:rsidRPr="006828B6">
        <w:t>;</w:t>
      </w:r>
    </w:p>
    <w:p w14:paraId="5A0C583D" w14:textId="24C7F87D" w:rsidR="00C55B41" w:rsidRPr="00DF6003" w:rsidRDefault="00C55B41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периодичности проведения плановых контрольных (надзорных) мероприятий объектов контроля в зависимости от категории риска;</w:t>
      </w:r>
    </w:p>
    <w:p w14:paraId="15165911" w14:textId="0B2EE778" w:rsidR="00883D94" w:rsidRPr="006828B6" w:rsidRDefault="00883D94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 </w:t>
      </w:r>
      <w:r w:rsidR="00C55B4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порядка осуществления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мероприятий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F12DAC" w14:textId="254A6459" w:rsidR="00035585" w:rsidRPr="00DF6003" w:rsidRDefault="00CE74C1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видов плановых и внеплановых контрольных (надзорных) мероприятий;</w:t>
      </w:r>
    </w:p>
    <w:p w14:paraId="731DD1A5" w14:textId="6A0B8EB4" w:rsidR="00DF6003" w:rsidRPr="006828B6" w:rsidRDefault="0050438B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обжалования решений Федеральной налоговой службы, действий (бездействия) ее должностных лиц</w:t>
      </w:r>
      <w:r w:rsidR="00DF6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EC7623" w14:textId="0D9EAE7F" w:rsidR="00995A49" w:rsidRPr="006828B6" w:rsidRDefault="00BD0C14" w:rsidP="00DF60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</w:t>
      </w:r>
      <w:r w:rsidR="00995A49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визит</w:t>
      </w:r>
      <w:r w:rsidR="00995A49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отношении объектов контроля </w:t>
      </w:r>
      <w:r w:rsidR="00C55B41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995A49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55B41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тся уполномоченным лицом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налоговой службы </w:t>
      </w:r>
      <w:proofErr w:type="gramStart"/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C55B41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B4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статьей 52 Федерального закона «О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5B4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контроле (надзоре) и муниципальном контроле в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5B4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Федерации».</w:t>
      </w:r>
    </w:p>
    <w:p w14:paraId="4E2FCC26" w14:textId="6CCEC6DC" w:rsidR="00CE74C1" w:rsidRPr="00DF6003" w:rsidRDefault="00995A49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Профилактические визиты 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</w:t>
      </w:r>
      <w:r w:rsidR="00CE74C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контроля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 не чаще одного раза в три года</w:t>
      </w:r>
      <w:r w:rsidR="00CE74C1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0C98F6" w14:textId="5D5AB74B" w:rsidR="00CE74C1" w:rsidRPr="006828B6" w:rsidRDefault="00CE74C1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профилактического визита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контроля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уведомлен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пять рабочих дней до даты его проведения.</w:t>
      </w:r>
    </w:p>
    <w:p w14:paraId="3D34E786" w14:textId="7A33383F" w:rsidR="00CE74C1" w:rsidRPr="00DF6003" w:rsidRDefault="006828B6" w:rsidP="006828B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 контроля</w:t>
      </w:r>
      <w:r w:rsidR="00CE74C1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4C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вправе отказаться от проведения профилактич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еского визита, уведомив об этом</w:t>
      </w:r>
      <w:r w:rsidR="00CE74C1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Федеральную налоговую службу </w:t>
      </w:r>
      <w:r w:rsidR="00CE74C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три рабочих дня до даты его проведения.</w:t>
      </w:r>
    </w:p>
    <w:p w14:paraId="4E5F9B29" w14:textId="221E87FF" w:rsidR="00995A49" w:rsidRPr="00DF6003" w:rsidRDefault="00995A49" w:rsidP="00995A49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визиты осуществляются, в отношении объектов контроля, приступающих к осуществлению деятельности в сфере лотерей</w:t>
      </w:r>
      <w:r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>, не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чем в течение одного года с момента начала такой деятельности.</w:t>
      </w:r>
    </w:p>
    <w:bookmarkEnd w:id="7"/>
    <w:p w14:paraId="784ECBE5" w14:textId="3244372B" w:rsidR="00BC0960" w:rsidRDefault="00EA68B0" w:rsidP="009B22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контроль (надзор) осуществляется посредством следующих </w:t>
      </w:r>
      <w:r w:rsidR="008D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и внеплановых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(надзорных) мероприятий:</w:t>
      </w:r>
    </w:p>
    <w:p w14:paraId="36491100" w14:textId="4FA758D6" w:rsidR="00906CBC" w:rsidRPr="00906CBC" w:rsidRDefault="00906CBC" w:rsidP="009B2275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CB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документарная проверка;</w:t>
      </w:r>
    </w:p>
    <w:p w14:paraId="01BF04EF" w14:textId="4A23651B" w:rsidR="00EA68B0" w:rsidRDefault="00906CBC" w:rsidP="001760DC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CB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</w:t>
      </w:r>
      <w:r w:rsidR="00176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A0D113" w14:textId="2DCC76C7" w:rsidR="00BC0960" w:rsidRDefault="00906CBC" w:rsidP="009B22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="009B2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документарной проверки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совершаться следующие контрольные (надзорные) действия:</w:t>
      </w:r>
    </w:p>
    <w:p w14:paraId="516B6E7A" w14:textId="2F5C759D" w:rsidR="009B2275" w:rsidRPr="009B2275" w:rsidRDefault="009B2275" w:rsidP="009B2275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27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217A250D" w14:textId="60CC8DE7" w:rsidR="009B2275" w:rsidRPr="009B2275" w:rsidRDefault="009B2275" w:rsidP="009B2275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275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 документов;</w:t>
      </w:r>
    </w:p>
    <w:p w14:paraId="5B360483" w14:textId="3657A2F0" w:rsidR="00906CBC" w:rsidRDefault="009B2275" w:rsidP="009B2275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275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экспертиза.</w:t>
      </w:r>
    </w:p>
    <w:p w14:paraId="2F941F77" w14:textId="73553EA2" w:rsidR="00906CBC" w:rsidRDefault="009B2275" w:rsidP="00F12C74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выездной проверки могут совершатьс</w:t>
      </w:r>
      <w:r w:rsidR="00F12C74">
        <w:rPr>
          <w:rFonts w:ascii="Times New Roman" w:hAnsi="Times New Roman" w:cs="Times New Roman"/>
          <w:color w:val="000000" w:themeColor="text1"/>
          <w:sz w:val="28"/>
          <w:szCs w:val="28"/>
        </w:rPr>
        <w:t>я следующие контрольные (надзорные) действия:</w:t>
      </w:r>
    </w:p>
    <w:p w14:paraId="694EE17C" w14:textId="112D5C95" w:rsidR="00F12C74" w:rsidRPr="00F12C74" w:rsidRDefault="00F12C74" w:rsidP="00F12C7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2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осмотр;</w:t>
      </w:r>
    </w:p>
    <w:p w14:paraId="6FB3732E" w14:textId="71FCB4D7" w:rsidR="00F12C74" w:rsidRPr="00F12C74" w:rsidRDefault="00F12C74" w:rsidP="00F12C7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14:paraId="52568D57" w14:textId="7AA6D4BB" w:rsidR="00F12C74" w:rsidRPr="00574FFA" w:rsidRDefault="00F12C74" w:rsidP="00F12C7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7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14:paraId="248B2A2E" w14:textId="01490063" w:rsidR="00F12C74" w:rsidRPr="00574FFA" w:rsidRDefault="00F12C74" w:rsidP="001760DC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7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14:paraId="660620C6" w14:textId="2CF3CF98" w:rsidR="00F12C74" w:rsidRPr="00574FFA" w:rsidRDefault="00F12C74" w:rsidP="00F12C7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74F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эксперимент.</w:t>
      </w:r>
    </w:p>
    <w:p w14:paraId="0065A219" w14:textId="09475513" w:rsidR="00EE0505" w:rsidRPr="006828B6" w:rsidRDefault="00EE0505" w:rsidP="00EE050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70665535"/>
      <w:bookmarkStart w:id="9" w:name="_Hlk68536508"/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(надзорные) действия, предусмотренные пункт</w:t>
      </w:r>
      <w:r w:rsidR="00A2150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F6003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50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21501"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Порядка, совершаются в соответствии с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статей 76, 78-80 и 85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«О государственном контроле (надзоре) и муниципальном </w:t>
      </w:r>
      <w:r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Федерации».</w:t>
      </w:r>
    </w:p>
    <w:p w14:paraId="6FB95511" w14:textId="791DED59" w:rsidR="00574FFA" w:rsidRPr="006828B6" w:rsidRDefault="00574FFA" w:rsidP="00EE050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В ходе выездной проверки</w:t>
      </w:r>
      <w:r w:rsidR="00CE74C1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CE74C1"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полномоченным лицом Федеральной налоговой службы </w:t>
      </w:r>
      <w:r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проведен эксперимент</w:t>
      </w:r>
      <w:r w:rsidR="00EE0505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аключающийся в использовании тест-ситуаций, направленных на проверку соблюдения объектом контроля обязательных требований</w:t>
      </w:r>
      <w:r w:rsidR="00EE0505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лотерей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1CE508" w14:textId="2D9F6169" w:rsidR="00796FCB" w:rsidRDefault="006554ED" w:rsidP="00796FC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выездной проверки должностным лицом, осуществляющим федеральный государственный контроль (надзор) в целях фиксации доказательств нарушения объектами контроля обязательных требований,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законодательством Российской Федерации в сфере лотерей, могут использоваться фотосъемка, аудио- и видеозапись</w:t>
      </w:r>
      <w:r w:rsidR="00796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2B08AB" w14:textId="06457EDC" w:rsidR="00DF6003" w:rsidRPr="00DF6003" w:rsidRDefault="00796FCB" w:rsidP="00E434C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выездной проверки не может превышать десять рабочих дней. В отношении одного</w:t>
      </w:r>
      <w:r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контроля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400E1B4A" w14:textId="4C463419" w:rsidR="00EE64B2" w:rsidRPr="006828B6" w:rsidRDefault="001E522A" w:rsidP="006828B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>Формы к</w:t>
      </w:r>
      <w:r w:rsidR="00EE64B2"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</w:t>
      </w:r>
      <w:r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E64B2" w:rsidRPr="0079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возражениям, предусмотренным частью 1 статьи 89 Федерального закона </w:t>
      </w:r>
      <w:r w:rsidR="00EE64B2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E64B2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контроле в Российской Федерации»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035585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налоговой службой и могут быть проведены как по </w:t>
      </w:r>
      <w:r w:rsidR="00EE64B2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месту </w:t>
      </w:r>
      <w:r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Федеральной налоговой службы, соответствующего территориального органа Федеральной налоговой службы </w:t>
      </w:r>
      <w:r w:rsidR="00035585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</w:t>
      </w:r>
      <w:r w:rsidR="00EE64B2" w:rsidRPr="00DF6003">
        <w:rPr>
          <w:rFonts w:ascii="Times New Roman" w:hAnsi="Times New Roman" w:cs="Times New Roman"/>
          <w:color w:val="000000" w:themeColor="text1"/>
          <w:sz w:val="28"/>
          <w:szCs w:val="28"/>
        </w:rPr>
        <w:t>путем использования видео-конференц-связи.</w:t>
      </w:r>
    </w:p>
    <w:p w14:paraId="0E61CBE2" w14:textId="54D3AD46" w:rsidR="00035585" w:rsidRPr="00610A3C" w:rsidRDefault="00035585" w:rsidP="006828B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70665858"/>
      <w:bookmarkEnd w:id="8"/>
      <w:r w:rsidRPr="00035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при осуществлении федерального государственного контроля (надзора) проводятся по основаниям, предусмотренным пунктами 1, 3 - 5 части 1 статьи 57 Федерального закона 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контроле (надзоре) и муниципальном контроле в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Федерации».</w:t>
      </w:r>
      <w:bookmarkEnd w:id="10"/>
    </w:p>
    <w:p w14:paraId="4D942912" w14:textId="75639E38" w:rsidR="001760DC" w:rsidRPr="00E4385D" w:rsidRDefault="00DC5808" w:rsidP="00163F8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70423076"/>
      <w:r w:rsidRPr="00DC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федерального государственного контроля (надзора) </w:t>
      </w:r>
      <w:bookmarkEnd w:id="11"/>
      <w:r w:rsidRPr="00DC580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соблюдение операторами лотерей и распространителями обязательных требований, установленных законодательством Российской Федерации в сфере лотерей.</w:t>
      </w:r>
      <w:bookmarkEnd w:id="9"/>
    </w:p>
    <w:p w14:paraId="50463943" w14:textId="512346BF" w:rsidR="0050438B" w:rsidRDefault="00610A3C" w:rsidP="00DF60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7066618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Юридическое лицо 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</w:t>
      </w:r>
      <w:r w:rsidR="0050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судебное и внесудебное </w:t>
      </w:r>
      <w:r w:rsidR="0050438B"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обжалование решений</w:t>
      </w:r>
      <w:r w:rsidR="0050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налоговой службы</w:t>
      </w:r>
      <w:r w:rsidR="0050438B"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действий (бездействия) </w:t>
      </w:r>
      <w:r w:rsidR="0050438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50438B"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</w:t>
      </w:r>
      <w:r w:rsidR="0050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статьями 39-43 Федерального закона </w:t>
      </w:r>
      <w:r w:rsidR="0050438B"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04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A35717" w14:textId="091C97F5" w:rsidR="0050438B" w:rsidRPr="0050438B" w:rsidRDefault="0050438B" w:rsidP="006828B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решение </w:t>
      </w:r>
      <w:r w:rsidR="009021BA"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органа Федеральной налоговой службы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(бездействие) 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руководителем </w:t>
      </w:r>
      <w:r w:rsidR="009021BA"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(заместителем руководителя) 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</w:t>
      </w:r>
      <w:r w:rsidR="009021BA"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органа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налоговой службы либо </w:t>
      </w:r>
      <w:r w:rsidR="009021BA"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68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Федеральной налоговой службы </w:t>
      </w:r>
      <w:r w:rsidRPr="0050438B">
        <w:rPr>
          <w:rFonts w:ascii="Times New Roman" w:hAnsi="Times New Roman" w:cs="Times New Roman"/>
          <w:color w:val="000000" w:themeColor="text1"/>
          <w:sz w:val="28"/>
          <w:szCs w:val="28"/>
        </w:rPr>
        <w:t>(в порядке подчиненности).</w:t>
      </w:r>
    </w:p>
    <w:p w14:paraId="3E50F1C3" w14:textId="2E99A371" w:rsidR="0050438B" w:rsidRPr="0050438B" w:rsidRDefault="009021BA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5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Федеральной налоговой службы </w:t>
      </w: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субъекту Российской Федерации, </w:t>
      </w: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Федеральной налоговой службой.</w:t>
      </w:r>
    </w:p>
    <w:p w14:paraId="33204FB7" w14:textId="444DCFD3" w:rsidR="0050438B" w:rsidRPr="0050438B" w:rsidRDefault="009021BA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налоговой службы</w:t>
      </w: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набавляются в Министерство финансов Российской Федерации.</w:t>
      </w:r>
    </w:p>
    <w:p w14:paraId="42FB5639" w14:textId="2899BB21" w:rsidR="00FB7051" w:rsidRPr="00FB7051" w:rsidRDefault="00FB7051" w:rsidP="00DF60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орган государственного надзора, рассматривается 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лицом, в течение </w:t>
      </w:r>
      <w:r w:rsidR="0045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двадцати рабочих 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регистрации.</w:t>
      </w:r>
    </w:p>
    <w:p w14:paraId="3F279655" w14:textId="0DDFA0D8" w:rsidR="00FB7051" w:rsidRPr="00FB7051" w:rsidRDefault="00FB7051" w:rsidP="006828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заместитель руководителя Федеральной налоговой службы,</w:t>
      </w:r>
      <w:r w:rsidR="0090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5A0" w:rsidRPr="004545A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4545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45A0" w:rsidRPr="0045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налоговой службы   по субъекту Российской Федерации</w:t>
      </w:r>
      <w:r w:rsidR="0045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органа </w:t>
      </w:r>
      <w:r w:rsidR="0045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налоговой службы 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продлить срок рассмотрения </w:t>
      </w:r>
      <w:proofErr w:type="gramStart"/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="0045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5A0" w:rsidRPr="004545A0">
        <w:rPr>
          <w:rFonts w:ascii="Times New Roman" w:hAnsi="Times New Roman" w:cs="Times New Roman"/>
          <w:color w:val="000000" w:themeColor="text1"/>
          <w:sz w:val="28"/>
          <w:szCs w:val="28"/>
        </w:rPr>
        <w:t>но не более чем на двадцать рабочих дней</w:t>
      </w:r>
      <w:r w:rsidR="0045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6B223C" w14:textId="0597658C" w:rsidR="00FB7051" w:rsidRDefault="00FB7051" w:rsidP="00DF60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результате рассмотрения жалобы на действия (бездействие) должностных лиц органа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(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B7051">
        <w:rPr>
          <w:rFonts w:ascii="Times New Roman" w:hAnsi="Times New Roman" w:cs="Times New Roman"/>
          <w:color w:val="000000" w:themeColor="text1"/>
          <w:sz w:val="28"/>
          <w:szCs w:val="28"/>
        </w:rPr>
        <w:t>и принятые ими решения, жалоба признается удовлетворенной или частично удовлетворенной, то принимается решение о применении мер ответственности к должностному лицу органа государственного надзора, допустившему нарушения в ходе осуществления государственной функции, повлекшие за собой жалобу.</w:t>
      </w:r>
    </w:p>
    <w:p w14:paraId="26D4DCE7" w14:textId="537C3226" w:rsidR="007162A1" w:rsidRPr="006828B6" w:rsidRDefault="00796FCB" w:rsidP="00B107CE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right="29" w:firstLine="709"/>
        <w:jc w:val="both"/>
        <w:rPr>
          <w:szCs w:val="28"/>
        </w:rPr>
      </w:pPr>
      <w:r w:rsidRPr="006828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Ключевые показатели федерального государственного контроля (надзора) за проведением лотерей прилагаются.</w:t>
      </w:r>
      <w:bookmarkEnd w:id="12"/>
    </w:p>
    <w:p w14:paraId="4F2B6375" w14:textId="77777777" w:rsidR="007162A1" w:rsidRDefault="007162A1" w:rsidP="007162A1"/>
    <w:p w14:paraId="4E935BAA" w14:textId="77777777" w:rsidR="007162A1" w:rsidRDefault="007162A1" w:rsidP="007162A1">
      <w:pPr>
        <w:sectPr w:rsidR="007162A1" w:rsidSect="00F54F4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063072A3" w14:textId="77777777" w:rsidR="007162A1" w:rsidRPr="006828B6" w:rsidRDefault="007162A1" w:rsidP="00682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Hlk70667197"/>
      <w:r w:rsidRPr="006828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BAA7D95" w14:textId="77777777" w:rsidR="007162A1" w:rsidRPr="006828B6" w:rsidRDefault="007162A1" w:rsidP="0068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8B6">
        <w:rPr>
          <w:rFonts w:ascii="Times New Roman" w:hAnsi="Times New Roman" w:cs="Times New Roman"/>
          <w:sz w:val="28"/>
          <w:szCs w:val="28"/>
        </w:rPr>
        <w:t>к Положению о федеральном</w:t>
      </w:r>
    </w:p>
    <w:p w14:paraId="26A0709B" w14:textId="77777777" w:rsidR="007162A1" w:rsidRPr="006828B6" w:rsidRDefault="007162A1" w:rsidP="0068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8B6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14:paraId="740CBBFA" w14:textId="77777777" w:rsidR="007162A1" w:rsidRPr="006828B6" w:rsidRDefault="007162A1" w:rsidP="0068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8B6">
        <w:rPr>
          <w:rFonts w:ascii="Times New Roman" w:hAnsi="Times New Roman" w:cs="Times New Roman"/>
          <w:sz w:val="28"/>
          <w:szCs w:val="28"/>
        </w:rPr>
        <w:t>за проведением лотерей</w:t>
      </w:r>
    </w:p>
    <w:p w14:paraId="27946593" w14:textId="77777777" w:rsidR="007162A1" w:rsidRPr="006828B6" w:rsidRDefault="007162A1" w:rsidP="007162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3"/>
      <w:bookmarkEnd w:id="14"/>
    </w:p>
    <w:p w14:paraId="030986B5" w14:textId="77777777" w:rsidR="007162A1" w:rsidRPr="006828B6" w:rsidRDefault="007162A1" w:rsidP="0068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70667004"/>
      <w:r w:rsidRPr="006828B6">
        <w:rPr>
          <w:rFonts w:ascii="Times New Roman" w:hAnsi="Times New Roman" w:cs="Times New Roman"/>
          <w:b/>
          <w:bCs/>
          <w:sz w:val="28"/>
          <w:szCs w:val="28"/>
        </w:rPr>
        <w:t>КЛЮЧЕВЫЕ ПОКАЗАТЕЛИ</w:t>
      </w:r>
    </w:p>
    <w:p w14:paraId="1F817A1D" w14:textId="77777777" w:rsidR="007162A1" w:rsidRPr="006828B6" w:rsidRDefault="007162A1" w:rsidP="0068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B6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КОНТРОЛЯ (НАДЗОРА) ЗА ПРОВЕДЕНИЕМ ЛОТЕРЕЙ</w:t>
      </w:r>
    </w:p>
    <w:p w14:paraId="45367265" w14:textId="77777777" w:rsidR="007162A1" w:rsidRPr="006828B6" w:rsidRDefault="007162A1" w:rsidP="007162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718"/>
      </w:tblGrid>
      <w:tr w:rsidR="007162A1" w:rsidRPr="007162A1" w14:paraId="09AE9D40" w14:textId="77777777" w:rsidTr="00484AA2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E96" w14:textId="77777777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ECA" w14:textId="77777777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Целевые (плановые) значения</w:t>
            </w:r>
          </w:p>
        </w:tc>
      </w:tr>
      <w:tr w:rsidR="007162A1" w:rsidRPr="007162A1" w14:paraId="664E8E9D" w14:textId="77777777" w:rsidTr="00484AA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6C4" w14:textId="77777777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Ключевые показатели, отражающие уровень минимизации вреда (ущерба) охраняемым законом ценностям</w:t>
            </w:r>
          </w:p>
        </w:tc>
      </w:tr>
      <w:tr w:rsidR="007162A1" w:rsidRPr="007162A1" w14:paraId="4719F4CA" w14:textId="77777777" w:rsidTr="00484AA2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CD3" w14:textId="593A9AC2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Доля исполненных предписаний об устранении выявленных нарушений</w:t>
            </w:r>
            <w:r w:rsidR="00DF600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 установленных законодательством Российской Федерации в сфере лотерей, </w:t>
            </w: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 xml:space="preserve"> повлекших причинение вреда (ущерба), выявленных в рамках </w:t>
            </w:r>
            <w:r w:rsidR="00DF6003">
              <w:rPr>
                <w:rFonts w:ascii="Times New Roman" w:hAnsi="Times New Roman" w:cs="Times New Roman"/>
                <w:sz w:val="28"/>
                <w:szCs w:val="28"/>
              </w:rPr>
              <w:t>контрольных (</w:t>
            </w: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надзорных</w:t>
            </w:r>
            <w:r w:rsidR="00DF60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B28" w14:textId="77777777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не менее 85%</w:t>
            </w:r>
          </w:p>
        </w:tc>
      </w:tr>
      <w:tr w:rsidR="007162A1" w:rsidRPr="007162A1" w14:paraId="64D0E62B" w14:textId="77777777" w:rsidTr="00484AA2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942" w14:textId="0A7D276F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</w:t>
            </w:r>
            <w:r w:rsidR="00DF600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, соответствующих обязательным требованиям,</w:t>
            </w:r>
            <w:r w:rsidR="00DF6003">
              <w:t xml:space="preserve"> </w:t>
            </w:r>
            <w:r w:rsidR="00DF6003" w:rsidRPr="00DF6003">
              <w:rPr>
                <w:rFonts w:ascii="Times New Roman" w:hAnsi="Times New Roman" w:cs="Times New Roman"/>
                <w:sz w:val="28"/>
                <w:szCs w:val="28"/>
              </w:rPr>
              <w:t>установленны</w:t>
            </w:r>
            <w:r w:rsidR="00DF60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6003" w:rsidRPr="00DF600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в сфере лотерей</w:t>
            </w:r>
            <w:r w:rsidR="00DF60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 xml:space="preserve"> от количества проверенных объектов </w:t>
            </w:r>
            <w:r w:rsidR="00DF600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, в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E494" w14:textId="77777777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не менее 85%</w:t>
            </w:r>
          </w:p>
        </w:tc>
      </w:tr>
      <w:tr w:rsidR="007162A1" w:rsidRPr="007162A1" w14:paraId="4C5FBB28" w14:textId="77777777" w:rsidTr="00484AA2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8BF" w14:textId="77777777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показатели, отражающие уровень устранения риска причинения вреда (ущерба) </w:t>
            </w:r>
          </w:p>
        </w:tc>
      </w:tr>
      <w:tr w:rsidR="007162A1" w:rsidRPr="007162A1" w14:paraId="12A9F150" w14:textId="77777777" w:rsidTr="00484AA2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A39" w14:textId="7E5E8CC9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Доля исполненных предписаний об устранении выявленных нарушений</w:t>
            </w:r>
            <w:r w:rsidR="00DF6003">
              <w:t xml:space="preserve"> </w:t>
            </w:r>
            <w:r w:rsidR="00DF6003" w:rsidRPr="00DF600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требований, установленных законодательством Российской Федерации в сфере лотерей,  </w:t>
            </w: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 xml:space="preserve"> создающих риск причинения вреда (ущерба), выявленных в рамках контрольных (надзорных) мероприятий, в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9444" w14:textId="77777777" w:rsidR="007162A1" w:rsidRPr="006828B6" w:rsidRDefault="007162A1" w:rsidP="0064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B6">
              <w:rPr>
                <w:rFonts w:ascii="Times New Roman" w:hAnsi="Times New Roman" w:cs="Times New Roman"/>
                <w:sz w:val="28"/>
                <w:szCs w:val="28"/>
              </w:rPr>
              <w:t>не менее 85%</w:t>
            </w:r>
          </w:p>
        </w:tc>
      </w:tr>
      <w:bookmarkEnd w:id="15"/>
    </w:tbl>
    <w:p w14:paraId="31315EED" w14:textId="01A5C256" w:rsidR="00D847F1" w:rsidRPr="00C40CB4" w:rsidRDefault="00D847F1" w:rsidP="00D847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sectPr w:rsidR="00D847F1" w:rsidRPr="00C40CB4" w:rsidSect="008A603F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64EAF" w14:textId="77777777" w:rsidR="00CA3871" w:rsidRDefault="00CA3871" w:rsidP="00FD02CF">
      <w:pPr>
        <w:spacing w:after="0" w:line="240" w:lineRule="auto"/>
      </w:pPr>
      <w:r>
        <w:separator/>
      </w:r>
    </w:p>
  </w:endnote>
  <w:endnote w:type="continuationSeparator" w:id="0">
    <w:p w14:paraId="3AC0662B" w14:textId="77777777" w:rsidR="00CA3871" w:rsidRDefault="00CA3871" w:rsidP="00FD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A01E" w14:textId="77777777" w:rsidR="00CA3871" w:rsidRDefault="00CA3871" w:rsidP="00FD02CF">
      <w:pPr>
        <w:spacing w:after="0" w:line="240" w:lineRule="auto"/>
      </w:pPr>
      <w:r>
        <w:separator/>
      </w:r>
    </w:p>
  </w:footnote>
  <w:footnote w:type="continuationSeparator" w:id="0">
    <w:p w14:paraId="71C26E74" w14:textId="77777777" w:rsidR="00CA3871" w:rsidRDefault="00CA3871" w:rsidP="00FD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922226"/>
      <w:docPartObj>
        <w:docPartGallery w:val="Page Numbers (Top of Page)"/>
        <w:docPartUnique/>
      </w:docPartObj>
    </w:sdtPr>
    <w:sdtEndPr/>
    <w:sdtContent>
      <w:p w14:paraId="0AF94448" w14:textId="62509606" w:rsidR="007162A1" w:rsidRDefault="007162A1">
        <w:pPr>
          <w:pStyle w:val="a4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6452AA">
          <w:rPr>
            <w:noProof/>
          </w:rPr>
          <w:t>7</w:t>
        </w:r>
        <w:r>
          <w:fldChar w:fldCharType="end"/>
        </w:r>
      </w:p>
    </w:sdtContent>
  </w:sdt>
  <w:p w14:paraId="17BD3A67" w14:textId="77777777" w:rsidR="007162A1" w:rsidRDefault="007162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12140"/>
      <w:docPartObj>
        <w:docPartGallery w:val="Page Numbers (Top of Page)"/>
        <w:docPartUnique/>
      </w:docPartObj>
    </w:sdtPr>
    <w:sdtEndPr/>
    <w:sdtContent>
      <w:p w14:paraId="3A5AE736" w14:textId="281054D7" w:rsidR="00980C5C" w:rsidRDefault="00980C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A1">
          <w:rPr>
            <w:noProof/>
          </w:rPr>
          <w:t>2</w:t>
        </w:r>
        <w:r>
          <w:fldChar w:fldCharType="end"/>
        </w:r>
      </w:p>
    </w:sdtContent>
  </w:sdt>
  <w:p w14:paraId="4C64D7BC" w14:textId="77777777" w:rsidR="00980C5C" w:rsidRDefault="00980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0AA"/>
    <w:multiLevelType w:val="hybridMultilevel"/>
    <w:tmpl w:val="97AC39B0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470C7"/>
    <w:multiLevelType w:val="hybridMultilevel"/>
    <w:tmpl w:val="CAD4C36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6D06ED"/>
    <w:multiLevelType w:val="hybridMultilevel"/>
    <w:tmpl w:val="6278F2CE"/>
    <w:lvl w:ilvl="0" w:tplc="BEA68C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A0427"/>
    <w:multiLevelType w:val="hybridMultilevel"/>
    <w:tmpl w:val="D04C77D8"/>
    <w:lvl w:ilvl="0" w:tplc="18283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49D9"/>
    <w:multiLevelType w:val="hybridMultilevel"/>
    <w:tmpl w:val="31C4B6E8"/>
    <w:lvl w:ilvl="0" w:tplc="6E88D9F4">
      <w:start w:val="1"/>
      <w:numFmt w:val="decimal"/>
      <w:lvlText w:val="%1)"/>
      <w:lvlJc w:val="left"/>
      <w:pPr>
        <w:ind w:left="1225" w:hanging="5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55929"/>
    <w:multiLevelType w:val="hybridMultilevel"/>
    <w:tmpl w:val="843C69E6"/>
    <w:lvl w:ilvl="0" w:tplc="B9600B82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9A7614F"/>
    <w:multiLevelType w:val="hybridMultilevel"/>
    <w:tmpl w:val="9E2C6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435658"/>
    <w:multiLevelType w:val="hybridMultilevel"/>
    <w:tmpl w:val="F78EBEB0"/>
    <w:lvl w:ilvl="0" w:tplc="DCE6E6F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1817D8"/>
    <w:multiLevelType w:val="hybridMultilevel"/>
    <w:tmpl w:val="C3B8063E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645126"/>
    <w:multiLevelType w:val="hybridMultilevel"/>
    <w:tmpl w:val="BC9E9210"/>
    <w:lvl w:ilvl="0" w:tplc="B9600B82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663D0AF0"/>
    <w:multiLevelType w:val="hybridMultilevel"/>
    <w:tmpl w:val="7CC0362C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1C1A89"/>
    <w:multiLevelType w:val="hybridMultilevel"/>
    <w:tmpl w:val="47588A5E"/>
    <w:lvl w:ilvl="0" w:tplc="929AAA6E">
      <w:start w:val="1"/>
      <w:numFmt w:val="decimal"/>
      <w:lvlText w:val="%1."/>
      <w:lvlJc w:val="left"/>
      <w:pPr>
        <w:ind w:left="3118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576BBA"/>
    <w:multiLevelType w:val="hybridMultilevel"/>
    <w:tmpl w:val="EE9EE17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5A6DF5"/>
    <w:multiLevelType w:val="hybridMultilevel"/>
    <w:tmpl w:val="1DCC5E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84"/>
    <w:rsid w:val="00020535"/>
    <w:rsid w:val="000252EA"/>
    <w:rsid w:val="00035585"/>
    <w:rsid w:val="00076690"/>
    <w:rsid w:val="000B6869"/>
    <w:rsid w:val="000D37E7"/>
    <w:rsid w:val="0010404F"/>
    <w:rsid w:val="001059B1"/>
    <w:rsid w:val="001506EF"/>
    <w:rsid w:val="001514ED"/>
    <w:rsid w:val="001540F1"/>
    <w:rsid w:val="001760DC"/>
    <w:rsid w:val="001A2EA9"/>
    <w:rsid w:val="001B6F69"/>
    <w:rsid w:val="001C630A"/>
    <w:rsid w:val="001C67C2"/>
    <w:rsid w:val="001E4097"/>
    <w:rsid w:val="001E522A"/>
    <w:rsid w:val="001E6D78"/>
    <w:rsid w:val="00202365"/>
    <w:rsid w:val="00215A28"/>
    <w:rsid w:val="002216F5"/>
    <w:rsid w:val="00226EE6"/>
    <w:rsid w:val="002A21F0"/>
    <w:rsid w:val="002B1398"/>
    <w:rsid w:val="002E2184"/>
    <w:rsid w:val="002F0015"/>
    <w:rsid w:val="002F1E31"/>
    <w:rsid w:val="00305FF7"/>
    <w:rsid w:val="00321184"/>
    <w:rsid w:val="00323DCF"/>
    <w:rsid w:val="00327F4B"/>
    <w:rsid w:val="0035342F"/>
    <w:rsid w:val="00356B82"/>
    <w:rsid w:val="003662C7"/>
    <w:rsid w:val="003C0585"/>
    <w:rsid w:val="003F001B"/>
    <w:rsid w:val="003F6D3D"/>
    <w:rsid w:val="004545A0"/>
    <w:rsid w:val="00463A3E"/>
    <w:rsid w:val="004C4F7A"/>
    <w:rsid w:val="004C597B"/>
    <w:rsid w:val="0050438B"/>
    <w:rsid w:val="00515D08"/>
    <w:rsid w:val="00572DDB"/>
    <w:rsid w:val="00574FFA"/>
    <w:rsid w:val="00587EF3"/>
    <w:rsid w:val="005B5599"/>
    <w:rsid w:val="005C413F"/>
    <w:rsid w:val="005C5BD0"/>
    <w:rsid w:val="006015EB"/>
    <w:rsid w:val="00610598"/>
    <w:rsid w:val="00610A3C"/>
    <w:rsid w:val="00634389"/>
    <w:rsid w:val="006452AA"/>
    <w:rsid w:val="006554ED"/>
    <w:rsid w:val="00663F37"/>
    <w:rsid w:val="00680B01"/>
    <w:rsid w:val="006828B6"/>
    <w:rsid w:val="006C2CBF"/>
    <w:rsid w:val="006C4760"/>
    <w:rsid w:val="006E4F24"/>
    <w:rsid w:val="006F454E"/>
    <w:rsid w:val="00704094"/>
    <w:rsid w:val="007162A1"/>
    <w:rsid w:val="007436A6"/>
    <w:rsid w:val="00772DA5"/>
    <w:rsid w:val="00777C24"/>
    <w:rsid w:val="00796FCB"/>
    <w:rsid w:val="007A487C"/>
    <w:rsid w:val="007C1C45"/>
    <w:rsid w:val="00805D04"/>
    <w:rsid w:val="00810F34"/>
    <w:rsid w:val="00833C37"/>
    <w:rsid w:val="00834772"/>
    <w:rsid w:val="0085631C"/>
    <w:rsid w:val="00883D94"/>
    <w:rsid w:val="00895A07"/>
    <w:rsid w:val="008A603F"/>
    <w:rsid w:val="008A6124"/>
    <w:rsid w:val="008C1384"/>
    <w:rsid w:val="008D2D68"/>
    <w:rsid w:val="008D62AD"/>
    <w:rsid w:val="008E5B2A"/>
    <w:rsid w:val="009021BA"/>
    <w:rsid w:val="00906CBC"/>
    <w:rsid w:val="00911A54"/>
    <w:rsid w:val="00934388"/>
    <w:rsid w:val="00940F8F"/>
    <w:rsid w:val="00980C5C"/>
    <w:rsid w:val="00985636"/>
    <w:rsid w:val="00992687"/>
    <w:rsid w:val="00995A49"/>
    <w:rsid w:val="009A66E1"/>
    <w:rsid w:val="009B2275"/>
    <w:rsid w:val="009B2838"/>
    <w:rsid w:val="009C7DA9"/>
    <w:rsid w:val="009D153C"/>
    <w:rsid w:val="009F580B"/>
    <w:rsid w:val="00A00B13"/>
    <w:rsid w:val="00A15749"/>
    <w:rsid w:val="00A1779F"/>
    <w:rsid w:val="00A21501"/>
    <w:rsid w:val="00A2276A"/>
    <w:rsid w:val="00A34EF3"/>
    <w:rsid w:val="00A50298"/>
    <w:rsid w:val="00A971BE"/>
    <w:rsid w:val="00AA78E9"/>
    <w:rsid w:val="00AB6AD1"/>
    <w:rsid w:val="00B037D5"/>
    <w:rsid w:val="00B16631"/>
    <w:rsid w:val="00B304BA"/>
    <w:rsid w:val="00B423DD"/>
    <w:rsid w:val="00BA0637"/>
    <w:rsid w:val="00BA78C7"/>
    <w:rsid w:val="00BC0960"/>
    <w:rsid w:val="00BC4DEA"/>
    <w:rsid w:val="00BC5226"/>
    <w:rsid w:val="00BD0C14"/>
    <w:rsid w:val="00BD5539"/>
    <w:rsid w:val="00BD6548"/>
    <w:rsid w:val="00BF658D"/>
    <w:rsid w:val="00C03302"/>
    <w:rsid w:val="00C106EF"/>
    <w:rsid w:val="00C1793C"/>
    <w:rsid w:val="00C262E3"/>
    <w:rsid w:val="00C34F8A"/>
    <w:rsid w:val="00C40CB4"/>
    <w:rsid w:val="00C45614"/>
    <w:rsid w:val="00C55B41"/>
    <w:rsid w:val="00C92D9C"/>
    <w:rsid w:val="00CA3871"/>
    <w:rsid w:val="00CB31E3"/>
    <w:rsid w:val="00CE507A"/>
    <w:rsid w:val="00CE74C1"/>
    <w:rsid w:val="00D05E2A"/>
    <w:rsid w:val="00D10BB6"/>
    <w:rsid w:val="00D21BAC"/>
    <w:rsid w:val="00D5228C"/>
    <w:rsid w:val="00D56344"/>
    <w:rsid w:val="00D64C32"/>
    <w:rsid w:val="00D847F1"/>
    <w:rsid w:val="00D90825"/>
    <w:rsid w:val="00DB2AAB"/>
    <w:rsid w:val="00DB7017"/>
    <w:rsid w:val="00DC5808"/>
    <w:rsid w:val="00DD7EA3"/>
    <w:rsid w:val="00DF34F2"/>
    <w:rsid w:val="00DF6003"/>
    <w:rsid w:val="00E053FF"/>
    <w:rsid w:val="00E404AD"/>
    <w:rsid w:val="00E41457"/>
    <w:rsid w:val="00E4385D"/>
    <w:rsid w:val="00E523D4"/>
    <w:rsid w:val="00E555BD"/>
    <w:rsid w:val="00EA1161"/>
    <w:rsid w:val="00EA68B0"/>
    <w:rsid w:val="00EB4A73"/>
    <w:rsid w:val="00EE0505"/>
    <w:rsid w:val="00EE64B2"/>
    <w:rsid w:val="00F005F3"/>
    <w:rsid w:val="00F1148A"/>
    <w:rsid w:val="00F12C74"/>
    <w:rsid w:val="00F273E6"/>
    <w:rsid w:val="00F438AF"/>
    <w:rsid w:val="00F43FF2"/>
    <w:rsid w:val="00F6233D"/>
    <w:rsid w:val="00F73E83"/>
    <w:rsid w:val="00F91B03"/>
    <w:rsid w:val="00FA06AD"/>
    <w:rsid w:val="00FB07EE"/>
    <w:rsid w:val="00FB7051"/>
    <w:rsid w:val="00FD02CF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5CF9"/>
  <w15:chartTrackingRefBased/>
  <w15:docId w15:val="{231E230E-49CC-473B-B51F-E14D38C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7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61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124"/>
    <w:rPr>
      <w:rFonts w:ascii="Consolas" w:hAnsi="Consolas"/>
      <w:sz w:val="20"/>
      <w:szCs w:val="20"/>
    </w:rPr>
  </w:style>
  <w:style w:type="paragraph" w:customStyle="1" w:styleId="Standard">
    <w:name w:val="Standard"/>
    <w:rsid w:val="00B423DD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2CF"/>
  </w:style>
  <w:style w:type="paragraph" w:styleId="a6">
    <w:name w:val="footer"/>
    <w:basedOn w:val="a"/>
    <w:link w:val="a7"/>
    <w:uiPriority w:val="99"/>
    <w:unhideWhenUsed/>
    <w:rsid w:val="00FD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2CF"/>
  </w:style>
  <w:style w:type="character" w:styleId="a8">
    <w:name w:val="Hyperlink"/>
    <w:basedOn w:val="a0"/>
    <w:uiPriority w:val="99"/>
    <w:semiHidden/>
    <w:unhideWhenUsed/>
    <w:rsid w:val="000B68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7266-C987-4A3F-8E49-9A4D56EC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Эрдни-Горяев Церен Валерьевич</cp:lastModifiedBy>
  <cp:revision>4</cp:revision>
  <dcterms:created xsi:type="dcterms:W3CDTF">2021-04-30T12:09:00Z</dcterms:created>
  <dcterms:modified xsi:type="dcterms:W3CDTF">2021-04-30T12:39:00Z</dcterms:modified>
</cp:coreProperties>
</file>