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69" w:rsidRDefault="00B55175">
      <w:pPr>
        <w:widowControl w:val="0"/>
        <w:tabs>
          <w:tab w:val="left" w:pos="1116"/>
        </w:tabs>
        <w:jc w:val="both"/>
        <w:rPr>
          <w:sz w:val="28"/>
          <w:szCs w:val="28"/>
        </w:rPr>
      </w:pPr>
      <w:bookmarkStart w:id="0" w:name="Par32"/>
      <w:bookmarkEnd w:id="0"/>
      <w:r>
        <w:rPr>
          <w:sz w:val="28"/>
          <w:szCs w:val="28"/>
        </w:rPr>
        <w:t xml:space="preserve">  </w:t>
      </w:r>
    </w:p>
    <w:p w:rsidR="003C5369" w:rsidRDefault="003C5369">
      <w:pPr>
        <w:widowControl w:val="0"/>
        <w:tabs>
          <w:tab w:val="left" w:pos="1116"/>
        </w:tabs>
        <w:jc w:val="both"/>
        <w:rPr>
          <w:sz w:val="28"/>
          <w:szCs w:val="28"/>
        </w:rPr>
      </w:pPr>
    </w:p>
    <w:tbl>
      <w:tblPr>
        <w:tblW w:w="13754" w:type="dxa"/>
        <w:tblInd w:w="108" w:type="dxa"/>
        <w:tblLook w:val="04A0" w:firstRow="1" w:lastRow="0" w:firstColumn="1" w:lastColumn="0" w:noHBand="0" w:noVBand="1"/>
      </w:tblPr>
      <w:tblGrid>
        <w:gridCol w:w="9927"/>
        <w:gridCol w:w="3827"/>
      </w:tblGrid>
      <w:tr w:rsidR="003C5369" w:rsidTr="00A10149">
        <w:trPr>
          <w:trHeight w:val="11348"/>
        </w:trPr>
        <w:tc>
          <w:tcPr>
            <w:tcW w:w="9927" w:type="dxa"/>
          </w:tcPr>
          <w:p w:rsidR="003C5369" w:rsidRDefault="003C53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5369" w:rsidRDefault="003C53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5369" w:rsidRDefault="003C53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5369" w:rsidRDefault="003C53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5369" w:rsidRDefault="003C53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5369" w:rsidRDefault="003C53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5369" w:rsidRDefault="003C53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5369" w:rsidRDefault="003C53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156CB" w:rsidRDefault="00F156C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5369" w:rsidRDefault="003C53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156CB" w:rsidRDefault="00F156C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156CB" w:rsidRDefault="00F156C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156CB" w:rsidRDefault="00F156C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156CB" w:rsidRDefault="00F156C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5369" w:rsidRDefault="00071E28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утверждении Порядка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 сроков осуществления консультирования таможенными органами по вопросам таможенного дела и иным вопросам, входящим в компетенцию таможенных органов</w:t>
            </w:r>
          </w:p>
          <w:p w:rsidR="003C5369" w:rsidRDefault="003C536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156CB" w:rsidRDefault="00F156C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156CB" w:rsidRDefault="00F156C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3C5369" w:rsidRDefault="00071E28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hyperlink r:id="rId6" w:history="1">
              <w:r>
                <w:rPr>
                  <w:rStyle w:val="af6"/>
                  <w:color w:val="auto"/>
                  <w:sz w:val="28"/>
                  <w:szCs w:val="28"/>
                  <w:u w:val="none"/>
                </w:rPr>
                <w:t>частью 5 статьи 264</w:t>
              </w:r>
            </w:hyperlink>
            <w:r>
              <w:rPr>
                <w:sz w:val="28"/>
                <w:szCs w:val="28"/>
              </w:rPr>
              <w:t xml:space="preserve"> Федерального закона от 3 августа </w:t>
            </w:r>
            <w:r>
              <w:rPr>
                <w:sz w:val="28"/>
                <w:szCs w:val="28"/>
              </w:rPr>
              <w:br/>
              <w:t xml:space="preserve">2018 г. № 289-ФЗ «О таможенном регулировании в Российской Федерации и </w:t>
            </w:r>
            <w:r>
              <w:rPr>
                <w:sz w:val="28"/>
                <w:szCs w:val="28"/>
              </w:rPr>
              <w:br/>
              <w:t xml:space="preserve">о внесении изменений в отдельные законодательные акты Российской Федерации» (Собрание законодательства Российской Федерации, 2018, № 32, </w:t>
            </w:r>
            <w:r>
              <w:rPr>
                <w:sz w:val="28"/>
                <w:szCs w:val="28"/>
              </w:rPr>
              <w:br/>
              <w:t>ст. 5028) и пункто</w:t>
            </w:r>
            <w:r>
              <w:rPr>
                <w:color w:val="000000" w:themeColor="text1"/>
                <w:sz w:val="28"/>
                <w:szCs w:val="28"/>
              </w:rPr>
              <w:t xml:space="preserve">м 1 Положения о Министерстве финансов Российской  Федерации, утвержденного постановлением Правительства Российской   Федерации от 30 июня 2004 г. № 329 (Собрание законодательства Российской Федерации, 2004, № 31, ст. 3258; 2020, № 40, ст. 6251), </w:t>
            </w:r>
            <w:r>
              <w:rPr>
                <w:color w:val="000000" w:themeColor="text1"/>
                <w:sz w:val="28"/>
                <w:szCs w:val="28"/>
              </w:rPr>
              <w:br/>
              <w:t>п р и к а з ы в а ю:</w:t>
            </w:r>
          </w:p>
          <w:p w:rsidR="003C5369" w:rsidRDefault="00071E28">
            <w:pPr>
              <w:spacing w:line="360" w:lineRule="auto"/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1. Утвердить прилагаемый Порядок и сроки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осуществления консультирования таможенными органа</w:t>
            </w:r>
            <w:r>
              <w:rPr>
                <w:rFonts w:eastAsia="Calibri"/>
                <w:bCs/>
                <w:sz w:val="28"/>
                <w:szCs w:val="28"/>
              </w:rPr>
              <w:t xml:space="preserve">ми по вопросам таможенного дела </w:t>
            </w:r>
            <w:r>
              <w:rPr>
                <w:rFonts w:eastAsia="Calibri"/>
                <w:bCs/>
                <w:sz w:val="28"/>
                <w:szCs w:val="28"/>
              </w:rPr>
              <w:br/>
              <w:t>и иным вопросам, входящим в компетенцию таможенных органов.</w:t>
            </w:r>
          </w:p>
          <w:p w:rsidR="003C5369" w:rsidRDefault="00071E28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Контроль за исполнением настоящего приказа таможенными </w:t>
            </w:r>
            <w:r>
              <w:rPr>
                <w:sz w:val="28"/>
                <w:szCs w:val="28"/>
              </w:rPr>
              <w:br/>
              <w:t xml:space="preserve">органами возложить на руководителя Федеральной таможенной службы </w:t>
            </w:r>
            <w:r>
              <w:rPr>
                <w:sz w:val="28"/>
                <w:szCs w:val="28"/>
              </w:rPr>
              <w:br/>
              <w:t>Булавина В.И.</w:t>
            </w:r>
          </w:p>
          <w:p w:rsidR="00F156CB" w:rsidRDefault="00F156CB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3C5369" w:rsidRDefault="00071E2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 xml:space="preserve">3. Настоящий приказ вступает в силу по истечении тридцати дней </w:t>
            </w:r>
            <w:r>
              <w:rPr>
                <w:sz w:val="28"/>
                <w:szCs w:val="28"/>
              </w:rPr>
              <w:br/>
              <w:t>после дня его официального опубликования.</w:t>
            </w:r>
          </w:p>
          <w:p w:rsidR="003C5369" w:rsidRDefault="003C536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3C5369" w:rsidRDefault="003C536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3C5369" w:rsidRDefault="003C536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3C5369" w:rsidRDefault="00071E28">
            <w:pPr>
              <w:widowControl w:val="0"/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                                                                                                 А.Г. Силуанов</w:t>
            </w:r>
          </w:p>
        </w:tc>
        <w:tc>
          <w:tcPr>
            <w:tcW w:w="3827" w:type="dxa"/>
          </w:tcPr>
          <w:p w:rsidR="003C5369" w:rsidRDefault="003C5369">
            <w:pPr>
              <w:pStyle w:val="ConsPlusNormal"/>
              <w:ind w:firstLine="709"/>
              <w:jc w:val="right"/>
              <w:rPr>
                <w:bCs/>
              </w:rPr>
            </w:pPr>
          </w:p>
          <w:p w:rsidR="003C5369" w:rsidRDefault="003C5369">
            <w:pPr>
              <w:pStyle w:val="ConsPlusNormal"/>
              <w:ind w:firstLine="709"/>
              <w:jc w:val="right"/>
              <w:rPr>
                <w:bCs/>
              </w:rPr>
            </w:pPr>
          </w:p>
          <w:p w:rsidR="003C5369" w:rsidRDefault="003C5369">
            <w:pPr>
              <w:pStyle w:val="ConsPlusNormal"/>
              <w:ind w:firstLine="709"/>
              <w:jc w:val="right"/>
              <w:rPr>
                <w:bCs/>
              </w:rPr>
            </w:pPr>
          </w:p>
          <w:p w:rsidR="003C5369" w:rsidRDefault="003C5369">
            <w:pPr>
              <w:pStyle w:val="ConsPlusNormal"/>
              <w:ind w:firstLine="709"/>
              <w:jc w:val="right"/>
              <w:rPr>
                <w:bCs/>
              </w:rPr>
            </w:pPr>
          </w:p>
          <w:p w:rsidR="003C5369" w:rsidRDefault="00071E28">
            <w:pPr>
              <w:pStyle w:val="ConsPlusNormal"/>
              <w:ind w:firstLine="709"/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</w:tr>
    </w:tbl>
    <w:p w:rsidR="003C5369" w:rsidRDefault="003C5369">
      <w:pPr>
        <w:jc w:val="both"/>
      </w:pPr>
      <w:bookmarkStart w:id="1" w:name="Par33"/>
      <w:bookmarkEnd w:id="1"/>
    </w:p>
    <w:p w:rsidR="00A10149" w:rsidRDefault="00A10149" w:rsidP="00A10149">
      <w:pPr>
        <w:widowControl w:val="0"/>
        <w:ind w:left="4956" w:firstLine="708"/>
        <w:jc w:val="center"/>
        <w:outlineLvl w:val="0"/>
        <w:rPr>
          <w:sz w:val="28"/>
          <w:szCs w:val="28"/>
        </w:rPr>
      </w:pPr>
    </w:p>
    <w:p w:rsidR="00A10149" w:rsidRDefault="00A10149" w:rsidP="00A10149">
      <w:pPr>
        <w:widowControl w:val="0"/>
        <w:ind w:left="4956" w:firstLine="708"/>
        <w:jc w:val="center"/>
        <w:outlineLvl w:val="0"/>
        <w:rPr>
          <w:sz w:val="28"/>
          <w:szCs w:val="28"/>
        </w:rPr>
      </w:pPr>
    </w:p>
    <w:p w:rsidR="00A10149" w:rsidRDefault="00A10149" w:rsidP="00A10149">
      <w:pPr>
        <w:widowControl w:val="0"/>
        <w:ind w:left="4956" w:firstLine="708"/>
        <w:jc w:val="center"/>
        <w:outlineLvl w:val="0"/>
        <w:rPr>
          <w:sz w:val="28"/>
          <w:szCs w:val="28"/>
        </w:rPr>
      </w:pPr>
    </w:p>
    <w:p w:rsidR="00A10149" w:rsidRDefault="00A10149" w:rsidP="00A10149">
      <w:pPr>
        <w:widowControl w:val="0"/>
        <w:ind w:left="4956" w:firstLine="708"/>
        <w:jc w:val="center"/>
        <w:outlineLvl w:val="0"/>
        <w:rPr>
          <w:sz w:val="28"/>
          <w:szCs w:val="28"/>
        </w:rPr>
      </w:pPr>
    </w:p>
    <w:p w:rsidR="00A10149" w:rsidRDefault="00A10149" w:rsidP="00A10149">
      <w:pPr>
        <w:widowControl w:val="0"/>
        <w:ind w:left="4956" w:firstLine="708"/>
        <w:jc w:val="center"/>
        <w:outlineLvl w:val="0"/>
        <w:rPr>
          <w:sz w:val="28"/>
          <w:szCs w:val="28"/>
        </w:rPr>
      </w:pPr>
    </w:p>
    <w:p w:rsidR="00A10149" w:rsidRDefault="00A10149" w:rsidP="00A10149">
      <w:pPr>
        <w:widowControl w:val="0"/>
        <w:ind w:left="4956" w:firstLine="708"/>
        <w:jc w:val="center"/>
        <w:outlineLvl w:val="0"/>
        <w:rPr>
          <w:sz w:val="28"/>
          <w:szCs w:val="28"/>
        </w:rPr>
      </w:pPr>
    </w:p>
    <w:p w:rsidR="00A10149" w:rsidRDefault="00A10149" w:rsidP="00A10149">
      <w:pPr>
        <w:widowControl w:val="0"/>
        <w:ind w:left="4956" w:firstLine="708"/>
        <w:jc w:val="center"/>
        <w:outlineLvl w:val="0"/>
        <w:rPr>
          <w:sz w:val="28"/>
          <w:szCs w:val="28"/>
        </w:rPr>
      </w:pPr>
    </w:p>
    <w:p w:rsidR="00A10149" w:rsidRDefault="00A10149" w:rsidP="00A10149">
      <w:pPr>
        <w:widowControl w:val="0"/>
        <w:ind w:left="4956" w:firstLine="708"/>
        <w:jc w:val="center"/>
        <w:outlineLvl w:val="0"/>
        <w:rPr>
          <w:sz w:val="28"/>
          <w:szCs w:val="28"/>
        </w:rPr>
      </w:pPr>
    </w:p>
    <w:p w:rsidR="0072287B" w:rsidRDefault="0072287B" w:rsidP="00A10149">
      <w:pPr>
        <w:widowControl w:val="0"/>
        <w:ind w:left="4956" w:firstLine="708"/>
        <w:jc w:val="center"/>
        <w:outlineLvl w:val="0"/>
        <w:rPr>
          <w:sz w:val="28"/>
          <w:szCs w:val="28"/>
        </w:rPr>
      </w:pPr>
    </w:p>
    <w:p w:rsidR="0072287B" w:rsidRDefault="0072287B" w:rsidP="00A10149">
      <w:pPr>
        <w:widowControl w:val="0"/>
        <w:ind w:left="4956" w:firstLine="708"/>
        <w:jc w:val="center"/>
        <w:outlineLvl w:val="0"/>
        <w:rPr>
          <w:sz w:val="28"/>
          <w:szCs w:val="28"/>
        </w:rPr>
      </w:pPr>
    </w:p>
    <w:p w:rsidR="00A10149" w:rsidRDefault="00A10149" w:rsidP="00A10149">
      <w:pPr>
        <w:widowControl w:val="0"/>
        <w:ind w:left="4956" w:firstLine="708"/>
        <w:jc w:val="center"/>
        <w:outlineLvl w:val="0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УТВЕРЖДЕН</w:t>
      </w:r>
    </w:p>
    <w:p w:rsidR="00A10149" w:rsidRDefault="00A10149" w:rsidP="00A10149">
      <w:pPr>
        <w:widowControl w:val="0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финансов</w:t>
      </w:r>
    </w:p>
    <w:p w:rsidR="00A10149" w:rsidRDefault="00A10149" w:rsidP="00A10149">
      <w:pPr>
        <w:widowControl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A10149" w:rsidRDefault="00A10149" w:rsidP="00A10149">
      <w:pPr>
        <w:widowControl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от_____________№_______</w:t>
      </w:r>
    </w:p>
    <w:p w:rsidR="00A10149" w:rsidRDefault="00A10149" w:rsidP="00A10149">
      <w:pPr>
        <w:widowControl w:val="0"/>
        <w:jc w:val="right"/>
        <w:rPr>
          <w:sz w:val="28"/>
          <w:szCs w:val="28"/>
        </w:rPr>
      </w:pPr>
    </w:p>
    <w:p w:rsidR="00A10149" w:rsidRDefault="00A10149" w:rsidP="00A10149">
      <w:pPr>
        <w:widowControl w:val="0"/>
        <w:ind w:firstLine="540"/>
        <w:jc w:val="both"/>
        <w:rPr>
          <w:sz w:val="28"/>
          <w:szCs w:val="28"/>
        </w:rPr>
      </w:pPr>
    </w:p>
    <w:p w:rsidR="00A10149" w:rsidRDefault="00A10149" w:rsidP="00A10149">
      <w:pPr>
        <w:widowControl w:val="0"/>
        <w:ind w:firstLine="540"/>
        <w:jc w:val="both"/>
        <w:rPr>
          <w:sz w:val="28"/>
          <w:szCs w:val="28"/>
        </w:rPr>
      </w:pPr>
    </w:p>
    <w:p w:rsidR="00A10149" w:rsidRDefault="00A10149" w:rsidP="00A10149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сроки осуществления консультирования таможенными органами по вопросам таможенного дела и иным вопросам, входящим </w:t>
      </w:r>
    </w:p>
    <w:p w:rsidR="00A10149" w:rsidRDefault="00A10149" w:rsidP="00A10149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компетенцию таможенных органов</w:t>
      </w:r>
    </w:p>
    <w:p w:rsidR="00A10149" w:rsidRDefault="00A10149" w:rsidP="00A10149">
      <w:pPr>
        <w:widowControl w:val="0"/>
        <w:rPr>
          <w:rFonts w:eastAsia="Calibri"/>
          <w:sz w:val="28"/>
          <w:szCs w:val="28"/>
        </w:rPr>
      </w:pPr>
      <w:bookmarkStart w:id="3" w:name="P45"/>
      <w:bookmarkEnd w:id="3"/>
    </w:p>
    <w:p w:rsidR="00A10149" w:rsidRDefault="00A10149" w:rsidP="00A1014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Настоящий порядок определяет </w:t>
      </w:r>
      <w:r>
        <w:rPr>
          <w:bCs/>
          <w:sz w:val="28"/>
          <w:szCs w:val="28"/>
        </w:rPr>
        <w:t xml:space="preserve">правила консультирования таможенными органами лиц по вопросам таможенного дела и иным вопросам, входящим </w:t>
      </w:r>
      <w:r>
        <w:rPr>
          <w:bCs/>
          <w:sz w:val="28"/>
          <w:szCs w:val="28"/>
        </w:rPr>
        <w:br/>
        <w:t>в компетенцию таможенных органов (далее – консультирование).</w:t>
      </w:r>
    </w:p>
    <w:p w:rsidR="00A10149" w:rsidRDefault="00A10149" w:rsidP="00A1014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2. </w:t>
      </w:r>
      <w:r>
        <w:rPr>
          <w:color w:val="000000" w:themeColor="text1"/>
          <w:sz w:val="28"/>
          <w:szCs w:val="28"/>
        </w:rPr>
        <w:t xml:space="preserve">Консультирование осуществляется на безвозмездной основе должностными лицами таможенного органа, уполномоченными </w:t>
      </w:r>
      <w:r>
        <w:rPr>
          <w:color w:val="000000" w:themeColor="text1"/>
          <w:sz w:val="28"/>
          <w:szCs w:val="28"/>
        </w:rPr>
        <w:br/>
        <w:t>на консультирование, определенными начальником таможенного органа (лицом, его замещающим) из числа должностных лиц правового подразделения таможенного органа (далее – ответственное структурное подразделение), имеющих стаж работы (службы) в таможенных органах не менее одного года.</w:t>
      </w:r>
    </w:p>
    <w:p w:rsidR="00A10149" w:rsidRDefault="00A10149" w:rsidP="00A10149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3. Консультирование таможенными органами осуществляется в устной, письменной и электронной форме в зависимости от формы запроса </w:t>
      </w:r>
      <w:r>
        <w:rPr>
          <w:color w:val="000000" w:themeColor="text1"/>
          <w:sz w:val="28"/>
          <w:szCs w:val="28"/>
        </w:rPr>
        <w:br/>
        <w:t>или в соответствии с формой получения консультирования, выбранной лицом, обратившимся за консультированием.</w:t>
      </w:r>
    </w:p>
    <w:p w:rsidR="00A10149" w:rsidRDefault="00A10149" w:rsidP="00A1014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 По телефону и посредством электронной почты консультирование </w:t>
      </w:r>
      <w:r>
        <w:rPr>
          <w:color w:val="000000" w:themeColor="text1"/>
          <w:sz w:val="28"/>
          <w:szCs w:val="28"/>
        </w:rPr>
        <w:br/>
        <w:t>не производится.</w:t>
      </w:r>
    </w:p>
    <w:p w:rsidR="00A10149" w:rsidRDefault="00A10149" w:rsidP="00A1014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 Консультирование осуществляется по запросу как физических лиц,</w:t>
      </w:r>
      <w:r>
        <w:rPr>
          <w:color w:val="000000" w:themeColor="text1"/>
          <w:sz w:val="28"/>
          <w:szCs w:val="28"/>
        </w:rPr>
        <w:br/>
        <w:t>в том числе зарегистрированных в качестве индивидуальных предпринимателей, так и юридических лиц.</w:t>
      </w:r>
    </w:p>
    <w:p w:rsidR="00A10149" w:rsidRDefault="00A10149" w:rsidP="00A1014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С устным запросом лицо обращается непосредственно в таможенный орган в соответствии с графиком приема лиц, размещенным на официальном сайте федерального органа исполнительной власти, осуществляющего функции </w:t>
      </w:r>
      <w:r>
        <w:rPr>
          <w:sz w:val="28"/>
          <w:szCs w:val="28"/>
        </w:rPr>
        <w:br/>
        <w:t>по контролю и надзору в области таможенного дела, в информационно-телекоммуникационной сети «Интернет».</w:t>
      </w:r>
    </w:p>
    <w:p w:rsidR="00A10149" w:rsidRDefault="00A10149" w:rsidP="00A10149">
      <w:pPr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обращении лица в устной форме в таможенный орган </w:t>
      </w:r>
      <w:r>
        <w:rPr>
          <w:color w:val="000000" w:themeColor="text1"/>
          <w:sz w:val="28"/>
          <w:szCs w:val="28"/>
        </w:rPr>
        <w:t>представляется документ, удостоверяющий личность данного лица, и документ, подтверждающий полномочия лица, в случае обращения представителя физического или юридического лица.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 Письменный запрос подписывается и направляется лицом в таможенный орган посредством почтовой связи или путем помещения в ящик для приема корреспонденции, расположенный при входе в таможенный орган.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Электронный запрос подписывается простой электронной подписью лица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 xml:space="preserve">и направляется в таможенный орган с использованием средств федеральной государственной информационной системы «Единый портал государственных </w:t>
      </w:r>
      <w:r>
        <w:rPr>
          <w:color w:val="000000" w:themeColor="text1"/>
          <w:sz w:val="28"/>
          <w:szCs w:val="28"/>
        </w:rPr>
        <w:br/>
        <w:t>и муниципальных услуг (функций)».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 Срок устного консультирования составляет не более тридцати минут </w:t>
      </w:r>
      <w:r>
        <w:rPr>
          <w:color w:val="000000" w:themeColor="text1"/>
          <w:sz w:val="28"/>
          <w:szCs w:val="28"/>
        </w:rPr>
        <w:br/>
        <w:t xml:space="preserve">с момента получения устного запроса лица. В случае, если подготовка </w:t>
      </w:r>
      <w:r>
        <w:rPr>
          <w:color w:val="000000" w:themeColor="text1"/>
          <w:sz w:val="28"/>
          <w:szCs w:val="28"/>
        </w:rPr>
        <w:br/>
        <w:t xml:space="preserve">к консультированию требует более продолжительного времени, заявителю назначается другое время для консультирования в устной форме </w:t>
      </w:r>
      <w:r>
        <w:rPr>
          <w:color w:val="000000" w:themeColor="text1"/>
          <w:sz w:val="28"/>
          <w:szCs w:val="28"/>
        </w:rPr>
        <w:br/>
        <w:t>или предлагается получить консультирование в письменной форме, но не позднее одного месяца со дня устного запроса лица.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Консультирование в письменной и электронной формах осуществляется </w:t>
      </w:r>
      <w:r>
        <w:rPr>
          <w:color w:val="000000" w:themeColor="text1"/>
          <w:sz w:val="28"/>
          <w:szCs w:val="28"/>
        </w:rPr>
        <w:br/>
        <w:t xml:space="preserve">в сроки, установленные частью 2 статьи 264 Федерального закона </w:t>
      </w:r>
      <w:r>
        <w:rPr>
          <w:color w:val="000000" w:themeColor="text1"/>
          <w:sz w:val="28"/>
          <w:szCs w:val="28"/>
        </w:rPr>
        <w:br/>
        <w:t>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  (Собрание  законодательства Российской  Федерации, 2018,  №  32, ст. 5082) (далее – Федеральный закон о таможенном регулировании).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 Таможенный орган отказывает в консультировании при наличии </w:t>
      </w:r>
      <w:r>
        <w:rPr>
          <w:color w:val="000000" w:themeColor="text1"/>
          <w:sz w:val="28"/>
          <w:szCs w:val="28"/>
        </w:rPr>
        <w:br/>
        <w:t>хотя бы одного из следующих оснований: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 поступление запроса: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вопросам, не входящим в компетенцию таможенного органа;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причинах и основаниях принятия таможенным органом решения </w:t>
      </w:r>
      <w:r>
        <w:rPr>
          <w:color w:val="000000" w:themeColor="text1"/>
          <w:sz w:val="28"/>
          <w:szCs w:val="28"/>
        </w:rPr>
        <w:br/>
        <w:t xml:space="preserve">или совершения должностным лицом таможенного органа действия </w:t>
      </w:r>
      <w:r>
        <w:rPr>
          <w:color w:val="000000" w:themeColor="text1"/>
          <w:sz w:val="28"/>
          <w:szCs w:val="28"/>
        </w:rPr>
        <w:br/>
        <w:t>либо о причинах непринятия решения или несовершения действия;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правомерности (правовой оценке) решений, действий (бездействия) должностных лиц таможенных органов;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наличии или отсутствии оснований для возбуждения дела </w:t>
      </w:r>
      <w:r>
        <w:rPr>
          <w:color w:val="000000" w:themeColor="text1"/>
          <w:sz w:val="28"/>
          <w:szCs w:val="28"/>
        </w:rPr>
        <w:br/>
        <w:t xml:space="preserve">об административном правонарушении или уголовного дела, отнесенных законодательством Российской Федерации к компетенции таможенных органов, </w:t>
      </w:r>
      <w:r>
        <w:rPr>
          <w:color w:val="000000" w:themeColor="text1"/>
          <w:sz w:val="28"/>
          <w:szCs w:val="28"/>
        </w:rPr>
        <w:br/>
        <w:t xml:space="preserve">а также по иным вопросам, связанным с порядком производства по делам </w:t>
      </w:r>
      <w:r>
        <w:rPr>
          <w:color w:val="000000" w:themeColor="text1"/>
          <w:sz w:val="28"/>
          <w:szCs w:val="28"/>
        </w:rPr>
        <w:br/>
        <w:t xml:space="preserve">об административных правонарушениях, уголовным делам о преступлениях, дознание по которым осуществляется таможенными органами </w:t>
      </w:r>
      <w:r>
        <w:rPr>
          <w:color w:val="000000" w:themeColor="text1"/>
          <w:sz w:val="28"/>
          <w:szCs w:val="28"/>
        </w:rPr>
        <w:br/>
        <w:t>Российской Федерации;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подтверждении или об определении кода товаров по единой </w:t>
      </w:r>
      <w:r>
        <w:rPr>
          <w:color w:val="000000" w:themeColor="text1"/>
          <w:sz w:val="28"/>
          <w:szCs w:val="28"/>
        </w:rPr>
        <w:br/>
        <w:t>Товарной номенклатуре внешнеэкономической деятельности Евразийского экономического союза, страны происхождения товаров;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подтверждении или об определении таможенной стоимости товаров;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арифметическом исчислении или подтверждении сумм подлежащих уплате таможенных платежей в отношении конкретных товаров;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конкретных сведений в таможенную декларацию </w:t>
      </w:r>
      <w:r>
        <w:rPr>
          <w:color w:val="000000" w:themeColor="text1"/>
          <w:sz w:val="28"/>
          <w:szCs w:val="28"/>
        </w:rPr>
        <w:br/>
        <w:t xml:space="preserve">и иные документы, которые подлежат представлению таможенным </w:t>
      </w:r>
      <w:r>
        <w:rPr>
          <w:color w:val="000000" w:themeColor="text1"/>
          <w:sz w:val="28"/>
          <w:szCs w:val="28"/>
        </w:rPr>
        <w:br/>
        <w:t xml:space="preserve">органам в соответствии с нормативными правовыми актами в сфере таможенного регулирования, а также о проверке таких документов от имени </w:t>
      </w:r>
      <w:r>
        <w:rPr>
          <w:color w:val="000000" w:themeColor="text1"/>
          <w:sz w:val="28"/>
          <w:szCs w:val="28"/>
        </w:rPr>
        <w:br/>
        <w:t xml:space="preserve">таможенных органов; 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применении правовых актов ФТС России, не подлежащих направлению </w:t>
      </w:r>
      <w:r>
        <w:rPr>
          <w:color w:val="000000" w:themeColor="text1"/>
          <w:sz w:val="28"/>
          <w:szCs w:val="28"/>
        </w:rPr>
        <w:br/>
        <w:t>на государственную регистрацию в Минюст России, и писем ФТС России;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текст которого не поддается прочтению;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связанного с обработкой персональных данных третьих лиц;</w:t>
      </w:r>
    </w:p>
    <w:p w:rsidR="00A10149" w:rsidRDefault="00A10149" w:rsidP="00A10149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о предоставлении сведений, составляющих государственную </w:t>
      </w:r>
      <w:r>
        <w:rPr>
          <w:color w:val="000000" w:themeColor="text1"/>
          <w:sz w:val="28"/>
          <w:szCs w:val="28"/>
        </w:rPr>
        <w:br/>
        <w:t xml:space="preserve">и </w:t>
      </w:r>
      <w:r>
        <w:rPr>
          <w:sz w:val="28"/>
          <w:szCs w:val="28"/>
        </w:rPr>
        <w:t xml:space="preserve">иную охраняемую законом тайну, или иные сведения конфиденциального характера; </w:t>
      </w:r>
    </w:p>
    <w:p w:rsidR="00A10149" w:rsidRDefault="00A10149" w:rsidP="00A101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несоответствие письменного, электронного запроса требованиям, установленным нормативным правовым актом федерального органа исполнительной власти, осуществляющего функции по контролю и надзору </w:t>
      </w:r>
      <w:r>
        <w:rPr>
          <w:sz w:val="28"/>
          <w:szCs w:val="28"/>
        </w:rPr>
        <w:br/>
        <w:t>в области таможенного дела, регламентирующим порядок предоставления государственной услуги по консультированию лиц по вопросам таможенного дела и иным вопросам, входящим в компетенцию таможенных органов;</w:t>
      </w:r>
    </w:p>
    <w:p w:rsidR="00A10149" w:rsidRDefault="00A10149" w:rsidP="00A10149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в) отсутствие при обращении лица в таможенный орган с устным запросом документа, удостоверяющего личность, документа, подтверждающего полномочия лица (в случае обращения представителя физического </w:t>
      </w:r>
      <w:r>
        <w:rPr>
          <w:sz w:val="28"/>
          <w:szCs w:val="28"/>
        </w:rPr>
        <w:br/>
        <w:t>или юридического лица);</w:t>
      </w:r>
    </w:p>
    <w:p w:rsidR="00A10149" w:rsidRDefault="00A10149" w:rsidP="00A1014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 запрос, который по сути является:</w:t>
      </w:r>
    </w:p>
    <w:p w:rsidR="00A10149" w:rsidRDefault="00A10149" w:rsidP="00A1014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жалобой лица на решения, действия (бездействие) таможенных органов </w:t>
      </w:r>
      <w:r>
        <w:rPr>
          <w:color w:val="000000" w:themeColor="text1"/>
          <w:sz w:val="28"/>
          <w:szCs w:val="28"/>
        </w:rPr>
        <w:br/>
        <w:t>или  их   должностных  лиц,  соответствующей  критериям,  указанным   в  части 3  статьи 290 Федерального закона о таможенном регулировании;</w:t>
      </w:r>
    </w:p>
    <w:p w:rsidR="00A10149" w:rsidRDefault="00A10149" w:rsidP="00A1014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жалобой лица на постановление по делу об административном правонарушении, отнесенном законодательством Российской Федерации </w:t>
      </w:r>
      <w:r>
        <w:rPr>
          <w:color w:val="000000" w:themeColor="text1"/>
          <w:sz w:val="28"/>
          <w:szCs w:val="28"/>
        </w:rPr>
        <w:br/>
        <w:t>к компетенции таможенных органов, даже если запрос лица не имеет такого названия, но по своему содержанию относится к жалобе;</w:t>
      </w:r>
    </w:p>
    <w:p w:rsidR="00A10149" w:rsidRDefault="00A10149" w:rsidP="00A1014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официальным обращением адвоката по входящим в компетенцию таможенных органов вопросам о предоставлении справок, характеристик </w:t>
      </w:r>
      <w:r>
        <w:rPr>
          <w:color w:val="000000" w:themeColor="text1"/>
          <w:sz w:val="28"/>
          <w:szCs w:val="28"/>
        </w:rPr>
        <w:br/>
        <w:t xml:space="preserve">и иных документов и сведений, необходимых для оказания </w:t>
      </w:r>
      <w:r>
        <w:rPr>
          <w:color w:val="000000" w:themeColor="text1"/>
          <w:sz w:val="28"/>
          <w:szCs w:val="28"/>
        </w:rPr>
        <w:br/>
        <w:t xml:space="preserve">квалифицированной юридической помощи в рамках Федерального закона </w:t>
      </w:r>
      <w:r>
        <w:rPr>
          <w:color w:val="000000" w:themeColor="text1"/>
          <w:sz w:val="28"/>
          <w:szCs w:val="28"/>
        </w:rPr>
        <w:br/>
        <w:t xml:space="preserve">от 31 мая 2002 г. № 63-ФЗ «Об адвокатской деятельности и адвокатуре </w:t>
      </w:r>
      <w:r>
        <w:rPr>
          <w:color w:val="000000" w:themeColor="text1"/>
          <w:sz w:val="28"/>
          <w:szCs w:val="28"/>
        </w:rPr>
        <w:br/>
        <w:t>в Российской Федерации» (Собрание законодательства Российской Федерации, 2002, № 23, ст. 2102; 2020, № 31, ст. 5027).</w:t>
      </w:r>
    </w:p>
    <w:p w:rsidR="00A10149" w:rsidRDefault="00A10149" w:rsidP="00A1014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 Отказ в консультировании осуществляется в устной, письменной </w:t>
      </w:r>
      <w:r>
        <w:rPr>
          <w:color w:val="000000" w:themeColor="text1"/>
          <w:sz w:val="28"/>
          <w:szCs w:val="28"/>
        </w:rPr>
        <w:br/>
        <w:t xml:space="preserve">или электронной форме в зависимости от формы запроса лица или в соответствии </w:t>
      </w:r>
      <w:r>
        <w:rPr>
          <w:color w:val="000000" w:themeColor="text1"/>
          <w:sz w:val="28"/>
          <w:szCs w:val="28"/>
        </w:rPr>
        <w:br/>
        <w:t xml:space="preserve">с формой предоставления консультирования, выбранной лицом, обратившимся </w:t>
      </w:r>
      <w:r>
        <w:rPr>
          <w:color w:val="000000" w:themeColor="text1"/>
          <w:sz w:val="28"/>
          <w:szCs w:val="28"/>
        </w:rPr>
        <w:br/>
        <w:t>за консультированием.</w:t>
      </w:r>
    </w:p>
    <w:p w:rsidR="00A10149" w:rsidRDefault="00A10149" w:rsidP="00A1014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Отказ в консультировании в устной форме осуществляется непосредственно после получения должностным лицом таможенного органа устного запроса лица </w:t>
      </w:r>
      <w:r>
        <w:rPr>
          <w:color w:val="000000" w:themeColor="text1"/>
          <w:sz w:val="28"/>
          <w:szCs w:val="28"/>
        </w:rPr>
        <w:br/>
        <w:t>о консультировании и при наличии одного из оснований, предусмотренных пунктом 9 настоящего Порядка.</w:t>
      </w:r>
    </w:p>
    <w:p w:rsidR="00A10149" w:rsidRDefault="00A10149" w:rsidP="00A1014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Отказ в консультировании в письменной и электронной формах направляется лицу в срок, не превышающий пяти рабочих дней со дня, следующего за днем регистрации запроса, и должен содержать конкретное основание, послужившее поводом для отказа в консультировании, со ссылкой </w:t>
      </w:r>
      <w:r>
        <w:rPr>
          <w:color w:val="000000" w:themeColor="text1"/>
          <w:sz w:val="28"/>
          <w:szCs w:val="28"/>
        </w:rPr>
        <w:br/>
        <w:t>на соответствующее положение пункта 9 настоящего Порядка.</w:t>
      </w:r>
    </w:p>
    <w:p w:rsidR="00A81A9E" w:rsidRDefault="00A81A9E">
      <w:pPr>
        <w:jc w:val="both"/>
      </w:pPr>
    </w:p>
    <w:sectPr w:rsidR="00A81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426" w:left="1134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74" w:rsidRDefault="00745074" w:rsidP="00BA0D7A">
      <w:pPr>
        <w:pBdr>
          <w:bottom w:val="none" w:sz="4" w:space="31" w:color="000000"/>
        </w:pBdr>
      </w:pPr>
      <w:r>
        <w:separator/>
      </w:r>
    </w:p>
  </w:endnote>
  <w:endnote w:type="continuationSeparator" w:id="0">
    <w:p w:rsidR="00745074" w:rsidRDefault="00745074" w:rsidP="00BA0D7A">
      <w:pPr>
        <w:pBdr>
          <w:bottom w:val="none" w:sz="4" w:space="31" w:color="000000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2C" w:rsidRDefault="00FE0C2C" w:rsidP="00BA0D7A">
    <w:pPr>
      <w:pStyle w:val="af"/>
      <w:pBdr>
        <w:bottom w:val="none" w:sz="4" w:space="3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69" w:rsidRPr="00BA0D7A" w:rsidRDefault="003C5369" w:rsidP="00BA0D7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2C" w:rsidRDefault="00FE0C2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74" w:rsidRDefault="00745074" w:rsidP="00BA0D7A">
      <w:pPr>
        <w:pBdr>
          <w:bottom w:val="none" w:sz="4" w:space="31" w:color="000000"/>
        </w:pBdr>
      </w:pPr>
      <w:r>
        <w:separator/>
      </w:r>
    </w:p>
  </w:footnote>
  <w:footnote w:type="continuationSeparator" w:id="0">
    <w:p w:rsidR="00745074" w:rsidRDefault="00745074" w:rsidP="00BA0D7A">
      <w:pPr>
        <w:pBdr>
          <w:bottom w:val="none" w:sz="4" w:space="31" w:color="000000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2C" w:rsidRDefault="00FE0C2C" w:rsidP="00BA0D7A">
    <w:pPr>
      <w:pStyle w:val="af3"/>
      <w:pBdr>
        <w:bottom w:val="none" w:sz="4" w:space="31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69" w:rsidRDefault="00071E28" w:rsidP="00BA0D7A">
    <w:pPr>
      <w:pStyle w:val="af3"/>
      <w:pBdr>
        <w:bottom w:val="none" w:sz="4" w:space="31" w:color="000000"/>
      </w:pBdr>
      <w:jc w:val="center"/>
    </w:pPr>
    <w:r>
      <w:t>2</w:t>
    </w:r>
  </w:p>
  <w:p w:rsidR="003C5369" w:rsidRDefault="003C5369" w:rsidP="00BA0D7A">
    <w:pPr>
      <w:pStyle w:val="af3"/>
      <w:pBdr>
        <w:bottom w:val="none" w:sz="4" w:space="31" w:color="00000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69" w:rsidRDefault="003C5369">
    <w:pPr>
      <w:pStyle w:val="af3"/>
      <w:jc w:val="center"/>
    </w:pPr>
  </w:p>
  <w:p w:rsidR="003C5369" w:rsidRDefault="003C5369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69"/>
    <w:rsid w:val="00000D8F"/>
    <w:rsid w:val="00071E28"/>
    <w:rsid w:val="000B23C1"/>
    <w:rsid w:val="001E73FA"/>
    <w:rsid w:val="002E25EE"/>
    <w:rsid w:val="003C5369"/>
    <w:rsid w:val="0072287B"/>
    <w:rsid w:val="00745074"/>
    <w:rsid w:val="007B42EF"/>
    <w:rsid w:val="00811008"/>
    <w:rsid w:val="00924FB5"/>
    <w:rsid w:val="009D0CB5"/>
    <w:rsid w:val="00A10149"/>
    <w:rsid w:val="00A81A9E"/>
    <w:rsid w:val="00B55175"/>
    <w:rsid w:val="00BA0D7A"/>
    <w:rsid w:val="00C541B4"/>
    <w:rsid w:val="00C8364F"/>
    <w:rsid w:val="00D47F5B"/>
    <w:rsid w:val="00E9702B"/>
    <w:rsid w:val="00F156CB"/>
    <w:rsid w:val="00F3246F"/>
    <w:rsid w:val="00F922A1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0B8C"/>
  <w15:docId w15:val="{C28A4D34-92D3-4800-9352-ABEFCFBF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B88285DDBEDCD154EA52DEAACC1C6DA4EB4CCD4E747893D961F22E05ADB5ADC678DFDEC8A78BBB270B2F63B60C1B649E4AFDB1E15A954P67F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ValevskayaIS1</dc:creator>
  <cp:lastModifiedBy>ЕГОРОВА ИРИНА СЕМЕНОВНА</cp:lastModifiedBy>
  <cp:revision>5</cp:revision>
  <cp:lastPrinted>2021-02-03T12:51:00Z</cp:lastPrinted>
  <dcterms:created xsi:type="dcterms:W3CDTF">2021-03-15T11:16:00Z</dcterms:created>
  <dcterms:modified xsi:type="dcterms:W3CDTF">2021-03-15T11:52:00Z</dcterms:modified>
</cp:coreProperties>
</file>