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EB" w:rsidRPr="000A2A79" w:rsidRDefault="00F24BEB" w:rsidP="00F24B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0A2A79">
        <w:rPr>
          <w:sz w:val="28"/>
          <w:szCs w:val="28"/>
        </w:rPr>
        <w:t>Проект</w:t>
      </w:r>
    </w:p>
    <w:p w:rsidR="00F24BEB" w:rsidRDefault="00F24BEB" w:rsidP="00F24BE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24BEB" w:rsidRPr="007527D6" w:rsidRDefault="00F24BEB" w:rsidP="00F24BE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24BEB" w:rsidRPr="000A2A79" w:rsidRDefault="00F24BEB" w:rsidP="00F24B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2A79">
        <w:rPr>
          <w:b/>
          <w:bCs/>
          <w:sz w:val="28"/>
          <w:szCs w:val="28"/>
        </w:rPr>
        <w:t>ПРАВИТЕЛЬСТВО РОССИЙСКОЙ ФЕДЕРАЦИИ</w:t>
      </w:r>
    </w:p>
    <w:p w:rsidR="00F24BEB" w:rsidRPr="007527D6" w:rsidRDefault="00F24BEB" w:rsidP="00F24BE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F24BEB" w:rsidRPr="000A2A79" w:rsidRDefault="00F24BEB" w:rsidP="00F24B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2A79">
        <w:rPr>
          <w:bCs/>
          <w:sz w:val="28"/>
          <w:szCs w:val="28"/>
        </w:rPr>
        <w:t>ПОСТАНОВЛЕНИЕ</w:t>
      </w:r>
    </w:p>
    <w:p w:rsidR="00F24BEB" w:rsidRPr="000A2A79" w:rsidRDefault="00F24BEB" w:rsidP="00F24B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24BEB" w:rsidRPr="000A2A79" w:rsidRDefault="00F24BEB" w:rsidP="00F24B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2A79">
        <w:rPr>
          <w:bCs/>
          <w:sz w:val="28"/>
          <w:szCs w:val="28"/>
        </w:rPr>
        <w:t>от «__» ______________ 20</w:t>
      </w:r>
      <w:r>
        <w:rPr>
          <w:bCs/>
          <w:sz w:val="28"/>
          <w:szCs w:val="28"/>
        </w:rPr>
        <w:t>20</w:t>
      </w:r>
      <w:r w:rsidRPr="000A2A79">
        <w:rPr>
          <w:bCs/>
          <w:sz w:val="28"/>
          <w:szCs w:val="28"/>
        </w:rPr>
        <w:t xml:space="preserve"> г. № ____</w:t>
      </w:r>
    </w:p>
    <w:p w:rsidR="00F24BEB" w:rsidRPr="007527D6" w:rsidRDefault="00F24BEB" w:rsidP="00F24BEB">
      <w:pPr>
        <w:jc w:val="center"/>
        <w:rPr>
          <w:sz w:val="26"/>
          <w:szCs w:val="26"/>
        </w:rPr>
      </w:pPr>
    </w:p>
    <w:p w:rsidR="00F24BEB" w:rsidRPr="007527D6" w:rsidRDefault="00F24BEB" w:rsidP="00F24BEB">
      <w:pPr>
        <w:jc w:val="center"/>
        <w:rPr>
          <w:sz w:val="26"/>
          <w:szCs w:val="26"/>
        </w:rPr>
      </w:pPr>
    </w:p>
    <w:p w:rsidR="00F24BEB" w:rsidRPr="000A2A79" w:rsidRDefault="00F24BEB" w:rsidP="00F24BEB">
      <w:pPr>
        <w:jc w:val="center"/>
        <w:rPr>
          <w:sz w:val="28"/>
          <w:szCs w:val="28"/>
        </w:rPr>
      </w:pPr>
      <w:r w:rsidRPr="000A2A79">
        <w:rPr>
          <w:sz w:val="28"/>
          <w:szCs w:val="28"/>
        </w:rPr>
        <w:t>МОСКВА</w:t>
      </w:r>
    </w:p>
    <w:p w:rsidR="00F24BEB" w:rsidRDefault="00F24BEB" w:rsidP="00F24BEB">
      <w:pPr>
        <w:jc w:val="both"/>
        <w:rPr>
          <w:sz w:val="26"/>
          <w:szCs w:val="26"/>
        </w:rPr>
      </w:pPr>
    </w:p>
    <w:p w:rsidR="00F24BEB" w:rsidRPr="007527D6" w:rsidRDefault="00F24BEB" w:rsidP="00F24BEB">
      <w:pPr>
        <w:jc w:val="both"/>
        <w:rPr>
          <w:sz w:val="26"/>
          <w:szCs w:val="26"/>
        </w:rPr>
      </w:pPr>
    </w:p>
    <w:p w:rsidR="00F24BEB" w:rsidRPr="000A2A79" w:rsidRDefault="00F24BEB" w:rsidP="00F24B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C6FBA">
        <w:rPr>
          <w:b/>
          <w:sz w:val="28"/>
          <w:szCs w:val="28"/>
        </w:rPr>
        <w:t xml:space="preserve">б утверждении методики распределения </w:t>
      </w:r>
      <w:r w:rsidRPr="004D574B">
        <w:rPr>
          <w:b/>
          <w:sz w:val="28"/>
          <w:szCs w:val="28"/>
        </w:rPr>
        <w:t xml:space="preserve">дотаций </w:t>
      </w:r>
      <w:r w:rsidR="00794FFA">
        <w:rPr>
          <w:b/>
          <w:sz w:val="28"/>
          <w:szCs w:val="28"/>
        </w:rPr>
        <w:t xml:space="preserve">бюджетам </w:t>
      </w:r>
      <w:r w:rsidR="00DC4DA8" w:rsidRPr="006A3910">
        <w:rPr>
          <w:b/>
          <w:sz w:val="28"/>
          <w:szCs w:val="28"/>
        </w:rPr>
        <w:t xml:space="preserve">субъектов Российской Федерации </w:t>
      </w:r>
      <w:r w:rsidR="00A4414D">
        <w:rPr>
          <w:b/>
          <w:sz w:val="28"/>
          <w:szCs w:val="28"/>
        </w:rPr>
        <w:t>в целях частичной компенсации</w:t>
      </w:r>
      <w:r>
        <w:rPr>
          <w:b/>
          <w:sz w:val="28"/>
          <w:szCs w:val="28"/>
        </w:rPr>
        <w:t xml:space="preserve"> выпадающих доходов бюджетов субъектов Российской Федерации от применения инвестиционного налогового вычета </w:t>
      </w:r>
      <w:r w:rsidR="006C6FBA">
        <w:rPr>
          <w:b/>
          <w:sz w:val="28"/>
          <w:szCs w:val="28"/>
        </w:rPr>
        <w:t>на 202</w:t>
      </w:r>
      <w:r w:rsidR="00A4414D">
        <w:rPr>
          <w:b/>
          <w:sz w:val="28"/>
          <w:szCs w:val="28"/>
        </w:rPr>
        <w:t>1</w:t>
      </w:r>
      <w:r w:rsidR="006C6FBA">
        <w:rPr>
          <w:b/>
          <w:sz w:val="28"/>
          <w:szCs w:val="28"/>
        </w:rPr>
        <w:t xml:space="preserve"> год</w:t>
      </w:r>
    </w:p>
    <w:p w:rsidR="00F24BEB" w:rsidRPr="007527D6" w:rsidRDefault="00F24BEB" w:rsidP="00F24BEB">
      <w:pPr>
        <w:jc w:val="both"/>
        <w:rPr>
          <w:sz w:val="26"/>
          <w:szCs w:val="26"/>
        </w:rPr>
      </w:pPr>
    </w:p>
    <w:p w:rsidR="00F24BEB" w:rsidRPr="007527D6" w:rsidRDefault="00F24BEB" w:rsidP="00F24BEB">
      <w:pPr>
        <w:jc w:val="both"/>
        <w:rPr>
          <w:sz w:val="26"/>
          <w:szCs w:val="26"/>
        </w:rPr>
      </w:pPr>
    </w:p>
    <w:p w:rsidR="00F24BEB" w:rsidRPr="007527D6" w:rsidRDefault="00F24BEB" w:rsidP="00F24BEB">
      <w:pPr>
        <w:jc w:val="both"/>
        <w:rPr>
          <w:sz w:val="26"/>
          <w:szCs w:val="26"/>
        </w:rPr>
      </w:pPr>
    </w:p>
    <w:p w:rsidR="00F24BEB" w:rsidRDefault="00F24BEB" w:rsidP="00F24BEB">
      <w:pPr>
        <w:ind w:firstLine="709"/>
        <w:jc w:val="both"/>
        <w:rPr>
          <w:sz w:val="28"/>
          <w:szCs w:val="28"/>
        </w:rPr>
      </w:pPr>
      <w:r w:rsidRPr="000A2A79">
        <w:rPr>
          <w:sz w:val="28"/>
          <w:szCs w:val="28"/>
        </w:rPr>
        <w:t xml:space="preserve">Правительство Российской Федерации </w:t>
      </w:r>
      <w:proofErr w:type="gramStart"/>
      <w:r w:rsidRPr="000A2A79">
        <w:rPr>
          <w:sz w:val="28"/>
          <w:szCs w:val="28"/>
        </w:rPr>
        <w:t>п</w:t>
      </w:r>
      <w:proofErr w:type="gramEnd"/>
      <w:r w:rsidRPr="000A2A79">
        <w:rPr>
          <w:sz w:val="28"/>
          <w:szCs w:val="28"/>
        </w:rPr>
        <w:t> о с т а н о в л я е т</w:t>
      </w:r>
      <w:r>
        <w:rPr>
          <w:sz w:val="28"/>
          <w:szCs w:val="28"/>
        </w:rPr>
        <w:t>:</w:t>
      </w:r>
    </w:p>
    <w:p w:rsidR="00F24BEB" w:rsidRDefault="00F24BEB" w:rsidP="00F24BEB">
      <w:pPr>
        <w:ind w:firstLine="709"/>
        <w:jc w:val="both"/>
        <w:rPr>
          <w:sz w:val="28"/>
          <w:szCs w:val="28"/>
        </w:rPr>
      </w:pPr>
    </w:p>
    <w:p w:rsidR="00F24BEB" w:rsidRDefault="00F24BEB" w:rsidP="00132D4E">
      <w:pPr>
        <w:pStyle w:val="ConsPlusNonforma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79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2A79">
        <w:rPr>
          <w:rFonts w:ascii="Times New Roman" w:hAnsi="Times New Roman" w:cs="Times New Roman"/>
          <w:sz w:val="28"/>
          <w:szCs w:val="28"/>
        </w:rPr>
        <w:t>етодику распределения дотаций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910">
        <w:rPr>
          <w:rFonts w:ascii="Times New Roman" w:eastAsia="Times New Roman" w:hAnsi="Times New Roman" w:cs="Times New Roman"/>
          <w:sz w:val="28"/>
          <w:szCs w:val="28"/>
        </w:rPr>
        <w:t xml:space="preserve">бюджетам субъектов Российской Федерации </w:t>
      </w:r>
      <w:r w:rsidR="00A4414D">
        <w:rPr>
          <w:rFonts w:ascii="Times New Roman" w:eastAsia="Times New Roman" w:hAnsi="Times New Roman" w:cs="Times New Roman"/>
          <w:sz w:val="28"/>
          <w:szCs w:val="28"/>
        </w:rPr>
        <w:t>в целях частичной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выпадающих доходов бюджетов субъектов Российской Федерации от применения инвестиционного налогового вычета</w:t>
      </w:r>
      <w:r w:rsidRPr="000A2A79">
        <w:rPr>
          <w:rFonts w:ascii="Times New Roman" w:hAnsi="Times New Roman" w:cs="Times New Roman"/>
          <w:sz w:val="28"/>
          <w:szCs w:val="28"/>
        </w:rPr>
        <w:t xml:space="preserve"> </w:t>
      </w:r>
      <w:r w:rsidR="003903C0">
        <w:rPr>
          <w:rFonts w:ascii="Times New Roman" w:hAnsi="Times New Roman" w:cs="Times New Roman"/>
          <w:sz w:val="28"/>
          <w:szCs w:val="28"/>
        </w:rPr>
        <w:t>на 202</w:t>
      </w:r>
      <w:r w:rsidR="00A4414D">
        <w:rPr>
          <w:rFonts w:ascii="Times New Roman" w:hAnsi="Times New Roman" w:cs="Times New Roman"/>
          <w:sz w:val="28"/>
          <w:szCs w:val="28"/>
        </w:rPr>
        <w:t>1</w:t>
      </w:r>
      <w:r w:rsidR="003903C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421DD" w:rsidRPr="000421DD" w:rsidRDefault="000421DD" w:rsidP="0061567B">
      <w:pPr>
        <w:pStyle w:val="ac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069AC">
        <w:rPr>
          <w:rFonts w:eastAsiaTheme="minorHAnsi"/>
          <w:sz w:val="28"/>
          <w:szCs w:val="28"/>
          <w:lang w:eastAsia="en-US"/>
        </w:rPr>
        <w:t xml:space="preserve">Федеральной налоговой службе обеспечить до 1 </w:t>
      </w:r>
      <w:r w:rsidR="00F31D71">
        <w:rPr>
          <w:rFonts w:eastAsiaTheme="minorHAnsi"/>
          <w:sz w:val="28"/>
          <w:szCs w:val="28"/>
          <w:lang w:eastAsia="en-US"/>
        </w:rPr>
        <w:t>августа</w:t>
      </w:r>
      <w:r w:rsidR="0061567B" w:rsidRPr="006069AC">
        <w:rPr>
          <w:rFonts w:eastAsiaTheme="minorHAnsi"/>
          <w:sz w:val="28"/>
          <w:szCs w:val="28"/>
          <w:lang w:eastAsia="en-US"/>
        </w:rPr>
        <w:t xml:space="preserve"> 20</w:t>
      </w:r>
      <w:r w:rsidR="00F10EF1" w:rsidRPr="006069AC">
        <w:rPr>
          <w:rFonts w:eastAsiaTheme="minorHAnsi"/>
          <w:sz w:val="28"/>
          <w:szCs w:val="28"/>
          <w:lang w:eastAsia="en-US"/>
        </w:rPr>
        <w:t>2</w:t>
      </w:r>
      <w:r w:rsidR="00A4414D">
        <w:rPr>
          <w:rFonts w:eastAsiaTheme="minorHAnsi"/>
          <w:sz w:val="28"/>
          <w:szCs w:val="28"/>
          <w:lang w:eastAsia="en-US"/>
        </w:rPr>
        <w:t>1</w:t>
      </w:r>
      <w:r w:rsidR="0061567B" w:rsidRPr="006069AC">
        <w:rPr>
          <w:rFonts w:eastAsiaTheme="minorHAnsi"/>
          <w:sz w:val="28"/>
          <w:szCs w:val="28"/>
          <w:lang w:eastAsia="en-US"/>
        </w:rPr>
        <w:t xml:space="preserve"> г.</w:t>
      </w:r>
      <w:r w:rsidRPr="006069AC">
        <w:rPr>
          <w:rFonts w:eastAsiaTheme="minorHAnsi"/>
          <w:sz w:val="28"/>
          <w:szCs w:val="28"/>
          <w:lang w:eastAsia="en-US"/>
        </w:rPr>
        <w:t xml:space="preserve"> представление в Министерство финансов Российской Федерации информации, необходимой для осуществления расчетов в соответствии с методикой, утвержденной настоящим </w:t>
      </w:r>
      <w:r w:rsidR="00DC4DA8">
        <w:rPr>
          <w:rFonts w:eastAsiaTheme="minorHAnsi"/>
          <w:sz w:val="28"/>
          <w:szCs w:val="28"/>
          <w:lang w:eastAsia="en-US"/>
        </w:rPr>
        <w:t>п</w:t>
      </w:r>
      <w:r w:rsidRPr="006069AC">
        <w:rPr>
          <w:rFonts w:eastAsiaTheme="minorHAnsi"/>
          <w:sz w:val="28"/>
          <w:szCs w:val="28"/>
          <w:lang w:eastAsia="en-US"/>
        </w:rPr>
        <w:t>остановлением</w:t>
      </w:r>
      <w:r w:rsidRPr="000421DD">
        <w:rPr>
          <w:rFonts w:eastAsiaTheme="minorHAnsi"/>
          <w:sz w:val="26"/>
          <w:szCs w:val="26"/>
          <w:lang w:eastAsia="en-US"/>
        </w:rPr>
        <w:t>.</w:t>
      </w:r>
    </w:p>
    <w:p w:rsidR="00F24BEB" w:rsidRPr="007527D6" w:rsidRDefault="00F24BEB" w:rsidP="00F24B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4BEB" w:rsidRPr="007527D6" w:rsidRDefault="00F24BEB" w:rsidP="00F24B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4BEB" w:rsidRPr="007527D6" w:rsidRDefault="00F24BEB" w:rsidP="00F24B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6187"/>
      </w:tblGrid>
      <w:tr w:rsidR="00F24BEB" w:rsidRPr="000A2A79" w:rsidTr="009D518C">
        <w:trPr>
          <w:trHeight w:val="301"/>
        </w:trPr>
        <w:tc>
          <w:tcPr>
            <w:tcW w:w="3828" w:type="dxa"/>
          </w:tcPr>
          <w:p w:rsidR="00F24BEB" w:rsidRPr="000A2A79" w:rsidRDefault="00F24BEB" w:rsidP="009D518C">
            <w:pPr>
              <w:jc w:val="center"/>
              <w:rPr>
                <w:sz w:val="28"/>
                <w:szCs w:val="28"/>
              </w:rPr>
            </w:pPr>
            <w:r w:rsidRPr="000A2A79">
              <w:rPr>
                <w:sz w:val="28"/>
                <w:szCs w:val="28"/>
              </w:rPr>
              <w:t>Председатель Правительства</w:t>
            </w:r>
          </w:p>
        </w:tc>
        <w:tc>
          <w:tcPr>
            <w:tcW w:w="6187" w:type="dxa"/>
          </w:tcPr>
          <w:p w:rsidR="00F24BEB" w:rsidRPr="000A2A79" w:rsidRDefault="00F24BEB" w:rsidP="009D518C">
            <w:pPr>
              <w:rPr>
                <w:sz w:val="28"/>
                <w:szCs w:val="28"/>
              </w:rPr>
            </w:pPr>
          </w:p>
        </w:tc>
      </w:tr>
      <w:tr w:rsidR="00F24BEB" w:rsidRPr="000A2A79" w:rsidTr="009D518C">
        <w:trPr>
          <w:trHeight w:val="287"/>
        </w:trPr>
        <w:tc>
          <w:tcPr>
            <w:tcW w:w="3828" w:type="dxa"/>
          </w:tcPr>
          <w:p w:rsidR="00F24BEB" w:rsidRPr="000A2A79" w:rsidRDefault="00F24BEB" w:rsidP="009D518C">
            <w:pPr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  <w:r w:rsidRPr="000A2A79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6187" w:type="dxa"/>
          </w:tcPr>
          <w:p w:rsidR="00F24BEB" w:rsidRPr="000A2A79" w:rsidRDefault="00F24BEB" w:rsidP="009D518C">
            <w:pPr>
              <w:tabs>
                <w:tab w:val="left" w:pos="7513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Pr="000A2A7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Мишустин</w:t>
            </w:r>
            <w:proofErr w:type="spellEnd"/>
          </w:p>
        </w:tc>
      </w:tr>
    </w:tbl>
    <w:p w:rsidR="006A3910" w:rsidRDefault="006A3910">
      <w:pPr>
        <w:spacing w:after="200" w:line="276" w:lineRule="auto"/>
        <w:rPr>
          <w:rFonts w:eastAsiaTheme="minorEastAsia"/>
          <w:sz w:val="28"/>
          <w:szCs w:val="28"/>
        </w:rPr>
      </w:pPr>
    </w:p>
    <w:p w:rsidR="00A51E81" w:rsidRPr="000A2A79" w:rsidRDefault="00A51E81" w:rsidP="00A51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A51E81" w:rsidRPr="000A2A79" w:rsidSect="00860649">
          <w:headerReference w:type="default" r:id="rId9"/>
          <w:type w:val="continuous"/>
          <w:pgSz w:w="11906" w:h="16838"/>
          <w:pgMar w:top="1134" w:right="991" w:bottom="1418" w:left="1276" w:header="708" w:footer="708" w:gutter="0"/>
          <w:cols w:space="708"/>
          <w:titlePg/>
          <w:docGrid w:linePitch="360"/>
        </w:sectPr>
      </w:pPr>
    </w:p>
    <w:p w:rsidR="006A3910" w:rsidRDefault="006A3910" w:rsidP="00A51E81">
      <w:pPr>
        <w:spacing w:line="276" w:lineRule="auto"/>
        <w:jc w:val="right"/>
        <w:rPr>
          <w:sz w:val="28"/>
          <w:szCs w:val="28"/>
        </w:rPr>
      </w:pPr>
    </w:p>
    <w:p w:rsidR="006A3910" w:rsidRDefault="006A3910" w:rsidP="00A51E81">
      <w:pPr>
        <w:spacing w:line="276" w:lineRule="auto"/>
        <w:jc w:val="right"/>
        <w:rPr>
          <w:sz w:val="28"/>
          <w:szCs w:val="28"/>
        </w:rPr>
        <w:sectPr w:rsidR="006A3910" w:rsidSect="00F57796">
          <w:headerReference w:type="default" r:id="rId10"/>
          <w:type w:val="continuous"/>
          <w:pgSz w:w="11906" w:h="16838"/>
          <w:pgMar w:top="851" w:right="709" w:bottom="709" w:left="1134" w:header="709" w:footer="709" w:gutter="0"/>
          <w:pgNumType w:start="1"/>
          <w:cols w:space="708"/>
          <w:titlePg/>
          <w:docGrid w:linePitch="360"/>
        </w:sectPr>
      </w:pPr>
    </w:p>
    <w:p w:rsidR="00A51E81" w:rsidRPr="000A2A79" w:rsidRDefault="00A51E81" w:rsidP="00A51E81">
      <w:pPr>
        <w:spacing w:line="276" w:lineRule="auto"/>
        <w:jc w:val="right"/>
        <w:rPr>
          <w:sz w:val="28"/>
          <w:szCs w:val="28"/>
        </w:rPr>
      </w:pPr>
      <w:r w:rsidRPr="000A2A79">
        <w:rPr>
          <w:sz w:val="28"/>
          <w:szCs w:val="28"/>
        </w:rPr>
        <w:lastRenderedPageBreak/>
        <w:t>Утверждена</w:t>
      </w:r>
    </w:p>
    <w:p w:rsidR="00A51E81" w:rsidRPr="000A2A79" w:rsidRDefault="00A51E81" w:rsidP="00A51E81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2A7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51E81" w:rsidRPr="000A2A79" w:rsidRDefault="00A51E81" w:rsidP="00A51E81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2A7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51E81" w:rsidRPr="000A2A79" w:rsidRDefault="00A51E81" w:rsidP="00A51E81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2A79">
        <w:rPr>
          <w:rFonts w:ascii="Times New Roman" w:hAnsi="Times New Roman" w:cs="Times New Roman"/>
          <w:sz w:val="28"/>
          <w:szCs w:val="28"/>
        </w:rPr>
        <w:t>от ___________ 20</w:t>
      </w:r>
      <w:r w:rsidR="007527D6">
        <w:rPr>
          <w:rFonts w:ascii="Times New Roman" w:hAnsi="Times New Roman" w:cs="Times New Roman"/>
          <w:sz w:val="28"/>
          <w:szCs w:val="28"/>
        </w:rPr>
        <w:t>20</w:t>
      </w:r>
      <w:r w:rsidRPr="000A2A79">
        <w:rPr>
          <w:rFonts w:ascii="Times New Roman" w:hAnsi="Times New Roman" w:cs="Times New Roman"/>
          <w:sz w:val="28"/>
          <w:szCs w:val="28"/>
        </w:rPr>
        <w:t xml:space="preserve"> г. № ______</w:t>
      </w:r>
    </w:p>
    <w:p w:rsidR="00A51E81" w:rsidRPr="005A2004" w:rsidRDefault="00A51E81" w:rsidP="00A51E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7796" w:rsidRPr="005A2004" w:rsidRDefault="00F57796" w:rsidP="00A51E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1E81" w:rsidRDefault="00A51E81" w:rsidP="00A51E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2004" w:rsidRPr="005A2004" w:rsidRDefault="005A2004" w:rsidP="00A51E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8E6" w:rsidRPr="000A2A79" w:rsidRDefault="004018E6" w:rsidP="004018E6">
      <w:pPr>
        <w:autoSpaceDE w:val="0"/>
        <w:autoSpaceDN w:val="0"/>
        <w:adjustRightInd w:val="0"/>
        <w:ind w:firstLine="11"/>
        <w:jc w:val="center"/>
        <w:outlineLvl w:val="1"/>
        <w:rPr>
          <w:b/>
          <w:sz w:val="28"/>
          <w:szCs w:val="28"/>
        </w:rPr>
      </w:pPr>
      <w:r w:rsidRPr="000A2A79">
        <w:rPr>
          <w:b/>
          <w:sz w:val="28"/>
          <w:szCs w:val="28"/>
        </w:rPr>
        <w:t>Методика распределения дотаций</w:t>
      </w:r>
      <w:r w:rsidR="00771D61">
        <w:rPr>
          <w:b/>
          <w:sz w:val="28"/>
          <w:szCs w:val="28"/>
        </w:rPr>
        <w:t xml:space="preserve"> </w:t>
      </w:r>
      <w:r w:rsidR="006A3910" w:rsidRPr="006A3910">
        <w:rPr>
          <w:b/>
          <w:sz w:val="28"/>
          <w:szCs w:val="28"/>
        </w:rPr>
        <w:t xml:space="preserve">бюджетам субъектов Российской Федерации </w:t>
      </w:r>
      <w:r w:rsidR="00A4414D">
        <w:rPr>
          <w:b/>
          <w:sz w:val="28"/>
          <w:szCs w:val="28"/>
        </w:rPr>
        <w:t>в целях частичной компенсации</w:t>
      </w:r>
      <w:r w:rsidR="002E02BA">
        <w:rPr>
          <w:b/>
          <w:sz w:val="28"/>
          <w:szCs w:val="28"/>
        </w:rPr>
        <w:t xml:space="preserve"> выпадающих доходов бюджетов субъектов Российской Федерации от применения инвестиционного налогового вычета </w:t>
      </w:r>
      <w:r w:rsidR="00771D61">
        <w:rPr>
          <w:b/>
          <w:sz w:val="28"/>
          <w:szCs w:val="28"/>
        </w:rPr>
        <w:t>на 20</w:t>
      </w:r>
      <w:r w:rsidR="002E02BA">
        <w:rPr>
          <w:b/>
          <w:sz w:val="28"/>
          <w:szCs w:val="28"/>
        </w:rPr>
        <w:t>2</w:t>
      </w:r>
      <w:r w:rsidR="00A4414D">
        <w:rPr>
          <w:b/>
          <w:sz w:val="28"/>
          <w:szCs w:val="28"/>
        </w:rPr>
        <w:t>1</w:t>
      </w:r>
      <w:r w:rsidR="00771D61">
        <w:rPr>
          <w:b/>
          <w:sz w:val="28"/>
          <w:szCs w:val="28"/>
        </w:rPr>
        <w:t xml:space="preserve"> год</w:t>
      </w:r>
    </w:p>
    <w:p w:rsidR="004018E6" w:rsidRDefault="004018E6" w:rsidP="004018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2004" w:rsidRDefault="005A2004" w:rsidP="004018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20AA" w:rsidRPr="00DC4DA8" w:rsidRDefault="00EB067C" w:rsidP="00DC4DA8">
      <w:pPr>
        <w:pStyle w:val="ac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C4DA8">
        <w:rPr>
          <w:sz w:val="28"/>
          <w:szCs w:val="28"/>
        </w:rPr>
        <w:t>Распределение д</w:t>
      </w:r>
      <w:r w:rsidR="00111EBD" w:rsidRPr="00DC4DA8">
        <w:rPr>
          <w:sz w:val="28"/>
          <w:szCs w:val="28"/>
        </w:rPr>
        <w:t>отаци</w:t>
      </w:r>
      <w:r w:rsidRPr="00DC4DA8">
        <w:rPr>
          <w:sz w:val="28"/>
          <w:szCs w:val="28"/>
        </w:rPr>
        <w:t>й</w:t>
      </w:r>
      <w:r w:rsidR="00111EBD" w:rsidRPr="00DC4DA8">
        <w:rPr>
          <w:sz w:val="28"/>
          <w:szCs w:val="28"/>
        </w:rPr>
        <w:t xml:space="preserve"> </w:t>
      </w:r>
      <w:r w:rsidR="006A3910" w:rsidRPr="00DC4DA8">
        <w:rPr>
          <w:sz w:val="28"/>
          <w:szCs w:val="28"/>
        </w:rPr>
        <w:t xml:space="preserve">бюджетам субъектов Российской </w:t>
      </w:r>
      <w:proofErr w:type="gramStart"/>
      <w:r w:rsidR="006A3910" w:rsidRPr="00DC4DA8">
        <w:rPr>
          <w:sz w:val="28"/>
          <w:szCs w:val="28"/>
        </w:rPr>
        <w:t>Федерации</w:t>
      </w:r>
      <w:proofErr w:type="gramEnd"/>
      <w:r w:rsidR="006A3910" w:rsidRPr="00DC4DA8">
        <w:rPr>
          <w:sz w:val="28"/>
          <w:szCs w:val="28"/>
        </w:rPr>
        <w:t xml:space="preserve"> </w:t>
      </w:r>
      <w:r w:rsidR="00A4414D">
        <w:rPr>
          <w:sz w:val="28"/>
          <w:szCs w:val="28"/>
        </w:rPr>
        <w:t>в целях частичной компенсации</w:t>
      </w:r>
      <w:r w:rsidR="002E02BA" w:rsidRPr="00DC4DA8">
        <w:rPr>
          <w:sz w:val="28"/>
          <w:szCs w:val="28"/>
        </w:rPr>
        <w:t xml:space="preserve"> выпадающих доходов бюджетов субъектов Российской Федерации от применения инвестиционного налогового вычета </w:t>
      </w:r>
      <w:r w:rsidR="00416D31" w:rsidRPr="00DC4DA8">
        <w:rPr>
          <w:sz w:val="28"/>
          <w:szCs w:val="28"/>
        </w:rPr>
        <w:t>(далее – дотации)</w:t>
      </w:r>
      <w:r w:rsidR="00111EBD" w:rsidRPr="00DC4DA8">
        <w:rPr>
          <w:sz w:val="28"/>
          <w:szCs w:val="28"/>
        </w:rPr>
        <w:t xml:space="preserve"> </w:t>
      </w:r>
      <w:r w:rsidR="007916B4">
        <w:rPr>
          <w:sz w:val="28"/>
          <w:szCs w:val="28"/>
        </w:rPr>
        <w:t>на 2021 год</w:t>
      </w:r>
      <w:r w:rsidR="00111EBD" w:rsidRPr="00DC4DA8">
        <w:rPr>
          <w:sz w:val="28"/>
          <w:szCs w:val="28"/>
        </w:rPr>
        <w:t xml:space="preserve"> </w:t>
      </w:r>
      <w:r w:rsidRPr="00DC4DA8">
        <w:rPr>
          <w:sz w:val="28"/>
          <w:szCs w:val="28"/>
        </w:rPr>
        <w:t>осуществляется</w:t>
      </w:r>
      <w:r w:rsidR="00111EBD" w:rsidRPr="00DC4DA8">
        <w:rPr>
          <w:sz w:val="28"/>
          <w:szCs w:val="28"/>
        </w:rPr>
        <w:t xml:space="preserve"> между субъектами </w:t>
      </w:r>
      <w:r w:rsidR="005A2004">
        <w:rPr>
          <w:sz w:val="28"/>
          <w:szCs w:val="28"/>
        </w:rPr>
        <w:br/>
      </w:r>
      <w:r w:rsidR="00111EBD" w:rsidRPr="00DC4DA8">
        <w:rPr>
          <w:sz w:val="28"/>
          <w:szCs w:val="28"/>
        </w:rPr>
        <w:t xml:space="preserve">Российской Федерации на основании </w:t>
      </w:r>
      <w:r w:rsidR="009C28E8" w:rsidRPr="00DC4DA8">
        <w:rPr>
          <w:sz w:val="28"/>
          <w:szCs w:val="28"/>
        </w:rPr>
        <w:t xml:space="preserve">данных </w:t>
      </w:r>
      <w:r w:rsidR="00DC4DA8" w:rsidRPr="00DC4DA8">
        <w:rPr>
          <w:rFonts w:eastAsiaTheme="minorHAnsi"/>
          <w:sz w:val="28"/>
          <w:szCs w:val="28"/>
          <w:lang w:eastAsia="en-US"/>
        </w:rPr>
        <w:t xml:space="preserve">Федеральной налоговой службы </w:t>
      </w:r>
      <w:r w:rsidR="00FD6C28" w:rsidRPr="00DC4DA8">
        <w:rPr>
          <w:sz w:val="28"/>
          <w:szCs w:val="28"/>
        </w:rPr>
        <w:t>о</w:t>
      </w:r>
      <w:r w:rsidR="000458A5" w:rsidRPr="00DC4DA8">
        <w:rPr>
          <w:sz w:val="28"/>
          <w:szCs w:val="28"/>
        </w:rPr>
        <w:t xml:space="preserve">б объеме льгот по инвестиционному налоговому вычету, предоставленных субъектами Российской Федерации </w:t>
      </w:r>
      <w:r w:rsidR="004248AF" w:rsidRPr="00DC4DA8">
        <w:rPr>
          <w:sz w:val="28"/>
          <w:szCs w:val="28"/>
        </w:rPr>
        <w:t xml:space="preserve">в соответствии со статьей 286.1 Налогового кодекса Российской Федерации за </w:t>
      </w:r>
      <w:r w:rsidR="00A4414D">
        <w:rPr>
          <w:sz w:val="28"/>
          <w:szCs w:val="28"/>
        </w:rPr>
        <w:t>2020</w:t>
      </w:r>
      <w:r w:rsidR="004248AF" w:rsidRPr="00DC4DA8">
        <w:rPr>
          <w:sz w:val="28"/>
          <w:szCs w:val="28"/>
        </w:rPr>
        <w:t xml:space="preserve"> год </w:t>
      </w:r>
      <w:r w:rsidR="005A2004">
        <w:rPr>
          <w:sz w:val="28"/>
          <w:szCs w:val="28"/>
        </w:rPr>
        <w:br/>
      </w:r>
      <w:r w:rsidR="003903C0" w:rsidRPr="00DC4DA8">
        <w:rPr>
          <w:sz w:val="28"/>
          <w:szCs w:val="28"/>
        </w:rPr>
        <w:t>(</w:t>
      </w:r>
      <w:proofErr w:type="gramStart"/>
      <w:r w:rsidR="003903C0" w:rsidRPr="00DC4DA8">
        <w:rPr>
          <w:sz w:val="28"/>
          <w:szCs w:val="28"/>
        </w:rPr>
        <w:t>далее – инвестиционный налоговый вычет)</w:t>
      </w:r>
      <w:r w:rsidR="00DC4DA8" w:rsidRPr="00DC4DA8">
        <w:rPr>
          <w:sz w:val="28"/>
          <w:szCs w:val="28"/>
        </w:rPr>
        <w:t>,</w:t>
      </w:r>
      <w:r w:rsidR="003903C0" w:rsidRPr="00DC4DA8">
        <w:rPr>
          <w:sz w:val="28"/>
          <w:szCs w:val="28"/>
        </w:rPr>
        <w:t xml:space="preserve"> </w:t>
      </w:r>
      <w:r w:rsidR="009351EA" w:rsidRPr="00DC4DA8">
        <w:rPr>
          <w:sz w:val="28"/>
          <w:szCs w:val="28"/>
        </w:rPr>
        <w:t>организациям</w:t>
      </w:r>
      <w:r w:rsidR="00D64027" w:rsidRPr="00DC4DA8">
        <w:rPr>
          <w:sz w:val="28"/>
          <w:szCs w:val="28"/>
        </w:rPr>
        <w:t xml:space="preserve">, впервые воспользовавшимся </w:t>
      </w:r>
      <w:r w:rsidR="005F5B81" w:rsidRPr="00DC4DA8">
        <w:rPr>
          <w:sz w:val="28"/>
          <w:szCs w:val="28"/>
        </w:rPr>
        <w:t xml:space="preserve">указанной </w:t>
      </w:r>
      <w:r w:rsidR="00D64027" w:rsidRPr="00DC4DA8">
        <w:rPr>
          <w:sz w:val="28"/>
          <w:szCs w:val="28"/>
        </w:rPr>
        <w:t>льгот</w:t>
      </w:r>
      <w:r w:rsidR="005F5B81" w:rsidRPr="00DC4DA8">
        <w:rPr>
          <w:sz w:val="28"/>
          <w:szCs w:val="28"/>
        </w:rPr>
        <w:t>ой</w:t>
      </w:r>
      <w:r w:rsidR="00D64027" w:rsidRPr="00DC4DA8">
        <w:rPr>
          <w:sz w:val="28"/>
          <w:szCs w:val="28"/>
        </w:rPr>
        <w:t xml:space="preserve"> </w:t>
      </w:r>
      <w:r w:rsidR="004224ED" w:rsidRPr="00DC4DA8">
        <w:rPr>
          <w:sz w:val="28"/>
          <w:szCs w:val="28"/>
        </w:rPr>
        <w:t xml:space="preserve">после 1 января 2020 года </w:t>
      </w:r>
      <w:r w:rsidR="006266A1" w:rsidRPr="00DC4DA8">
        <w:rPr>
          <w:bCs/>
          <w:sz w:val="28"/>
          <w:szCs w:val="28"/>
        </w:rPr>
        <w:t xml:space="preserve">(но не более </w:t>
      </w:r>
      <w:r w:rsidR="005F5B81" w:rsidRPr="00DC4DA8">
        <w:rPr>
          <w:bCs/>
          <w:sz w:val="28"/>
          <w:szCs w:val="28"/>
        </w:rPr>
        <w:t>2</w:t>
      </w:r>
      <w:r w:rsidR="006266A1" w:rsidRPr="00DC4DA8">
        <w:rPr>
          <w:bCs/>
          <w:sz w:val="28"/>
          <w:szCs w:val="28"/>
        </w:rPr>
        <w:t>00</w:t>
      </w:r>
      <w:r w:rsidR="003903C0" w:rsidRPr="00DC4DA8">
        <w:rPr>
          <w:bCs/>
          <w:sz w:val="28"/>
          <w:szCs w:val="28"/>
        </w:rPr>
        <w:t> 000,0</w:t>
      </w:r>
      <w:r w:rsidR="006266A1" w:rsidRPr="00DC4DA8">
        <w:rPr>
          <w:bCs/>
          <w:sz w:val="28"/>
          <w:szCs w:val="28"/>
        </w:rPr>
        <w:t xml:space="preserve"> </w:t>
      </w:r>
      <w:r w:rsidR="003903C0" w:rsidRPr="00DC4DA8">
        <w:rPr>
          <w:bCs/>
          <w:sz w:val="28"/>
          <w:szCs w:val="28"/>
        </w:rPr>
        <w:t>тыс</w:t>
      </w:r>
      <w:r w:rsidR="006266A1" w:rsidRPr="00DC4DA8">
        <w:rPr>
          <w:bCs/>
          <w:sz w:val="28"/>
          <w:szCs w:val="28"/>
        </w:rPr>
        <w:t xml:space="preserve">. рублей в </w:t>
      </w:r>
      <w:r w:rsidR="00C3403C" w:rsidRPr="00DC4DA8">
        <w:rPr>
          <w:bCs/>
          <w:sz w:val="28"/>
          <w:szCs w:val="28"/>
        </w:rPr>
        <w:t>расчете на одно</w:t>
      </w:r>
      <w:r w:rsidR="006266A1" w:rsidRPr="00DC4DA8">
        <w:rPr>
          <w:bCs/>
          <w:sz w:val="28"/>
          <w:szCs w:val="28"/>
        </w:rPr>
        <w:t xml:space="preserve"> юридическо</w:t>
      </w:r>
      <w:r w:rsidR="00C3403C" w:rsidRPr="00DC4DA8">
        <w:rPr>
          <w:bCs/>
          <w:sz w:val="28"/>
          <w:szCs w:val="28"/>
        </w:rPr>
        <w:t>е</w:t>
      </w:r>
      <w:r w:rsidR="006266A1" w:rsidRPr="00DC4DA8">
        <w:rPr>
          <w:bCs/>
          <w:sz w:val="28"/>
          <w:szCs w:val="28"/>
        </w:rPr>
        <w:t xml:space="preserve"> лиц</w:t>
      </w:r>
      <w:r w:rsidR="00C3403C" w:rsidRPr="00DC4DA8">
        <w:rPr>
          <w:bCs/>
          <w:sz w:val="28"/>
          <w:szCs w:val="28"/>
        </w:rPr>
        <w:t>о</w:t>
      </w:r>
      <w:r w:rsidR="006266A1" w:rsidRPr="00DC4DA8">
        <w:rPr>
          <w:bCs/>
          <w:sz w:val="28"/>
          <w:szCs w:val="28"/>
        </w:rPr>
        <w:t>)</w:t>
      </w:r>
      <w:r w:rsidR="009351EA" w:rsidRPr="00DC4DA8">
        <w:rPr>
          <w:sz w:val="28"/>
          <w:szCs w:val="28"/>
        </w:rPr>
        <w:t xml:space="preserve">, </w:t>
      </w:r>
      <w:r w:rsidR="005A2004">
        <w:rPr>
          <w:sz w:val="28"/>
          <w:szCs w:val="28"/>
        </w:rPr>
        <w:br/>
      </w:r>
      <w:r w:rsidR="009351EA" w:rsidRPr="00DC4DA8">
        <w:rPr>
          <w:sz w:val="28"/>
          <w:szCs w:val="28"/>
        </w:rPr>
        <w:t>расположенным</w:t>
      </w:r>
      <w:r w:rsidR="003903C0" w:rsidRPr="00DC4DA8">
        <w:rPr>
          <w:sz w:val="28"/>
          <w:szCs w:val="28"/>
        </w:rPr>
        <w:t xml:space="preserve"> </w:t>
      </w:r>
      <w:r w:rsidR="009351EA" w:rsidRPr="00DC4DA8">
        <w:rPr>
          <w:sz w:val="28"/>
          <w:szCs w:val="28"/>
        </w:rPr>
        <w:t xml:space="preserve">на территории субъекта Российской Федерации и осуществляющим виды экономической деятельности, </w:t>
      </w:r>
      <w:r w:rsidR="009351EA" w:rsidRPr="00DC4DA8">
        <w:rPr>
          <w:bCs/>
          <w:sz w:val="28"/>
          <w:szCs w:val="28"/>
        </w:rPr>
        <w:t>за исключением</w:t>
      </w:r>
      <w:r w:rsidR="009351EA" w:rsidRPr="00DC4DA8">
        <w:rPr>
          <w:sz w:val="28"/>
          <w:szCs w:val="28"/>
        </w:rPr>
        <w:t xml:space="preserve"> </w:t>
      </w:r>
      <w:r w:rsidR="00483C15" w:rsidRPr="00DC4DA8">
        <w:rPr>
          <w:sz w:val="28"/>
          <w:szCs w:val="28"/>
        </w:rPr>
        <w:t xml:space="preserve">бюджетных </w:t>
      </w:r>
      <w:r w:rsidR="00A0641C" w:rsidRPr="00DC4DA8">
        <w:rPr>
          <w:sz w:val="28"/>
          <w:szCs w:val="28"/>
        </w:rPr>
        <w:t xml:space="preserve">и автономных </w:t>
      </w:r>
      <w:r w:rsidR="00483C15" w:rsidRPr="00DC4DA8">
        <w:rPr>
          <w:sz w:val="28"/>
          <w:szCs w:val="28"/>
        </w:rPr>
        <w:t xml:space="preserve">учреждений, </w:t>
      </w:r>
      <w:r w:rsidR="00365AD7" w:rsidRPr="00DC4DA8">
        <w:rPr>
          <w:sz w:val="28"/>
          <w:szCs w:val="28"/>
        </w:rPr>
        <w:t xml:space="preserve">организаций, </w:t>
      </w:r>
      <w:r w:rsidR="00DE6EA4" w:rsidRPr="00DC4DA8">
        <w:rPr>
          <w:sz w:val="28"/>
          <w:szCs w:val="28"/>
        </w:rPr>
        <w:t>реализу</w:t>
      </w:r>
      <w:r w:rsidR="00365AD7" w:rsidRPr="00DC4DA8">
        <w:rPr>
          <w:sz w:val="28"/>
          <w:szCs w:val="28"/>
        </w:rPr>
        <w:t xml:space="preserve">ющих </w:t>
      </w:r>
      <w:r w:rsidR="00DE6EA4" w:rsidRPr="00DC4DA8">
        <w:rPr>
          <w:sz w:val="28"/>
          <w:szCs w:val="28"/>
        </w:rPr>
        <w:t>проекты</w:t>
      </w:r>
      <w:r w:rsidR="00365AD7" w:rsidRPr="00DC4DA8">
        <w:rPr>
          <w:sz w:val="28"/>
          <w:szCs w:val="28"/>
        </w:rPr>
        <w:t xml:space="preserve"> в рамках государственно-частного партнерства, </w:t>
      </w:r>
      <w:r w:rsidR="008F2AB5" w:rsidRPr="00DC4DA8">
        <w:rPr>
          <w:sz w:val="28"/>
          <w:szCs w:val="28"/>
        </w:rPr>
        <w:t xml:space="preserve">организаций-субъектов естественных монополий, </w:t>
      </w:r>
      <w:r w:rsidR="00DE6EA4" w:rsidRPr="00DC4DA8">
        <w:rPr>
          <w:sz w:val="28"/>
          <w:szCs w:val="28"/>
        </w:rPr>
        <w:t>о</w:t>
      </w:r>
      <w:r w:rsidR="004224ED" w:rsidRPr="00DC4DA8">
        <w:rPr>
          <w:sz w:val="28"/>
          <w:szCs w:val="28"/>
        </w:rPr>
        <w:t xml:space="preserve">рганизаций черной и цветной металлургии, </w:t>
      </w:r>
      <w:r w:rsidR="008F2AB5" w:rsidRPr="00DC4DA8">
        <w:rPr>
          <w:sz w:val="28"/>
          <w:szCs w:val="28"/>
        </w:rPr>
        <w:t>организаций</w:t>
      </w:r>
      <w:proofErr w:type="gramEnd"/>
      <w:r w:rsidR="00A4414D">
        <w:rPr>
          <w:sz w:val="28"/>
          <w:szCs w:val="28"/>
        </w:rPr>
        <w:t>,</w:t>
      </w:r>
      <w:r w:rsidR="008F2AB5" w:rsidRPr="00DC4DA8">
        <w:rPr>
          <w:sz w:val="28"/>
          <w:szCs w:val="28"/>
        </w:rPr>
        <w:t xml:space="preserve"> осуществляющих деятельность по добыче полезных ископаемых, </w:t>
      </w:r>
      <w:r w:rsidR="00BD4AFE" w:rsidRPr="00DC4DA8">
        <w:rPr>
          <w:sz w:val="28"/>
          <w:szCs w:val="28"/>
        </w:rPr>
        <w:t xml:space="preserve">организаций, осуществляющих </w:t>
      </w:r>
      <w:r w:rsidR="009351EA" w:rsidRPr="00DC4DA8">
        <w:rPr>
          <w:sz w:val="28"/>
          <w:szCs w:val="28"/>
        </w:rPr>
        <w:t>деятельност</w:t>
      </w:r>
      <w:r w:rsidR="00BD4AFE" w:rsidRPr="00DC4DA8">
        <w:rPr>
          <w:sz w:val="28"/>
          <w:szCs w:val="28"/>
        </w:rPr>
        <w:t>ь</w:t>
      </w:r>
      <w:r w:rsidR="009351EA" w:rsidRPr="00DC4DA8">
        <w:rPr>
          <w:sz w:val="28"/>
          <w:szCs w:val="28"/>
        </w:rPr>
        <w:t xml:space="preserve"> по транспортировке нефти и (или) нефтепродуктов, газа и (или) газового конденсата, </w:t>
      </w:r>
      <w:r w:rsidR="00BD4AFE" w:rsidRPr="00DC4DA8">
        <w:rPr>
          <w:sz w:val="28"/>
          <w:szCs w:val="28"/>
        </w:rPr>
        <w:t>организаций – налогоплательщиков по</w:t>
      </w:r>
      <w:r w:rsidR="009351EA" w:rsidRPr="00DC4DA8">
        <w:rPr>
          <w:sz w:val="28"/>
          <w:szCs w:val="28"/>
        </w:rPr>
        <w:t xml:space="preserve"> налог</w:t>
      </w:r>
      <w:r w:rsidR="00BD4AFE" w:rsidRPr="00DC4DA8">
        <w:rPr>
          <w:sz w:val="28"/>
          <w:szCs w:val="28"/>
        </w:rPr>
        <w:t>у</w:t>
      </w:r>
      <w:r w:rsidR="009351EA" w:rsidRPr="00DC4DA8">
        <w:rPr>
          <w:sz w:val="28"/>
          <w:szCs w:val="28"/>
        </w:rPr>
        <w:t xml:space="preserve"> на добычу полезных ископаемых и акцизам, </w:t>
      </w:r>
      <w:r w:rsidR="008F2AB5" w:rsidRPr="00DC4DA8">
        <w:rPr>
          <w:sz w:val="28"/>
          <w:szCs w:val="28"/>
        </w:rPr>
        <w:t>организаций, осуществляющих деятельность по производству химических веществ и химических продуктов</w:t>
      </w:r>
      <w:r w:rsidR="00DC4DA8" w:rsidRPr="00DC4DA8">
        <w:rPr>
          <w:sz w:val="28"/>
          <w:szCs w:val="28"/>
        </w:rPr>
        <w:t>,</w:t>
      </w:r>
      <w:r w:rsidR="008F2AB5" w:rsidRPr="00DC4DA8">
        <w:rPr>
          <w:sz w:val="28"/>
          <w:szCs w:val="28"/>
        </w:rPr>
        <w:t xml:space="preserve"> и </w:t>
      </w:r>
      <w:r w:rsidR="004224ED" w:rsidRPr="00DC4DA8">
        <w:rPr>
          <w:sz w:val="28"/>
          <w:szCs w:val="28"/>
        </w:rPr>
        <w:t>организаций,</w:t>
      </w:r>
      <w:r w:rsidR="00BD4AFE" w:rsidRPr="00DC4DA8">
        <w:rPr>
          <w:sz w:val="28"/>
          <w:szCs w:val="28"/>
        </w:rPr>
        <w:t xml:space="preserve"> осуществляющих </w:t>
      </w:r>
      <w:r w:rsidR="009351EA" w:rsidRPr="00DC4DA8">
        <w:rPr>
          <w:sz w:val="28"/>
          <w:szCs w:val="28"/>
        </w:rPr>
        <w:t>финансов</w:t>
      </w:r>
      <w:r w:rsidR="00BD4AFE" w:rsidRPr="00DC4DA8">
        <w:rPr>
          <w:sz w:val="28"/>
          <w:szCs w:val="28"/>
        </w:rPr>
        <w:t>ую</w:t>
      </w:r>
      <w:r w:rsidR="009351EA" w:rsidRPr="00DC4DA8">
        <w:rPr>
          <w:sz w:val="28"/>
          <w:szCs w:val="28"/>
        </w:rPr>
        <w:t xml:space="preserve"> и страхов</w:t>
      </w:r>
      <w:r w:rsidR="00BD4AFE" w:rsidRPr="00DC4DA8">
        <w:rPr>
          <w:sz w:val="28"/>
          <w:szCs w:val="28"/>
        </w:rPr>
        <w:t>ую деятельность</w:t>
      </w:r>
      <w:r w:rsidR="008120AA" w:rsidRPr="00DC4DA8">
        <w:rPr>
          <w:sz w:val="28"/>
          <w:szCs w:val="28"/>
        </w:rPr>
        <w:t xml:space="preserve"> (далее – организации). </w:t>
      </w:r>
    </w:p>
    <w:p w:rsidR="004224ED" w:rsidRPr="00DC4DA8" w:rsidRDefault="00416D31" w:rsidP="00DC4DA8">
      <w:pPr>
        <w:pStyle w:val="ac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C4DA8">
        <w:rPr>
          <w:sz w:val="28"/>
          <w:szCs w:val="28"/>
        </w:rPr>
        <w:t>Ра</w:t>
      </w:r>
      <w:r w:rsidR="00DB2595">
        <w:rPr>
          <w:sz w:val="28"/>
          <w:szCs w:val="28"/>
        </w:rPr>
        <w:t xml:space="preserve">змер дотации, предоставляемой бюджету </w:t>
      </w:r>
      <w:r w:rsidR="00DB2595" w:rsidRPr="000A2A79">
        <w:rPr>
          <w:sz w:val="28"/>
          <w:szCs w:val="28"/>
        </w:rPr>
        <w:t>i-</w:t>
      </w:r>
      <w:proofErr w:type="spellStart"/>
      <w:r w:rsidR="00DB2595" w:rsidRPr="000A2A79">
        <w:rPr>
          <w:sz w:val="28"/>
          <w:szCs w:val="28"/>
        </w:rPr>
        <w:t>го</w:t>
      </w:r>
      <w:proofErr w:type="spellEnd"/>
      <w:r w:rsidR="00DB2595" w:rsidRPr="000A2A79">
        <w:rPr>
          <w:sz w:val="28"/>
          <w:szCs w:val="28"/>
        </w:rPr>
        <w:t xml:space="preserve"> субъекта Российской Федерации в 20</w:t>
      </w:r>
      <w:r w:rsidR="00DB2595">
        <w:rPr>
          <w:sz w:val="28"/>
          <w:szCs w:val="28"/>
        </w:rPr>
        <w:t>2</w:t>
      </w:r>
      <w:r w:rsidR="00F31D71">
        <w:rPr>
          <w:sz w:val="28"/>
          <w:szCs w:val="28"/>
        </w:rPr>
        <w:t>1</w:t>
      </w:r>
      <w:r w:rsidR="00DB2595" w:rsidRPr="000A2A79">
        <w:rPr>
          <w:sz w:val="28"/>
          <w:szCs w:val="28"/>
        </w:rPr>
        <w:t xml:space="preserve"> году</w:t>
      </w:r>
      <w:r w:rsidR="00DB2595" w:rsidRPr="00DC4DA8">
        <w:rPr>
          <w:sz w:val="28"/>
          <w:szCs w:val="28"/>
        </w:rPr>
        <w:t xml:space="preserve"> </w:t>
      </w:r>
      <w:r w:rsidR="00DB2595">
        <w:rPr>
          <w:sz w:val="28"/>
          <w:szCs w:val="28"/>
        </w:rPr>
        <w:t>(</w:t>
      </w:r>
      <w:r w:rsidR="00DB2595" w:rsidRPr="000A2A79">
        <w:rPr>
          <w:sz w:val="28"/>
          <w:szCs w:val="28"/>
        </w:rPr>
        <w:t>Д</w:t>
      </w:r>
      <w:proofErr w:type="gramStart"/>
      <w:r w:rsidR="00DB2595" w:rsidRPr="000A2A79">
        <w:rPr>
          <w:sz w:val="28"/>
          <w:szCs w:val="28"/>
          <w:vertAlign w:val="subscript"/>
          <w:lang w:val="en-US"/>
        </w:rPr>
        <w:t>i</w:t>
      </w:r>
      <w:proofErr w:type="gramEnd"/>
      <w:r w:rsidR="00DB2595">
        <w:rPr>
          <w:sz w:val="28"/>
          <w:szCs w:val="28"/>
        </w:rPr>
        <w:t>) определяется</w:t>
      </w:r>
      <w:r w:rsidRPr="00DC4DA8">
        <w:rPr>
          <w:sz w:val="28"/>
          <w:szCs w:val="28"/>
        </w:rPr>
        <w:t xml:space="preserve"> </w:t>
      </w:r>
      <w:r w:rsidR="00DC4DA8" w:rsidRPr="00DC4DA8">
        <w:rPr>
          <w:sz w:val="28"/>
          <w:szCs w:val="28"/>
        </w:rPr>
        <w:t>в</w:t>
      </w:r>
      <w:r w:rsidRPr="00DC4DA8">
        <w:rPr>
          <w:sz w:val="28"/>
          <w:szCs w:val="28"/>
        </w:rPr>
        <w:t xml:space="preserve"> </w:t>
      </w:r>
      <w:r w:rsidR="004224ED" w:rsidRPr="00DC4DA8">
        <w:rPr>
          <w:sz w:val="28"/>
          <w:szCs w:val="28"/>
        </w:rPr>
        <w:t>следующ</w:t>
      </w:r>
      <w:r w:rsidR="00DC4DA8" w:rsidRPr="00DC4DA8">
        <w:rPr>
          <w:sz w:val="28"/>
          <w:szCs w:val="28"/>
        </w:rPr>
        <w:t>е</w:t>
      </w:r>
      <w:r w:rsidR="004224ED" w:rsidRPr="00DC4DA8">
        <w:rPr>
          <w:sz w:val="28"/>
          <w:szCs w:val="28"/>
        </w:rPr>
        <w:t xml:space="preserve">м </w:t>
      </w:r>
      <w:r w:rsidR="00DC4DA8" w:rsidRPr="00DC4DA8">
        <w:rPr>
          <w:sz w:val="28"/>
          <w:szCs w:val="28"/>
        </w:rPr>
        <w:t>порядке</w:t>
      </w:r>
      <w:r w:rsidRPr="00DC4DA8">
        <w:rPr>
          <w:sz w:val="28"/>
          <w:szCs w:val="28"/>
        </w:rPr>
        <w:t>:</w:t>
      </w:r>
    </w:p>
    <w:p w:rsidR="00416D31" w:rsidRPr="000A2A79" w:rsidRDefault="00DC4DA8" w:rsidP="00DC4DA8">
      <w:pPr>
        <w:pStyle w:val="ac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е</w:t>
      </w:r>
      <w:r w:rsidR="004224ED" w:rsidRPr="004224ED">
        <w:rPr>
          <w:sz w:val="28"/>
          <w:szCs w:val="28"/>
        </w:rPr>
        <w:t>сли</w:t>
      </w:r>
      <w:r w:rsidR="00E54A75">
        <w:rPr>
          <w:sz w:val="28"/>
          <w:szCs w:val="28"/>
        </w:rPr>
        <w:t xml:space="preserve"> </w:t>
      </w:r>
      <w:r w:rsidR="00DC6EFA">
        <w:rPr>
          <w:sz w:val="28"/>
          <w:szCs w:val="28"/>
        </w:rPr>
        <w:t xml:space="preserve">потребность в средствах для компенсации </w:t>
      </w:r>
      <w:r w:rsidR="002A6C5F">
        <w:rPr>
          <w:sz w:val="28"/>
          <w:szCs w:val="28"/>
        </w:rPr>
        <w:t xml:space="preserve">двух </w:t>
      </w:r>
      <w:proofErr w:type="gramStart"/>
      <w:r w:rsidR="002A6C5F">
        <w:rPr>
          <w:sz w:val="28"/>
          <w:szCs w:val="28"/>
        </w:rPr>
        <w:t xml:space="preserve">третей объема </w:t>
      </w:r>
      <w:r w:rsidR="00DC6EFA" w:rsidRPr="008120AA">
        <w:rPr>
          <w:sz w:val="28"/>
          <w:szCs w:val="28"/>
        </w:rPr>
        <w:t>выпадающих доходов бюджетов субъектов Российской Федерации</w:t>
      </w:r>
      <w:proofErr w:type="gramEnd"/>
      <w:r w:rsidR="00DC6EFA" w:rsidRPr="008120AA">
        <w:rPr>
          <w:sz w:val="28"/>
          <w:szCs w:val="28"/>
        </w:rPr>
        <w:t xml:space="preserve"> </w:t>
      </w:r>
      <w:r w:rsidR="00A4414D">
        <w:rPr>
          <w:sz w:val="28"/>
          <w:szCs w:val="28"/>
        </w:rPr>
        <w:br/>
      </w:r>
      <w:r w:rsidR="00DC6EFA" w:rsidRPr="008120AA">
        <w:rPr>
          <w:sz w:val="28"/>
          <w:szCs w:val="28"/>
        </w:rPr>
        <w:lastRenderedPageBreak/>
        <w:t>от применения инвестиционного налогового вычета</w:t>
      </w:r>
      <w:r w:rsidR="00DC6EFA">
        <w:rPr>
          <w:sz w:val="28"/>
          <w:szCs w:val="28"/>
        </w:rPr>
        <w:t xml:space="preserve"> </w:t>
      </w:r>
      <w:r w:rsidR="0093456F">
        <w:rPr>
          <w:sz w:val="28"/>
          <w:szCs w:val="28"/>
        </w:rPr>
        <w:t>состав</w:t>
      </w:r>
      <w:r w:rsidR="002A6C5F">
        <w:rPr>
          <w:sz w:val="28"/>
          <w:szCs w:val="28"/>
        </w:rPr>
        <w:t>ляе</w:t>
      </w:r>
      <w:r w:rsidR="0093456F">
        <w:rPr>
          <w:sz w:val="28"/>
          <w:szCs w:val="28"/>
        </w:rPr>
        <w:t xml:space="preserve">т </w:t>
      </w:r>
      <w:r w:rsidR="00E54A75">
        <w:rPr>
          <w:sz w:val="28"/>
          <w:szCs w:val="28"/>
        </w:rPr>
        <w:t>мен</w:t>
      </w:r>
      <w:r w:rsidR="0093456F">
        <w:rPr>
          <w:sz w:val="28"/>
          <w:szCs w:val="28"/>
        </w:rPr>
        <w:t>ее 30 000 000,</w:t>
      </w:r>
      <w:r w:rsidR="00DC6EFA">
        <w:rPr>
          <w:sz w:val="28"/>
          <w:szCs w:val="28"/>
        </w:rPr>
        <w:t>0 тыс. рублей</w:t>
      </w:r>
      <w:r w:rsidR="0093456F">
        <w:rPr>
          <w:sz w:val="28"/>
          <w:szCs w:val="28"/>
        </w:rPr>
        <w:t>, то:</w:t>
      </w:r>
    </w:p>
    <w:p w:rsidR="00416D31" w:rsidRDefault="002E5638" w:rsidP="00DB4149">
      <w:pPr>
        <w:pStyle w:val="ac"/>
        <w:ind w:left="0"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28"/>
          </w:rPr>
          <m:t>=</m:t>
        </m:r>
        <m:f>
          <m:fPr>
            <m:ctrlPr>
              <w:rPr>
                <w:rFonts w:ascii="Cambria Math" w:hAnsi="Cambria Math"/>
                <w:sz w:val="3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28"/>
          </w:rPr>
          <m:t>×</m:t>
        </m:r>
        <m:sSubSup>
          <m:sSubSupPr>
            <m:ctrlPr>
              <w:rPr>
                <w:rFonts w:ascii="Cambria Math" w:hAnsi="Cambria Math"/>
                <w:sz w:val="32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2020</m:t>
            </m:r>
          </m:sup>
        </m:sSubSup>
        <m:r>
          <m:rPr>
            <m:sty m:val="p"/>
          </m:rPr>
          <w:rPr>
            <w:rFonts w:ascii="Cambria Math" w:hAnsi="Cambria Math"/>
            <w:sz w:val="32"/>
            <w:szCs w:val="28"/>
          </w:rPr>
          <m:t xml:space="preserve"> </m:t>
        </m:r>
      </m:oMath>
      <w:r w:rsidR="00D121AF">
        <w:rPr>
          <w:sz w:val="28"/>
          <w:szCs w:val="28"/>
        </w:rPr>
        <w:t>,</w:t>
      </w:r>
    </w:p>
    <w:p w:rsidR="00EA4AFD" w:rsidRPr="0093456F" w:rsidRDefault="00AC0B8A" w:rsidP="00DB4149">
      <w:pPr>
        <w:pStyle w:val="ac"/>
        <w:ind w:left="0" w:firstLine="709"/>
        <w:jc w:val="center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Д=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i</m:t>
            </m:r>
            <m:r>
              <w:rPr>
                <w:rFonts w:ascii="Cambria Math" w:hAnsi="Cambria Math"/>
                <w:sz w:val="32"/>
                <w:szCs w:val="32"/>
              </w:rPr>
              <m:t>=1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Д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sub>
            </m:sSub>
          </m:e>
        </m:nary>
      </m:oMath>
      <w:r w:rsidR="00B9263B">
        <w:rPr>
          <w:sz w:val="32"/>
          <w:szCs w:val="32"/>
        </w:rPr>
        <w:t>,</w:t>
      </w:r>
    </w:p>
    <w:p w:rsidR="00B91B19" w:rsidRPr="009F7DB3" w:rsidRDefault="00B91B19" w:rsidP="00B91B19">
      <w:pPr>
        <w:ind w:firstLine="709"/>
        <w:jc w:val="both"/>
        <w:rPr>
          <w:sz w:val="28"/>
          <w:szCs w:val="28"/>
        </w:rPr>
      </w:pPr>
      <w:r w:rsidRPr="000A2A79">
        <w:rPr>
          <w:sz w:val="28"/>
          <w:szCs w:val="28"/>
        </w:rPr>
        <w:t>где:</w:t>
      </w:r>
    </w:p>
    <w:p w:rsidR="00DB2595" w:rsidRDefault="00DB2595" w:rsidP="00B91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9C43DB">
        <w:rPr>
          <w:sz w:val="28"/>
          <w:szCs w:val="28"/>
          <w:vertAlign w:val="subscript"/>
          <w:lang w:val="en-US"/>
        </w:rPr>
        <w:t>i</w:t>
      </w:r>
      <w:r w:rsidRPr="009C43DB">
        <w:rPr>
          <w:sz w:val="28"/>
          <w:szCs w:val="28"/>
          <w:vertAlign w:val="superscript"/>
        </w:rPr>
        <w:t>2020</w:t>
      </w:r>
      <w:r w:rsidRPr="000A2A7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0A2A79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льгот</w:t>
      </w:r>
      <w:r w:rsidRPr="000A2A79">
        <w:rPr>
          <w:sz w:val="28"/>
          <w:szCs w:val="28"/>
        </w:rPr>
        <w:t xml:space="preserve"> </w:t>
      </w:r>
      <w:r>
        <w:rPr>
          <w:sz w:val="28"/>
          <w:szCs w:val="28"/>
        </w:rPr>
        <w:t>по инвестиционному налоговому вычету, предоставленных i-м</w:t>
      </w:r>
      <w:r w:rsidRPr="000A2A79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субъектом Российской Федерации</w:t>
      </w:r>
      <w:r w:rsidRPr="000A2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организациям </w:t>
      </w:r>
      <w:r>
        <w:rPr>
          <w:sz w:val="28"/>
          <w:szCs w:val="28"/>
        </w:rPr>
        <w:br/>
        <w:t xml:space="preserve">за </w:t>
      </w:r>
      <w:r w:rsidRPr="000A2A7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A2A79">
        <w:rPr>
          <w:sz w:val="28"/>
          <w:szCs w:val="28"/>
        </w:rPr>
        <w:t xml:space="preserve"> год;</w:t>
      </w:r>
    </w:p>
    <w:p w:rsidR="00B91B19" w:rsidRPr="00AC0B8A" w:rsidRDefault="00B91B19" w:rsidP="00B91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 – общий объем дотаций, распределяемый между субъектами Российской Федерации в 202</w:t>
      </w:r>
      <w:r w:rsidR="00860649">
        <w:rPr>
          <w:sz w:val="28"/>
          <w:szCs w:val="28"/>
        </w:rPr>
        <w:t>1</w:t>
      </w:r>
      <w:r>
        <w:rPr>
          <w:sz w:val="28"/>
          <w:szCs w:val="28"/>
        </w:rPr>
        <w:t xml:space="preserve"> году;</w:t>
      </w:r>
    </w:p>
    <w:p w:rsidR="00B91B19" w:rsidRDefault="00B91B19" w:rsidP="00B91B19">
      <w:pPr>
        <w:ind w:firstLine="709"/>
        <w:jc w:val="both"/>
        <w:rPr>
          <w:sz w:val="28"/>
          <w:szCs w:val="28"/>
        </w:rPr>
      </w:pPr>
      <w:r w:rsidRPr="000A2A79">
        <w:rPr>
          <w:sz w:val="28"/>
          <w:szCs w:val="28"/>
          <w:lang w:val="en-US"/>
        </w:rPr>
        <w:t>n</w:t>
      </w:r>
      <w:r w:rsidRPr="000A2A79">
        <w:rPr>
          <w:sz w:val="28"/>
          <w:szCs w:val="28"/>
        </w:rPr>
        <w:t xml:space="preserve"> – количество субъектов Российской Федерации</w:t>
      </w:r>
      <w:r>
        <w:rPr>
          <w:sz w:val="28"/>
          <w:szCs w:val="28"/>
        </w:rPr>
        <w:t>, предоставивших льготы по инвестиционному налоговому вычету организациям за 2020</w:t>
      </w:r>
      <w:r w:rsidRPr="000A2A79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3B5ABD">
        <w:rPr>
          <w:sz w:val="28"/>
          <w:szCs w:val="28"/>
        </w:rPr>
        <w:t>;</w:t>
      </w:r>
    </w:p>
    <w:p w:rsidR="00EA4AFD" w:rsidRPr="00DC4DA8" w:rsidRDefault="00DC4DA8" w:rsidP="00DC4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93456F" w:rsidRPr="00DC4DA8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93456F" w:rsidRPr="00DC4DA8">
        <w:rPr>
          <w:sz w:val="28"/>
          <w:szCs w:val="28"/>
        </w:rPr>
        <w:t xml:space="preserve">сли </w:t>
      </w:r>
      <w:r w:rsidR="00DC6EFA" w:rsidRPr="00DC4DA8">
        <w:rPr>
          <w:sz w:val="28"/>
          <w:szCs w:val="28"/>
        </w:rPr>
        <w:t xml:space="preserve">потребность в средствах для компенсации </w:t>
      </w:r>
      <w:r w:rsidR="002A6C5F" w:rsidRPr="00DC4DA8">
        <w:rPr>
          <w:sz w:val="28"/>
          <w:szCs w:val="28"/>
        </w:rPr>
        <w:t xml:space="preserve">двух </w:t>
      </w:r>
      <w:proofErr w:type="gramStart"/>
      <w:r w:rsidR="002A6C5F" w:rsidRPr="00DC4DA8">
        <w:rPr>
          <w:sz w:val="28"/>
          <w:szCs w:val="28"/>
        </w:rPr>
        <w:t xml:space="preserve">третей объема </w:t>
      </w:r>
      <w:r w:rsidR="00DC6EFA" w:rsidRPr="00DC4DA8">
        <w:rPr>
          <w:sz w:val="28"/>
          <w:szCs w:val="28"/>
        </w:rPr>
        <w:t>выпадающих доходов бюджетов субъектов Российской Федерации</w:t>
      </w:r>
      <w:proofErr w:type="gramEnd"/>
      <w:r w:rsidR="00DC6EFA" w:rsidRPr="00DC4DA8">
        <w:rPr>
          <w:sz w:val="28"/>
          <w:szCs w:val="28"/>
        </w:rPr>
        <w:t xml:space="preserve"> от применения инвестиционного налогового вычета </w:t>
      </w:r>
      <w:r w:rsidR="0093456F" w:rsidRPr="00DC4DA8">
        <w:rPr>
          <w:sz w:val="28"/>
          <w:szCs w:val="28"/>
        </w:rPr>
        <w:t>состав</w:t>
      </w:r>
      <w:r w:rsidR="002A6C5F" w:rsidRPr="00DC4DA8">
        <w:rPr>
          <w:sz w:val="28"/>
          <w:szCs w:val="28"/>
        </w:rPr>
        <w:t>ляе</w:t>
      </w:r>
      <w:r w:rsidR="0093456F" w:rsidRPr="00DC4DA8">
        <w:rPr>
          <w:sz w:val="28"/>
          <w:szCs w:val="28"/>
        </w:rPr>
        <w:t>т более 30 000 000,</w:t>
      </w:r>
      <w:r w:rsidR="00DC6EFA" w:rsidRPr="00DC4DA8">
        <w:rPr>
          <w:sz w:val="28"/>
          <w:szCs w:val="28"/>
        </w:rPr>
        <w:t>0 тыс. рублей</w:t>
      </w:r>
      <w:r w:rsidR="0093456F" w:rsidRPr="00DC4DA8">
        <w:rPr>
          <w:sz w:val="28"/>
          <w:szCs w:val="28"/>
        </w:rPr>
        <w:t>, то:</w:t>
      </w:r>
    </w:p>
    <w:p w:rsidR="004224ED" w:rsidRPr="000A2A79" w:rsidRDefault="004224ED" w:rsidP="004224ED">
      <w:pPr>
        <w:pStyle w:val="ac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4224ED" w:rsidRPr="003809FB" w:rsidRDefault="002E5638" w:rsidP="004224ED">
      <w:pPr>
        <w:ind w:left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Pr>
          <m:e>
            <m:r>
              <w:rPr>
                <w:rFonts w:ascii="Cambria Math" w:hAnsi="Cambria Math"/>
                <w:sz w:val="32"/>
                <w:szCs w:val="28"/>
              </w:rPr>
              <m:t>Д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2020</m:t>
                </m:r>
              </m:sup>
            </m:sSubSup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2020</m:t>
                    </m:r>
                  </m:sup>
                </m:sSubSup>
              </m:e>
            </m:nary>
          </m:den>
        </m:f>
        <m:r>
          <w:rPr>
            <w:rFonts w:ascii="Cambria Math" w:hAnsi="Cambria Math"/>
            <w:sz w:val="28"/>
            <w:szCs w:val="28"/>
          </w:rPr>
          <m:t xml:space="preserve">×30 000 000,0 </m:t>
        </m:r>
      </m:oMath>
      <w:r w:rsidR="00D121AF">
        <w:rPr>
          <w:sz w:val="28"/>
          <w:szCs w:val="28"/>
        </w:rPr>
        <w:t>,</w:t>
      </w:r>
    </w:p>
    <w:p w:rsidR="004224ED" w:rsidRPr="0093456F" w:rsidRDefault="004224ED" w:rsidP="004224ED">
      <w:pPr>
        <w:pStyle w:val="ac"/>
        <w:ind w:left="0" w:firstLine="709"/>
        <w:jc w:val="center"/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Д=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i</m:t>
              </m:r>
              <m:r>
                <w:rPr>
                  <w:rFonts w:ascii="Cambria Math" w:hAnsi="Cambria Math"/>
                  <w:sz w:val="32"/>
                  <w:szCs w:val="32"/>
                </w:rPr>
                <m:t>=1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i</m:t>
                  </m:r>
                </m:sub>
              </m:sSub>
            </m:e>
          </m:nary>
        </m:oMath>
      </m:oMathPara>
    </w:p>
    <w:p w:rsidR="004224ED" w:rsidRDefault="004224ED" w:rsidP="00DB4149">
      <w:pPr>
        <w:ind w:firstLine="709"/>
        <w:jc w:val="both"/>
        <w:rPr>
          <w:sz w:val="28"/>
          <w:szCs w:val="28"/>
        </w:rPr>
      </w:pPr>
    </w:p>
    <w:p w:rsidR="000729D9" w:rsidRDefault="00642555" w:rsidP="006C6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729D9">
        <w:rPr>
          <w:sz w:val="28"/>
          <w:szCs w:val="28"/>
        </w:rPr>
        <w:t xml:space="preserve"> случае если объем средств, необходимый для компенсации </w:t>
      </w:r>
      <w:r w:rsidR="00B91B19">
        <w:rPr>
          <w:sz w:val="28"/>
          <w:szCs w:val="28"/>
        </w:rPr>
        <w:t>двух третей объема</w:t>
      </w:r>
      <w:r w:rsidR="00B91B19" w:rsidRPr="008120AA">
        <w:rPr>
          <w:sz w:val="28"/>
          <w:szCs w:val="28"/>
        </w:rPr>
        <w:t xml:space="preserve"> выпадающих доходов </w:t>
      </w:r>
      <w:r w:rsidR="000729D9" w:rsidRPr="008120AA">
        <w:rPr>
          <w:sz w:val="28"/>
          <w:szCs w:val="28"/>
        </w:rPr>
        <w:t>бюджет</w:t>
      </w:r>
      <w:r w:rsidR="000729D9">
        <w:rPr>
          <w:sz w:val="28"/>
          <w:szCs w:val="28"/>
        </w:rPr>
        <w:t>а</w:t>
      </w:r>
      <w:r w:rsidR="000729D9" w:rsidRPr="008120AA">
        <w:rPr>
          <w:sz w:val="28"/>
          <w:szCs w:val="28"/>
        </w:rPr>
        <w:t xml:space="preserve"> </w:t>
      </w:r>
      <w:r w:rsidR="000729D9">
        <w:rPr>
          <w:sz w:val="28"/>
          <w:szCs w:val="28"/>
        </w:rPr>
        <w:t>i-</w:t>
      </w:r>
      <w:proofErr w:type="spellStart"/>
      <w:r w:rsidR="000729D9">
        <w:rPr>
          <w:sz w:val="28"/>
          <w:szCs w:val="28"/>
        </w:rPr>
        <w:t>го</w:t>
      </w:r>
      <w:proofErr w:type="spellEnd"/>
      <w:r w:rsidR="000729D9" w:rsidRPr="000A2A79">
        <w:rPr>
          <w:sz w:val="28"/>
          <w:szCs w:val="28"/>
        </w:rPr>
        <w:t xml:space="preserve"> </w:t>
      </w:r>
      <w:r w:rsidR="000729D9" w:rsidRPr="008120AA">
        <w:rPr>
          <w:sz w:val="28"/>
          <w:szCs w:val="28"/>
        </w:rPr>
        <w:t>субъект</w:t>
      </w:r>
      <w:r w:rsidR="000729D9">
        <w:rPr>
          <w:sz w:val="28"/>
          <w:szCs w:val="28"/>
        </w:rPr>
        <w:t>а</w:t>
      </w:r>
      <w:r w:rsidR="000729D9" w:rsidRPr="008120AA">
        <w:rPr>
          <w:sz w:val="28"/>
          <w:szCs w:val="28"/>
        </w:rPr>
        <w:t xml:space="preserve"> Российской Федерации от </w:t>
      </w:r>
      <w:r w:rsidR="003903C0">
        <w:rPr>
          <w:sz w:val="28"/>
          <w:szCs w:val="28"/>
        </w:rPr>
        <w:t>предоставления льгот по</w:t>
      </w:r>
      <w:r w:rsidR="000729D9" w:rsidRPr="008120AA">
        <w:rPr>
          <w:sz w:val="28"/>
          <w:szCs w:val="28"/>
        </w:rPr>
        <w:t xml:space="preserve"> инвестиционно</w:t>
      </w:r>
      <w:r w:rsidR="003903C0">
        <w:rPr>
          <w:sz w:val="28"/>
          <w:szCs w:val="28"/>
        </w:rPr>
        <w:t>му</w:t>
      </w:r>
      <w:r w:rsidR="000729D9" w:rsidRPr="008120AA">
        <w:rPr>
          <w:sz w:val="28"/>
          <w:szCs w:val="28"/>
        </w:rPr>
        <w:t xml:space="preserve"> налогово</w:t>
      </w:r>
      <w:r w:rsidR="003903C0">
        <w:rPr>
          <w:sz w:val="28"/>
          <w:szCs w:val="28"/>
        </w:rPr>
        <w:t>му</w:t>
      </w:r>
      <w:r w:rsidR="000729D9" w:rsidRPr="008120AA">
        <w:rPr>
          <w:sz w:val="28"/>
          <w:szCs w:val="28"/>
        </w:rPr>
        <w:t xml:space="preserve"> вычет</w:t>
      </w:r>
      <w:r w:rsidR="003903C0">
        <w:rPr>
          <w:sz w:val="28"/>
          <w:szCs w:val="28"/>
        </w:rPr>
        <w:t>у</w:t>
      </w:r>
      <w:r w:rsidR="000729D9">
        <w:rPr>
          <w:sz w:val="28"/>
          <w:szCs w:val="28"/>
        </w:rPr>
        <w:t xml:space="preserve">, составляет более 100 000,0 тыс. рублей, </w:t>
      </w:r>
      <w:r>
        <w:rPr>
          <w:sz w:val="28"/>
          <w:szCs w:val="28"/>
        </w:rPr>
        <w:t>размер</w:t>
      </w:r>
      <w:r w:rsidR="000729D9">
        <w:rPr>
          <w:sz w:val="28"/>
          <w:szCs w:val="28"/>
        </w:rPr>
        <w:t xml:space="preserve"> дотации</w:t>
      </w:r>
      <w:r w:rsidR="00E54A75">
        <w:rPr>
          <w:sz w:val="28"/>
          <w:szCs w:val="28"/>
        </w:rPr>
        <w:t>,</w:t>
      </w:r>
      <w:r w:rsidR="000729D9">
        <w:rPr>
          <w:sz w:val="28"/>
          <w:szCs w:val="28"/>
        </w:rPr>
        <w:t xml:space="preserve"> </w:t>
      </w:r>
      <w:r w:rsidR="00E54A75" w:rsidRPr="000A2A79">
        <w:rPr>
          <w:sz w:val="28"/>
          <w:szCs w:val="28"/>
        </w:rPr>
        <w:t>предоставляемой бюджету</w:t>
      </w:r>
      <w:r w:rsidR="00E54A75">
        <w:rPr>
          <w:sz w:val="28"/>
          <w:szCs w:val="28"/>
        </w:rPr>
        <w:t xml:space="preserve"> </w:t>
      </w:r>
      <w:r w:rsidR="000729D9">
        <w:rPr>
          <w:sz w:val="28"/>
          <w:szCs w:val="28"/>
        </w:rPr>
        <w:t>данно</w:t>
      </w:r>
      <w:r w:rsidR="00E54A75">
        <w:rPr>
          <w:sz w:val="28"/>
          <w:szCs w:val="28"/>
        </w:rPr>
        <w:t>го</w:t>
      </w:r>
      <w:r w:rsidR="000729D9">
        <w:rPr>
          <w:sz w:val="28"/>
          <w:szCs w:val="28"/>
        </w:rPr>
        <w:t xml:space="preserve"> субъект</w:t>
      </w:r>
      <w:r w:rsidR="00DC6EFA">
        <w:rPr>
          <w:sz w:val="28"/>
          <w:szCs w:val="28"/>
        </w:rPr>
        <w:t>а</w:t>
      </w:r>
      <w:r w:rsidR="000729D9">
        <w:rPr>
          <w:sz w:val="28"/>
          <w:szCs w:val="28"/>
        </w:rPr>
        <w:t xml:space="preserve"> </w:t>
      </w:r>
      <w:r w:rsidR="000729D9" w:rsidRPr="008120AA">
        <w:rPr>
          <w:sz w:val="28"/>
          <w:szCs w:val="28"/>
        </w:rPr>
        <w:t>Российской Федерации</w:t>
      </w:r>
      <w:r w:rsidR="00DC6EFA">
        <w:rPr>
          <w:sz w:val="28"/>
          <w:szCs w:val="28"/>
        </w:rPr>
        <w:t>,</w:t>
      </w:r>
      <w:r w:rsidR="000729D9">
        <w:rPr>
          <w:sz w:val="28"/>
          <w:szCs w:val="28"/>
        </w:rPr>
        <w:t xml:space="preserve"> составит </w:t>
      </w:r>
      <w:r w:rsidR="007B31E9">
        <w:rPr>
          <w:sz w:val="28"/>
          <w:szCs w:val="28"/>
        </w:rPr>
        <w:t xml:space="preserve">не менее </w:t>
      </w:r>
      <w:r w:rsidR="000729D9">
        <w:rPr>
          <w:sz w:val="28"/>
          <w:szCs w:val="28"/>
        </w:rPr>
        <w:t>100 000,0 тыс. рублей.</w:t>
      </w:r>
    </w:p>
    <w:p w:rsidR="00047531" w:rsidRDefault="00047531" w:rsidP="000475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объем средств, необходимый для компенсации </w:t>
      </w:r>
      <w:r w:rsidR="00B91B19">
        <w:rPr>
          <w:sz w:val="28"/>
          <w:szCs w:val="28"/>
        </w:rPr>
        <w:t>двух третей объема</w:t>
      </w:r>
      <w:r w:rsidR="00B91B19" w:rsidRPr="008120AA">
        <w:rPr>
          <w:sz w:val="28"/>
          <w:szCs w:val="28"/>
        </w:rPr>
        <w:t xml:space="preserve"> выпадающих доходов </w:t>
      </w:r>
      <w:r w:rsidRPr="008120AA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8120AA">
        <w:rPr>
          <w:sz w:val="28"/>
          <w:szCs w:val="28"/>
        </w:rPr>
        <w:t xml:space="preserve"> </w:t>
      </w:r>
      <w:r w:rsidR="00EA00DD">
        <w:rPr>
          <w:sz w:val="28"/>
          <w:szCs w:val="28"/>
        </w:rPr>
        <w:t>i-</w:t>
      </w:r>
      <w:proofErr w:type="spellStart"/>
      <w:r>
        <w:rPr>
          <w:sz w:val="28"/>
          <w:szCs w:val="28"/>
        </w:rPr>
        <w:t>го</w:t>
      </w:r>
      <w:proofErr w:type="spellEnd"/>
      <w:r w:rsidRPr="000A2A79">
        <w:rPr>
          <w:sz w:val="28"/>
          <w:szCs w:val="28"/>
        </w:rPr>
        <w:t xml:space="preserve"> </w:t>
      </w:r>
      <w:r w:rsidRPr="008120AA">
        <w:rPr>
          <w:sz w:val="28"/>
          <w:szCs w:val="28"/>
        </w:rPr>
        <w:t>субъект</w:t>
      </w:r>
      <w:r>
        <w:rPr>
          <w:sz w:val="28"/>
          <w:szCs w:val="28"/>
        </w:rPr>
        <w:t>а</w:t>
      </w:r>
      <w:r w:rsidRPr="008120AA">
        <w:rPr>
          <w:sz w:val="28"/>
          <w:szCs w:val="28"/>
        </w:rPr>
        <w:t xml:space="preserve"> Российской Федерации от </w:t>
      </w:r>
      <w:r w:rsidR="003903C0">
        <w:rPr>
          <w:sz w:val="28"/>
          <w:szCs w:val="28"/>
        </w:rPr>
        <w:t>предоставления льгот по</w:t>
      </w:r>
      <w:r w:rsidR="003903C0" w:rsidRPr="008120AA">
        <w:rPr>
          <w:sz w:val="28"/>
          <w:szCs w:val="28"/>
        </w:rPr>
        <w:t xml:space="preserve"> инвестиционно</w:t>
      </w:r>
      <w:r w:rsidR="003903C0">
        <w:rPr>
          <w:sz w:val="28"/>
          <w:szCs w:val="28"/>
        </w:rPr>
        <w:t>му</w:t>
      </w:r>
      <w:r w:rsidR="003903C0" w:rsidRPr="008120AA">
        <w:rPr>
          <w:sz w:val="28"/>
          <w:szCs w:val="28"/>
        </w:rPr>
        <w:t xml:space="preserve"> налогово</w:t>
      </w:r>
      <w:r w:rsidR="003903C0">
        <w:rPr>
          <w:sz w:val="28"/>
          <w:szCs w:val="28"/>
        </w:rPr>
        <w:t>му</w:t>
      </w:r>
      <w:r w:rsidR="003903C0" w:rsidRPr="008120AA">
        <w:rPr>
          <w:sz w:val="28"/>
          <w:szCs w:val="28"/>
        </w:rPr>
        <w:t xml:space="preserve"> вычет</w:t>
      </w:r>
      <w:r w:rsidR="003903C0">
        <w:rPr>
          <w:sz w:val="28"/>
          <w:szCs w:val="28"/>
        </w:rPr>
        <w:t>у</w:t>
      </w:r>
      <w:r>
        <w:rPr>
          <w:sz w:val="28"/>
          <w:szCs w:val="28"/>
        </w:rPr>
        <w:t xml:space="preserve">, составляет менее 100 000,0 тыс. рублей, размер дотации, </w:t>
      </w:r>
      <w:r w:rsidRPr="000A2A79">
        <w:rPr>
          <w:sz w:val="28"/>
          <w:szCs w:val="28"/>
        </w:rPr>
        <w:t>предоставляемой бюджету</w:t>
      </w:r>
      <w:r>
        <w:rPr>
          <w:sz w:val="28"/>
          <w:szCs w:val="28"/>
        </w:rPr>
        <w:t xml:space="preserve"> данного субъект</w:t>
      </w:r>
      <w:r w:rsidR="00DC6EF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120AA">
        <w:rPr>
          <w:sz w:val="28"/>
          <w:szCs w:val="28"/>
        </w:rPr>
        <w:t>Российской Федерации</w:t>
      </w:r>
      <w:r w:rsidR="00DC6EFA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</w:t>
      </w:r>
      <w:r w:rsidR="007B31E9">
        <w:rPr>
          <w:sz w:val="28"/>
          <w:szCs w:val="28"/>
        </w:rPr>
        <w:t>и</w:t>
      </w:r>
      <w:r>
        <w:rPr>
          <w:sz w:val="28"/>
          <w:szCs w:val="28"/>
        </w:rPr>
        <w:t xml:space="preserve">т </w:t>
      </w:r>
      <w:r w:rsidR="007B31E9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дв</w:t>
      </w:r>
      <w:r w:rsidR="007B31E9">
        <w:rPr>
          <w:sz w:val="28"/>
          <w:szCs w:val="28"/>
        </w:rPr>
        <w:t>ух</w:t>
      </w:r>
      <w:r>
        <w:rPr>
          <w:sz w:val="28"/>
          <w:szCs w:val="28"/>
        </w:rPr>
        <w:t xml:space="preserve"> трет</w:t>
      </w:r>
      <w:r w:rsidR="007B31E9">
        <w:rPr>
          <w:sz w:val="28"/>
          <w:szCs w:val="28"/>
        </w:rPr>
        <w:t>ей</w:t>
      </w:r>
      <w:r>
        <w:rPr>
          <w:sz w:val="28"/>
          <w:szCs w:val="28"/>
        </w:rPr>
        <w:t xml:space="preserve"> объема выпадающих доходов </w:t>
      </w:r>
      <w:r w:rsidRPr="000A2A79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а субъекта </w:t>
      </w:r>
      <w:r w:rsidRPr="008120AA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  <w:proofErr w:type="gramEnd"/>
    </w:p>
    <w:p w:rsidR="00453E06" w:rsidRPr="00DE6EA4" w:rsidRDefault="00453E06" w:rsidP="00DC4DA8">
      <w:pPr>
        <w:pStyle w:val="ac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DE6EA4">
        <w:rPr>
          <w:sz w:val="28"/>
          <w:szCs w:val="28"/>
        </w:rPr>
        <w:t xml:space="preserve">Дотации предоставляются субъектам Российской Федерации, </w:t>
      </w:r>
      <w:r w:rsidR="00A0641C" w:rsidRPr="00DE6EA4">
        <w:rPr>
          <w:sz w:val="28"/>
          <w:szCs w:val="28"/>
        </w:rPr>
        <w:t xml:space="preserve">в </w:t>
      </w:r>
      <w:r w:rsidRPr="00DE6EA4">
        <w:rPr>
          <w:sz w:val="28"/>
          <w:szCs w:val="28"/>
        </w:rPr>
        <w:t>которы</w:t>
      </w:r>
      <w:r w:rsidR="00A0641C" w:rsidRPr="00DE6EA4">
        <w:rPr>
          <w:sz w:val="28"/>
          <w:szCs w:val="28"/>
        </w:rPr>
        <w:t>х</w:t>
      </w:r>
      <w:r w:rsidRPr="00DE6EA4">
        <w:rPr>
          <w:sz w:val="28"/>
          <w:szCs w:val="28"/>
        </w:rPr>
        <w:t xml:space="preserve"> в рамках повышения инвестиционной привлекательности региона</w:t>
      </w:r>
      <w:r w:rsidR="00A0641C" w:rsidRPr="00DE6EA4">
        <w:rPr>
          <w:sz w:val="28"/>
          <w:szCs w:val="28"/>
        </w:rPr>
        <w:t>,</w:t>
      </w:r>
      <w:r w:rsidRPr="00DE6EA4">
        <w:rPr>
          <w:sz w:val="28"/>
          <w:szCs w:val="28"/>
        </w:rPr>
        <w:t xml:space="preserve"> созданы и функционируют институты, обеспечивающие защищенность бизнеса, организационны</w:t>
      </w:r>
      <w:r w:rsidR="00A0641C" w:rsidRPr="00DE6EA4">
        <w:rPr>
          <w:sz w:val="28"/>
          <w:szCs w:val="28"/>
        </w:rPr>
        <w:t>е</w:t>
      </w:r>
      <w:r w:rsidRPr="00DE6EA4">
        <w:rPr>
          <w:sz w:val="28"/>
          <w:szCs w:val="28"/>
        </w:rPr>
        <w:t xml:space="preserve"> механизм</w:t>
      </w:r>
      <w:r w:rsidR="00A0641C" w:rsidRPr="00DE6EA4">
        <w:rPr>
          <w:sz w:val="28"/>
          <w:szCs w:val="28"/>
        </w:rPr>
        <w:t>ы</w:t>
      </w:r>
      <w:r w:rsidRPr="00DE6EA4">
        <w:rPr>
          <w:sz w:val="28"/>
          <w:szCs w:val="28"/>
        </w:rPr>
        <w:t xml:space="preserve"> поддержки бизнеса</w:t>
      </w:r>
      <w:r w:rsidR="00A0641C" w:rsidRPr="00DE6EA4">
        <w:rPr>
          <w:sz w:val="28"/>
          <w:szCs w:val="28"/>
        </w:rPr>
        <w:t xml:space="preserve"> и</w:t>
      </w:r>
      <w:r w:rsidR="00DE6EA4" w:rsidRPr="00DE6EA4">
        <w:rPr>
          <w:sz w:val="28"/>
          <w:szCs w:val="28"/>
        </w:rPr>
        <w:t xml:space="preserve"> утверждены </w:t>
      </w:r>
      <w:r w:rsidRPr="00DE6EA4">
        <w:rPr>
          <w:sz w:val="28"/>
          <w:szCs w:val="28"/>
        </w:rPr>
        <w:t>план</w:t>
      </w:r>
      <w:r w:rsidR="00A0641C" w:rsidRPr="00DE6EA4">
        <w:rPr>
          <w:sz w:val="28"/>
          <w:szCs w:val="28"/>
        </w:rPr>
        <w:t>ы</w:t>
      </w:r>
      <w:r w:rsidRPr="00DE6EA4">
        <w:rPr>
          <w:sz w:val="28"/>
          <w:szCs w:val="28"/>
        </w:rPr>
        <w:t xml:space="preserve"> по привлечению инвестиций</w:t>
      </w:r>
      <w:r w:rsidR="00A0641C" w:rsidRPr="00DE6EA4">
        <w:rPr>
          <w:sz w:val="28"/>
          <w:szCs w:val="28"/>
        </w:rPr>
        <w:t>.</w:t>
      </w:r>
    </w:p>
    <w:p w:rsidR="003809FB" w:rsidRPr="005A2004" w:rsidRDefault="007879EA" w:rsidP="005A2004">
      <w:pPr>
        <w:pStyle w:val="ac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Дотации не предоставляются с</w:t>
      </w:r>
      <w:r w:rsidR="009C43DB">
        <w:rPr>
          <w:sz w:val="28"/>
          <w:szCs w:val="28"/>
        </w:rPr>
        <w:t xml:space="preserve">убъектам Российской Федерации, </w:t>
      </w:r>
      <w:r w:rsidR="00642555">
        <w:rPr>
          <w:sz w:val="28"/>
          <w:szCs w:val="28"/>
        </w:rPr>
        <w:br/>
      </w:r>
      <w:r w:rsidR="00B9263B">
        <w:rPr>
          <w:sz w:val="28"/>
          <w:szCs w:val="28"/>
        </w:rPr>
        <w:t xml:space="preserve">у которых уровень расчетной бюджетной обеспеченности </w:t>
      </w:r>
      <w:r w:rsidR="00B9263B" w:rsidRPr="007542EA">
        <w:rPr>
          <w:sz w:val="28"/>
          <w:szCs w:val="28"/>
        </w:rPr>
        <w:t>после распределения дотаций</w:t>
      </w:r>
      <w:r w:rsidR="00B9263B">
        <w:rPr>
          <w:sz w:val="28"/>
          <w:szCs w:val="28"/>
        </w:rPr>
        <w:t xml:space="preserve"> на выравнивание бюджетной обеспеченности субъектов Российской Федерации на 202</w:t>
      </w:r>
      <w:r w:rsidR="00607776">
        <w:rPr>
          <w:sz w:val="28"/>
          <w:szCs w:val="28"/>
        </w:rPr>
        <w:t>0</w:t>
      </w:r>
      <w:r w:rsidR="00B9263B">
        <w:rPr>
          <w:sz w:val="28"/>
          <w:szCs w:val="28"/>
        </w:rPr>
        <w:t xml:space="preserve"> год, рассчитанный в соответствии с </w:t>
      </w:r>
      <w:r w:rsidR="00DD764A">
        <w:rPr>
          <w:sz w:val="28"/>
          <w:szCs w:val="28"/>
        </w:rPr>
        <w:t>м</w:t>
      </w:r>
      <w:r w:rsidR="00B9263B" w:rsidRPr="00BF5ADC">
        <w:rPr>
          <w:sz w:val="28"/>
          <w:szCs w:val="28"/>
        </w:rPr>
        <w:t>етодикой распределения дотаций на выравнивание бюджетной обеспеченности субъектов Российской Федерации</w:t>
      </w:r>
      <w:r w:rsidR="00B9263B">
        <w:rPr>
          <w:sz w:val="28"/>
          <w:szCs w:val="28"/>
        </w:rPr>
        <w:t xml:space="preserve">, утвержденной постановлением Правительства Российской Федерации </w:t>
      </w:r>
      <w:r w:rsidR="00B9263B" w:rsidRPr="00AE19AE">
        <w:rPr>
          <w:sz w:val="28"/>
          <w:szCs w:val="28"/>
        </w:rPr>
        <w:t xml:space="preserve">от </w:t>
      </w:r>
      <w:r w:rsidR="00B9263B">
        <w:rPr>
          <w:sz w:val="28"/>
          <w:szCs w:val="28"/>
        </w:rPr>
        <w:t>22 ноября 2004 г.</w:t>
      </w:r>
      <w:r w:rsidR="00B9263B" w:rsidRPr="00AE19AE">
        <w:rPr>
          <w:sz w:val="28"/>
          <w:szCs w:val="28"/>
        </w:rPr>
        <w:t xml:space="preserve"> </w:t>
      </w:r>
      <w:r w:rsidR="00B47DDE">
        <w:rPr>
          <w:sz w:val="28"/>
          <w:szCs w:val="28"/>
        </w:rPr>
        <w:br/>
      </w:r>
      <w:r w:rsidR="00B9263B">
        <w:rPr>
          <w:sz w:val="28"/>
          <w:szCs w:val="28"/>
        </w:rPr>
        <w:t>№</w:t>
      </w:r>
      <w:r w:rsidR="00B9263B" w:rsidRPr="00AE19AE">
        <w:rPr>
          <w:sz w:val="28"/>
          <w:szCs w:val="28"/>
        </w:rPr>
        <w:t xml:space="preserve"> 670</w:t>
      </w:r>
      <w:r w:rsidR="00B9263B">
        <w:rPr>
          <w:sz w:val="28"/>
          <w:szCs w:val="28"/>
        </w:rPr>
        <w:t xml:space="preserve"> «</w:t>
      </w:r>
      <w:r w:rsidR="00B9263B">
        <w:rPr>
          <w:rFonts w:eastAsiaTheme="minorHAnsi"/>
          <w:sz w:val="28"/>
          <w:szCs w:val="28"/>
          <w:lang w:eastAsia="en-US"/>
        </w:rPr>
        <w:t>О распределении дотаций на выравнивание бюджетной обеспеченности субъектов Российской Федерации</w:t>
      </w:r>
      <w:proofErr w:type="gramEnd"/>
      <w:r w:rsidR="00B9263B">
        <w:rPr>
          <w:rFonts w:eastAsiaTheme="minorHAnsi"/>
          <w:sz w:val="28"/>
          <w:szCs w:val="28"/>
          <w:lang w:eastAsia="en-US"/>
        </w:rPr>
        <w:t>»</w:t>
      </w:r>
      <w:r w:rsidR="003903C0">
        <w:rPr>
          <w:rFonts w:eastAsiaTheme="minorHAnsi"/>
          <w:sz w:val="28"/>
          <w:szCs w:val="28"/>
          <w:lang w:eastAsia="en-US"/>
        </w:rPr>
        <w:t>,</w:t>
      </w:r>
      <w:r w:rsidR="00B9263B">
        <w:rPr>
          <w:rFonts w:eastAsiaTheme="minorHAnsi"/>
          <w:sz w:val="28"/>
          <w:szCs w:val="28"/>
          <w:lang w:eastAsia="en-US"/>
        </w:rPr>
        <w:t xml:space="preserve"> превышает 1,5</w:t>
      </w:r>
      <w:r w:rsidR="009C43DB">
        <w:rPr>
          <w:sz w:val="28"/>
          <w:szCs w:val="28"/>
        </w:rPr>
        <w:t>.</w:t>
      </w:r>
    </w:p>
    <w:sectPr w:rsidR="003809FB" w:rsidRPr="005A2004" w:rsidSect="005A2004">
      <w:pgSz w:w="11906" w:h="16838"/>
      <w:pgMar w:top="1134" w:right="1274" w:bottom="1560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638" w:rsidRDefault="002E5638" w:rsidP="000A4727">
      <w:r>
        <w:separator/>
      </w:r>
    </w:p>
  </w:endnote>
  <w:endnote w:type="continuationSeparator" w:id="0">
    <w:p w:rsidR="002E5638" w:rsidRDefault="002E5638" w:rsidP="000A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638" w:rsidRDefault="002E5638" w:rsidP="000A4727">
      <w:r>
        <w:separator/>
      </w:r>
    </w:p>
  </w:footnote>
  <w:footnote w:type="continuationSeparator" w:id="0">
    <w:p w:rsidR="002E5638" w:rsidRDefault="002E5638" w:rsidP="000A4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479341"/>
      <w:docPartObj>
        <w:docPartGallery w:val="Page Numbers (Top of Page)"/>
        <w:docPartUnique/>
      </w:docPartObj>
    </w:sdtPr>
    <w:sdtEndPr/>
    <w:sdtContent>
      <w:p w:rsidR="00A51E81" w:rsidRDefault="00A51E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BEB">
          <w:rPr>
            <w:noProof/>
          </w:rPr>
          <w:t>2</w:t>
        </w:r>
        <w:r>
          <w:fldChar w:fldCharType="end"/>
        </w:r>
      </w:p>
    </w:sdtContent>
  </w:sdt>
  <w:p w:rsidR="00A51E81" w:rsidRDefault="00A51E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609717"/>
      <w:docPartObj>
        <w:docPartGallery w:val="Page Numbers (Top of Page)"/>
        <w:docPartUnique/>
      </w:docPartObj>
    </w:sdtPr>
    <w:sdtEndPr/>
    <w:sdtContent>
      <w:p w:rsidR="00E306A0" w:rsidRDefault="00A7363C" w:rsidP="008120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72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1A5"/>
    <w:multiLevelType w:val="hybridMultilevel"/>
    <w:tmpl w:val="91A29B8A"/>
    <w:lvl w:ilvl="0" w:tplc="4468C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BB34A2"/>
    <w:multiLevelType w:val="hybridMultilevel"/>
    <w:tmpl w:val="FDB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17C1"/>
    <w:multiLevelType w:val="hybridMultilevel"/>
    <w:tmpl w:val="D7881096"/>
    <w:lvl w:ilvl="0" w:tplc="6A8CE2B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292D0E"/>
    <w:multiLevelType w:val="hybridMultilevel"/>
    <w:tmpl w:val="F7BEED9C"/>
    <w:lvl w:ilvl="0" w:tplc="46689B4A">
      <w:start w:val="1"/>
      <w:numFmt w:val="bullet"/>
      <w:suff w:val="space"/>
      <w:lvlText w:val="­"/>
      <w:lvlJc w:val="left"/>
      <w:pPr>
        <w:ind w:left="15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>
    <w:nsid w:val="26F24C13"/>
    <w:multiLevelType w:val="hybridMultilevel"/>
    <w:tmpl w:val="75CEFDCA"/>
    <w:lvl w:ilvl="0" w:tplc="B792F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3E7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262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A5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0A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21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248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45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09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88B1F04"/>
    <w:multiLevelType w:val="hybridMultilevel"/>
    <w:tmpl w:val="B2505ADC"/>
    <w:lvl w:ilvl="0" w:tplc="B5260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AF46FC"/>
    <w:multiLevelType w:val="hybridMultilevel"/>
    <w:tmpl w:val="3B98B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449B1"/>
    <w:multiLevelType w:val="hybridMultilevel"/>
    <w:tmpl w:val="F1968722"/>
    <w:lvl w:ilvl="0" w:tplc="36105E2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734957"/>
    <w:multiLevelType w:val="hybridMultilevel"/>
    <w:tmpl w:val="A6220BDE"/>
    <w:lvl w:ilvl="0" w:tplc="9CAAB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EC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4A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3E9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8C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82F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1CE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B43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A6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ACE5D30"/>
    <w:multiLevelType w:val="hybridMultilevel"/>
    <w:tmpl w:val="AA16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1739A"/>
    <w:multiLevelType w:val="hybridMultilevel"/>
    <w:tmpl w:val="49385B18"/>
    <w:lvl w:ilvl="0" w:tplc="03AEA92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BD4209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CBE1C84"/>
    <w:multiLevelType w:val="hybridMultilevel"/>
    <w:tmpl w:val="86D8A570"/>
    <w:lvl w:ilvl="0" w:tplc="C950A77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D95D2E"/>
    <w:multiLevelType w:val="hybridMultilevel"/>
    <w:tmpl w:val="DD64C596"/>
    <w:lvl w:ilvl="0" w:tplc="A3CE8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D66377"/>
    <w:multiLevelType w:val="hybridMultilevel"/>
    <w:tmpl w:val="6456BC06"/>
    <w:lvl w:ilvl="0" w:tplc="17742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"/>
  </w:num>
  <w:num w:numId="5">
    <w:abstractNumId w:val="12"/>
  </w:num>
  <w:num w:numId="6">
    <w:abstractNumId w:val="10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11"/>
  </w:num>
  <w:num w:numId="12">
    <w:abstractNumId w:val="4"/>
  </w:num>
  <w:num w:numId="13">
    <w:abstractNumId w:val="8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27"/>
    <w:rsid w:val="000020E6"/>
    <w:rsid w:val="000036FB"/>
    <w:rsid w:val="00006AE5"/>
    <w:rsid w:val="00015113"/>
    <w:rsid w:val="000233ED"/>
    <w:rsid w:val="00024275"/>
    <w:rsid w:val="000243C8"/>
    <w:rsid w:val="00027F7A"/>
    <w:rsid w:val="00031C12"/>
    <w:rsid w:val="0003376E"/>
    <w:rsid w:val="00036D61"/>
    <w:rsid w:val="0003762E"/>
    <w:rsid w:val="000379C0"/>
    <w:rsid w:val="000421DD"/>
    <w:rsid w:val="000435B2"/>
    <w:rsid w:val="00044921"/>
    <w:rsid w:val="00045099"/>
    <w:rsid w:val="000458A5"/>
    <w:rsid w:val="00047531"/>
    <w:rsid w:val="00053A5D"/>
    <w:rsid w:val="00055265"/>
    <w:rsid w:val="00061533"/>
    <w:rsid w:val="00061E1C"/>
    <w:rsid w:val="00067B95"/>
    <w:rsid w:val="0007238E"/>
    <w:rsid w:val="000729D9"/>
    <w:rsid w:val="00072D30"/>
    <w:rsid w:val="00076343"/>
    <w:rsid w:val="00077F28"/>
    <w:rsid w:val="0009369E"/>
    <w:rsid w:val="00095C31"/>
    <w:rsid w:val="000A174A"/>
    <w:rsid w:val="000A199F"/>
    <w:rsid w:val="000A2A79"/>
    <w:rsid w:val="000A2D19"/>
    <w:rsid w:val="000A31B0"/>
    <w:rsid w:val="000A4727"/>
    <w:rsid w:val="000A76A0"/>
    <w:rsid w:val="000A7987"/>
    <w:rsid w:val="000A79CB"/>
    <w:rsid w:val="000B4412"/>
    <w:rsid w:val="000B76E7"/>
    <w:rsid w:val="000C2321"/>
    <w:rsid w:val="000C28EE"/>
    <w:rsid w:val="000C290B"/>
    <w:rsid w:val="000C50A0"/>
    <w:rsid w:val="000C59C3"/>
    <w:rsid w:val="000C6194"/>
    <w:rsid w:val="000D4B98"/>
    <w:rsid w:val="000D6EB3"/>
    <w:rsid w:val="000E02F6"/>
    <w:rsid w:val="000F0706"/>
    <w:rsid w:val="000F7678"/>
    <w:rsid w:val="000F7754"/>
    <w:rsid w:val="00101F96"/>
    <w:rsid w:val="00104D38"/>
    <w:rsid w:val="00111EBD"/>
    <w:rsid w:val="001203DF"/>
    <w:rsid w:val="001211C1"/>
    <w:rsid w:val="001253D7"/>
    <w:rsid w:val="00132D4E"/>
    <w:rsid w:val="0013631C"/>
    <w:rsid w:val="00137680"/>
    <w:rsid w:val="0014616E"/>
    <w:rsid w:val="0015497F"/>
    <w:rsid w:val="00156444"/>
    <w:rsid w:val="00161808"/>
    <w:rsid w:val="00166EC6"/>
    <w:rsid w:val="00167784"/>
    <w:rsid w:val="00167F47"/>
    <w:rsid w:val="00171267"/>
    <w:rsid w:val="00177E96"/>
    <w:rsid w:val="00183EA5"/>
    <w:rsid w:val="001964B1"/>
    <w:rsid w:val="001A5C78"/>
    <w:rsid w:val="001B08BE"/>
    <w:rsid w:val="001B133A"/>
    <w:rsid w:val="001B54BA"/>
    <w:rsid w:val="001B7E7E"/>
    <w:rsid w:val="001C5482"/>
    <w:rsid w:val="001C5A78"/>
    <w:rsid w:val="001C6E44"/>
    <w:rsid w:val="001D55B1"/>
    <w:rsid w:val="001D77B0"/>
    <w:rsid w:val="001E0661"/>
    <w:rsid w:val="001F070F"/>
    <w:rsid w:val="001F543F"/>
    <w:rsid w:val="00203B7C"/>
    <w:rsid w:val="002044FA"/>
    <w:rsid w:val="002075D6"/>
    <w:rsid w:val="00207AE7"/>
    <w:rsid w:val="00212056"/>
    <w:rsid w:val="002276AE"/>
    <w:rsid w:val="0023013E"/>
    <w:rsid w:val="002369E5"/>
    <w:rsid w:val="00240EF3"/>
    <w:rsid w:val="002440BB"/>
    <w:rsid w:val="002453D9"/>
    <w:rsid w:val="00261FCC"/>
    <w:rsid w:val="00263ED8"/>
    <w:rsid w:val="002663F2"/>
    <w:rsid w:val="00270003"/>
    <w:rsid w:val="002814AD"/>
    <w:rsid w:val="002835FF"/>
    <w:rsid w:val="00284BAB"/>
    <w:rsid w:val="0028567C"/>
    <w:rsid w:val="00297914"/>
    <w:rsid w:val="002A011B"/>
    <w:rsid w:val="002A3C63"/>
    <w:rsid w:val="002A46EF"/>
    <w:rsid w:val="002A6C5F"/>
    <w:rsid w:val="002B0C54"/>
    <w:rsid w:val="002B16E4"/>
    <w:rsid w:val="002B3778"/>
    <w:rsid w:val="002C2BD7"/>
    <w:rsid w:val="002D0B09"/>
    <w:rsid w:val="002D0BE4"/>
    <w:rsid w:val="002D158D"/>
    <w:rsid w:val="002E02BA"/>
    <w:rsid w:val="002E12B5"/>
    <w:rsid w:val="002E2949"/>
    <w:rsid w:val="002E34FD"/>
    <w:rsid w:val="002E5638"/>
    <w:rsid w:val="002E65C1"/>
    <w:rsid w:val="002F0503"/>
    <w:rsid w:val="002F2BD3"/>
    <w:rsid w:val="002F3408"/>
    <w:rsid w:val="002F57C9"/>
    <w:rsid w:val="00303F45"/>
    <w:rsid w:val="003041AF"/>
    <w:rsid w:val="00306E19"/>
    <w:rsid w:val="0031261E"/>
    <w:rsid w:val="003137A5"/>
    <w:rsid w:val="003137AC"/>
    <w:rsid w:val="00315A53"/>
    <w:rsid w:val="0031773E"/>
    <w:rsid w:val="003261E8"/>
    <w:rsid w:val="0032638B"/>
    <w:rsid w:val="003301F3"/>
    <w:rsid w:val="00330C1A"/>
    <w:rsid w:val="0033133C"/>
    <w:rsid w:val="003321D4"/>
    <w:rsid w:val="00335EB7"/>
    <w:rsid w:val="003410BF"/>
    <w:rsid w:val="003426E8"/>
    <w:rsid w:val="003434A2"/>
    <w:rsid w:val="00353A01"/>
    <w:rsid w:val="00354839"/>
    <w:rsid w:val="00354C35"/>
    <w:rsid w:val="003551B4"/>
    <w:rsid w:val="00356F62"/>
    <w:rsid w:val="003573BB"/>
    <w:rsid w:val="00363825"/>
    <w:rsid w:val="00365AD7"/>
    <w:rsid w:val="00366BDF"/>
    <w:rsid w:val="0036792C"/>
    <w:rsid w:val="00372088"/>
    <w:rsid w:val="0037354E"/>
    <w:rsid w:val="003809FB"/>
    <w:rsid w:val="00382015"/>
    <w:rsid w:val="0038345C"/>
    <w:rsid w:val="003903C0"/>
    <w:rsid w:val="00393593"/>
    <w:rsid w:val="00395A53"/>
    <w:rsid w:val="00396662"/>
    <w:rsid w:val="003A1193"/>
    <w:rsid w:val="003A2D4E"/>
    <w:rsid w:val="003A3689"/>
    <w:rsid w:val="003B5ABD"/>
    <w:rsid w:val="003C1452"/>
    <w:rsid w:val="003D104F"/>
    <w:rsid w:val="003D1930"/>
    <w:rsid w:val="003D4299"/>
    <w:rsid w:val="003D6A3C"/>
    <w:rsid w:val="003E32D8"/>
    <w:rsid w:val="003E4DDE"/>
    <w:rsid w:val="003E5C82"/>
    <w:rsid w:val="003E7205"/>
    <w:rsid w:val="003F0A4E"/>
    <w:rsid w:val="004006E5"/>
    <w:rsid w:val="004018E6"/>
    <w:rsid w:val="00402B1D"/>
    <w:rsid w:val="00403469"/>
    <w:rsid w:val="004112FD"/>
    <w:rsid w:val="004135C9"/>
    <w:rsid w:val="00414749"/>
    <w:rsid w:val="00416D31"/>
    <w:rsid w:val="004224ED"/>
    <w:rsid w:val="00422AEF"/>
    <w:rsid w:val="004248AF"/>
    <w:rsid w:val="00425263"/>
    <w:rsid w:val="00426686"/>
    <w:rsid w:val="00432910"/>
    <w:rsid w:val="004413FB"/>
    <w:rsid w:val="0044175B"/>
    <w:rsid w:val="004426A7"/>
    <w:rsid w:val="00442D7F"/>
    <w:rsid w:val="004444C8"/>
    <w:rsid w:val="00450847"/>
    <w:rsid w:val="00452D4F"/>
    <w:rsid w:val="00453E06"/>
    <w:rsid w:val="0045555D"/>
    <w:rsid w:val="00457B06"/>
    <w:rsid w:val="00460D76"/>
    <w:rsid w:val="00465A98"/>
    <w:rsid w:val="0046781B"/>
    <w:rsid w:val="00467D2D"/>
    <w:rsid w:val="00471A99"/>
    <w:rsid w:val="00472F3E"/>
    <w:rsid w:val="00475126"/>
    <w:rsid w:val="00476956"/>
    <w:rsid w:val="00476B6B"/>
    <w:rsid w:val="00481860"/>
    <w:rsid w:val="00483C15"/>
    <w:rsid w:val="00485EE1"/>
    <w:rsid w:val="004A42BE"/>
    <w:rsid w:val="004A4636"/>
    <w:rsid w:val="004A47D9"/>
    <w:rsid w:val="004B2DB9"/>
    <w:rsid w:val="004B59A2"/>
    <w:rsid w:val="004C0109"/>
    <w:rsid w:val="004C14FA"/>
    <w:rsid w:val="004C3D24"/>
    <w:rsid w:val="004D2A17"/>
    <w:rsid w:val="004D35AC"/>
    <w:rsid w:val="004D574B"/>
    <w:rsid w:val="004D688C"/>
    <w:rsid w:val="004D6B5F"/>
    <w:rsid w:val="004E47A8"/>
    <w:rsid w:val="004E4CE4"/>
    <w:rsid w:val="004E597C"/>
    <w:rsid w:val="004F08E0"/>
    <w:rsid w:val="004F4F5A"/>
    <w:rsid w:val="004F7B25"/>
    <w:rsid w:val="005024F7"/>
    <w:rsid w:val="005065D5"/>
    <w:rsid w:val="005131B8"/>
    <w:rsid w:val="00516886"/>
    <w:rsid w:val="00516B52"/>
    <w:rsid w:val="00521798"/>
    <w:rsid w:val="005227F8"/>
    <w:rsid w:val="00522BE0"/>
    <w:rsid w:val="005250D3"/>
    <w:rsid w:val="00537A2A"/>
    <w:rsid w:val="00541A51"/>
    <w:rsid w:val="00547557"/>
    <w:rsid w:val="00552F0B"/>
    <w:rsid w:val="00553D48"/>
    <w:rsid w:val="00555182"/>
    <w:rsid w:val="0056013F"/>
    <w:rsid w:val="00564B93"/>
    <w:rsid w:val="005650C8"/>
    <w:rsid w:val="00570B51"/>
    <w:rsid w:val="00573AAF"/>
    <w:rsid w:val="005744E3"/>
    <w:rsid w:val="005750F8"/>
    <w:rsid w:val="005753C6"/>
    <w:rsid w:val="00581F4A"/>
    <w:rsid w:val="00585003"/>
    <w:rsid w:val="00585397"/>
    <w:rsid w:val="005853A2"/>
    <w:rsid w:val="00590E28"/>
    <w:rsid w:val="00593B4C"/>
    <w:rsid w:val="00595B6B"/>
    <w:rsid w:val="005A2004"/>
    <w:rsid w:val="005A7FF4"/>
    <w:rsid w:val="005B374C"/>
    <w:rsid w:val="005B4619"/>
    <w:rsid w:val="005B5121"/>
    <w:rsid w:val="005C1AFD"/>
    <w:rsid w:val="005C4894"/>
    <w:rsid w:val="005C6391"/>
    <w:rsid w:val="005C671E"/>
    <w:rsid w:val="005D5563"/>
    <w:rsid w:val="005D72FB"/>
    <w:rsid w:val="005E1A9E"/>
    <w:rsid w:val="005E5F0B"/>
    <w:rsid w:val="005E620D"/>
    <w:rsid w:val="005F49D5"/>
    <w:rsid w:val="005F5B1B"/>
    <w:rsid w:val="005F5B81"/>
    <w:rsid w:val="005F68DE"/>
    <w:rsid w:val="005F7265"/>
    <w:rsid w:val="005F7CAC"/>
    <w:rsid w:val="00602114"/>
    <w:rsid w:val="006069AC"/>
    <w:rsid w:val="00607776"/>
    <w:rsid w:val="0061125A"/>
    <w:rsid w:val="00611F93"/>
    <w:rsid w:val="00612B6F"/>
    <w:rsid w:val="00612FDF"/>
    <w:rsid w:val="006138AA"/>
    <w:rsid w:val="0061567B"/>
    <w:rsid w:val="006160B7"/>
    <w:rsid w:val="00620014"/>
    <w:rsid w:val="00620473"/>
    <w:rsid w:val="006229B3"/>
    <w:rsid w:val="006266A1"/>
    <w:rsid w:val="00630224"/>
    <w:rsid w:val="00631218"/>
    <w:rsid w:val="006316EA"/>
    <w:rsid w:val="00635908"/>
    <w:rsid w:val="00640B09"/>
    <w:rsid w:val="00642555"/>
    <w:rsid w:val="00643331"/>
    <w:rsid w:val="006450F0"/>
    <w:rsid w:val="00646F9E"/>
    <w:rsid w:val="00651E13"/>
    <w:rsid w:val="0065205A"/>
    <w:rsid w:val="006658FD"/>
    <w:rsid w:val="00666744"/>
    <w:rsid w:val="00667549"/>
    <w:rsid w:val="00670061"/>
    <w:rsid w:val="0067459D"/>
    <w:rsid w:val="00676D7C"/>
    <w:rsid w:val="00677EC5"/>
    <w:rsid w:val="0068000B"/>
    <w:rsid w:val="00682D84"/>
    <w:rsid w:val="00687655"/>
    <w:rsid w:val="006908D9"/>
    <w:rsid w:val="006917C2"/>
    <w:rsid w:val="00691817"/>
    <w:rsid w:val="0069226C"/>
    <w:rsid w:val="00697D07"/>
    <w:rsid w:val="006A3910"/>
    <w:rsid w:val="006A451B"/>
    <w:rsid w:val="006A7F8E"/>
    <w:rsid w:val="006B1D63"/>
    <w:rsid w:val="006B50A1"/>
    <w:rsid w:val="006C0637"/>
    <w:rsid w:val="006C18B7"/>
    <w:rsid w:val="006C2810"/>
    <w:rsid w:val="006C6563"/>
    <w:rsid w:val="006C6FBA"/>
    <w:rsid w:val="006C7650"/>
    <w:rsid w:val="006D0B94"/>
    <w:rsid w:val="006D6720"/>
    <w:rsid w:val="006E46EF"/>
    <w:rsid w:val="006F012D"/>
    <w:rsid w:val="006F0748"/>
    <w:rsid w:val="006F245C"/>
    <w:rsid w:val="006F53A0"/>
    <w:rsid w:val="0070742A"/>
    <w:rsid w:val="00713711"/>
    <w:rsid w:val="0071482F"/>
    <w:rsid w:val="00717C29"/>
    <w:rsid w:val="007279D7"/>
    <w:rsid w:val="00731302"/>
    <w:rsid w:val="00734BFB"/>
    <w:rsid w:val="00747412"/>
    <w:rsid w:val="007527D6"/>
    <w:rsid w:val="00754224"/>
    <w:rsid w:val="007542EA"/>
    <w:rsid w:val="007544C3"/>
    <w:rsid w:val="00755760"/>
    <w:rsid w:val="00764509"/>
    <w:rsid w:val="00765931"/>
    <w:rsid w:val="007669BB"/>
    <w:rsid w:val="00766D1E"/>
    <w:rsid w:val="00771D61"/>
    <w:rsid w:val="007745A1"/>
    <w:rsid w:val="007746E2"/>
    <w:rsid w:val="007758E0"/>
    <w:rsid w:val="00776E9B"/>
    <w:rsid w:val="00777497"/>
    <w:rsid w:val="00781EED"/>
    <w:rsid w:val="007879EA"/>
    <w:rsid w:val="007916B4"/>
    <w:rsid w:val="00794FFA"/>
    <w:rsid w:val="00795478"/>
    <w:rsid w:val="007968E6"/>
    <w:rsid w:val="007A3274"/>
    <w:rsid w:val="007A7C09"/>
    <w:rsid w:val="007B31E9"/>
    <w:rsid w:val="007B3AA7"/>
    <w:rsid w:val="007B4219"/>
    <w:rsid w:val="007B7632"/>
    <w:rsid w:val="007B77FC"/>
    <w:rsid w:val="007C4193"/>
    <w:rsid w:val="007C4E9E"/>
    <w:rsid w:val="007C7B0F"/>
    <w:rsid w:val="007D2D7A"/>
    <w:rsid w:val="007E031F"/>
    <w:rsid w:val="007E162F"/>
    <w:rsid w:val="007E3B0B"/>
    <w:rsid w:val="007F4B66"/>
    <w:rsid w:val="00802BB4"/>
    <w:rsid w:val="00806322"/>
    <w:rsid w:val="008120AA"/>
    <w:rsid w:val="00812EF3"/>
    <w:rsid w:val="00816D05"/>
    <w:rsid w:val="0082167A"/>
    <w:rsid w:val="00821B2F"/>
    <w:rsid w:val="00822AA0"/>
    <w:rsid w:val="00832C7B"/>
    <w:rsid w:val="00833A5E"/>
    <w:rsid w:val="00844F78"/>
    <w:rsid w:val="0084723A"/>
    <w:rsid w:val="008524F3"/>
    <w:rsid w:val="00855574"/>
    <w:rsid w:val="00856235"/>
    <w:rsid w:val="00856C95"/>
    <w:rsid w:val="00857118"/>
    <w:rsid w:val="00860649"/>
    <w:rsid w:val="008668E6"/>
    <w:rsid w:val="00870F6E"/>
    <w:rsid w:val="00873DAD"/>
    <w:rsid w:val="00892CA8"/>
    <w:rsid w:val="00893BFD"/>
    <w:rsid w:val="00895877"/>
    <w:rsid w:val="008A7169"/>
    <w:rsid w:val="008B134C"/>
    <w:rsid w:val="008B4DD4"/>
    <w:rsid w:val="008B4DD9"/>
    <w:rsid w:val="008B69CF"/>
    <w:rsid w:val="008B6A3C"/>
    <w:rsid w:val="008B728E"/>
    <w:rsid w:val="008C1E1C"/>
    <w:rsid w:val="008C5E5E"/>
    <w:rsid w:val="008C7CA7"/>
    <w:rsid w:val="008D3C3D"/>
    <w:rsid w:val="008D46C0"/>
    <w:rsid w:val="008D502B"/>
    <w:rsid w:val="008D743B"/>
    <w:rsid w:val="008F02FA"/>
    <w:rsid w:val="008F0EF9"/>
    <w:rsid w:val="008F2AB5"/>
    <w:rsid w:val="008F6367"/>
    <w:rsid w:val="0090003F"/>
    <w:rsid w:val="00901207"/>
    <w:rsid w:val="00901236"/>
    <w:rsid w:val="009014DF"/>
    <w:rsid w:val="0090215D"/>
    <w:rsid w:val="00913E36"/>
    <w:rsid w:val="00914A45"/>
    <w:rsid w:val="00915C84"/>
    <w:rsid w:val="009226FA"/>
    <w:rsid w:val="00922807"/>
    <w:rsid w:val="009255BE"/>
    <w:rsid w:val="00927D69"/>
    <w:rsid w:val="0093456F"/>
    <w:rsid w:val="009351EA"/>
    <w:rsid w:val="00936778"/>
    <w:rsid w:val="009379C5"/>
    <w:rsid w:val="00941620"/>
    <w:rsid w:val="00941822"/>
    <w:rsid w:val="00942763"/>
    <w:rsid w:val="00943D61"/>
    <w:rsid w:val="009574BF"/>
    <w:rsid w:val="00963C27"/>
    <w:rsid w:val="009669E1"/>
    <w:rsid w:val="009735C2"/>
    <w:rsid w:val="00973D87"/>
    <w:rsid w:val="0097631E"/>
    <w:rsid w:val="00977CD1"/>
    <w:rsid w:val="00983E38"/>
    <w:rsid w:val="00986196"/>
    <w:rsid w:val="009872C6"/>
    <w:rsid w:val="009873A7"/>
    <w:rsid w:val="009939BF"/>
    <w:rsid w:val="009943F9"/>
    <w:rsid w:val="00995CAD"/>
    <w:rsid w:val="009A1ABE"/>
    <w:rsid w:val="009A1C38"/>
    <w:rsid w:val="009A57CF"/>
    <w:rsid w:val="009A73A8"/>
    <w:rsid w:val="009A741E"/>
    <w:rsid w:val="009B3FB9"/>
    <w:rsid w:val="009B5255"/>
    <w:rsid w:val="009C28E8"/>
    <w:rsid w:val="009C2B85"/>
    <w:rsid w:val="009C43DB"/>
    <w:rsid w:val="009C5909"/>
    <w:rsid w:val="009D01A3"/>
    <w:rsid w:val="009D6AEC"/>
    <w:rsid w:val="009D6E21"/>
    <w:rsid w:val="009E557F"/>
    <w:rsid w:val="009F736A"/>
    <w:rsid w:val="009F7DB3"/>
    <w:rsid w:val="00A04083"/>
    <w:rsid w:val="00A0641C"/>
    <w:rsid w:val="00A07B2C"/>
    <w:rsid w:val="00A10E8B"/>
    <w:rsid w:val="00A15375"/>
    <w:rsid w:val="00A15883"/>
    <w:rsid w:val="00A15A9E"/>
    <w:rsid w:val="00A17722"/>
    <w:rsid w:val="00A2153B"/>
    <w:rsid w:val="00A23D25"/>
    <w:rsid w:val="00A250A7"/>
    <w:rsid w:val="00A26043"/>
    <w:rsid w:val="00A34743"/>
    <w:rsid w:val="00A3591F"/>
    <w:rsid w:val="00A4414D"/>
    <w:rsid w:val="00A4424B"/>
    <w:rsid w:val="00A443A3"/>
    <w:rsid w:val="00A51E81"/>
    <w:rsid w:val="00A561EB"/>
    <w:rsid w:val="00A5641C"/>
    <w:rsid w:val="00A570E4"/>
    <w:rsid w:val="00A62CE8"/>
    <w:rsid w:val="00A64553"/>
    <w:rsid w:val="00A66141"/>
    <w:rsid w:val="00A71218"/>
    <w:rsid w:val="00A7363C"/>
    <w:rsid w:val="00A73C69"/>
    <w:rsid w:val="00A748D3"/>
    <w:rsid w:val="00A748DD"/>
    <w:rsid w:val="00A763BA"/>
    <w:rsid w:val="00A77D34"/>
    <w:rsid w:val="00A83038"/>
    <w:rsid w:val="00A9500C"/>
    <w:rsid w:val="00AA245B"/>
    <w:rsid w:val="00AA5EDB"/>
    <w:rsid w:val="00AB0949"/>
    <w:rsid w:val="00AB1CB4"/>
    <w:rsid w:val="00AB3A02"/>
    <w:rsid w:val="00AB76DC"/>
    <w:rsid w:val="00AC0B8A"/>
    <w:rsid w:val="00AC0FD7"/>
    <w:rsid w:val="00AE1246"/>
    <w:rsid w:val="00AE1623"/>
    <w:rsid w:val="00AE19AE"/>
    <w:rsid w:val="00AE3F88"/>
    <w:rsid w:val="00AE7C92"/>
    <w:rsid w:val="00AE7FCF"/>
    <w:rsid w:val="00AF0738"/>
    <w:rsid w:val="00AF38AF"/>
    <w:rsid w:val="00B014B4"/>
    <w:rsid w:val="00B05CB5"/>
    <w:rsid w:val="00B07A7B"/>
    <w:rsid w:val="00B1109E"/>
    <w:rsid w:val="00B11B67"/>
    <w:rsid w:val="00B11C4C"/>
    <w:rsid w:val="00B1451C"/>
    <w:rsid w:val="00B15CE6"/>
    <w:rsid w:val="00B16C64"/>
    <w:rsid w:val="00B17D58"/>
    <w:rsid w:val="00B2112A"/>
    <w:rsid w:val="00B22C9F"/>
    <w:rsid w:val="00B27761"/>
    <w:rsid w:val="00B317BD"/>
    <w:rsid w:val="00B31ECC"/>
    <w:rsid w:val="00B37C80"/>
    <w:rsid w:val="00B437DD"/>
    <w:rsid w:val="00B44740"/>
    <w:rsid w:val="00B450F6"/>
    <w:rsid w:val="00B463AD"/>
    <w:rsid w:val="00B47DDE"/>
    <w:rsid w:val="00B531A8"/>
    <w:rsid w:val="00B53B46"/>
    <w:rsid w:val="00B60BD5"/>
    <w:rsid w:val="00B6487E"/>
    <w:rsid w:val="00B75802"/>
    <w:rsid w:val="00B91B19"/>
    <w:rsid w:val="00B9263B"/>
    <w:rsid w:val="00B9652B"/>
    <w:rsid w:val="00BA0599"/>
    <w:rsid w:val="00BA21BF"/>
    <w:rsid w:val="00BA51FF"/>
    <w:rsid w:val="00BA6287"/>
    <w:rsid w:val="00BB0C61"/>
    <w:rsid w:val="00BB3C5D"/>
    <w:rsid w:val="00BB52F5"/>
    <w:rsid w:val="00BC14B7"/>
    <w:rsid w:val="00BC6DE3"/>
    <w:rsid w:val="00BD4AFE"/>
    <w:rsid w:val="00BD7C7B"/>
    <w:rsid w:val="00BE014B"/>
    <w:rsid w:val="00BE270A"/>
    <w:rsid w:val="00BE2F3A"/>
    <w:rsid w:val="00BE3BCE"/>
    <w:rsid w:val="00BE3D91"/>
    <w:rsid w:val="00BF1D46"/>
    <w:rsid w:val="00BF4C89"/>
    <w:rsid w:val="00BF5ADC"/>
    <w:rsid w:val="00C073F2"/>
    <w:rsid w:val="00C0779D"/>
    <w:rsid w:val="00C07B74"/>
    <w:rsid w:val="00C07F1A"/>
    <w:rsid w:val="00C14527"/>
    <w:rsid w:val="00C151A1"/>
    <w:rsid w:val="00C160C1"/>
    <w:rsid w:val="00C167D2"/>
    <w:rsid w:val="00C21BB7"/>
    <w:rsid w:val="00C32BDD"/>
    <w:rsid w:val="00C3403C"/>
    <w:rsid w:val="00C35857"/>
    <w:rsid w:val="00C44CD7"/>
    <w:rsid w:val="00C44EF3"/>
    <w:rsid w:val="00C45B64"/>
    <w:rsid w:val="00C46C2F"/>
    <w:rsid w:val="00C47685"/>
    <w:rsid w:val="00C6267A"/>
    <w:rsid w:val="00C63DAA"/>
    <w:rsid w:val="00C64ED7"/>
    <w:rsid w:val="00C64F22"/>
    <w:rsid w:val="00C675E9"/>
    <w:rsid w:val="00C74210"/>
    <w:rsid w:val="00C8728C"/>
    <w:rsid w:val="00C92733"/>
    <w:rsid w:val="00C9421D"/>
    <w:rsid w:val="00CA286D"/>
    <w:rsid w:val="00CA42C6"/>
    <w:rsid w:val="00CA4E5D"/>
    <w:rsid w:val="00CA7D0C"/>
    <w:rsid w:val="00CB7B48"/>
    <w:rsid w:val="00CC1030"/>
    <w:rsid w:val="00CC400B"/>
    <w:rsid w:val="00CC5B62"/>
    <w:rsid w:val="00CD0B1B"/>
    <w:rsid w:val="00CD159C"/>
    <w:rsid w:val="00CD2A8A"/>
    <w:rsid w:val="00CD7DCF"/>
    <w:rsid w:val="00CE3655"/>
    <w:rsid w:val="00CE5AB2"/>
    <w:rsid w:val="00CF317D"/>
    <w:rsid w:val="00CF5864"/>
    <w:rsid w:val="00CF7905"/>
    <w:rsid w:val="00D068F8"/>
    <w:rsid w:val="00D1019E"/>
    <w:rsid w:val="00D121AF"/>
    <w:rsid w:val="00D13A94"/>
    <w:rsid w:val="00D16DAA"/>
    <w:rsid w:val="00D20852"/>
    <w:rsid w:val="00D33424"/>
    <w:rsid w:val="00D37CE6"/>
    <w:rsid w:val="00D40B4E"/>
    <w:rsid w:val="00D41A46"/>
    <w:rsid w:val="00D42A99"/>
    <w:rsid w:val="00D43EF0"/>
    <w:rsid w:val="00D52C83"/>
    <w:rsid w:val="00D56F6B"/>
    <w:rsid w:val="00D57933"/>
    <w:rsid w:val="00D615EB"/>
    <w:rsid w:val="00D64027"/>
    <w:rsid w:val="00D70C2E"/>
    <w:rsid w:val="00D71F08"/>
    <w:rsid w:val="00D74611"/>
    <w:rsid w:val="00D76407"/>
    <w:rsid w:val="00D7679B"/>
    <w:rsid w:val="00D77DDB"/>
    <w:rsid w:val="00D867E3"/>
    <w:rsid w:val="00D9091F"/>
    <w:rsid w:val="00D933BD"/>
    <w:rsid w:val="00D93965"/>
    <w:rsid w:val="00D93BDC"/>
    <w:rsid w:val="00D958B3"/>
    <w:rsid w:val="00DA53AD"/>
    <w:rsid w:val="00DA6D5F"/>
    <w:rsid w:val="00DB2595"/>
    <w:rsid w:val="00DB3615"/>
    <w:rsid w:val="00DB401C"/>
    <w:rsid w:val="00DB4149"/>
    <w:rsid w:val="00DB485A"/>
    <w:rsid w:val="00DB4EBC"/>
    <w:rsid w:val="00DB5A4F"/>
    <w:rsid w:val="00DC4DA8"/>
    <w:rsid w:val="00DC5350"/>
    <w:rsid w:val="00DC6EFA"/>
    <w:rsid w:val="00DD24A8"/>
    <w:rsid w:val="00DD4D9A"/>
    <w:rsid w:val="00DD558F"/>
    <w:rsid w:val="00DD618C"/>
    <w:rsid w:val="00DD764A"/>
    <w:rsid w:val="00DE10D0"/>
    <w:rsid w:val="00DE22D1"/>
    <w:rsid w:val="00DE254E"/>
    <w:rsid w:val="00DE4505"/>
    <w:rsid w:val="00DE5F16"/>
    <w:rsid w:val="00DE6EA4"/>
    <w:rsid w:val="00DF7296"/>
    <w:rsid w:val="00DF78DD"/>
    <w:rsid w:val="00E02B9C"/>
    <w:rsid w:val="00E07B66"/>
    <w:rsid w:val="00E13681"/>
    <w:rsid w:val="00E1514D"/>
    <w:rsid w:val="00E15E40"/>
    <w:rsid w:val="00E17171"/>
    <w:rsid w:val="00E17807"/>
    <w:rsid w:val="00E230F6"/>
    <w:rsid w:val="00E2633C"/>
    <w:rsid w:val="00E306A0"/>
    <w:rsid w:val="00E31383"/>
    <w:rsid w:val="00E36E97"/>
    <w:rsid w:val="00E426F7"/>
    <w:rsid w:val="00E43AB5"/>
    <w:rsid w:val="00E43CF0"/>
    <w:rsid w:val="00E46411"/>
    <w:rsid w:val="00E47AF6"/>
    <w:rsid w:val="00E511BE"/>
    <w:rsid w:val="00E522F3"/>
    <w:rsid w:val="00E53559"/>
    <w:rsid w:val="00E54479"/>
    <w:rsid w:val="00E54A75"/>
    <w:rsid w:val="00E62F29"/>
    <w:rsid w:val="00E67A78"/>
    <w:rsid w:val="00E7168A"/>
    <w:rsid w:val="00E716FD"/>
    <w:rsid w:val="00E71D6C"/>
    <w:rsid w:val="00E72FD4"/>
    <w:rsid w:val="00E761C1"/>
    <w:rsid w:val="00E8180C"/>
    <w:rsid w:val="00E83E8F"/>
    <w:rsid w:val="00E858E6"/>
    <w:rsid w:val="00E87B09"/>
    <w:rsid w:val="00E94071"/>
    <w:rsid w:val="00E97267"/>
    <w:rsid w:val="00EA00DD"/>
    <w:rsid w:val="00EA01A3"/>
    <w:rsid w:val="00EA186E"/>
    <w:rsid w:val="00EA385E"/>
    <w:rsid w:val="00EA4AFD"/>
    <w:rsid w:val="00EB067C"/>
    <w:rsid w:val="00EB0AAB"/>
    <w:rsid w:val="00EB0C38"/>
    <w:rsid w:val="00EB34F2"/>
    <w:rsid w:val="00EB3879"/>
    <w:rsid w:val="00EB6B36"/>
    <w:rsid w:val="00EB7BC5"/>
    <w:rsid w:val="00EB7D19"/>
    <w:rsid w:val="00EC07A7"/>
    <w:rsid w:val="00EC0929"/>
    <w:rsid w:val="00ED2B3E"/>
    <w:rsid w:val="00EE2A07"/>
    <w:rsid w:val="00EE63B0"/>
    <w:rsid w:val="00F02400"/>
    <w:rsid w:val="00F10EF1"/>
    <w:rsid w:val="00F15869"/>
    <w:rsid w:val="00F179CB"/>
    <w:rsid w:val="00F232A0"/>
    <w:rsid w:val="00F23628"/>
    <w:rsid w:val="00F24BEB"/>
    <w:rsid w:val="00F31D71"/>
    <w:rsid w:val="00F35554"/>
    <w:rsid w:val="00F431C4"/>
    <w:rsid w:val="00F47CD4"/>
    <w:rsid w:val="00F536F2"/>
    <w:rsid w:val="00F55E73"/>
    <w:rsid w:val="00F573D0"/>
    <w:rsid w:val="00F57796"/>
    <w:rsid w:val="00F61BC2"/>
    <w:rsid w:val="00F66A47"/>
    <w:rsid w:val="00F66E56"/>
    <w:rsid w:val="00F810B2"/>
    <w:rsid w:val="00F843B4"/>
    <w:rsid w:val="00F8741E"/>
    <w:rsid w:val="00F876A3"/>
    <w:rsid w:val="00F90F33"/>
    <w:rsid w:val="00F927FC"/>
    <w:rsid w:val="00F96AB5"/>
    <w:rsid w:val="00FA092F"/>
    <w:rsid w:val="00FA1883"/>
    <w:rsid w:val="00FA4C73"/>
    <w:rsid w:val="00FA6878"/>
    <w:rsid w:val="00FA6F98"/>
    <w:rsid w:val="00FB6843"/>
    <w:rsid w:val="00FC3CB2"/>
    <w:rsid w:val="00FD5DA9"/>
    <w:rsid w:val="00FD5E1E"/>
    <w:rsid w:val="00FD6C28"/>
    <w:rsid w:val="00FE3C69"/>
    <w:rsid w:val="00FE445C"/>
    <w:rsid w:val="00FE574D"/>
    <w:rsid w:val="00FE7652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4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A472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A472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A4727"/>
    <w:rPr>
      <w:vertAlign w:val="superscript"/>
    </w:rPr>
  </w:style>
  <w:style w:type="paragraph" w:customStyle="1" w:styleId="ConsPlusNormal">
    <w:name w:val="ConsPlusNormal"/>
    <w:rsid w:val="000A4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06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0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306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0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07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074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56235"/>
    <w:pPr>
      <w:ind w:left="720"/>
      <w:contextualSpacing/>
    </w:pPr>
  </w:style>
  <w:style w:type="paragraph" w:customStyle="1" w:styleId="14">
    <w:name w:val="Обычный + 14 пт"/>
    <w:basedOn w:val="a"/>
    <w:rsid w:val="00036D61"/>
    <w:pPr>
      <w:spacing w:line="312" w:lineRule="auto"/>
      <w:ind w:firstLine="709"/>
      <w:jc w:val="both"/>
    </w:pPr>
    <w:rPr>
      <w:sz w:val="28"/>
      <w:szCs w:val="28"/>
    </w:rPr>
  </w:style>
  <w:style w:type="character" w:styleId="ad">
    <w:name w:val="Placeholder Text"/>
    <w:basedOn w:val="a0"/>
    <w:uiPriority w:val="99"/>
    <w:semiHidden/>
    <w:rsid w:val="00416D31"/>
    <w:rPr>
      <w:color w:val="808080"/>
    </w:rPr>
  </w:style>
  <w:style w:type="paragraph" w:customStyle="1" w:styleId="1">
    <w:name w:val="Стиль1"/>
    <w:basedOn w:val="a"/>
    <w:autoRedefine/>
    <w:rsid w:val="009939BF"/>
    <w:pPr>
      <w:ind w:firstLine="709"/>
      <w:jc w:val="both"/>
    </w:pPr>
    <w:rPr>
      <w:sz w:val="28"/>
      <w:szCs w:val="20"/>
    </w:rPr>
  </w:style>
  <w:style w:type="paragraph" w:styleId="ae">
    <w:name w:val="Normal (Web)"/>
    <w:basedOn w:val="a"/>
    <w:uiPriority w:val="99"/>
    <w:semiHidden/>
    <w:unhideWhenUsed/>
    <w:rsid w:val="006A39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4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A472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A472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A4727"/>
    <w:rPr>
      <w:vertAlign w:val="superscript"/>
    </w:rPr>
  </w:style>
  <w:style w:type="paragraph" w:customStyle="1" w:styleId="ConsPlusNormal">
    <w:name w:val="ConsPlusNormal"/>
    <w:rsid w:val="000A4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06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0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306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0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07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074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56235"/>
    <w:pPr>
      <w:ind w:left="720"/>
      <w:contextualSpacing/>
    </w:pPr>
  </w:style>
  <w:style w:type="paragraph" w:customStyle="1" w:styleId="14">
    <w:name w:val="Обычный + 14 пт"/>
    <w:basedOn w:val="a"/>
    <w:rsid w:val="00036D61"/>
    <w:pPr>
      <w:spacing w:line="312" w:lineRule="auto"/>
      <w:ind w:firstLine="709"/>
      <w:jc w:val="both"/>
    </w:pPr>
    <w:rPr>
      <w:sz w:val="28"/>
      <w:szCs w:val="28"/>
    </w:rPr>
  </w:style>
  <w:style w:type="character" w:styleId="ad">
    <w:name w:val="Placeholder Text"/>
    <w:basedOn w:val="a0"/>
    <w:uiPriority w:val="99"/>
    <w:semiHidden/>
    <w:rsid w:val="00416D31"/>
    <w:rPr>
      <w:color w:val="808080"/>
    </w:rPr>
  </w:style>
  <w:style w:type="paragraph" w:customStyle="1" w:styleId="1">
    <w:name w:val="Стиль1"/>
    <w:basedOn w:val="a"/>
    <w:autoRedefine/>
    <w:rsid w:val="009939BF"/>
    <w:pPr>
      <w:ind w:firstLine="709"/>
      <w:jc w:val="both"/>
    </w:pPr>
    <w:rPr>
      <w:sz w:val="28"/>
      <w:szCs w:val="20"/>
    </w:rPr>
  </w:style>
  <w:style w:type="paragraph" w:styleId="ae">
    <w:name w:val="Normal (Web)"/>
    <w:basedOn w:val="a"/>
    <w:uiPriority w:val="99"/>
    <w:semiHidden/>
    <w:unhideWhenUsed/>
    <w:rsid w:val="006A39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5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9F115-6307-4ADF-94A4-1A253C31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ХВОРОСТУХИНА ДАРЬЯ СЕРГЕЕВНА</dc:creator>
  <cp:lastModifiedBy>Дом</cp:lastModifiedBy>
  <cp:revision>2</cp:revision>
  <cp:lastPrinted>2020-03-23T12:32:00Z</cp:lastPrinted>
  <dcterms:created xsi:type="dcterms:W3CDTF">2020-05-18T12:30:00Z</dcterms:created>
  <dcterms:modified xsi:type="dcterms:W3CDTF">2020-05-18T12:30:00Z</dcterms:modified>
</cp:coreProperties>
</file>