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57B14" w:rsidRPr="00720AE4" w:rsidRDefault="00157B14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57B14" w:rsidRPr="00720AE4" w:rsidRDefault="00157B14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57B14" w:rsidRPr="00720AE4" w:rsidRDefault="00157B14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720AE4" w:rsidRDefault="007E361B" w:rsidP="007E361B">
      <w:pPr>
        <w:ind w:firstLine="0"/>
        <w:jc w:val="center"/>
        <w:rPr>
          <w:rFonts w:eastAsia="Calibri" w:cs="Times New Roman"/>
          <w:b/>
          <w:szCs w:val="28"/>
        </w:rPr>
      </w:pPr>
    </w:p>
    <w:p w:rsidR="007E361B" w:rsidRPr="00720AE4" w:rsidRDefault="007E361B" w:rsidP="00720AE4">
      <w:pPr>
        <w:ind w:right="-143" w:firstLine="0"/>
        <w:jc w:val="center"/>
        <w:rPr>
          <w:rFonts w:eastAsia="Calibri" w:cs="Times New Roman"/>
          <w:b/>
          <w:szCs w:val="28"/>
        </w:rPr>
      </w:pPr>
      <w:r w:rsidRPr="00720AE4">
        <w:rPr>
          <w:rFonts w:eastAsia="Calibri" w:cs="Times New Roman"/>
          <w:b/>
          <w:szCs w:val="28"/>
        </w:rPr>
        <w:t>Об утверждении федерального стандарта внутреннего финансового аудита «</w:t>
      </w:r>
      <w:r w:rsidR="00157B14" w:rsidRPr="00720AE4">
        <w:rPr>
          <w:rFonts w:eastAsia="Calibri" w:cs="Times New Roman"/>
          <w:b/>
          <w:szCs w:val="28"/>
        </w:rPr>
        <w:t>Планирование и проведение</w:t>
      </w:r>
      <w:r w:rsidRPr="00720AE4">
        <w:rPr>
          <w:rFonts w:eastAsia="Calibri" w:cs="Times New Roman"/>
          <w:b/>
          <w:szCs w:val="28"/>
        </w:rPr>
        <w:t xml:space="preserve"> внутреннего финансового аудита»</w:t>
      </w:r>
    </w:p>
    <w:p w:rsidR="007E361B" w:rsidRPr="00720AE4" w:rsidRDefault="007E361B" w:rsidP="007E361B">
      <w:pPr>
        <w:widowControl w:val="0"/>
        <w:tabs>
          <w:tab w:val="left" w:pos="6870"/>
        </w:tabs>
        <w:autoSpaceDE w:val="0"/>
        <w:autoSpaceDN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E361B" w:rsidRPr="00720AE4" w:rsidRDefault="007E361B" w:rsidP="007E361B">
      <w:pPr>
        <w:widowControl w:val="0"/>
        <w:tabs>
          <w:tab w:val="left" w:pos="6870"/>
        </w:tabs>
        <w:autoSpaceDE w:val="0"/>
        <w:autoSpaceDN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57B14" w:rsidRPr="00720AE4" w:rsidRDefault="007E361B" w:rsidP="0015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 160.2-1 и абзацем сорок пятым </w:t>
      </w:r>
      <w:r w:rsidRPr="00720AE4">
        <w:rPr>
          <w:rFonts w:ascii="Times New Roman" w:hAnsi="Times New Roman" w:cs="Times New Roman"/>
          <w:sz w:val="28"/>
          <w:szCs w:val="28"/>
        </w:rPr>
        <w:br/>
        <w:t xml:space="preserve">статьи 165 Бюджетного кодекса Российской Федерации (Собрание законодательства Российской Федерации, 1998, № 31, ст. 3823; 2019, № 31, </w:t>
      </w:r>
      <w:r w:rsidRPr="00720AE4">
        <w:rPr>
          <w:rFonts w:ascii="Times New Roman" w:hAnsi="Times New Roman" w:cs="Times New Roman"/>
          <w:sz w:val="28"/>
          <w:szCs w:val="28"/>
        </w:rPr>
        <w:br/>
        <w:t>ст. 4466)</w:t>
      </w:r>
      <w:r w:rsidRPr="00720A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0AE4">
        <w:rPr>
          <w:rFonts w:ascii="Times New Roman" w:hAnsi="Times New Roman" w:cs="Times New Roman"/>
          <w:spacing w:val="80"/>
          <w:sz w:val="28"/>
          <w:szCs w:val="28"/>
        </w:rPr>
        <w:t>приказываю</w:t>
      </w:r>
      <w:r w:rsidRPr="00720AE4">
        <w:rPr>
          <w:rFonts w:ascii="Times New Roman" w:hAnsi="Times New Roman" w:cs="Times New Roman"/>
          <w:sz w:val="28"/>
          <w:szCs w:val="28"/>
        </w:rPr>
        <w:t>:</w:t>
      </w:r>
    </w:p>
    <w:p w:rsidR="007E361B" w:rsidRPr="00720AE4" w:rsidRDefault="00157B14" w:rsidP="0015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>у</w:t>
      </w:r>
      <w:r w:rsidR="007E361B" w:rsidRPr="00720AE4">
        <w:rPr>
          <w:rFonts w:ascii="Times New Roman" w:hAnsi="Times New Roman" w:cs="Times New Roman"/>
          <w:sz w:val="28"/>
          <w:szCs w:val="28"/>
        </w:rPr>
        <w:t xml:space="preserve">твердить прилагаемый федеральный стандарт внутреннего финансового аудита </w:t>
      </w:r>
      <w:r w:rsidRPr="00720AE4">
        <w:rPr>
          <w:rFonts w:ascii="Times New Roman" w:hAnsi="Times New Roman" w:cs="Times New Roman"/>
          <w:sz w:val="28"/>
          <w:szCs w:val="28"/>
        </w:rPr>
        <w:t>«Планирование и проведение внутреннего финансового аудита</w:t>
      </w:r>
      <w:r w:rsidR="007E361B" w:rsidRPr="00720AE4">
        <w:rPr>
          <w:rFonts w:ascii="Times New Roman" w:hAnsi="Times New Roman" w:cs="Times New Roman"/>
          <w:sz w:val="28"/>
          <w:szCs w:val="28"/>
        </w:rPr>
        <w:t>».</w:t>
      </w:r>
    </w:p>
    <w:p w:rsidR="007E361B" w:rsidRPr="00720AE4" w:rsidRDefault="007E361B" w:rsidP="007E361B">
      <w:pPr>
        <w:spacing w:beforeLines="40" w:before="96" w:afterLines="40" w:after="96" w:line="240" w:lineRule="auto"/>
        <w:ind w:firstLine="567"/>
        <w:jc w:val="center"/>
        <w:rPr>
          <w:rFonts w:eastAsia="Calibri" w:cs="Times New Roman"/>
          <w:b/>
          <w:szCs w:val="28"/>
        </w:rPr>
      </w:pPr>
    </w:p>
    <w:p w:rsidR="00157B14" w:rsidRPr="00720AE4" w:rsidRDefault="00157B14" w:rsidP="007E361B">
      <w:pPr>
        <w:spacing w:beforeLines="40" w:before="96" w:afterLines="40" w:after="96" w:line="240" w:lineRule="auto"/>
        <w:ind w:firstLine="567"/>
        <w:jc w:val="center"/>
        <w:rPr>
          <w:rFonts w:eastAsia="Calibri" w:cs="Times New Roman"/>
          <w:b/>
          <w:szCs w:val="28"/>
        </w:rPr>
      </w:pPr>
    </w:p>
    <w:p w:rsidR="007E361B" w:rsidRPr="00720AE4" w:rsidRDefault="007E361B" w:rsidP="007E361B">
      <w:pPr>
        <w:spacing w:beforeLines="40" w:before="96" w:afterLines="40" w:after="96" w:line="240" w:lineRule="auto"/>
        <w:ind w:firstLine="567"/>
        <w:jc w:val="center"/>
        <w:rPr>
          <w:rFonts w:eastAsia="Calibri" w:cs="Times New Roman"/>
          <w:b/>
          <w:szCs w:val="28"/>
        </w:rPr>
      </w:pPr>
    </w:p>
    <w:p w:rsidR="007E361B" w:rsidRPr="00720AE4" w:rsidRDefault="007E361B" w:rsidP="007E361B">
      <w:pPr>
        <w:spacing w:beforeLines="40" w:before="96" w:afterLines="40" w:after="96" w:line="240" w:lineRule="auto"/>
        <w:ind w:firstLine="567"/>
        <w:jc w:val="center"/>
        <w:rPr>
          <w:rFonts w:eastAsia="Calibri" w:cs="Times New Roman"/>
          <w:b/>
          <w:szCs w:val="28"/>
        </w:rPr>
      </w:pPr>
    </w:p>
    <w:p w:rsidR="007E361B" w:rsidRPr="00720AE4" w:rsidRDefault="007E361B" w:rsidP="007E361B">
      <w:pPr>
        <w:ind w:firstLine="0"/>
        <w:jc w:val="left"/>
        <w:rPr>
          <w:rFonts w:eastAsia="Calibri" w:cs="Times New Roman"/>
          <w:szCs w:val="28"/>
        </w:rPr>
      </w:pPr>
      <w:r w:rsidRPr="00720AE4">
        <w:rPr>
          <w:rFonts w:eastAsia="Calibri" w:cs="Times New Roman"/>
          <w:szCs w:val="28"/>
        </w:rPr>
        <w:t>Первый заместитель Председателя</w:t>
      </w:r>
    </w:p>
    <w:p w:rsidR="007E361B" w:rsidRPr="00720AE4" w:rsidRDefault="007E361B" w:rsidP="007E361B">
      <w:pPr>
        <w:ind w:firstLine="0"/>
        <w:jc w:val="left"/>
        <w:rPr>
          <w:rFonts w:eastAsia="Calibri" w:cs="Times New Roman"/>
          <w:szCs w:val="28"/>
        </w:rPr>
      </w:pPr>
      <w:r w:rsidRPr="00720AE4">
        <w:rPr>
          <w:rFonts w:eastAsia="Calibri" w:cs="Times New Roman"/>
          <w:szCs w:val="28"/>
        </w:rPr>
        <w:t>Правительства Российской Федерации –</w:t>
      </w:r>
    </w:p>
    <w:p w:rsidR="007E361B" w:rsidRPr="00720AE4" w:rsidRDefault="007E361B" w:rsidP="007E361B">
      <w:pPr>
        <w:ind w:firstLine="0"/>
        <w:jc w:val="left"/>
        <w:rPr>
          <w:rFonts w:eastAsia="Calibri" w:cs="Times New Roman"/>
          <w:szCs w:val="28"/>
        </w:rPr>
      </w:pPr>
      <w:r w:rsidRPr="00720AE4">
        <w:rPr>
          <w:rFonts w:eastAsia="Calibri" w:cs="Times New Roman"/>
          <w:szCs w:val="28"/>
        </w:rPr>
        <w:t>Министр финансов</w:t>
      </w:r>
    </w:p>
    <w:p w:rsidR="007E361B" w:rsidRPr="00720AE4" w:rsidRDefault="007E361B" w:rsidP="007E361B">
      <w:pPr>
        <w:ind w:firstLine="0"/>
        <w:jc w:val="left"/>
        <w:rPr>
          <w:rFonts w:eastAsia="Calibri" w:cs="Times New Roman"/>
          <w:szCs w:val="28"/>
        </w:rPr>
      </w:pPr>
      <w:r w:rsidRPr="00720AE4">
        <w:rPr>
          <w:rFonts w:eastAsia="Calibri" w:cs="Times New Roman"/>
          <w:szCs w:val="28"/>
        </w:rPr>
        <w:t xml:space="preserve">Российской Федерации                                                                   </w:t>
      </w:r>
      <w:r w:rsidRPr="00720AE4">
        <w:rPr>
          <w:rFonts w:eastAsia="Calibri" w:cs="Times New Roman"/>
          <w:szCs w:val="28"/>
        </w:rPr>
        <w:tab/>
        <w:t xml:space="preserve">А.Г. </w:t>
      </w:r>
      <w:proofErr w:type="spellStart"/>
      <w:r w:rsidRPr="00720AE4">
        <w:rPr>
          <w:rFonts w:eastAsia="Calibri" w:cs="Times New Roman"/>
          <w:szCs w:val="28"/>
        </w:rPr>
        <w:t>Силуанов</w:t>
      </w:r>
      <w:proofErr w:type="spellEnd"/>
    </w:p>
    <w:p w:rsidR="007E361B" w:rsidRPr="00720AE4" w:rsidRDefault="007E361B" w:rsidP="007E361B">
      <w:pPr>
        <w:rPr>
          <w:rFonts w:cs="Times New Roman"/>
          <w:szCs w:val="28"/>
        </w:rPr>
        <w:sectPr w:rsidR="007E361B" w:rsidRPr="00720AE4" w:rsidSect="00E61B3A"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tbl>
      <w:tblPr>
        <w:tblW w:w="4819" w:type="dxa"/>
        <w:tblInd w:w="5070" w:type="dxa"/>
        <w:tblLook w:val="0000" w:firstRow="0" w:lastRow="0" w:firstColumn="0" w:lastColumn="0" w:noHBand="0" w:noVBand="0"/>
      </w:tblPr>
      <w:tblGrid>
        <w:gridCol w:w="4819"/>
      </w:tblGrid>
      <w:tr w:rsidR="007E361B" w:rsidRPr="00720AE4" w:rsidTr="00F213B9">
        <w:trPr>
          <w:trHeight w:val="1279"/>
        </w:trPr>
        <w:tc>
          <w:tcPr>
            <w:tcW w:w="4819" w:type="dxa"/>
          </w:tcPr>
          <w:p w:rsidR="007E361B" w:rsidRPr="00720AE4" w:rsidRDefault="007E361B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7E361B" w:rsidRPr="00720AE4" w:rsidRDefault="007E361B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E4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:rsidR="007E361B" w:rsidRPr="00720AE4" w:rsidRDefault="007E361B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E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E361B" w:rsidRPr="00720AE4" w:rsidRDefault="007E361B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1B" w:rsidRPr="00720AE4" w:rsidRDefault="007E361B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E4">
              <w:rPr>
                <w:rFonts w:ascii="Times New Roman" w:hAnsi="Times New Roman" w:cs="Times New Roman"/>
                <w:sz w:val="28"/>
                <w:szCs w:val="28"/>
              </w:rPr>
              <w:t>от «___» ______________</w:t>
            </w:r>
            <w:proofErr w:type="gramStart"/>
            <w:r w:rsidRPr="00720A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0AE4">
              <w:rPr>
                <w:rFonts w:ascii="Times New Roman" w:hAnsi="Times New Roman" w:cs="Times New Roman"/>
                <w:sz w:val="28"/>
                <w:szCs w:val="28"/>
              </w:rPr>
              <w:t>. № ____</w:t>
            </w:r>
          </w:p>
        </w:tc>
      </w:tr>
    </w:tbl>
    <w:p w:rsidR="007E361B" w:rsidRPr="00720AE4" w:rsidRDefault="007E361B" w:rsidP="007E361B">
      <w:pPr>
        <w:rPr>
          <w:rFonts w:cs="Times New Roman"/>
          <w:szCs w:val="28"/>
        </w:rPr>
      </w:pPr>
    </w:p>
    <w:p w:rsidR="007E361B" w:rsidRPr="00720AE4" w:rsidRDefault="007E361B" w:rsidP="007E361B">
      <w:pPr>
        <w:rPr>
          <w:rFonts w:cs="Times New Roman"/>
          <w:szCs w:val="28"/>
        </w:rPr>
      </w:pPr>
    </w:p>
    <w:p w:rsidR="007E361B" w:rsidRPr="00720AE4" w:rsidRDefault="007E361B" w:rsidP="007E361B">
      <w:pPr>
        <w:rPr>
          <w:rFonts w:cs="Times New Roman"/>
          <w:szCs w:val="28"/>
        </w:rPr>
      </w:pPr>
    </w:p>
    <w:p w:rsidR="007E361B" w:rsidRPr="00720AE4" w:rsidRDefault="007E361B" w:rsidP="007E361B">
      <w:pPr>
        <w:rPr>
          <w:rFonts w:cs="Times New Roman"/>
          <w:szCs w:val="28"/>
        </w:rPr>
      </w:pPr>
    </w:p>
    <w:p w:rsidR="007E361B" w:rsidRPr="00720AE4" w:rsidRDefault="007E361B" w:rsidP="007E361B">
      <w:pPr>
        <w:rPr>
          <w:rFonts w:cs="Times New Roman"/>
          <w:szCs w:val="28"/>
        </w:rPr>
      </w:pPr>
    </w:p>
    <w:p w:rsidR="007E361B" w:rsidRPr="00720AE4" w:rsidRDefault="007E361B" w:rsidP="007E361B">
      <w:pPr>
        <w:rPr>
          <w:rFonts w:cs="Times New Roman"/>
          <w:szCs w:val="28"/>
        </w:rPr>
      </w:pPr>
    </w:p>
    <w:p w:rsidR="007E361B" w:rsidRPr="00720AE4" w:rsidRDefault="007E361B" w:rsidP="007E361B">
      <w:pPr>
        <w:rPr>
          <w:rFonts w:cs="Times New Roman"/>
          <w:szCs w:val="28"/>
        </w:rPr>
      </w:pPr>
    </w:p>
    <w:p w:rsidR="00157B14" w:rsidRPr="00720AE4" w:rsidRDefault="007E361B" w:rsidP="00720AE4">
      <w:pPr>
        <w:ind w:right="-143" w:firstLine="0"/>
        <w:jc w:val="center"/>
        <w:rPr>
          <w:rFonts w:eastAsia="Calibri" w:cs="Times New Roman"/>
          <w:b/>
          <w:szCs w:val="28"/>
        </w:rPr>
      </w:pPr>
      <w:r w:rsidRPr="00720AE4">
        <w:rPr>
          <w:rFonts w:eastAsia="Calibri" w:cs="Times New Roman"/>
          <w:b/>
          <w:szCs w:val="28"/>
        </w:rPr>
        <w:t>Федеральный стандарт внутреннего финансового аудита</w:t>
      </w:r>
      <w:r w:rsidR="00157B14" w:rsidRPr="00720AE4">
        <w:rPr>
          <w:rFonts w:eastAsia="Calibri" w:cs="Times New Roman"/>
          <w:b/>
          <w:szCs w:val="28"/>
        </w:rPr>
        <w:t xml:space="preserve"> </w:t>
      </w:r>
      <w:r w:rsidR="00157B14" w:rsidRPr="00720AE4">
        <w:rPr>
          <w:rFonts w:eastAsia="Calibri" w:cs="Times New Roman"/>
          <w:b/>
          <w:szCs w:val="28"/>
        </w:rPr>
        <w:br/>
        <w:t>«Планирование и проведение внутреннего финансового аудита»</w:t>
      </w:r>
    </w:p>
    <w:p w:rsidR="007E361B" w:rsidRPr="00720AE4" w:rsidRDefault="007E361B" w:rsidP="00720AE4">
      <w:pPr>
        <w:spacing w:line="360" w:lineRule="auto"/>
        <w:ind w:firstLine="0"/>
        <w:jc w:val="center"/>
        <w:rPr>
          <w:rFonts w:eastAsia="Times New Roman" w:cs="Times New Roman"/>
          <w:b/>
          <w:bCs/>
          <w:szCs w:val="28"/>
        </w:rPr>
      </w:pPr>
    </w:p>
    <w:p w:rsidR="007E361B" w:rsidRPr="00720AE4" w:rsidRDefault="007E361B" w:rsidP="00720AE4">
      <w:pPr>
        <w:keepNext/>
        <w:keepLines/>
        <w:numPr>
          <w:ilvl w:val="0"/>
          <w:numId w:val="1"/>
        </w:numPr>
        <w:spacing w:line="36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720AE4">
        <w:rPr>
          <w:rFonts w:eastAsia="Times New Roman" w:cs="Times New Roman"/>
          <w:b/>
          <w:bCs/>
          <w:szCs w:val="28"/>
        </w:rPr>
        <w:t>Общие положения</w:t>
      </w:r>
    </w:p>
    <w:p w:rsidR="007E361B" w:rsidRPr="00720AE4" w:rsidRDefault="007E361B" w:rsidP="00720AE4">
      <w:pPr>
        <w:keepNext/>
        <w:keepLines/>
        <w:spacing w:line="360" w:lineRule="auto"/>
        <w:ind w:firstLine="0"/>
        <w:outlineLvl w:val="0"/>
        <w:rPr>
          <w:rFonts w:eastAsia="Times New Roman" w:cs="Times New Roman"/>
          <w:b/>
          <w:bCs/>
          <w:szCs w:val="28"/>
        </w:rPr>
      </w:pPr>
    </w:p>
    <w:p w:rsidR="00157B14" w:rsidRPr="00720AE4" w:rsidRDefault="007E361B" w:rsidP="00720A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AE4">
        <w:rPr>
          <w:rFonts w:ascii="Times New Roman" w:hAnsi="Times New Roman" w:cs="Times New Roman"/>
          <w:b w:val="0"/>
          <w:sz w:val="28"/>
          <w:szCs w:val="28"/>
        </w:rPr>
        <w:t xml:space="preserve">1. Настоящий федеральный стандарт внутреннего финансового аудита </w:t>
      </w:r>
      <w:r w:rsidR="00157B14" w:rsidRPr="00720AE4">
        <w:rPr>
          <w:rFonts w:ascii="Times New Roman" w:hAnsi="Times New Roman" w:cs="Times New Roman"/>
          <w:b w:val="0"/>
          <w:sz w:val="28"/>
          <w:szCs w:val="28"/>
        </w:rPr>
        <w:t xml:space="preserve">«Планирование и проведение внутреннего финансового аудита» </w:t>
      </w:r>
      <w:r w:rsidR="00157B14" w:rsidRPr="00720AE4">
        <w:rPr>
          <w:rFonts w:ascii="Times New Roman" w:hAnsi="Times New Roman" w:cs="Times New Roman"/>
          <w:b w:val="0"/>
          <w:sz w:val="28"/>
          <w:szCs w:val="28"/>
        </w:rPr>
        <w:br/>
      </w:r>
      <w:r w:rsidRPr="00720AE4">
        <w:rPr>
          <w:rFonts w:ascii="Times New Roman" w:hAnsi="Times New Roman" w:cs="Times New Roman"/>
          <w:b w:val="0"/>
          <w:sz w:val="28"/>
          <w:szCs w:val="28"/>
        </w:rPr>
        <w:t xml:space="preserve">(далее - Стандарт) разработан в соответствии со статьей 160.2-1 Бюджетного кодекса Российской Федерации (Собрание законодательства Российской Федерации, 1998, № 31, ст. 3823; </w:t>
      </w:r>
      <w:proofErr w:type="gramStart"/>
      <w:r w:rsidRPr="00720AE4">
        <w:rPr>
          <w:rFonts w:ascii="Times New Roman" w:hAnsi="Times New Roman" w:cs="Times New Roman"/>
          <w:b w:val="0"/>
          <w:sz w:val="28"/>
          <w:szCs w:val="28"/>
        </w:rPr>
        <w:t xml:space="preserve">2019, № 30, ст. 4101)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</w:t>
      </w:r>
      <w:r w:rsidR="00157B14" w:rsidRPr="00720AE4">
        <w:rPr>
          <w:rFonts w:ascii="Times New Roman" w:hAnsi="Times New Roman" w:cs="Times New Roman"/>
          <w:b w:val="0"/>
          <w:sz w:val="28"/>
          <w:szCs w:val="28"/>
        </w:rPr>
        <w:br/>
      </w:r>
      <w:r w:rsidRPr="00720AE4">
        <w:rPr>
          <w:rFonts w:ascii="Times New Roman" w:hAnsi="Times New Roman" w:cs="Times New Roman"/>
          <w:b w:val="0"/>
          <w:sz w:val="28"/>
          <w:szCs w:val="28"/>
        </w:rPr>
        <w:t xml:space="preserve">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 </w:t>
      </w:r>
      <w:r w:rsidR="00157B14" w:rsidRPr="00720AE4">
        <w:rPr>
          <w:rFonts w:ascii="Times New Roman" w:hAnsi="Times New Roman" w:cs="Times New Roman"/>
          <w:b w:val="0"/>
          <w:sz w:val="28"/>
          <w:szCs w:val="28"/>
        </w:rPr>
        <w:t>при планировании деятельности субъекта внутреннего финансового аудита, в том числе в части планирования и</w:t>
      </w:r>
      <w:proofErr w:type="gramEnd"/>
      <w:r w:rsidR="00157B14" w:rsidRPr="00720AE4">
        <w:rPr>
          <w:rFonts w:ascii="Times New Roman" w:hAnsi="Times New Roman" w:cs="Times New Roman"/>
          <w:b w:val="0"/>
          <w:sz w:val="28"/>
          <w:szCs w:val="28"/>
        </w:rPr>
        <w:t xml:space="preserve"> проведения аудиторских мероприятий.</w:t>
      </w:r>
    </w:p>
    <w:p w:rsidR="007E361B" w:rsidRPr="00720AE4" w:rsidRDefault="007E361B" w:rsidP="00720A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AE4">
        <w:rPr>
          <w:rFonts w:ascii="Times New Roman" w:hAnsi="Times New Roman" w:cs="Times New Roman"/>
          <w:b w:val="0"/>
          <w:sz w:val="28"/>
          <w:szCs w:val="28"/>
        </w:rPr>
        <w:t>2. В целях настоящего Стандарта применяются термины в значениях, определенных федеральным стандартом внутреннего финансового аудита «Определения, принципы и задачи внутреннего финансового аудита».</w:t>
      </w:r>
    </w:p>
    <w:p w:rsidR="00AC5826" w:rsidRPr="00720AE4" w:rsidRDefault="00AC5826" w:rsidP="00720A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20AE4">
        <w:rPr>
          <w:rFonts w:ascii="Times New Roman" w:hAnsi="Times New Roman" w:cs="Times New Roman"/>
          <w:color w:val="000000" w:themeColor="text1"/>
        </w:rPr>
        <w:lastRenderedPageBreak/>
        <w:t xml:space="preserve">Планирование внутреннего финансового аудита </w:t>
      </w:r>
    </w:p>
    <w:p w:rsidR="00720AE4" w:rsidRPr="00720AE4" w:rsidRDefault="00720AE4" w:rsidP="00720AE4">
      <w:pPr>
        <w:rPr>
          <w:rFonts w:cs="Times New Roman"/>
        </w:rPr>
      </w:pPr>
    </w:p>
    <w:p w:rsidR="00AC5826" w:rsidRPr="00720AE4" w:rsidRDefault="00AC5826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3. Планирование внутреннего финансового аудита включает:</w:t>
      </w:r>
    </w:p>
    <w:p w:rsidR="00AC5826" w:rsidRPr="00720AE4" w:rsidRDefault="00AC5826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планирование деятельности субъекта внутреннего финансового аудита;</w:t>
      </w:r>
    </w:p>
    <w:p w:rsidR="000C20F4" w:rsidRPr="00720AE4" w:rsidRDefault="000C20F4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AC5826" w:rsidRPr="00720AE4" w:rsidRDefault="002E1C2D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2E1C2D" w:rsidRPr="00720AE4" w:rsidRDefault="002E1C2D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4. В целях планирования деятельности субъекта внутреннего финансового аудита учитываются:</w:t>
      </w:r>
    </w:p>
    <w:p w:rsidR="000C20F4" w:rsidRPr="00720AE4" w:rsidRDefault="000C20F4" w:rsidP="000609CD">
      <w:pPr>
        <w:spacing w:line="348" w:lineRule="auto"/>
        <w:rPr>
          <w:rFonts w:eastAsia="Calibri" w:cs="Times New Roman"/>
          <w:szCs w:val="28"/>
        </w:rPr>
      </w:pPr>
      <w:r w:rsidRPr="00720AE4">
        <w:rPr>
          <w:rFonts w:cs="Times New Roman"/>
          <w:szCs w:val="28"/>
        </w:rPr>
        <w:t xml:space="preserve">степень обеспеченности ресурсами, необходимыми для </w:t>
      </w:r>
      <w:r w:rsidRPr="00720AE4">
        <w:rPr>
          <w:rFonts w:eastAsia="Calibri" w:cs="Times New Roman"/>
          <w:szCs w:val="28"/>
        </w:rPr>
        <w:t>осуществления внутреннего финансового аудита;</w:t>
      </w:r>
    </w:p>
    <w:p w:rsidR="000C20F4" w:rsidRPr="00720AE4" w:rsidRDefault="000C20F4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cs="Times New Roman"/>
          <w:szCs w:val="28"/>
          <w:lang w:eastAsia="ru-RU"/>
        </w:rPr>
        <w:t xml:space="preserve">возможность привлечения </w:t>
      </w:r>
      <w:r w:rsidRPr="00720AE4">
        <w:rPr>
          <w:rFonts w:cs="Times New Roman"/>
          <w:szCs w:val="28"/>
        </w:rPr>
        <w:t>к проведению аудиторских мероприятий должностных лиц (работников) главного администратора (администратора) бюджетных средств и (или) экспертов</w:t>
      </w:r>
      <w:r w:rsidR="008D5BD5" w:rsidRPr="00720AE4">
        <w:rPr>
          <w:rFonts w:cs="Times New Roman"/>
          <w:szCs w:val="28"/>
        </w:rPr>
        <w:t>;</w:t>
      </w:r>
    </w:p>
    <w:p w:rsidR="000C20F4" w:rsidRPr="00720AE4" w:rsidRDefault="000C20F4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0C20F4" w:rsidRPr="00720AE4" w:rsidRDefault="008D5BD5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cs="Times New Roman"/>
          <w:szCs w:val="28"/>
          <w:lang w:eastAsia="ru-RU"/>
        </w:rPr>
        <w:t>возможность совершенствования</w:t>
      </w:r>
      <w:r w:rsidRPr="00720AE4">
        <w:rPr>
          <w:rFonts w:cs="Times New Roman"/>
          <w:szCs w:val="28"/>
        </w:rPr>
        <w:t xml:space="preserve">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8D5BD5" w:rsidRPr="00720AE4" w:rsidRDefault="008D5BD5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5. В целях составления (ведения) плана проведения аудиторских мероприятий учитываются:</w:t>
      </w:r>
    </w:p>
    <w:p w:rsidR="008D5BD5" w:rsidRPr="00720AE4" w:rsidRDefault="000C20F4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eastAsia="Calibri" w:cs="Times New Roman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8D5BD5" w:rsidRPr="00720AE4" w:rsidRDefault="000C20F4" w:rsidP="000609CD">
      <w:pPr>
        <w:spacing w:line="348" w:lineRule="auto"/>
        <w:rPr>
          <w:rFonts w:cs="Times New Roman"/>
          <w:szCs w:val="28"/>
        </w:rPr>
      </w:pPr>
      <w:proofErr w:type="gramStart"/>
      <w:r w:rsidRPr="00720AE4">
        <w:rPr>
          <w:rFonts w:eastAsia="Calibri" w:cs="Times New Roman"/>
          <w:szCs w:val="28"/>
        </w:rPr>
        <w:t xml:space="preserve">информация, поступившая главному администратору (администратору) бюджетных средств и указанная в актах, заключениях, представлениях и предписаниях органов государственного (муниципального) финансового контроля, а также информация о типовых нарушениях и (или) недостатках, </w:t>
      </w:r>
      <w:r w:rsidRPr="00720AE4">
        <w:rPr>
          <w:rFonts w:eastAsia="Calibri" w:cs="Times New Roman"/>
          <w:szCs w:val="28"/>
        </w:rPr>
        <w:lastRenderedPageBreak/>
        <w:t>выявленных органами государственного (муниципального) финансового контроля;</w:t>
      </w:r>
      <w:proofErr w:type="gramEnd"/>
    </w:p>
    <w:p w:rsidR="008D5BD5" w:rsidRPr="00720AE4" w:rsidRDefault="000C20F4" w:rsidP="000609CD">
      <w:pPr>
        <w:spacing w:line="348" w:lineRule="auto"/>
        <w:rPr>
          <w:rFonts w:cs="Times New Roman"/>
          <w:szCs w:val="28"/>
        </w:rPr>
      </w:pPr>
      <w:r w:rsidRPr="00720AE4">
        <w:rPr>
          <w:rFonts w:eastAsia="Calibri" w:cs="Times New Roman"/>
          <w:szCs w:val="28"/>
        </w:rPr>
        <w:t xml:space="preserve">результаты мониторинга качества финансового менеджмента, а также достижение </w:t>
      </w:r>
      <w:r w:rsidRPr="00720AE4">
        <w:rPr>
          <w:rFonts w:cs="Times New Roman"/>
          <w:szCs w:val="28"/>
          <w:lang w:eastAsia="ru-RU"/>
        </w:rPr>
        <w:t xml:space="preserve">главным администратором (администратором) бюджетных средств целевых значений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пунктом 6 статьи </w:t>
      </w:r>
      <w:r w:rsidRPr="00720AE4">
        <w:rPr>
          <w:rFonts w:cs="Times New Roman"/>
          <w:szCs w:val="28"/>
          <w:lang w:eastAsia="ru-RU"/>
        </w:rPr>
        <w:br/>
        <w:t xml:space="preserve">160.2-1 Бюджетного кодекса Российской Федерации (далее - </w:t>
      </w:r>
      <w:r w:rsidRPr="00720AE4">
        <w:rPr>
          <w:rFonts w:cs="Times New Roman"/>
          <w:szCs w:val="28"/>
        </w:rPr>
        <w:t>значения показателей качества финансового менеджмента);</w:t>
      </w:r>
    </w:p>
    <w:p w:rsidR="00621D5F" w:rsidRPr="00720AE4" w:rsidRDefault="000C20F4" w:rsidP="000609CD">
      <w:pPr>
        <w:spacing w:line="348" w:lineRule="auto"/>
        <w:rPr>
          <w:rFonts w:cs="Times New Roman"/>
          <w:szCs w:val="28"/>
        </w:rPr>
      </w:pPr>
      <w:proofErr w:type="gramStart"/>
      <w:r w:rsidRPr="00720AE4">
        <w:rPr>
          <w:rFonts w:cs="Times New Roman"/>
          <w:szCs w:val="28"/>
          <w:lang w:eastAsia="ru-RU"/>
        </w:rPr>
        <w:t xml:space="preserve">объем </w:t>
      </w:r>
      <w:r w:rsidRPr="00720AE4">
        <w:rPr>
          <w:rFonts w:cs="Times New Roman"/>
          <w:szCs w:val="28"/>
        </w:rPr>
        <w:t xml:space="preserve">бюджетных полномочий, самостоятельно </w:t>
      </w:r>
      <w:r w:rsidR="008D5BD5" w:rsidRPr="00720AE4">
        <w:rPr>
          <w:rFonts w:cs="Times New Roman"/>
          <w:szCs w:val="28"/>
        </w:rPr>
        <w:t>осуществляемых</w:t>
      </w:r>
      <w:r w:rsidRPr="00720AE4">
        <w:rPr>
          <w:rFonts w:cs="Times New Roman"/>
          <w:szCs w:val="28"/>
        </w:rPr>
        <w:t xml:space="preserve"> </w:t>
      </w:r>
      <w:r w:rsidRPr="00720AE4">
        <w:rPr>
          <w:rFonts w:cs="Times New Roman"/>
          <w:szCs w:val="28"/>
          <w:lang w:eastAsia="ru-RU"/>
        </w:rPr>
        <w:t xml:space="preserve">главным администратором (администратором) бюджетных средств в соответствии со статьями 158, 160.1, 160.2 и 162 Бюджетного кодекса Российской Федерации (Собрание законодательства Российской Федерации, 1998, № 31, ст. 3823; 2019, </w:t>
      </w:r>
      <w:r w:rsidRPr="00720AE4">
        <w:rPr>
          <w:rFonts w:cs="Times New Roman"/>
          <w:szCs w:val="28"/>
        </w:rPr>
        <w:t>№ 30, ст. 4101</w:t>
      </w:r>
      <w:r w:rsidRPr="00720AE4">
        <w:rPr>
          <w:rFonts w:cs="Times New Roman"/>
          <w:szCs w:val="28"/>
          <w:lang w:eastAsia="ru-RU"/>
        </w:rPr>
        <w:t>) и принятыми нормативными правовыми актами (муниципальными правовыми актами), регулирующими бюджетные правоотношения;</w:t>
      </w:r>
      <w:proofErr w:type="gramEnd"/>
    </w:p>
    <w:p w:rsidR="00621D5F" w:rsidRPr="00720AE4" w:rsidRDefault="00621D5F" w:rsidP="000609CD">
      <w:pPr>
        <w:spacing w:line="348" w:lineRule="auto"/>
        <w:rPr>
          <w:rFonts w:cs="Times New Roman"/>
          <w:szCs w:val="28"/>
          <w:lang w:eastAsia="ru-RU"/>
        </w:rPr>
      </w:pPr>
      <w:r w:rsidRPr="00720AE4">
        <w:rPr>
          <w:rFonts w:cs="Times New Roman"/>
          <w:szCs w:val="28"/>
          <w:lang w:eastAsia="ru-RU"/>
        </w:rPr>
        <w:t>решения руководителя главного администратора (администратора) бюджетных средств о необходимости проведения аудиторских мероприятий;</w:t>
      </w:r>
    </w:p>
    <w:p w:rsidR="00621D5F" w:rsidRPr="00720AE4" w:rsidRDefault="00621D5F" w:rsidP="000609CD">
      <w:pPr>
        <w:spacing w:line="348" w:lineRule="auto"/>
        <w:rPr>
          <w:rFonts w:cs="Times New Roman"/>
          <w:szCs w:val="28"/>
          <w:lang w:eastAsia="ru-RU"/>
        </w:rPr>
      </w:pPr>
      <w:r w:rsidRPr="00720AE4">
        <w:rPr>
          <w:rFonts w:cs="Times New Roman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621D5F" w:rsidRPr="000609CD" w:rsidRDefault="00621D5F" w:rsidP="000609CD">
      <w:pPr>
        <w:spacing w:line="348" w:lineRule="auto"/>
        <w:rPr>
          <w:rFonts w:cs="Times New Roman"/>
          <w:szCs w:val="28"/>
          <w:lang w:eastAsia="ru-RU"/>
        </w:rPr>
      </w:pPr>
      <w:r w:rsidRPr="000609CD">
        <w:rPr>
          <w:rFonts w:cs="Times New Roman"/>
          <w:szCs w:val="28"/>
          <w:lang w:eastAsia="ru-RU"/>
        </w:rPr>
        <w:t>6. В целях планирования аудиторского мероприятия и формирования программы аудиторского мероприятия учитываются:</w:t>
      </w:r>
    </w:p>
    <w:p w:rsidR="000609CD" w:rsidRPr="000609CD" w:rsidRDefault="000609CD" w:rsidP="000609CD">
      <w:pPr>
        <w:spacing w:line="348" w:lineRule="auto"/>
        <w:rPr>
          <w:rFonts w:cs="Times New Roman"/>
          <w:szCs w:val="28"/>
          <w:lang w:eastAsia="ru-RU"/>
        </w:rPr>
      </w:pPr>
      <w:r w:rsidRPr="000609CD">
        <w:rPr>
          <w:rFonts w:cs="Times New Roman"/>
          <w:szCs w:val="28"/>
          <w:lang w:eastAsia="ru-RU"/>
        </w:rPr>
        <w:t>а) тема, цели и задачи аудиторского мероприятия;</w:t>
      </w:r>
    </w:p>
    <w:p w:rsidR="000609CD" w:rsidRPr="000609CD" w:rsidRDefault="000609CD" w:rsidP="000609CD">
      <w:pPr>
        <w:spacing w:line="348" w:lineRule="auto"/>
        <w:rPr>
          <w:rFonts w:cs="Times New Roman"/>
          <w:szCs w:val="28"/>
          <w:lang w:eastAsia="ru-RU"/>
        </w:rPr>
      </w:pPr>
      <w:r w:rsidRPr="000609CD">
        <w:rPr>
          <w:rFonts w:cs="Times New Roman"/>
          <w:szCs w:val="28"/>
          <w:lang w:eastAsia="ru-RU"/>
        </w:rPr>
        <w:t>б) данные предварительного анализа об объектах внутреннего финансового аудита;</w:t>
      </w:r>
    </w:p>
    <w:p w:rsidR="000609CD" w:rsidRPr="000609CD" w:rsidRDefault="000609CD" w:rsidP="000609CD">
      <w:pPr>
        <w:spacing w:line="348" w:lineRule="auto"/>
        <w:rPr>
          <w:rFonts w:cs="Times New Roman"/>
          <w:szCs w:val="28"/>
          <w:lang w:eastAsia="ru-RU"/>
        </w:rPr>
      </w:pPr>
      <w:r w:rsidRPr="000609CD">
        <w:rPr>
          <w:rFonts w:cs="Times New Roman"/>
          <w:szCs w:val="28"/>
          <w:lang w:eastAsia="ru-RU"/>
        </w:rPr>
        <w:t>в) информация из реестра бюджетных рисков и результаты мониторинга мер по минимизации (устранению) бюджетных рисков;</w:t>
      </w:r>
    </w:p>
    <w:p w:rsidR="000609CD" w:rsidRPr="000609CD" w:rsidRDefault="000609CD" w:rsidP="000609CD">
      <w:pPr>
        <w:spacing w:line="348" w:lineRule="auto"/>
        <w:rPr>
          <w:rFonts w:cs="Times New Roman"/>
          <w:szCs w:val="28"/>
          <w:lang w:eastAsia="ru-RU"/>
        </w:rPr>
      </w:pPr>
      <w:r w:rsidRPr="000609CD">
        <w:rPr>
          <w:rFonts w:cs="Times New Roman"/>
          <w:szCs w:val="28"/>
          <w:lang w:eastAsia="ru-RU"/>
        </w:rPr>
        <w:t>г) располагаемые ресурсы, в том числе трудовые, материальные и другие, необходимые для проведения аудиторского мероприятия</w:t>
      </w:r>
      <w:r>
        <w:rPr>
          <w:rFonts w:cs="Times New Roman"/>
          <w:szCs w:val="28"/>
          <w:lang w:eastAsia="ru-RU"/>
        </w:rPr>
        <w:t>.</w:t>
      </w:r>
    </w:p>
    <w:p w:rsidR="00E91ED3" w:rsidRPr="00720AE4" w:rsidRDefault="00E91ED3" w:rsidP="00720A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20AE4">
        <w:rPr>
          <w:rFonts w:ascii="Times New Roman" w:hAnsi="Times New Roman" w:cs="Times New Roman"/>
          <w:color w:val="000000" w:themeColor="text1"/>
        </w:rPr>
        <w:lastRenderedPageBreak/>
        <w:t>План проведения аудиторских мероприятий</w:t>
      </w:r>
    </w:p>
    <w:p w:rsidR="00E91ED3" w:rsidRPr="00720AE4" w:rsidRDefault="00E91ED3" w:rsidP="00720AE4">
      <w:pPr>
        <w:spacing w:line="360" w:lineRule="auto"/>
        <w:jc w:val="center"/>
        <w:rPr>
          <w:rFonts w:cs="Times New Roman"/>
          <w:szCs w:val="28"/>
        </w:rPr>
      </w:pPr>
    </w:p>
    <w:p w:rsidR="00535508" w:rsidRPr="00720AE4" w:rsidRDefault="00E91ED3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7. </w:t>
      </w:r>
      <w:r w:rsidR="00535508" w:rsidRPr="00720AE4">
        <w:rPr>
          <w:rFonts w:cs="Times New Roman"/>
          <w:szCs w:val="28"/>
        </w:rPr>
        <w:t xml:space="preserve">План проведения аудиторских мероприятий на очередной финансовый год составляет руководитель субъекта внутреннего финансового аудита. </w:t>
      </w:r>
    </w:p>
    <w:p w:rsidR="00535508" w:rsidRPr="00720AE4" w:rsidRDefault="00535508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Руководитель главного администратора (администратора) бюджетных средств утверждает план проведения аудиторских мероприятий до начала очередного финансового года.</w:t>
      </w:r>
    </w:p>
    <w:p w:rsidR="00535508" w:rsidRPr="00720AE4" w:rsidRDefault="00535508" w:rsidP="00720AE4">
      <w:pPr>
        <w:spacing w:line="360" w:lineRule="auto"/>
        <w:rPr>
          <w:rFonts w:cs="Times New Roman"/>
          <w:szCs w:val="28"/>
          <w:lang w:eastAsia="ru-RU"/>
        </w:rPr>
      </w:pPr>
      <w:r w:rsidRPr="00720AE4">
        <w:rPr>
          <w:rFonts w:cs="Times New Roman"/>
          <w:szCs w:val="28"/>
        </w:rPr>
        <w:t xml:space="preserve">8. </w:t>
      </w:r>
      <w:proofErr w:type="gramStart"/>
      <w:r w:rsidRPr="00720AE4">
        <w:rPr>
          <w:rFonts w:cs="Times New Roman"/>
          <w:szCs w:val="28"/>
        </w:rPr>
        <w:t xml:space="preserve"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</w:t>
      </w:r>
      <w:r w:rsidRPr="00720AE4">
        <w:rPr>
          <w:rFonts w:cs="Times New Roman"/>
          <w:szCs w:val="28"/>
          <w:lang w:eastAsia="ru-RU"/>
        </w:rPr>
        <w:t xml:space="preserve"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720AE4">
        <w:rPr>
          <w:rFonts w:cs="Times New Roman"/>
          <w:szCs w:val="28"/>
        </w:rPr>
        <w:t>26</w:t>
      </w:r>
      <w:r w:rsidRPr="00720AE4">
        <w:rPr>
          <w:rFonts w:cs="Times New Roman"/>
          <w:bCs/>
          <w:szCs w:val="28"/>
        </w:rPr>
        <w:t>4.1</w:t>
      </w:r>
      <w:r w:rsidRPr="00720AE4">
        <w:rPr>
          <w:rFonts w:cs="Times New Roman"/>
          <w:bCs/>
          <w:szCs w:val="28"/>
          <w:vertAlign w:val="superscript"/>
        </w:rPr>
        <w:t xml:space="preserve"> </w:t>
      </w:r>
      <w:r w:rsidRPr="00720AE4">
        <w:rPr>
          <w:rFonts w:cs="Times New Roman"/>
          <w:szCs w:val="28"/>
          <w:lang w:eastAsia="ru-RU"/>
        </w:rPr>
        <w:t>Бюджетного кодекса Российской Федерации.</w:t>
      </w:r>
      <w:proofErr w:type="gramEnd"/>
    </w:p>
    <w:p w:rsidR="00E91ED3" w:rsidRPr="00720AE4" w:rsidRDefault="00535508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9</w:t>
      </w:r>
      <w:r w:rsidR="00E91ED3" w:rsidRPr="00720AE4">
        <w:rPr>
          <w:rFonts w:cs="Times New Roman"/>
          <w:szCs w:val="28"/>
        </w:rPr>
        <w:t xml:space="preserve">. Информация о плане проведения аудиторских мероприятий на очередной финансовый год </w:t>
      </w:r>
      <w:r w:rsidRPr="00720AE4">
        <w:rPr>
          <w:rFonts w:cs="Times New Roman"/>
          <w:szCs w:val="28"/>
        </w:rPr>
        <w:t>может быть доведена</w:t>
      </w:r>
      <w:r w:rsidR="00E91ED3" w:rsidRPr="00720AE4">
        <w:rPr>
          <w:rFonts w:cs="Times New Roman"/>
          <w:szCs w:val="28"/>
        </w:rPr>
        <w:t xml:space="preserve"> до субъектов бюджетных процедур, являющихся руководителями структурных подразделений главного администратора (администратора) бюджетных средств.</w:t>
      </w:r>
    </w:p>
    <w:p w:rsidR="00E91ED3" w:rsidRPr="00720AE4" w:rsidRDefault="00E91ED3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1</w:t>
      </w:r>
      <w:r w:rsidR="00535508" w:rsidRPr="00720AE4">
        <w:rPr>
          <w:rFonts w:cs="Times New Roman"/>
          <w:szCs w:val="28"/>
        </w:rPr>
        <w:t>0</w:t>
      </w:r>
      <w:r w:rsidRPr="00720AE4">
        <w:rPr>
          <w:rFonts w:cs="Times New Roman"/>
          <w:szCs w:val="28"/>
        </w:rPr>
        <w:t xml:space="preserve">. Изменения в план аудиторских мероприятий на очередной финансовый год вносятся по предложениям руководителя субъекта внутреннего финансового аудита и утверждаются руководителем главного администратора (администратора) бюджетных средств. </w:t>
      </w:r>
    </w:p>
    <w:p w:rsidR="000609CD" w:rsidRDefault="00E91ED3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1</w:t>
      </w:r>
      <w:r w:rsidR="00535508" w:rsidRPr="00720AE4">
        <w:rPr>
          <w:rFonts w:cs="Times New Roman"/>
          <w:szCs w:val="28"/>
        </w:rPr>
        <w:t>1</w:t>
      </w:r>
      <w:r w:rsidRPr="00720AE4">
        <w:rPr>
          <w:rFonts w:cs="Times New Roman"/>
          <w:szCs w:val="28"/>
        </w:rPr>
        <w:t>. Внеплановые аудиторские мероприятия проводятся на основании решения руководителя главного администратора (администратора) бюджетных средств.</w:t>
      </w:r>
    </w:p>
    <w:p w:rsidR="00535508" w:rsidRPr="00720AE4" w:rsidRDefault="00E91ED3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В решении руководителя главного администратора (администратора) бюджетных средств о проведении внепланового аудиторского мероприятия указываются тема</w:t>
      </w:r>
      <w:r w:rsidR="00535508" w:rsidRPr="00720AE4">
        <w:rPr>
          <w:rFonts w:cs="Times New Roman"/>
          <w:szCs w:val="28"/>
        </w:rPr>
        <w:t xml:space="preserve"> и дата (месяц) окончания указанного мероприятия.</w:t>
      </w:r>
    </w:p>
    <w:p w:rsidR="00720AE4" w:rsidRPr="00720AE4" w:rsidRDefault="00720AE4" w:rsidP="00720AE4">
      <w:pPr>
        <w:spacing w:line="360" w:lineRule="auto"/>
        <w:rPr>
          <w:rFonts w:cs="Times New Roman"/>
          <w:szCs w:val="28"/>
        </w:rPr>
      </w:pPr>
    </w:p>
    <w:p w:rsidR="001E7DAF" w:rsidRPr="00720AE4" w:rsidRDefault="001E7DAF" w:rsidP="00720A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20AE4">
        <w:rPr>
          <w:rFonts w:ascii="Times New Roman" w:hAnsi="Times New Roman" w:cs="Times New Roman"/>
          <w:color w:val="000000" w:themeColor="text1"/>
        </w:rPr>
        <w:lastRenderedPageBreak/>
        <w:t xml:space="preserve">Формирование программы аудиторского мероприятия </w:t>
      </w:r>
    </w:p>
    <w:p w:rsidR="001E7DAF" w:rsidRPr="00720AE4" w:rsidRDefault="001E7DAF" w:rsidP="00720A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C2291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12</w:t>
      </w:r>
      <w:r w:rsidR="00535508" w:rsidRPr="00720AE4">
        <w:rPr>
          <w:rFonts w:cs="Times New Roman"/>
          <w:szCs w:val="28"/>
        </w:rPr>
        <w:t xml:space="preserve">. </w:t>
      </w:r>
      <w:r w:rsidRPr="00720AE4">
        <w:rPr>
          <w:rFonts w:cs="Times New Roman"/>
          <w:szCs w:val="28"/>
        </w:rPr>
        <w:t>С целью планирования аудиторского мероприятия составляется программа аудиторского мероприятия, которая утверждается руководителем субъекта внутреннего финансового аудита.</w:t>
      </w:r>
    </w:p>
    <w:p w:rsidR="00FD640E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13. Программа аудиторского мероприятия должна обеспечивать достижение целей аудиторского мероприятия.</w:t>
      </w:r>
      <w:r w:rsidR="00FD640E" w:rsidRPr="00720AE4">
        <w:rPr>
          <w:rFonts w:cs="Times New Roman"/>
          <w:szCs w:val="28"/>
        </w:rPr>
        <w:t xml:space="preserve"> В целях составления программы аудиторского мероприятия проводится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внутреннего финансового аудита.</w:t>
      </w:r>
    </w:p>
    <w:p w:rsidR="00CC2291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14. </w:t>
      </w:r>
      <w:r w:rsidR="00CC2291" w:rsidRPr="00720AE4">
        <w:rPr>
          <w:rFonts w:cs="Times New Roman"/>
          <w:szCs w:val="28"/>
        </w:rPr>
        <w:t xml:space="preserve">Программа аудиторского мероприятия </w:t>
      </w:r>
      <w:r w:rsidR="006A6B24" w:rsidRPr="00720AE4">
        <w:rPr>
          <w:rFonts w:cs="Times New Roman"/>
          <w:szCs w:val="28"/>
        </w:rPr>
        <w:t>содержит</w:t>
      </w:r>
      <w:r w:rsidR="00CC2291" w:rsidRPr="00720AE4">
        <w:rPr>
          <w:rFonts w:cs="Times New Roman"/>
          <w:szCs w:val="28"/>
        </w:rPr>
        <w:t>:</w:t>
      </w:r>
    </w:p>
    <w:p w:rsidR="00CC2291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а) основание аудиторского мероприятия (пункт плана аудиторских мероприятий на очередной финансовый год или решение руководителя главного администратора (администратора) бюджетных средств о проведении внепланового аудиторского мероприятия);</w:t>
      </w:r>
    </w:p>
    <w:p w:rsidR="00CC2291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б) сроки проведения аудиторского мероприятия;</w:t>
      </w:r>
    </w:p>
    <w:p w:rsidR="00CC2291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в) тему аудиторского мероприятия;</w:t>
      </w:r>
    </w:p>
    <w:p w:rsidR="00CC2291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г) цели </w:t>
      </w:r>
      <w:r w:rsidR="006A6B24" w:rsidRPr="00720AE4">
        <w:rPr>
          <w:rFonts w:cs="Times New Roman"/>
          <w:szCs w:val="28"/>
        </w:rPr>
        <w:t xml:space="preserve">и задачи </w:t>
      </w:r>
      <w:r w:rsidRPr="00720AE4">
        <w:rPr>
          <w:rFonts w:cs="Times New Roman"/>
          <w:szCs w:val="28"/>
        </w:rPr>
        <w:t>аудиторского мероприятия;</w:t>
      </w:r>
    </w:p>
    <w:p w:rsidR="00CC2291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д) перечень объектов </w:t>
      </w:r>
      <w:r w:rsidR="006A6B24" w:rsidRPr="00720AE4">
        <w:rPr>
          <w:rFonts w:cs="Times New Roman"/>
          <w:szCs w:val="28"/>
        </w:rPr>
        <w:t>внутреннего финансового аудита</w:t>
      </w:r>
      <w:r w:rsidRPr="00720AE4">
        <w:rPr>
          <w:rFonts w:cs="Times New Roman"/>
          <w:szCs w:val="28"/>
        </w:rPr>
        <w:t>;</w:t>
      </w:r>
    </w:p>
    <w:p w:rsidR="00CC2291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е)</w:t>
      </w:r>
      <w:r w:rsidR="001E7DAF" w:rsidRPr="00720AE4">
        <w:rPr>
          <w:rFonts w:cs="Times New Roman"/>
          <w:szCs w:val="28"/>
        </w:rPr>
        <w:t xml:space="preserve"> </w:t>
      </w:r>
      <w:r w:rsidRPr="00720AE4">
        <w:rPr>
          <w:rFonts w:cs="Times New Roman"/>
          <w:szCs w:val="28"/>
        </w:rPr>
        <w:t>перечень вопросов, подлежащих изучению в ходе аудиторского мероприятия;</w:t>
      </w:r>
    </w:p>
    <w:p w:rsidR="00CC2291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ж) применяемые методы внутреннего финансового аудита;</w:t>
      </w:r>
    </w:p>
    <w:p w:rsidR="006A6B24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з) </w:t>
      </w:r>
      <w:r w:rsidR="006A6B24" w:rsidRPr="00720AE4">
        <w:rPr>
          <w:rFonts w:cs="Times New Roman"/>
          <w:szCs w:val="28"/>
        </w:rPr>
        <w:t>сведения о руководителе и членах аудиторской группы или об уполномоченном должностном лице.</w:t>
      </w:r>
    </w:p>
    <w:p w:rsidR="006A6B24" w:rsidRPr="00720AE4" w:rsidRDefault="006A6B24" w:rsidP="00720A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AE4">
        <w:rPr>
          <w:rFonts w:ascii="Times New Roman" w:hAnsi="Times New Roman" w:cs="Times New Roman"/>
          <w:b w:val="0"/>
          <w:sz w:val="28"/>
          <w:szCs w:val="28"/>
        </w:rPr>
        <w:t>1</w:t>
      </w:r>
      <w:r w:rsidR="00FD640E" w:rsidRPr="00720AE4">
        <w:rPr>
          <w:rFonts w:ascii="Times New Roman" w:hAnsi="Times New Roman" w:cs="Times New Roman"/>
          <w:b w:val="0"/>
          <w:sz w:val="28"/>
          <w:szCs w:val="28"/>
        </w:rPr>
        <w:t>5</w:t>
      </w:r>
      <w:r w:rsidRPr="00720AE4">
        <w:rPr>
          <w:rFonts w:ascii="Times New Roman" w:hAnsi="Times New Roman" w:cs="Times New Roman"/>
          <w:b w:val="0"/>
          <w:sz w:val="28"/>
          <w:szCs w:val="28"/>
        </w:rPr>
        <w:t xml:space="preserve">. Датой начала аудиторского мероприятия признается дата утверждения его программы руководителем субъекта внутреннего финансового аудита. Датой окончания аудиторского мероприятия признается дата утверждения руководителем субъекта внутреннего финансового аудита заключения по </w:t>
      </w:r>
      <w:r w:rsidRPr="00720AE4">
        <w:rPr>
          <w:rFonts w:ascii="Times New Roman" w:hAnsi="Times New Roman" w:cs="Times New Roman"/>
          <w:b w:val="0"/>
          <w:sz w:val="28"/>
          <w:szCs w:val="28"/>
        </w:rPr>
        <w:lastRenderedPageBreak/>
        <w:t>результатам аудиторского мероприятия.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16. Перечень вопросов, подлежащих изучению для достижения целей аудиторского мероприятия, и применяемые методы внутреннего финансового аудита определяются в зависимости от объектов внутреннего финансового аудита, целей аудиторского мероприятия и оценки значимости (уровня) бюджетных рисков. 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Используемые методы внутреннего финансового аудита должны обеспечить получение субъектом внутреннего финансового аудита необходимых и достаточных аудиторских доказатель</w:t>
      </w:r>
      <w:proofErr w:type="gramStart"/>
      <w:r w:rsidRPr="00720AE4">
        <w:rPr>
          <w:rFonts w:cs="Times New Roman"/>
          <w:szCs w:val="28"/>
        </w:rPr>
        <w:t>ств дл</w:t>
      </w:r>
      <w:proofErr w:type="gramEnd"/>
      <w:r w:rsidRPr="00720AE4">
        <w:rPr>
          <w:rFonts w:cs="Times New Roman"/>
          <w:szCs w:val="28"/>
        </w:rPr>
        <w:t xml:space="preserve">я формирования выводов, предложений и рекомендаций по результатам аудиторского мероприятия. </w:t>
      </w:r>
    </w:p>
    <w:p w:rsidR="00CC2291" w:rsidRPr="00720AE4" w:rsidRDefault="006A6B24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1</w:t>
      </w:r>
      <w:r w:rsidR="00FD640E" w:rsidRPr="00720AE4">
        <w:rPr>
          <w:rFonts w:cs="Times New Roman"/>
          <w:szCs w:val="28"/>
        </w:rPr>
        <w:t>7</w:t>
      </w:r>
      <w:r w:rsidRPr="00720AE4">
        <w:rPr>
          <w:rFonts w:cs="Times New Roman"/>
          <w:szCs w:val="28"/>
        </w:rPr>
        <w:t>.</w:t>
      </w:r>
      <w:r w:rsidR="00FD640E" w:rsidRPr="00720AE4">
        <w:rPr>
          <w:rFonts w:cs="Times New Roman"/>
          <w:szCs w:val="28"/>
        </w:rPr>
        <w:t xml:space="preserve"> </w:t>
      </w:r>
      <w:r w:rsidR="00CC2291" w:rsidRPr="00720AE4">
        <w:rPr>
          <w:rFonts w:cs="Times New Roman"/>
          <w:szCs w:val="28"/>
        </w:rPr>
        <w:t>Выбор метода внутреннего финансового аудита для исследования каждого из вопросов, подлежащих изучению для достижения целей аудиторского мероприятия, основывается на характере исследуемого вопроса и целях его изучения.</w:t>
      </w:r>
    </w:p>
    <w:p w:rsidR="00CC2291" w:rsidRPr="00720AE4" w:rsidRDefault="00CC2291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Для изучения одного вопроса могут быть использованы несколько методов внутреннего финансового аудита.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18. Аналитические процедуры используют: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а) при планирован</w:t>
      </w:r>
      <w:proofErr w:type="gramStart"/>
      <w:r w:rsidRPr="00720AE4">
        <w:rPr>
          <w:rFonts w:cs="Times New Roman"/>
          <w:szCs w:val="28"/>
        </w:rPr>
        <w:t>ии ау</w:t>
      </w:r>
      <w:proofErr w:type="gramEnd"/>
      <w:r w:rsidRPr="00720AE4">
        <w:rPr>
          <w:rFonts w:cs="Times New Roman"/>
          <w:szCs w:val="28"/>
        </w:rPr>
        <w:t>диторских мероприятий – как метод изучения организации и характера бюджетных процедур, являющихся объектами аудиторских мероприятий;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proofErr w:type="gramStart"/>
      <w:r w:rsidRPr="00720AE4">
        <w:rPr>
          <w:rFonts w:cs="Times New Roman"/>
          <w:szCs w:val="28"/>
        </w:rPr>
        <w:t>б) при проведении аудиторских мероприятий в целях оценки надежности внутреннего финансового контроля главного администратора (администратора) бюджетных средств и подготовки предложений по его организации – как метод изучения выполняемых субъектами бюджетных процедур операций (действий) и их результатов, выявления избыточных операций (действий) при выполнении внутренних бюджетных процедур, изучения соразмерности контрольных действий бюджетным рискам, при изучении ведомственных (внутренних) актов главного администратора (администратора) бюджетных средств</w:t>
      </w:r>
      <w:proofErr w:type="gramEnd"/>
      <w:r w:rsidRPr="00720AE4">
        <w:rPr>
          <w:rFonts w:cs="Times New Roman"/>
          <w:szCs w:val="28"/>
        </w:rPr>
        <w:t xml:space="preserve">, устанавливающих требования к организации (обеспечению выполнения), </w:t>
      </w:r>
      <w:r w:rsidRPr="00720AE4">
        <w:rPr>
          <w:rFonts w:cs="Times New Roman"/>
          <w:szCs w:val="28"/>
        </w:rPr>
        <w:lastRenderedPageBreak/>
        <w:t>выполнению бюджетных процедур, других вопросов в соответствии с программой аудиторского мероприятия;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  <w:lang w:eastAsia="ru-RU"/>
        </w:rPr>
      </w:pPr>
      <w:proofErr w:type="gramStart"/>
      <w:r w:rsidRPr="00720AE4">
        <w:rPr>
          <w:rFonts w:cs="Times New Roman"/>
          <w:szCs w:val="28"/>
        </w:rPr>
        <w:t xml:space="preserve">в) при проведении аудиторских мероприятий в целях подтверждения достоверности бюджетной отчетности главного администратора (администратора) бюджетных средств </w:t>
      </w:r>
      <w:r w:rsidRPr="00720AE4">
        <w:rPr>
          <w:rFonts w:cs="Times New Roman"/>
          <w:szCs w:val="28"/>
          <w:lang w:eastAsia="ru-RU"/>
        </w:rPr>
        <w:t xml:space="preserve">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 главного администратора (администратора) бюджетных средств, принятым в соответствии с пунктом 5 статьи </w:t>
      </w:r>
      <w:r w:rsidRPr="00720AE4">
        <w:rPr>
          <w:rFonts w:cs="Times New Roman"/>
          <w:szCs w:val="28"/>
        </w:rPr>
        <w:t>26</w:t>
      </w:r>
      <w:r w:rsidRPr="00720AE4">
        <w:rPr>
          <w:rFonts w:cs="Times New Roman"/>
          <w:bCs/>
          <w:szCs w:val="28"/>
        </w:rPr>
        <w:t xml:space="preserve">4.1 </w:t>
      </w:r>
      <w:r w:rsidRPr="00720AE4">
        <w:rPr>
          <w:rFonts w:cs="Times New Roman"/>
          <w:szCs w:val="28"/>
          <w:lang w:eastAsia="ru-RU"/>
        </w:rPr>
        <w:t>Бюджетного кодекса Российской Федерации – как</w:t>
      </w:r>
      <w:proofErr w:type="gramEnd"/>
      <w:r w:rsidRPr="00720AE4">
        <w:rPr>
          <w:rFonts w:cs="Times New Roman"/>
          <w:szCs w:val="28"/>
          <w:lang w:eastAsia="ru-RU"/>
        </w:rPr>
        <w:t xml:space="preserve"> метод изучения взаимосвязанных показателей бюджетной отчетности на предмет их непротиворечивости и выявления рисков существенного искажения бюджетной отчетности, изучении ведомственных (внутренних) актов главного администратора (администратора) бюджетных средств, устанавливающих требования к организации и ведению бюджетного учета;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  <w:lang w:eastAsia="ru-RU"/>
        </w:rPr>
        <w:t>г) при проведен</w:t>
      </w:r>
      <w:proofErr w:type="gramStart"/>
      <w:r w:rsidRPr="00720AE4">
        <w:rPr>
          <w:rFonts w:cs="Times New Roman"/>
          <w:szCs w:val="28"/>
          <w:lang w:eastAsia="ru-RU"/>
        </w:rPr>
        <w:t>ии ау</w:t>
      </w:r>
      <w:proofErr w:type="gramEnd"/>
      <w:r w:rsidRPr="00720AE4">
        <w:rPr>
          <w:rFonts w:cs="Times New Roman"/>
          <w:szCs w:val="28"/>
          <w:lang w:eastAsia="ru-RU"/>
        </w:rPr>
        <w:t>диторских мероприятий в целях повышения качества финансового менеджмента – как метод оценки исполнения бюджетных полномочий главного администратора (администратора) бюджетных средств во взаимосвязи с мониторингом показателей качества финансового менеджмента, при изучении других вопросов в соответствии с программой аудиторского мероприятия.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19. Инспектирование как метод внутреннего финансового аудита используют: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proofErr w:type="gramStart"/>
      <w:r w:rsidRPr="00720AE4">
        <w:rPr>
          <w:rFonts w:cs="Times New Roman"/>
          <w:szCs w:val="28"/>
        </w:rPr>
        <w:t xml:space="preserve">а) при проведении аудиторских мероприятий в целях оценки надежности внутреннего финансового контроля главного администратора (администратора) бюджетных средств и подготовки предложений по его организации – как метод изучения операций (действий) по выполнению внутренних бюджетных процедур, изучения наличия прав доступа пользователей (субъектов бюджетных процедур) к базам данных, вводу и выводу информации из </w:t>
      </w:r>
      <w:r w:rsidRPr="00720AE4">
        <w:rPr>
          <w:rFonts w:cs="Times New Roman"/>
          <w:szCs w:val="28"/>
        </w:rPr>
        <w:lastRenderedPageBreak/>
        <w:t>прикладных программных средств автоматизации и соблюдения ограничений таких прав, изучения контрольных</w:t>
      </w:r>
      <w:proofErr w:type="gramEnd"/>
      <w:r w:rsidRPr="00720AE4">
        <w:rPr>
          <w:rFonts w:cs="Times New Roman"/>
          <w:szCs w:val="28"/>
        </w:rPr>
        <w:t xml:space="preserve"> действий, при изучении других вопросов в соответствии с программой аудиторского мероприятия;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  <w:lang w:eastAsia="ru-RU"/>
        </w:rPr>
      </w:pPr>
      <w:r w:rsidRPr="00720AE4">
        <w:rPr>
          <w:rFonts w:cs="Times New Roman"/>
          <w:szCs w:val="28"/>
        </w:rPr>
        <w:t xml:space="preserve"> </w:t>
      </w:r>
      <w:proofErr w:type="gramStart"/>
      <w:r w:rsidRPr="00720AE4">
        <w:rPr>
          <w:rFonts w:cs="Times New Roman"/>
          <w:szCs w:val="28"/>
        </w:rPr>
        <w:t xml:space="preserve">б) при проведении аудиторских мероприятий в целях подтверждения достоверности бюджетной отчетности главного администратора (администратора) бюджетных средств </w:t>
      </w:r>
      <w:r w:rsidRPr="00720AE4">
        <w:rPr>
          <w:rFonts w:cs="Times New Roman"/>
          <w:szCs w:val="28"/>
          <w:lang w:eastAsia="ru-RU"/>
        </w:rPr>
        <w:t xml:space="preserve">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 главного администратора (администратора) бюджетных средств, принятым в соответствии с пунктом 5 статьи </w:t>
      </w:r>
      <w:r w:rsidRPr="00720AE4">
        <w:rPr>
          <w:rFonts w:cs="Times New Roman"/>
          <w:szCs w:val="28"/>
        </w:rPr>
        <w:t>26</w:t>
      </w:r>
      <w:r w:rsidRPr="00720AE4">
        <w:rPr>
          <w:rFonts w:cs="Times New Roman"/>
          <w:bCs/>
          <w:szCs w:val="28"/>
        </w:rPr>
        <w:t xml:space="preserve">4.1 </w:t>
      </w:r>
      <w:r w:rsidRPr="00720AE4">
        <w:rPr>
          <w:rFonts w:cs="Times New Roman"/>
          <w:szCs w:val="28"/>
          <w:lang w:eastAsia="ru-RU"/>
        </w:rPr>
        <w:t>Бюджетного кодекса Российской Федерации – как</w:t>
      </w:r>
      <w:proofErr w:type="gramEnd"/>
      <w:r w:rsidRPr="00720AE4">
        <w:rPr>
          <w:rFonts w:cs="Times New Roman"/>
          <w:szCs w:val="28"/>
          <w:lang w:eastAsia="ru-RU"/>
        </w:rPr>
        <w:t xml:space="preserve"> метод изучения показателей бюджетной отчетности главного администратора (администратора) бюджетных средств, данных регистров бюджетного учета, первичных учетных документов, при изучении других вопросов в соответствии с программой аудиторского мероприятия;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proofErr w:type="gramStart"/>
      <w:r w:rsidRPr="00720AE4">
        <w:rPr>
          <w:rFonts w:cs="Times New Roman"/>
          <w:szCs w:val="28"/>
          <w:lang w:eastAsia="ru-RU"/>
        </w:rPr>
        <w:t xml:space="preserve">в) при проведении аудиторских мероприятий в целях повышения качества финансового менеджмента – как метод изучения </w:t>
      </w:r>
      <w:r w:rsidRPr="00720AE4">
        <w:rPr>
          <w:rFonts w:cs="Times New Roman"/>
          <w:szCs w:val="28"/>
        </w:rPr>
        <w:t>воздействия прикладных программных средств автоматизации на результаты выполнения бюджетных процедур, на операции (действия) по выполнению бюджетных процедур,</w:t>
      </w:r>
      <w:r w:rsidRPr="00720AE4">
        <w:rPr>
          <w:rFonts w:cs="Times New Roman"/>
          <w:szCs w:val="28"/>
          <w:lang w:eastAsia="ru-RU"/>
        </w:rPr>
        <w:t xml:space="preserve"> при изучении результатов исполнения </w:t>
      </w:r>
      <w:r w:rsidRPr="00720AE4">
        <w:rPr>
          <w:rFonts w:cs="Times New Roman"/>
          <w:szCs w:val="28"/>
        </w:rPr>
        <w:t>решений субъектов бюджетных процедур, направленных на повышение качества финансового менеджмента, при изучении других вопросов в соответствии с программой аудиторского мероприятия;</w:t>
      </w:r>
      <w:proofErr w:type="gramEnd"/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г) при проведении мониторинга выполнения мероприятий по устранению выявленных </w:t>
      </w:r>
      <w:r w:rsidR="00720AE4">
        <w:rPr>
          <w:rFonts w:cs="Times New Roman"/>
          <w:szCs w:val="28"/>
        </w:rPr>
        <w:t>нарушений и недостатков,</w:t>
      </w:r>
      <w:r w:rsidRPr="00720AE4">
        <w:rPr>
          <w:rFonts w:cs="Times New Roman"/>
          <w:szCs w:val="28"/>
        </w:rPr>
        <w:t xml:space="preserve"> реализации рекомендаций по результатам аудиторских мероприятий.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20. Пересчет как метод внутреннего финансового аудита используют для проверки правильности формирования числовых показателей в документах, формируемых субъектами бюджетных процедур.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lastRenderedPageBreak/>
        <w:t>Если при формировании документов, содержащих числовые показатели, используют автоматизированные системы, то для проверки правильности формирования числовых показателей вместо пересчета может использоваться проверка используемых при их формировании формул (алгоритмов).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21. Запрос с целью получения информации (данных, документов), необходимой для проведения аудиторского мероприятия, а также подтверждения информации, должен быть связан с темой (объектами и целью) аудиторского мероприятия и содержать сроки, форму и адресата ответа. 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22. Наблюдение за действиями субъектов бюджетных процедур как метод внутреннего финансового аудита используют с целью изучения операций (действий) по выполнению бюджетных процедур, процедур внутреннего финансового контроля (контрольных действий). 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Наблюдение не должно создавать препятствий для выполнения операций (действий) субъектами бюджетных процедур. Наблюдаемые операции (действия) должны производиться субъектами внутренних бюджетных процедур в рамках исполнения ими своих должностных обязанностей и не должны осуществляться исключительно с целью их проверки членами аудиторской группы.</w:t>
      </w:r>
    </w:p>
    <w:p w:rsidR="00FD640E" w:rsidRPr="00720AE4" w:rsidRDefault="00FD640E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23. Мониторинг процедур внутреннего финансового контроля как метод внутреннего финансового аудита используется при проведен</w:t>
      </w:r>
      <w:proofErr w:type="gramStart"/>
      <w:r w:rsidRPr="00720AE4">
        <w:rPr>
          <w:rFonts w:cs="Times New Roman"/>
          <w:szCs w:val="28"/>
        </w:rPr>
        <w:t>ии ау</w:t>
      </w:r>
      <w:proofErr w:type="gramEnd"/>
      <w:r w:rsidRPr="00720AE4">
        <w:rPr>
          <w:rFonts w:cs="Times New Roman"/>
          <w:szCs w:val="28"/>
        </w:rPr>
        <w:t>диторских мероприятий в целях оценки надежности системы внутреннего финансового контроля главного администратора (администратора) бюджетных средств, а также подготовки предложений по его организации.</w:t>
      </w:r>
    </w:p>
    <w:p w:rsidR="001E7DAF" w:rsidRPr="00720AE4" w:rsidRDefault="00E60E5F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2</w:t>
      </w:r>
      <w:r w:rsidR="00264E05" w:rsidRPr="00720AE4">
        <w:rPr>
          <w:rFonts w:cs="Times New Roman"/>
          <w:szCs w:val="28"/>
        </w:rPr>
        <w:t>4</w:t>
      </w:r>
      <w:r w:rsidRPr="00720AE4">
        <w:rPr>
          <w:rFonts w:cs="Times New Roman"/>
          <w:szCs w:val="28"/>
        </w:rPr>
        <w:t>. В случае формирования аудиторской группы численность аудиторской группы определяется исходя из целей аудиторского мероприятия, сроков проведения аудиторского мероприятия и квалификации должностных лиц (работников) субъекта внутреннего финансового аудита.</w:t>
      </w:r>
    </w:p>
    <w:p w:rsidR="007C3062" w:rsidRPr="00720AE4" w:rsidRDefault="00E60E5F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2</w:t>
      </w:r>
      <w:r w:rsidR="00264E05" w:rsidRPr="00720AE4">
        <w:rPr>
          <w:rFonts w:cs="Times New Roman"/>
          <w:szCs w:val="28"/>
        </w:rPr>
        <w:t>5</w:t>
      </w:r>
      <w:r w:rsidRPr="00720AE4">
        <w:rPr>
          <w:rFonts w:cs="Times New Roman"/>
          <w:szCs w:val="28"/>
        </w:rPr>
        <w:t xml:space="preserve">. </w:t>
      </w:r>
      <w:proofErr w:type="gramStart"/>
      <w:r w:rsidRPr="00720AE4">
        <w:rPr>
          <w:rFonts w:cs="Times New Roman"/>
          <w:szCs w:val="28"/>
        </w:rPr>
        <w:t>Исходя из целей аудиторского мероприятия к его проведению может</w:t>
      </w:r>
      <w:proofErr w:type="gramEnd"/>
      <w:r w:rsidRPr="00720AE4">
        <w:rPr>
          <w:rFonts w:cs="Times New Roman"/>
          <w:szCs w:val="28"/>
        </w:rPr>
        <w:t xml:space="preserve"> быть привлечено должностное лицо (работник) главного администратора (администратора) бюджетных средств и (или) эксперт. </w:t>
      </w:r>
    </w:p>
    <w:p w:rsidR="00E60E5F" w:rsidRPr="00720AE4" w:rsidRDefault="00E60E5F" w:rsidP="00720A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AE4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264E05" w:rsidRPr="00720AE4">
        <w:rPr>
          <w:rFonts w:ascii="Times New Roman" w:hAnsi="Times New Roman" w:cs="Times New Roman"/>
          <w:b w:val="0"/>
          <w:sz w:val="28"/>
          <w:szCs w:val="28"/>
        </w:rPr>
        <w:t>6</w:t>
      </w:r>
      <w:r w:rsidRPr="00720AE4">
        <w:rPr>
          <w:rFonts w:ascii="Times New Roman" w:hAnsi="Times New Roman" w:cs="Times New Roman"/>
          <w:b w:val="0"/>
          <w:sz w:val="28"/>
          <w:szCs w:val="28"/>
        </w:rPr>
        <w:t>. Местом проведения аудиторского мероприятия могут быть как помещения и территории, занимаемые субъектами бюджетных процедур, так и помещения, занимаемые субъектом внутреннего финансового аудита. Выбор мест проведения аудиторского мероприятия для осуществления отдельных пунктов программы аудиторского мероприятия осуществляет руководитель аудиторской группы при составлении программы.</w:t>
      </w:r>
    </w:p>
    <w:p w:rsidR="007C3062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27</w:t>
      </w:r>
      <w:r w:rsidR="00FD640E" w:rsidRPr="00720AE4">
        <w:rPr>
          <w:rFonts w:cs="Times New Roman"/>
          <w:szCs w:val="28"/>
        </w:rPr>
        <w:t>. При проведен</w:t>
      </w:r>
      <w:proofErr w:type="gramStart"/>
      <w:r w:rsidR="00FD640E" w:rsidRPr="00720AE4">
        <w:rPr>
          <w:rFonts w:cs="Times New Roman"/>
          <w:szCs w:val="28"/>
        </w:rPr>
        <w:t>ии ау</w:t>
      </w:r>
      <w:proofErr w:type="gramEnd"/>
      <w:r w:rsidR="00FD640E" w:rsidRPr="00720AE4">
        <w:rPr>
          <w:rFonts w:cs="Times New Roman"/>
          <w:szCs w:val="28"/>
        </w:rPr>
        <w:t>диторского мероприятия руководитель аудиторской группы на основании полученной информации может прийти к выводу о необходимости переоценки значимости (уровня) бюджетных рисков</w:t>
      </w:r>
      <w:r w:rsidR="00720AE4">
        <w:rPr>
          <w:rFonts w:cs="Times New Roman"/>
          <w:szCs w:val="28"/>
        </w:rPr>
        <w:t xml:space="preserve">, а также </w:t>
      </w:r>
      <w:r w:rsidR="007C3062" w:rsidRPr="00720AE4">
        <w:rPr>
          <w:rFonts w:cs="Times New Roman"/>
          <w:szCs w:val="28"/>
        </w:rPr>
        <w:t xml:space="preserve">подготовить и представить на согласование руководителю субъекта внутреннего финансового аудита предложения по изменению программы аудиторского мероприятия. </w:t>
      </w:r>
    </w:p>
    <w:p w:rsidR="00535508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28</w:t>
      </w:r>
      <w:r w:rsidR="00535508" w:rsidRPr="00720AE4">
        <w:rPr>
          <w:rFonts w:cs="Times New Roman"/>
          <w:szCs w:val="28"/>
        </w:rPr>
        <w:t xml:space="preserve">. </w:t>
      </w:r>
      <w:r w:rsidR="001D27BE" w:rsidRPr="00720AE4">
        <w:rPr>
          <w:rFonts w:cs="Times New Roman"/>
          <w:szCs w:val="28"/>
        </w:rPr>
        <w:t>У</w:t>
      </w:r>
      <w:r w:rsidR="00535508" w:rsidRPr="00720AE4">
        <w:rPr>
          <w:rFonts w:cs="Times New Roman"/>
          <w:szCs w:val="28"/>
        </w:rPr>
        <w:t>твержденн</w:t>
      </w:r>
      <w:r w:rsidR="001D27BE" w:rsidRPr="00720AE4">
        <w:rPr>
          <w:rFonts w:cs="Times New Roman"/>
          <w:szCs w:val="28"/>
        </w:rPr>
        <w:t>ая</w:t>
      </w:r>
      <w:r w:rsidR="00535508" w:rsidRPr="00720AE4">
        <w:rPr>
          <w:rFonts w:cs="Times New Roman"/>
          <w:szCs w:val="28"/>
        </w:rPr>
        <w:t xml:space="preserve"> программ</w:t>
      </w:r>
      <w:r w:rsidR="001D27BE" w:rsidRPr="00720AE4">
        <w:rPr>
          <w:rFonts w:cs="Times New Roman"/>
          <w:szCs w:val="28"/>
        </w:rPr>
        <w:t>а</w:t>
      </w:r>
      <w:r w:rsidR="00535508" w:rsidRPr="00720AE4">
        <w:rPr>
          <w:rFonts w:cs="Times New Roman"/>
          <w:szCs w:val="28"/>
        </w:rPr>
        <w:t xml:space="preserve"> аудиторского мероприятия (изменения в программу аудиторского мероприятия) </w:t>
      </w:r>
      <w:r w:rsidR="001D27BE" w:rsidRPr="00720AE4">
        <w:rPr>
          <w:rFonts w:cs="Times New Roman"/>
          <w:szCs w:val="28"/>
        </w:rPr>
        <w:t xml:space="preserve">могут быть представлены </w:t>
      </w:r>
      <w:r w:rsidR="00535508" w:rsidRPr="00720AE4">
        <w:rPr>
          <w:rFonts w:cs="Times New Roman"/>
          <w:szCs w:val="28"/>
        </w:rPr>
        <w:t>для ознакомления субъектам бюджетных процедур, являющимся руководителями структурных подразделений главного администратора (администратора) бюджетных средств.</w:t>
      </w:r>
    </w:p>
    <w:p w:rsidR="000609CD" w:rsidRDefault="000609CD" w:rsidP="00720A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64E05" w:rsidRPr="00720AE4" w:rsidRDefault="00264E05" w:rsidP="00720A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20AE4">
        <w:rPr>
          <w:rFonts w:ascii="Times New Roman" w:hAnsi="Times New Roman" w:cs="Times New Roman"/>
          <w:color w:val="000000" w:themeColor="text1"/>
        </w:rPr>
        <w:t>Проведение аудиторских мероприятий</w:t>
      </w:r>
    </w:p>
    <w:p w:rsidR="00264E05" w:rsidRPr="00720AE4" w:rsidRDefault="00264E05" w:rsidP="00720AE4">
      <w:pPr>
        <w:pStyle w:val="ConsPlusTitle"/>
        <w:keepNext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29. Аудиторские доказательства представляют собой документы и фактические данные, информацию, полученную при выполнен</w:t>
      </w:r>
      <w:proofErr w:type="gramStart"/>
      <w:r w:rsidRPr="00720AE4">
        <w:rPr>
          <w:rFonts w:cs="Times New Roman"/>
          <w:szCs w:val="28"/>
        </w:rPr>
        <w:t>ии ау</w:t>
      </w:r>
      <w:proofErr w:type="gramEnd"/>
      <w:r w:rsidRPr="00720AE4">
        <w:rPr>
          <w:rFonts w:cs="Times New Roman"/>
          <w:szCs w:val="28"/>
        </w:rPr>
        <w:t>диторских процедур в отношении объектов внутреннего финансового аудита в ходе проведения аудиторского мероприятия.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proofErr w:type="gramStart"/>
      <w:r w:rsidRPr="00720AE4">
        <w:rPr>
          <w:rFonts w:cs="Times New Roman"/>
          <w:szCs w:val="28"/>
        </w:rPr>
        <w:t xml:space="preserve">Аудиторские доказательства могут также включать информацию, полученную при оценке бюджетных рисков, проведении предыдущих аудиторских мероприятий, а также мониторинга выполнения мероприятий по устранению выявленных нарушений и недостатков и реализации рекомендаций по результатам аудиторских мероприятий в отношении тех же бюджетных процедур, которые являются объектами текущего аудиторского мероприятия, </w:t>
      </w:r>
      <w:r w:rsidRPr="00720AE4">
        <w:rPr>
          <w:rFonts w:cs="Times New Roman"/>
          <w:szCs w:val="28"/>
        </w:rPr>
        <w:lastRenderedPageBreak/>
        <w:t>если после даты окончания предыдущих аудиторских мероприятий (мониторинга выполнения планов мероприятий по устранению выявленных нарушений</w:t>
      </w:r>
      <w:proofErr w:type="gramEnd"/>
      <w:r w:rsidRPr="00720AE4">
        <w:rPr>
          <w:rFonts w:cs="Times New Roman"/>
          <w:szCs w:val="28"/>
        </w:rPr>
        <w:t xml:space="preserve"> и недостатков и реализации рекомендаций по результатам аудиторских мероприятий) не произошли какие-либо изменения, влияющие на уместность такой информации для целей текущего аудиторского мероприятия.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30. При проведен</w:t>
      </w:r>
      <w:proofErr w:type="gramStart"/>
      <w:r w:rsidRPr="00720AE4">
        <w:rPr>
          <w:rFonts w:cs="Times New Roman"/>
          <w:szCs w:val="28"/>
        </w:rPr>
        <w:t>ии ау</w:t>
      </w:r>
      <w:proofErr w:type="gramEnd"/>
      <w:r w:rsidRPr="00720AE4">
        <w:rPr>
          <w:rFonts w:cs="Times New Roman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31. Достаточность является мерой количества аудиторских доказательств, необходимых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 При оценке достаточности аудиторских доказатель</w:t>
      </w:r>
      <w:proofErr w:type="gramStart"/>
      <w:r w:rsidRPr="00720AE4">
        <w:rPr>
          <w:rFonts w:cs="Times New Roman"/>
          <w:szCs w:val="28"/>
        </w:rPr>
        <w:t>ств сл</w:t>
      </w:r>
      <w:proofErr w:type="gramEnd"/>
      <w:r w:rsidRPr="00720AE4">
        <w:rPr>
          <w:rFonts w:cs="Times New Roman"/>
          <w:szCs w:val="28"/>
        </w:rPr>
        <w:t>едует учитывать, что большой объем аудиторских доказательств не компенсирует их нерелевантность и ненадежность.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32. Уместность является мерой качества аудиторских доказательств. Уместность аудиторских доказательств характеризуется их релевантностью и надежностью.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Аудиторские доказательства являются релевантными, если они имеют логическую связь с вопросами, подлежащими изучению в соответствии с программой аудиторского мероприятия, и важны для изучения этих вопросов и достижения целей аудиторского мероприятия.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Надежность аудиторских доказательств зависит от их характера и источника. Надежные аудиторские доказательства должны быть получены с применением прозрачных и воспроизводимых методов, т. е. должны показывать те же результаты при повторном тестировании. 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33. При оценке уместности аудиторских доказательств учитывают следующее: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lastRenderedPageBreak/>
        <w:t>документированные аудиторские доказательства более надежны, чем устные, но надежность документированных аудиторских доказательств может быть разной в зависимости от источника и цели документа;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письменные свидетельства более надежны, чем устные разъяснения;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аудиторские доказательства, полученные из нескольких источников, более надежны, чем полученные из одного источника;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аудиторские доказательства, полученные от незаинтересованных третьих сторон, более надежны, чем полученные от субъектов бюджетных процедур;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аудиторские доказательства, полученные от субъектов бюджетных процедур, более надежны в условиях эффективного внутреннего контроля, включая </w:t>
      </w:r>
      <w:proofErr w:type="gramStart"/>
      <w:r w:rsidRPr="00720AE4">
        <w:rPr>
          <w:rFonts w:cs="Times New Roman"/>
          <w:szCs w:val="28"/>
        </w:rPr>
        <w:t>контроль за</w:t>
      </w:r>
      <w:proofErr w:type="gramEnd"/>
      <w:r w:rsidRPr="00720AE4">
        <w:rPr>
          <w:rFonts w:cs="Times New Roman"/>
          <w:szCs w:val="28"/>
        </w:rPr>
        <w:t xml:space="preserve"> подготовкой документов и данных, информации, рассматриваемых в качестве аудиторских доказательств;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proofErr w:type="gramStart"/>
      <w:r w:rsidRPr="00720AE4">
        <w:rPr>
          <w:rFonts w:cs="Times New Roman"/>
          <w:szCs w:val="28"/>
        </w:rPr>
        <w:t>аудиторские доказательства, собранные непосредственно аудитором (например, путем наблюдения, пересчета, инспектирования), более надежны, чем полученные косвенным путем (например, путем запроса);</w:t>
      </w:r>
      <w:proofErr w:type="gramEnd"/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оригиналы документов более надежны, чем их копии, включая трансформацию в электронную форму, надежность которых зависит от </w:t>
      </w:r>
      <w:proofErr w:type="gramStart"/>
      <w:r w:rsidRPr="00720AE4">
        <w:rPr>
          <w:rFonts w:cs="Times New Roman"/>
          <w:szCs w:val="28"/>
        </w:rPr>
        <w:t>контроля за</w:t>
      </w:r>
      <w:proofErr w:type="gramEnd"/>
      <w:r w:rsidRPr="00720AE4">
        <w:rPr>
          <w:rFonts w:cs="Times New Roman"/>
          <w:szCs w:val="28"/>
        </w:rPr>
        <w:t xml:space="preserve"> их подготовкой.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34. 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 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35. Изучение объектов внутреннего финансового аудита, </w:t>
      </w:r>
      <w:proofErr w:type="gramStart"/>
      <w:r w:rsidRPr="00720AE4">
        <w:rPr>
          <w:rFonts w:cs="Times New Roman"/>
          <w:szCs w:val="28"/>
        </w:rPr>
        <w:t>документов, данных и информации может</w:t>
      </w:r>
      <w:proofErr w:type="gramEnd"/>
      <w:r w:rsidRPr="00720AE4">
        <w:rPr>
          <w:rFonts w:cs="Times New Roman"/>
          <w:szCs w:val="28"/>
        </w:rPr>
        <w:t xml:space="preserve"> осуществляться сплошным или выборочным способом. Использование сплошного или выборочного способа изучения зависит от целей аудиторского мероприятия и характеристик исследуемых данных, документов, информации, процедур, а также использования программных сре</w:t>
      </w:r>
      <w:proofErr w:type="gramStart"/>
      <w:r w:rsidRPr="00720AE4">
        <w:rPr>
          <w:rFonts w:cs="Times New Roman"/>
          <w:szCs w:val="28"/>
        </w:rPr>
        <w:t>дств дл</w:t>
      </w:r>
      <w:proofErr w:type="gramEnd"/>
      <w:r w:rsidRPr="00720AE4">
        <w:rPr>
          <w:rFonts w:cs="Times New Roman"/>
          <w:szCs w:val="28"/>
        </w:rPr>
        <w:t>я изучения объектов внутреннего финансового аудита.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36. Сплошной способ изучения целесообразно применять в случаях, когда изучаемая совокупность объектов состоит из небольшого количества операций (действий), документов, данных, информации, или другие способы изучения </w:t>
      </w:r>
      <w:r w:rsidRPr="00720AE4">
        <w:rPr>
          <w:rFonts w:cs="Times New Roman"/>
          <w:szCs w:val="28"/>
        </w:rPr>
        <w:lastRenderedPageBreak/>
        <w:t>объектов внутреннего финансового аудита не обеспечат получение достаточных и уместных аудиторских доказательств. Сплошной способ применяется также в случаях, когда сплошная проверка более эффективна, чем остальные способы с точки зрения трудозатрат (например, при использовании программного обеспечения для изучения внутреннего финансового аудита).</w:t>
      </w:r>
    </w:p>
    <w:p w:rsidR="00264E05" w:rsidRPr="00720AE4" w:rsidRDefault="00975CDC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37</w:t>
      </w:r>
      <w:r w:rsidR="00264E05" w:rsidRPr="00720AE4">
        <w:rPr>
          <w:rFonts w:cs="Times New Roman"/>
          <w:szCs w:val="28"/>
        </w:rPr>
        <w:t xml:space="preserve">. Отбор конкретных операций (действий), документов, данных, информации для изучения (отбор ключевых элементов) производится на основе понимания аудитором изучаемых объектов внутреннего финансового аудита, целей аудиторского мероприятия, оценки бюджетных рисков. 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Отбор ключевых элементов производится в случаях, когда изучения этих элементов достаточно для достижения целей аудиторского мероприятия в отношении изучаемых объектов внутреннего финансового аудита.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Выводы аудитора, сделанные на основе изучения ключевых элементов, относятся только к этим элементам и не могут быть распространены на всю совокупность изучаемых операций (действий), документов, данных, информации.</w:t>
      </w:r>
    </w:p>
    <w:p w:rsidR="00264E05" w:rsidRPr="00720AE4" w:rsidRDefault="00975CDC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38</w:t>
      </w:r>
      <w:r w:rsidR="00264E05" w:rsidRPr="00720AE4">
        <w:rPr>
          <w:rFonts w:cs="Times New Roman"/>
          <w:szCs w:val="28"/>
        </w:rPr>
        <w:t>. Аудиторская выборка предназначена для того, чтобы на основании изучения менее</w:t>
      </w:r>
      <w:proofErr w:type="gramStart"/>
      <w:r w:rsidR="00264E05" w:rsidRPr="00720AE4">
        <w:rPr>
          <w:rFonts w:cs="Times New Roman"/>
          <w:szCs w:val="28"/>
        </w:rPr>
        <w:t>,</w:t>
      </w:r>
      <w:proofErr w:type="gramEnd"/>
      <w:r w:rsidR="00264E05" w:rsidRPr="00720AE4">
        <w:rPr>
          <w:rFonts w:cs="Times New Roman"/>
          <w:szCs w:val="28"/>
        </w:rPr>
        <w:t xml:space="preserve"> чем 100% элементов общего набора операций (действий), документов, данных, информации (далее – генеральной совокупности), из которых производится выборка, сделать выводы относительно всей генеральной совокупности.</w:t>
      </w:r>
    </w:p>
    <w:p w:rsidR="00264E05" w:rsidRPr="00720AE4" w:rsidRDefault="00975CDC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39</w:t>
      </w:r>
      <w:r w:rsidR="00264E05" w:rsidRPr="00720AE4">
        <w:rPr>
          <w:rFonts w:cs="Times New Roman"/>
          <w:szCs w:val="28"/>
        </w:rPr>
        <w:t>. При проведен</w:t>
      </w:r>
      <w:proofErr w:type="gramStart"/>
      <w:r w:rsidR="00264E05" w:rsidRPr="00720AE4">
        <w:rPr>
          <w:rFonts w:cs="Times New Roman"/>
          <w:szCs w:val="28"/>
        </w:rPr>
        <w:t>ии ау</w:t>
      </w:r>
      <w:proofErr w:type="gramEnd"/>
      <w:r w:rsidR="00264E05" w:rsidRPr="00720AE4">
        <w:rPr>
          <w:rFonts w:cs="Times New Roman"/>
          <w:szCs w:val="28"/>
        </w:rPr>
        <w:t>диторского мероприятия может использоваться статистическая или нестатистическая выборка.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Статистическая выборка – это метод формирования выборки, при котором: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а) элементы для изучения выбираются из генеральной совокупности случайным способом;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б) для оценки результатов выборки используется теория вероятности.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Выборка, не соответствующая характеристикам, перечисленным в </w:t>
      </w:r>
      <w:r w:rsidR="00720AE4">
        <w:rPr>
          <w:rFonts w:cs="Times New Roman"/>
          <w:szCs w:val="28"/>
        </w:rPr>
        <w:t>настоящем пункте</w:t>
      </w:r>
      <w:r w:rsidRPr="00720AE4">
        <w:rPr>
          <w:rFonts w:cs="Times New Roman"/>
          <w:szCs w:val="28"/>
        </w:rPr>
        <w:t>, является нестатистической выборкой.</w:t>
      </w:r>
    </w:p>
    <w:p w:rsidR="00975CDC" w:rsidRPr="00720AE4" w:rsidRDefault="00975CDC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lastRenderedPageBreak/>
        <w:t xml:space="preserve">40. </w:t>
      </w:r>
      <w:proofErr w:type="gramStart"/>
      <w:r w:rsidRPr="00720AE4">
        <w:rPr>
          <w:rFonts w:cs="Times New Roman"/>
          <w:szCs w:val="28"/>
        </w:rPr>
        <w:t>Способы осуществления выборки (качественная выборка, количественная выборка, статистическая выборка, нестатистическая выборка) могут быть установлены ведомственным (внутренним) актом главного администратора (администратора) бюджетных средств, обеспечивающим осуществление внутреннего финансового аудита.</w:t>
      </w:r>
      <w:proofErr w:type="gramEnd"/>
    </w:p>
    <w:p w:rsidR="00975CDC" w:rsidRPr="00720AE4" w:rsidRDefault="00975CDC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41. Применяемый для изучения объектов внутреннего финансового аудита способ выборки должен обеспечить получение аудиторских доказательств, достаточных для достижения целей аудиторского мероприятия. </w:t>
      </w:r>
    </w:p>
    <w:p w:rsidR="00264E05" w:rsidRPr="00720AE4" w:rsidRDefault="00975CDC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42</w:t>
      </w:r>
      <w:r w:rsidR="00264E05" w:rsidRPr="00720AE4">
        <w:rPr>
          <w:rFonts w:cs="Times New Roman"/>
          <w:szCs w:val="28"/>
        </w:rPr>
        <w:t>. Полученные при проведен</w:t>
      </w:r>
      <w:proofErr w:type="gramStart"/>
      <w:r w:rsidR="00264E05" w:rsidRPr="00720AE4">
        <w:rPr>
          <w:rFonts w:cs="Times New Roman"/>
          <w:szCs w:val="28"/>
        </w:rPr>
        <w:t>ии ау</w:t>
      </w:r>
      <w:proofErr w:type="gramEnd"/>
      <w:r w:rsidR="00264E05" w:rsidRPr="00720AE4">
        <w:rPr>
          <w:rFonts w:cs="Times New Roman"/>
          <w:szCs w:val="28"/>
        </w:rPr>
        <w:t>диторского мероприятия аудиторские доказательства оцениваются и анализируются в соответствии с целями аудиторского мероприятия и используются для формирования заключения по результатам аудиторского мероприятия.</w:t>
      </w:r>
    </w:p>
    <w:p w:rsidR="00264E05" w:rsidRPr="00720AE4" w:rsidRDefault="00975CDC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43</w:t>
      </w:r>
      <w:r w:rsidR="00264E05" w:rsidRPr="00720AE4">
        <w:rPr>
          <w:rFonts w:cs="Times New Roman"/>
          <w:szCs w:val="28"/>
        </w:rPr>
        <w:t xml:space="preserve">. </w:t>
      </w:r>
      <w:proofErr w:type="gramStart"/>
      <w:r w:rsidR="00264E05" w:rsidRPr="00720AE4">
        <w:rPr>
          <w:rFonts w:cs="Times New Roman"/>
          <w:szCs w:val="28"/>
        </w:rPr>
        <w:t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</w:t>
      </w:r>
      <w:r w:rsidRPr="00720AE4">
        <w:rPr>
          <w:rFonts w:cs="Times New Roman"/>
          <w:szCs w:val="28"/>
        </w:rPr>
        <w:t>ь</w:t>
      </w:r>
      <w:r w:rsidR="00264E05" w:rsidRPr="00720AE4">
        <w:rPr>
          <w:rFonts w:cs="Times New Roman"/>
          <w:szCs w:val="28"/>
        </w:rPr>
        <w:t xml:space="preserve"> информации, полученной в качестве аудиторских доказательств, </w:t>
      </w:r>
      <w:r w:rsidRPr="00720AE4">
        <w:rPr>
          <w:rFonts w:cs="Times New Roman"/>
          <w:szCs w:val="28"/>
        </w:rPr>
        <w:t xml:space="preserve">не подтверждена, то должно быть обеспечено </w:t>
      </w:r>
      <w:r w:rsidR="00264E05" w:rsidRPr="00720AE4">
        <w:rPr>
          <w:rFonts w:cs="Times New Roman"/>
          <w:szCs w:val="28"/>
        </w:rPr>
        <w:t xml:space="preserve">проведение дополнительных аудиторских процедур для сбора достаточных и уместных аудиторских доказательств и, при необходимости, </w:t>
      </w:r>
      <w:r w:rsidRPr="00720AE4">
        <w:rPr>
          <w:rFonts w:cs="Times New Roman"/>
          <w:szCs w:val="28"/>
        </w:rPr>
        <w:t>могут быть внесены</w:t>
      </w:r>
      <w:r w:rsidR="00264E05" w:rsidRPr="00720AE4">
        <w:rPr>
          <w:rFonts w:cs="Times New Roman"/>
          <w:szCs w:val="28"/>
        </w:rPr>
        <w:t xml:space="preserve"> изменения в программу аудиторского мероприятия, включая продление сроков аудиторского мероприятия.</w:t>
      </w:r>
      <w:proofErr w:type="gramEnd"/>
    </w:p>
    <w:p w:rsidR="00264E05" w:rsidRPr="00720AE4" w:rsidRDefault="00975CDC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44</w:t>
      </w:r>
      <w:r w:rsidR="00264E05" w:rsidRPr="00720AE4">
        <w:rPr>
          <w:rFonts w:cs="Times New Roman"/>
          <w:szCs w:val="28"/>
        </w:rPr>
        <w:t>. Руководитель аудиторской группы при проведен</w:t>
      </w:r>
      <w:proofErr w:type="gramStart"/>
      <w:r w:rsidR="00264E05" w:rsidRPr="00720AE4">
        <w:rPr>
          <w:rFonts w:cs="Times New Roman"/>
          <w:szCs w:val="28"/>
        </w:rPr>
        <w:t>ии ау</w:t>
      </w:r>
      <w:proofErr w:type="gramEnd"/>
      <w:r w:rsidR="00264E05" w:rsidRPr="00720AE4">
        <w:rPr>
          <w:rFonts w:cs="Times New Roman"/>
          <w:szCs w:val="28"/>
        </w:rPr>
        <w:t>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="00264E05" w:rsidRPr="00720AE4">
        <w:rPr>
          <w:rFonts w:cs="Times New Roman"/>
          <w:szCs w:val="28"/>
        </w:rPr>
        <w:t>ии ау</w:t>
      </w:r>
      <w:proofErr w:type="gramEnd"/>
      <w:r w:rsidR="00264E05" w:rsidRPr="00720AE4">
        <w:rPr>
          <w:rFonts w:cs="Times New Roman"/>
          <w:szCs w:val="28"/>
        </w:rPr>
        <w:t>диторского мероприятия.</w:t>
      </w:r>
    </w:p>
    <w:p w:rsidR="00720AE4" w:rsidRPr="00720AE4" w:rsidRDefault="00720AE4" w:rsidP="00720A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264E05" w:rsidRPr="00720AE4" w:rsidRDefault="00264E05" w:rsidP="00720A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720AE4">
        <w:rPr>
          <w:rFonts w:ascii="Times New Roman" w:hAnsi="Times New Roman" w:cs="Times New Roman"/>
          <w:color w:val="auto"/>
        </w:rPr>
        <w:t>Документирование аудиторских мероприятий</w:t>
      </w:r>
    </w:p>
    <w:p w:rsidR="00264E05" w:rsidRPr="00720AE4" w:rsidRDefault="00264E05" w:rsidP="00720AE4">
      <w:pPr>
        <w:spacing w:line="360" w:lineRule="auto"/>
        <w:rPr>
          <w:rFonts w:cs="Times New Roman"/>
          <w:szCs w:val="28"/>
        </w:rPr>
      </w:pPr>
    </w:p>
    <w:p w:rsidR="00264E05" w:rsidRPr="00720AE4" w:rsidRDefault="00975CDC" w:rsidP="00720A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AE4">
        <w:rPr>
          <w:rFonts w:ascii="Times New Roman" w:hAnsi="Times New Roman" w:cs="Times New Roman"/>
          <w:b w:val="0"/>
          <w:sz w:val="28"/>
          <w:szCs w:val="28"/>
        </w:rPr>
        <w:t>45</w:t>
      </w:r>
      <w:r w:rsidR="00264E05" w:rsidRPr="00720AE4">
        <w:rPr>
          <w:rFonts w:ascii="Times New Roman" w:hAnsi="Times New Roman" w:cs="Times New Roman"/>
          <w:b w:val="0"/>
          <w:sz w:val="28"/>
          <w:szCs w:val="28"/>
        </w:rPr>
        <w:t>. При проведен</w:t>
      </w:r>
      <w:proofErr w:type="gramStart"/>
      <w:r w:rsidR="00264E05" w:rsidRPr="00720AE4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="00264E05" w:rsidRPr="00720AE4">
        <w:rPr>
          <w:rFonts w:ascii="Times New Roman" w:hAnsi="Times New Roman" w:cs="Times New Roman"/>
          <w:b w:val="0"/>
          <w:sz w:val="28"/>
          <w:szCs w:val="28"/>
        </w:rPr>
        <w:t xml:space="preserve">диторского мероприятия формируется рабочая документация. Рабочие документы </w:t>
      </w:r>
      <w:r w:rsidRPr="00720AE4">
        <w:rPr>
          <w:rFonts w:ascii="Times New Roman" w:hAnsi="Times New Roman" w:cs="Times New Roman"/>
          <w:b w:val="0"/>
          <w:sz w:val="28"/>
          <w:szCs w:val="28"/>
        </w:rPr>
        <w:t xml:space="preserve">аудиторского мероприятия </w:t>
      </w:r>
      <w:r w:rsidR="00264E05" w:rsidRPr="00720AE4">
        <w:rPr>
          <w:rFonts w:ascii="Times New Roman" w:hAnsi="Times New Roman" w:cs="Times New Roman"/>
          <w:b w:val="0"/>
          <w:sz w:val="28"/>
          <w:szCs w:val="28"/>
        </w:rPr>
        <w:t xml:space="preserve">могут вестись и </w:t>
      </w:r>
      <w:r w:rsidR="00264E05" w:rsidRPr="00720A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храниться в электронном виде и (или) на бумажных носителях. </w:t>
      </w:r>
    </w:p>
    <w:p w:rsidR="00264E05" w:rsidRPr="00720AE4" w:rsidRDefault="00975CDC" w:rsidP="00720A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AE4">
        <w:rPr>
          <w:rFonts w:ascii="Times New Roman" w:hAnsi="Times New Roman" w:cs="Times New Roman"/>
          <w:b w:val="0"/>
          <w:sz w:val="28"/>
          <w:szCs w:val="28"/>
        </w:rPr>
        <w:t>46</w:t>
      </w:r>
      <w:r w:rsidR="00264E05" w:rsidRPr="00720AE4">
        <w:rPr>
          <w:rFonts w:ascii="Times New Roman" w:hAnsi="Times New Roman" w:cs="Times New Roman"/>
          <w:b w:val="0"/>
          <w:sz w:val="28"/>
          <w:szCs w:val="28"/>
        </w:rPr>
        <w:t>. Рабочие документы аудиторского мероприятия должны подтверждать, что:</w:t>
      </w:r>
    </w:p>
    <w:p w:rsidR="00264E05" w:rsidRPr="00720AE4" w:rsidRDefault="00264E05" w:rsidP="00720A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AE4">
        <w:rPr>
          <w:rFonts w:ascii="Times New Roman" w:hAnsi="Times New Roman" w:cs="Times New Roman"/>
          <w:b w:val="0"/>
          <w:sz w:val="28"/>
          <w:szCs w:val="28"/>
        </w:rPr>
        <w:t xml:space="preserve">а) объекты </w:t>
      </w:r>
      <w:r w:rsidR="00975CDC" w:rsidRPr="00720AE4">
        <w:rPr>
          <w:rFonts w:ascii="Times New Roman" w:hAnsi="Times New Roman" w:cs="Times New Roman"/>
          <w:b w:val="0"/>
          <w:sz w:val="28"/>
          <w:szCs w:val="28"/>
        </w:rPr>
        <w:t xml:space="preserve">внутреннего финансового аудита </w:t>
      </w:r>
      <w:r w:rsidRPr="00720AE4">
        <w:rPr>
          <w:rFonts w:ascii="Times New Roman" w:hAnsi="Times New Roman" w:cs="Times New Roman"/>
          <w:b w:val="0"/>
          <w:sz w:val="28"/>
          <w:szCs w:val="28"/>
        </w:rPr>
        <w:t>исследованы в соответствии с программой этого мероприятия;</w:t>
      </w:r>
    </w:p>
    <w:p w:rsidR="00264E05" w:rsidRPr="00720AE4" w:rsidRDefault="00264E05" w:rsidP="00720A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AE4">
        <w:rPr>
          <w:rFonts w:ascii="Times New Roman" w:hAnsi="Times New Roman" w:cs="Times New Roman"/>
          <w:b w:val="0"/>
          <w:sz w:val="28"/>
          <w:szCs w:val="28"/>
        </w:rPr>
        <w:t>б) при проведен</w:t>
      </w:r>
      <w:proofErr w:type="gramStart"/>
      <w:r w:rsidRPr="00720AE4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720AE4">
        <w:rPr>
          <w:rFonts w:ascii="Times New Roman" w:hAnsi="Times New Roman" w:cs="Times New Roman"/>
          <w:b w:val="0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</w:t>
      </w:r>
      <w:r w:rsidR="00B673ED" w:rsidRPr="00720AE4">
        <w:rPr>
          <w:rFonts w:ascii="Times New Roman" w:hAnsi="Times New Roman" w:cs="Times New Roman"/>
          <w:b w:val="0"/>
          <w:sz w:val="28"/>
          <w:szCs w:val="28"/>
        </w:rPr>
        <w:t>,</w:t>
      </w:r>
      <w:r w:rsidRPr="00720AE4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заключения по результатам аудиторского мероприятия;</w:t>
      </w:r>
    </w:p>
    <w:p w:rsidR="00264E05" w:rsidRPr="00720AE4" w:rsidRDefault="00C706AF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47</w:t>
      </w:r>
      <w:r w:rsidR="00264E05" w:rsidRPr="00720AE4">
        <w:rPr>
          <w:rFonts w:cs="Times New Roman"/>
          <w:szCs w:val="28"/>
        </w:rPr>
        <w:t xml:space="preserve">. </w:t>
      </w:r>
      <w:r w:rsidRPr="00720AE4">
        <w:rPr>
          <w:rFonts w:cs="Times New Roman"/>
          <w:szCs w:val="28"/>
        </w:rPr>
        <w:t xml:space="preserve">Рабочие документы аудиторского мероприятия должны быть проверены </w:t>
      </w:r>
      <w:r w:rsidR="00264E05" w:rsidRPr="00720AE4">
        <w:rPr>
          <w:rFonts w:cs="Times New Roman"/>
          <w:szCs w:val="28"/>
        </w:rPr>
        <w:t xml:space="preserve">руководителем аудиторской группы (за исключением случаев, когда аудиторское мероприятие проводит </w:t>
      </w:r>
      <w:r w:rsidRPr="00720AE4">
        <w:rPr>
          <w:rFonts w:cs="Times New Roman"/>
          <w:szCs w:val="28"/>
        </w:rPr>
        <w:t>уполномоченное должностное лицо</w:t>
      </w:r>
      <w:r w:rsidR="00264E05" w:rsidRPr="00720AE4">
        <w:rPr>
          <w:rFonts w:cs="Times New Roman"/>
          <w:szCs w:val="28"/>
        </w:rPr>
        <w:t xml:space="preserve">). </w:t>
      </w:r>
      <w:r w:rsidR="00B673ED" w:rsidRPr="00720AE4">
        <w:rPr>
          <w:rFonts w:cs="Times New Roman"/>
          <w:szCs w:val="28"/>
        </w:rPr>
        <w:br/>
      </w:r>
      <w:r w:rsidR="00264E05" w:rsidRPr="00720AE4">
        <w:rPr>
          <w:rFonts w:cs="Times New Roman"/>
          <w:szCs w:val="28"/>
        </w:rPr>
        <w:t xml:space="preserve">При проверке рабочих документов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 </w:t>
      </w:r>
    </w:p>
    <w:p w:rsidR="00264E05" w:rsidRPr="00720AE4" w:rsidRDefault="00C706AF" w:rsidP="00720A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AE4">
        <w:rPr>
          <w:rFonts w:ascii="Times New Roman" w:hAnsi="Times New Roman" w:cs="Times New Roman"/>
          <w:b w:val="0"/>
          <w:sz w:val="28"/>
          <w:szCs w:val="28"/>
        </w:rPr>
        <w:t>48</w:t>
      </w:r>
      <w:r w:rsidR="00264E05" w:rsidRPr="00720AE4">
        <w:rPr>
          <w:rFonts w:ascii="Times New Roman" w:hAnsi="Times New Roman" w:cs="Times New Roman"/>
          <w:b w:val="0"/>
          <w:sz w:val="28"/>
          <w:szCs w:val="28"/>
        </w:rPr>
        <w:t>. Рабочие документы аудиторского мероприятия, за исключением рабочих документов, формируемых при мониторинге выполнения мероприятий по устранению выявленных нарушений и недостатков</w:t>
      </w:r>
      <w:r w:rsidR="00720AE4">
        <w:rPr>
          <w:rFonts w:ascii="Times New Roman" w:hAnsi="Times New Roman" w:cs="Times New Roman"/>
          <w:b w:val="0"/>
          <w:sz w:val="28"/>
          <w:szCs w:val="28"/>
        </w:rPr>
        <w:t>,</w:t>
      </w:r>
      <w:r w:rsidR="00264E05" w:rsidRPr="00720AE4">
        <w:rPr>
          <w:rFonts w:ascii="Times New Roman" w:hAnsi="Times New Roman" w:cs="Times New Roman"/>
          <w:b w:val="0"/>
          <w:sz w:val="28"/>
          <w:szCs w:val="28"/>
        </w:rPr>
        <w:t xml:space="preserve"> реализации рекомендаций по результатам аудиторских мероприятий, должны быть сформированы до окончания аудиторского мероприятия. </w:t>
      </w:r>
    </w:p>
    <w:p w:rsidR="00264E05" w:rsidRPr="00720AE4" w:rsidRDefault="00C706AF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49</w:t>
      </w:r>
      <w:r w:rsidR="00264E05" w:rsidRPr="00720AE4">
        <w:rPr>
          <w:rFonts w:cs="Times New Roman"/>
          <w:szCs w:val="28"/>
        </w:rPr>
        <w:t>. 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части, за исключением рабочих документов, формируемых при мониторинге выполнения мероприятий по устранению выявленных нарушений и недостатков</w:t>
      </w:r>
      <w:r w:rsidR="00720AE4">
        <w:rPr>
          <w:rFonts w:cs="Times New Roman"/>
          <w:szCs w:val="28"/>
        </w:rPr>
        <w:t>,</w:t>
      </w:r>
      <w:r w:rsidR="00264E05" w:rsidRPr="00720AE4">
        <w:rPr>
          <w:rFonts w:cs="Times New Roman"/>
          <w:szCs w:val="28"/>
        </w:rPr>
        <w:t xml:space="preserve"> реализации рекомендаций по результатам аудиторских мероприятий.</w:t>
      </w:r>
    </w:p>
    <w:p w:rsidR="00264E05" w:rsidRPr="00720AE4" w:rsidRDefault="00C706AF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50</w:t>
      </w:r>
      <w:r w:rsidR="00264E05" w:rsidRPr="00720AE4">
        <w:rPr>
          <w:rFonts w:cs="Times New Roman"/>
          <w:szCs w:val="28"/>
        </w:rPr>
        <w:t>. Доступ должностных лиц, работников субъекта внутреннего финансового аудита, а также других должностных лиц, работников главного администратора (администратора) бюджетных сре</w:t>
      </w:r>
      <w:proofErr w:type="gramStart"/>
      <w:r w:rsidR="00264E05" w:rsidRPr="00720AE4">
        <w:rPr>
          <w:rFonts w:cs="Times New Roman"/>
          <w:szCs w:val="28"/>
        </w:rPr>
        <w:t>дств к р</w:t>
      </w:r>
      <w:proofErr w:type="gramEnd"/>
      <w:r w:rsidR="00264E05" w:rsidRPr="00720AE4">
        <w:rPr>
          <w:rFonts w:cs="Times New Roman"/>
          <w:szCs w:val="28"/>
        </w:rPr>
        <w:t xml:space="preserve">абочим документам </w:t>
      </w:r>
      <w:r w:rsidR="00264E05" w:rsidRPr="00720AE4">
        <w:rPr>
          <w:rFonts w:cs="Times New Roman"/>
          <w:szCs w:val="28"/>
        </w:rPr>
        <w:lastRenderedPageBreak/>
        <w:t>внутреннего финансового аудита осуществляется в порядке, установленном ведомственным (внутренним) актом главного администратора (администратора) бюджетных средств, обеспечивающим осуществление внутреннего финансового аудита.</w:t>
      </w:r>
    </w:p>
    <w:p w:rsidR="00FE3985" w:rsidRPr="00720AE4" w:rsidRDefault="00264E05" w:rsidP="00720AE4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Доступ к рабочим документам внутреннего финансового аудита при проведении мероприятий государственного (муниципального) финансового контроля осуществляется в соответствии с законод</w:t>
      </w:r>
      <w:r w:rsidR="006B57F3">
        <w:rPr>
          <w:rFonts w:cs="Times New Roman"/>
          <w:szCs w:val="28"/>
        </w:rPr>
        <w:t>ательством Российской Федерации.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  <w:sectPr w:rsidR="00FE3985" w:rsidRPr="00720AE4" w:rsidSect="00720AE4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5670" w:type="dxa"/>
        <w:tblInd w:w="4361" w:type="dxa"/>
        <w:tblLook w:val="0000" w:firstRow="0" w:lastRow="0" w:firstColumn="0" w:lastColumn="0" w:noHBand="0" w:noVBand="0"/>
      </w:tblPr>
      <w:tblGrid>
        <w:gridCol w:w="5670"/>
      </w:tblGrid>
      <w:tr w:rsidR="00FE3985" w:rsidRPr="00720AE4" w:rsidTr="00F213B9">
        <w:trPr>
          <w:trHeight w:val="1279"/>
        </w:trPr>
        <w:tc>
          <w:tcPr>
            <w:tcW w:w="5670" w:type="dxa"/>
          </w:tcPr>
          <w:p w:rsidR="00FE3985" w:rsidRPr="00720AE4" w:rsidRDefault="00FE3985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A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FE3985" w:rsidRPr="00720AE4" w:rsidRDefault="00FE3985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AE4">
              <w:rPr>
                <w:rFonts w:ascii="Times New Roman" w:hAnsi="Times New Roman" w:cs="Times New Roman"/>
                <w:sz w:val="26"/>
                <w:szCs w:val="26"/>
              </w:rPr>
              <w:t>к федеральному стандарту внутреннего финансового аудита «Планирование и проведение внутреннего финансового аудита», утвержденному приказом Министерства финансов Российской Федерации</w:t>
            </w:r>
          </w:p>
          <w:p w:rsidR="00FE3985" w:rsidRPr="00720AE4" w:rsidRDefault="00FE3985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985" w:rsidRPr="00720AE4" w:rsidRDefault="00FE3985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AE4">
              <w:rPr>
                <w:rFonts w:ascii="Times New Roman" w:hAnsi="Times New Roman" w:cs="Times New Roman"/>
                <w:sz w:val="26"/>
                <w:szCs w:val="26"/>
              </w:rPr>
              <w:t>от «___» _______________</w:t>
            </w:r>
            <w:proofErr w:type="gramStart"/>
            <w:r w:rsidRPr="00720A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20AE4">
              <w:rPr>
                <w:rFonts w:ascii="Times New Roman" w:hAnsi="Times New Roman" w:cs="Times New Roman"/>
                <w:sz w:val="26"/>
                <w:szCs w:val="26"/>
              </w:rPr>
              <w:t>. № ____</w:t>
            </w:r>
          </w:p>
          <w:p w:rsidR="00FE3985" w:rsidRPr="00720AE4" w:rsidRDefault="00FE3985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3985" w:rsidRPr="00720AE4" w:rsidRDefault="00FE3985" w:rsidP="00FE3985">
      <w:pPr>
        <w:rPr>
          <w:rFonts w:cs="Times New Roman"/>
          <w:szCs w:val="28"/>
        </w:rPr>
      </w:pPr>
    </w:p>
    <w:p w:rsidR="00FE3985" w:rsidRPr="00720AE4" w:rsidRDefault="00FE3985" w:rsidP="00FE3985">
      <w:pPr>
        <w:rPr>
          <w:rFonts w:cs="Times New Roman"/>
          <w:szCs w:val="28"/>
        </w:rPr>
      </w:pPr>
    </w:p>
    <w:p w:rsidR="00FE3985" w:rsidRPr="00720AE4" w:rsidRDefault="00FE3985" w:rsidP="00FE398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20AE4">
        <w:rPr>
          <w:rFonts w:ascii="Times New Roman" w:hAnsi="Times New Roman" w:cs="Times New Roman"/>
          <w:color w:val="000000" w:themeColor="text1"/>
        </w:rPr>
        <w:t>Оценка бюджетных рисков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1. Для сбора и анализа информации о бюджетных рисках и их оценки ведется реестр бюджетных рисков главного администратора (администратора) бюджетных средств, который должен включать следующую информацию в отношении каждого выявленного бюджетного риска: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а) наименование операций (действий) по выполнению бюджетной процедуры, являющейся объектом бюджетного риска;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б) описание бюджетного риска;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в) наименование владельца бюджетного риска;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 г) оценка вероятности бюджетного риска;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д) оценка значимости (уровня) бюджетного риска;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е) оценка степени влияния бюджетного риска;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ж) описание последствий бюджетного риска;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з) описание причин бюджетного риска; 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и) меры по предупреждению и (или) минимизации (устранению) бюджетного риска. 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Информация, указанная в подпункте "и" настоящего пункта, включается в реестр бюджетных рисков только в случае возможности и целесообразности принятия главным администратором (администратором) бюджетных средств мер по предупреждению и (или) минимизации (устранению) соответствующего бюджетного риска.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lastRenderedPageBreak/>
        <w:t xml:space="preserve">2. </w:t>
      </w:r>
      <w:proofErr w:type="gramStart"/>
      <w:r w:rsidRPr="00720AE4">
        <w:rPr>
          <w:rFonts w:cs="Times New Roman"/>
          <w:szCs w:val="28"/>
        </w:rPr>
        <w:t>При формировании и ведении реестра бюджетных рисков необходимо обеспечить возможность ранжирования бюджетных рисков по значимости (уровню) от наиболее значимого к наименее значимому бюджетному риску.</w:t>
      </w:r>
      <w:proofErr w:type="gramEnd"/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3. Бюджетный риск оценивается как значимый или незначимый в зависимости от оценки его вероятности и степени влияния.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4. При оценке вероятности бюджетного риска оценивают степень возможности наступления событий, негативно влияющих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главного администратора (администратора) бюджетных средств. 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Степень возможности наступления таких событий оценивается с учетом причин и условий (обстоятельств) реализации бюджетных рисков, в том числе с учетом информации о результатах: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а) оценки надежности внутреннего финансового контроля главного администратора (администратора) бюджетных средств;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б) мониторинга качества финансового менеджмента, включая мониторинг исполнения качества бюджетных полномочий главного администратора (администратора) бюджетных средств, а также качества управления активами, осуществления закупок товаров, работ и услуг для государственных (муниципальных) нужд;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в) контрольных мероприятий органов государственного (муниципального) финансового контроля.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5. Вероятность бюджетного риска оценивается как низкая, средняя или высокая.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6. При оценке степени влияния бюджетного риска оценивают уровень потенциального негативного воздействия события на результаты выполнения бюджетной процедуры, определяемый как оценка одного или нескольких из следующих показателей: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а) отклонения от целевых показателей качества финансового менеджмента, характеризующих качество исполнения бюджетных полномочий, </w:t>
      </w:r>
      <w:r w:rsidRPr="00720AE4">
        <w:rPr>
          <w:rFonts w:cs="Times New Roman"/>
          <w:szCs w:val="28"/>
        </w:rPr>
        <w:lastRenderedPageBreak/>
        <w:t>управления активами, осуществления закупок товаров, работ и услуг для обеспечения государственных (муниципальных) нужд;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б) искажения бюджетной отчетности;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в) потенциальный ущерб публично правовому образованию;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г) отклонения от целевых значений государственных (муниципальных) программ;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д) санкции, налагаемые в случае возникновения нарушений;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е) потенциальное негативное воздействие последствий реализации бюджетного риска на репутацию главного администратора (администратора) бюджетных средств.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7. Степень влияния бюджетного риска оценивается как высокая, средняя или низкая.</w:t>
      </w:r>
    </w:p>
    <w:p w:rsidR="00FE3985" w:rsidRPr="00720AE4" w:rsidRDefault="00FE3985" w:rsidP="00FE3985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8. Бюджетный риск оценивается как значимый, если хотя бы один из критериев его оценки – вероятность или степень влияния – оценивается как высокий либо и вероятность, и степень влияния бюджетного риска оцениваются как средние.</w:t>
      </w:r>
    </w:p>
    <w:p w:rsidR="00FE3985" w:rsidRPr="00720AE4" w:rsidRDefault="00FE3985" w:rsidP="00FE3985">
      <w:pPr>
        <w:rPr>
          <w:rFonts w:cs="Times New Roman"/>
          <w:szCs w:val="28"/>
        </w:rPr>
        <w:sectPr w:rsidR="00FE3985" w:rsidRPr="00720AE4" w:rsidSect="009F16D7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81"/>
        </w:sectPr>
      </w:pPr>
    </w:p>
    <w:tbl>
      <w:tblPr>
        <w:tblW w:w="5670" w:type="dxa"/>
        <w:tblInd w:w="4361" w:type="dxa"/>
        <w:tblLook w:val="0000" w:firstRow="0" w:lastRow="0" w:firstColumn="0" w:lastColumn="0" w:noHBand="0" w:noVBand="0"/>
      </w:tblPr>
      <w:tblGrid>
        <w:gridCol w:w="5670"/>
      </w:tblGrid>
      <w:tr w:rsidR="00B673ED" w:rsidRPr="00720AE4" w:rsidTr="00F213B9">
        <w:trPr>
          <w:trHeight w:val="1279"/>
        </w:trPr>
        <w:tc>
          <w:tcPr>
            <w:tcW w:w="5670" w:type="dxa"/>
          </w:tcPr>
          <w:p w:rsidR="00B673ED" w:rsidRPr="00720AE4" w:rsidRDefault="00B673ED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A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B673ED" w:rsidRPr="00720AE4" w:rsidRDefault="00B673ED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AE4">
              <w:rPr>
                <w:rFonts w:ascii="Times New Roman" w:hAnsi="Times New Roman" w:cs="Times New Roman"/>
                <w:sz w:val="26"/>
                <w:szCs w:val="26"/>
              </w:rPr>
              <w:t>к федеральному стандарту внутреннего финансового аудита «Планирование и проведение внутреннего финансового аудита», утвержденному приказом Министерства финансов Российской Федерации</w:t>
            </w:r>
          </w:p>
          <w:p w:rsidR="00B673ED" w:rsidRPr="00720AE4" w:rsidRDefault="00B673ED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3ED" w:rsidRPr="00720AE4" w:rsidRDefault="00B673ED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AE4">
              <w:rPr>
                <w:rFonts w:ascii="Times New Roman" w:hAnsi="Times New Roman" w:cs="Times New Roman"/>
                <w:sz w:val="26"/>
                <w:szCs w:val="26"/>
              </w:rPr>
              <w:t>от «___» _______________</w:t>
            </w:r>
            <w:proofErr w:type="gramStart"/>
            <w:r w:rsidRPr="00720A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20AE4">
              <w:rPr>
                <w:rFonts w:ascii="Times New Roman" w:hAnsi="Times New Roman" w:cs="Times New Roman"/>
                <w:sz w:val="26"/>
                <w:szCs w:val="26"/>
              </w:rPr>
              <w:t>. № ____</w:t>
            </w:r>
          </w:p>
          <w:p w:rsidR="00B673ED" w:rsidRPr="00720AE4" w:rsidRDefault="00B673ED" w:rsidP="00F213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3ED" w:rsidRPr="00720AE4" w:rsidRDefault="00B673ED" w:rsidP="00B673ED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</w:p>
    <w:p w:rsidR="00B673ED" w:rsidRPr="00720AE4" w:rsidRDefault="00B673ED" w:rsidP="00B673ED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</w:p>
    <w:p w:rsidR="00B673ED" w:rsidRPr="00720AE4" w:rsidRDefault="00B673ED" w:rsidP="00B673E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B673ED" w:rsidRPr="00720AE4" w:rsidRDefault="00B673ED" w:rsidP="00B673ED">
      <w:pPr>
        <w:spacing w:line="240" w:lineRule="auto"/>
        <w:jc w:val="center"/>
        <w:rPr>
          <w:rFonts w:eastAsia="Calibri" w:cs="Times New Roman"/>
          <w:b/>
          <w:szCs w:val="28"/>
        </w:rPr>
      </w:pPr>
      <w:r w:rsidRPr="00720AE4">
        <w:rPr>
          <w:rFonts w:eastAsia="Calibri" w:cs="Times New Roman"/>
          <w:b/>
          <w:szCs w:val="28"/>
        </w:rPr>
        <w:t xml:space="preserve">Привлечение экспертов к проведению аудиторских мероприятий </w:t>
      </w:r>
    </w:p>
    <w:p w:rsidR="00B673ED" w:rsidRPr="00720AE4" w:rsidRDefault="00B673ED" w:rsidP="00B673ED">
      <w:pPr>
        <w:spacing w:line="240" w:lineRule="auto"/>
        <w:rPr>
          <w:rFonts w:cs="Times New Roman"/>
          <w:szCs w:val="28"/>
        </w:rPr>
      </w:pP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1. Экспертом, привлекаемым к проведению аудиторского мероприятия, является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исследованию в соответствии с целями и задачами аудиторского мероприятия.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2. Эксперты привлекаются в случаях, когда для достижения целей и задач аудиторского мероприятия (исходя из его темы, а также перечня вопросов, подлежащих изучению в ходе проведения аудиторского мероприятия) необходимы специальные знания, умения, профессиональные навыки и опыт, которыми не владеют должностные лица (работники) главного администратора (администратора) бюджетных средств.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3. Привлекаемый к проведению аудиторского мероприятия эксперт должен соответствовать одному или нескольким из следующих критериев, свидетельствующих о наличии у него специальных знаний, умений, профессиональных навыков и опыта, в частности: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наличие стажа работы в сфере, к которой относятся вопросы, подлежащие изучению при проведен</w:t>
      </w:r>
      <w:proofErr w:type="gramStart"/>
      <w:r w:rsidRPr="00720AE4">
        <w:rPr>
          <w:rFonts w:cs="Times New Roman"/>
          <w:szCs w:val="28"/>
        </w:rPr>
        <w:t>ии ау</w:t>
      </w:r>
      <w:proofErr w:type="gramEnd"/>
      <w:r w:rsidRPr="00720AE4">
        <w:rPr>
          <w:rFonts w:cs="Times New Roman"/>
          <w:szCs w:val="28"/>
        </w:rPr>
        <w:t>диторского мероприятия, в том числе в сфере бюджетного (бухгалтерского) учета, аудита, экономики, государственных (муниципальных) финансов, информационных технологий, юриспруденции и иных вопросов;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lastRenderedPageBreak/>
        <w:t xml:space="preserve"> наличие образования и профессиональной подготовки, необходимых для исследования вопросов при проведен</w:t>
      </w:r>
      <w:proofErr w:type="gramStart"/>
      <w:r w:rsidRPr="00720AE4">
        <w:rPr>
          <w:rFonts w:cs="Times New Roman"/>
          <w:szCs w:val="28"/>
        </w:rPr>
        <w:t>ии ау</w:t>
      </w:r>
      <w:proofErr w:type="gramEnd"/>
      <w:r w:rsidRPr="00720AE4">
        <w:rPr>
          <w:rFonts w:cs="Times New Roman"/>
          <w:szCs w:val="28"/>
        </w:rPr>
        <w:t>диторского мероприятия;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наличие сертификатов, лицензий и (или) других документов, подтверждающих специальные знания, умения, профессиональные навыки и опыт в сфере, к которой относятся вопросы, подлежащие исследованию при проведен</w:t>
      </w:r>
      <w:proofErr w:type="gramStart"/>
      <w:r w:rsidRPr="00720AE4">
        <w:rPr>
          <w:rFonts w:cs="Times New Roman"/>
          <w:szCs w:val="28"/>
        </w:rPr>
        <w:t>ии ау</w:t>
      </w:r>
      <w:proofErr w:type="gramEnd"/>
      <w:r w:rsidRPr="00720AE4">
        <w:rPr>
          <w:rFonts w:cs="Times New Roman"/>
          <w:szCs w:val="28"/>
        </w:rPr>
        <w:t>диторского мероприятия;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членство в профессиональных объединениях, саморегулируемых организациях в сфере, к которой относятся вопросы, подлежащие исследованию при проведен</w:t>
      </w:r>
      <w:proofErr w:type="gramStart"/>
      <w:r w:rsidRPr="00720AE4">
        <w:rPr>
          <w:rFonts w:cs="Times New Roman"/>
          <w:szCs w:val="28"/>
        </w:rPr>
        <w:t>ии ау</w:t>
      </w:r>
      <w:proofErr w:type="gramEnd"/>
      <w:r w:rsidRPr="00720AE4">
        <w:rPr>
          <w:rFonts w:cs="Times New Roman"/>
          <w:szCs w:val="28"/>
        </w:rPr>
        <w:t>диторского мероприятия, а также соблюдение этим лицом стандартов и правил, установленных указанными объединениями, организациями.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4. В качестве эксперта может быть привлечено лицо: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не состоящее в настоящее время и не состоявшее в текущем и отчетном финансовом году в трудовых отношениях с главным администратором (администратором) бюджетных средств, которым привлекается данное лицо;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 xml:space="preserve">не </w:t>
      </w:r>
      <w:proofErr w:type="gramStart"/>
      <w:r w:rsidRPr="00720AE4">
        <w:rPr>
          <w:rFonts w:cs="Times New Roman"/>
          <w:szCs w:val="28"/>
        </w:rPr>
        <w:t>являющееся</w:t>
      </w:r>
      <w:proofErr w:type="gramEnd"/>
      <w:r w:rsidRPr="00720AE4">
        <w:rPr>
          <w:rFonts w:cs="Times New Roman"/>
          <w:szCs w:val="28"/>
        </w:rPr>
        <w:t xml:space="preserve"> должностным лицом органа государственного (муниципального) финансового контроля.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5. Привлечение экспертов осуществляется посредством: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выполнения экспертом конкретного вида и определенного объема работ на основе заключенного с ним государственного (муниципального) контракта или иного гражданско-правового договора;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включения экспертов в состав аудиторской группы для выполнения отдельных заданий, подготовки аналитических записок, экспертных оценок в рамках проведения аудиторского мероприятия.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6. Результаты работы эксперта, привлеченного к проведению аудиторского мероприятия, используются при подготовке субъектом внутреннего финансового аудита заключения, включаются в рабочую документацию аудиторского мероприятия, а также по решению руководителя субъекта внутреннего финансового аудита могут отражаться в заключении.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lastRenderedPageBreak/>
        <w:t xml:space="preserve">7. Результаты работы эксперта представляются в формах, установленных в соответствующем государственном (муниципальном) контракте или договоре, фиксируются в акте приемки работ (оказанных услуг) и подлежат рассмотрению с точки зрения достоверности информации, на которой основывается его оценка (заключение), а также в отношении обоснованности содержащихся в нем выводов, предложений или рекомендаций. </w:t>
      </w:r>
    </w:p>
    <w:p w:rsidR="00B673ED" w:rsidRPr="00720AE4" w:rsidRDefault="00B673ED" w:rsidP="00B673ED">
      <w:pPr>
        <w:spacing w:line="360" w:lineRule="auto"/>
        <w:rPr>
          <w:rFonts w:cs="Times New Roman"/>
          <w:szCs w:val="28"/>
        </w:rPr>
      </w:pPr>
      <w:r w:rsidRPr="00720AE4">
        <w:rPr>
          <w:rFonts w:cs="Times New Roman"/>
          <w:szCs w:val="28"/>
        </w:rPr>
        <w:t>Использование результатов работы экспертов не освобождает должностных лиц (работников) субъекта внутреннего финансового аудита от ответственности за выводы, сформированные ими по результатам проведения аудиторского мероприятия и отраженные в заключении.</w:t>
      </w:r>
    </w:p>
    <w:p w:rsidR="00E60E5F" w:rsidRPr="00720AE4" w:rsidRDefault="00E60E5F">
      <w:pPr>
        <w:spacing w:line="360" w:lineRule="auto"/>
        <w:rPr>
          <w:rFonts w:cs="Times New Roman"/>
          <w:szCs w:val="28"/>
        </w:rPr>
      </w:pPr>
    </w:p>
    <w:sectPr w:rsidR="00E60E5F" w:rsidRPr="00720AE4" w:rsidSect="009F16D7">
      <w:pgSz w:w="11906" w:h="16838"/>
      <w:pgMar w:top="1134" w:right="850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40" w:rsidRDefault="00035D40" w:rsidP="00144DBE">
      <w:pPr>
        <w:spacing w:line="240" w:lineRule="auto"/>
      </w:pPr>
      <w:r>
        <w:separator/>
      </w:r>
    </w:p>
  </w:endnote>
  <w:endnote w:type="continuationSeparator" w:id="0">
    <w:p w:rsidR="00035D40" w:rsidRDefault="00035D40" w:rsidP="00144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40" w:rsidRDefault="00035D40" w:rsidP="00144DBE">
      <w:pPr>
        <w:spacing w:line="240" w:lineRule="auto"/>
      </w:pPr>
      <w:r>
        <w:separator/>
      </w:r>
    </w:p>
  </w:footnote>
  <w:footnote w:type="continuationSeparator" w:id="0">
    <w:p w:rsidR="00035D40" w:rsidRDefault="00035D40" w:rsidP="00144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44600"/>
      <w:docPartObj>
        <w:docPartGallery w:val="Page Numbers (Top of Page)"/>
        <w:docPartUnique/>
      </w:docPartObj>
    </w:sdtPr>
    <w:sdtEndPr/>
    <w:sdtContent>
      <w:p w:rsidR="00744B37" w:rsidRDefault="0084526C" w:rsidP="006364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9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37" w:rsidRDefault="00035D40">
    <w:pPr>
      <w:pStyle w:val="a3"/>
      <w:jc w:val="center"/>
    </w:pPr>
  </w:p>
  <w:p w:rsidR="00744B37" w:rsidRDefault="00035D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52F"/>
    <w:multiLevelType w:val="hybridMultilevel"/>
    <w:tmpl w:val="ED1AB304"/>
    <w:lvl w:ilvl="0" w:tplc="47EA6A66">
      <w:start w:val="1"/>
      <w:numFmt w:val="decimal"/>
      <w:pStyle w:val="numberedpara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lang w:val="ru-RU"/>
      </w:rPr>
    </w:lvl>
    <w:lvl w:ilvl="1" w:tplc="46A81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3C2792"/>
    <w:multiLevelType w:val="hybridMultilevel"/>
    <w:tmpl w:val="F2463024"/>
    <w:lvl w:ilvl="0" w:tplc="9D681C5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BD0C25F8">
      <w:start w:val="3"/>
      <w:numFmt w:val="bullet"/>
      <w:lvlText w:val="»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93F"/>
    <w:multiLevelType w:val="hybridMultilevel"/>
    <w:tmpl w:val="F2AC6E3C"/>
    <w:lvl w:ilvl="0" w:tplc="D72C7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1B"/>
    <w:rsid w:val="00035D40"/>
    <w:rsid w:val="000609CD"/>
    <w:rsid w:val="000C20F4"/>
    <w:rsid w:val="00144DBE"/>
    <w:rsid w:val="00157B14"/>
    <w:rsid w:val="001D27BE"/>
    <w:rsid w:val="001E4CA2"/>
    <w:rsid w:val="001E7DAF"/>
    <w:rsid w:val="00264E05"/>
    <w:rsid w:val="002C5EE0"/>
    <w:rsid w:val="002E1C2D"/>
    <w:rsid w:val="00535508"/>
    <w:rsid w:val="005D60AE"/>
    <w:rsid w:val="00621D5F"/>
    <w:rsid w:val="006A6B24"/>
    <w:rsid w:val="006B57F3"/>
    <w:rsid w:val="00720AE4"/>
    <w:rsid w:val="00752538"/>
    <w:rsid w:val="007C3062"/>
    <w:rsid w:val="007E361B"/>
    <w:rsid w:val="0084526C"/>
    <w:rsid w:val="00851CEC"/>
    <w:rsid w:val="00885509"/>
    <w:rsid w:val="008B0A20"/>
    <w:rsid w:val="008C10D7"/>
    <w:rsid w:val="008D5BD5"/>
    <w:rsid w:val="00975CDC"/>
    <w:rsid w:val="009F16D7"/>
    <w:rsid w:val="00AC5826"/>
    <w:rsid w:val="00B673ED"/>
    <w:rsid w:val="00C706AF"/>
    <w:rsid w:val="00CC2291"/>
    <w:rsid w:val="00CC5278"/>
    <w:rsid w:val="00D20F6D"/>
    <w:rsid w:val="00E60E5F"/>
    <w:rsid w:val="00E91ED3"/>
    <w:rsid w:val="00EA684A"/>
    <w:rsid w:val="00FB769E"/>
    <w:rsid w:val="00FD640E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B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5826"/>
    <w:pPr>
      <w:keepNext/>
      <w:keepLines/>
      <w:spacing w:before="4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1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E361B"/>
    <w:rPr>
      <w:rFonts w:ascii="Calibri" w:hAnsi="Calibri"/>
    </w:rPr>
  </w:style>
  <w:style w:type="paragraph" w:customStyle="1" w:styleId="ConsPlusNormal">
    <w:name w:val="ConsPlusNormal"/>
    <w:rsid w:val="007E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4DB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DB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C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umberedparas">
    <w:name w:val="numbered paras"/>
    <w:basedOn w:val="a"/>
    <w:rsid w:val="008C10D7"/>
    <w:pPr>
      <w:numPr>
        <w:numId w:val="2"/>
      </w:numPr>
      <w:spacing w:before="120" w:after="120" w:line="240" w:lineRule="auto"/>
    </w:pPr>
    <w:rPr>
      <w:rFonts w:ascii="Cambria" w:eastAsia="Cambria" w:hAnsi="Cambria" w:cs="Times New Roman"/>
      <w:sz w:val="24"/>
      <w:szCs w:val="24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6A6B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6B24"/>
    <w:pPr>
      <w:spacing w:after="16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6B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B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6B24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6A6B24"/>
    <w:pPr>
      <w:spacing w:after="0"/>
      <w:ind w:firstLine="709"/>
      <w:jc w:val="both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6A6B2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B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5826"/>
    <w:pPr>
      <w:keepNext/>
      <w:keepLines/>
      <w:spacing w:before="4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1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E361B"/>
    <w:rPr>
      <w:rFonts w:ascii="Calibri" w:hAnsi="Calibri"/>
    </w:rPr>
  </w:style>
  <w:style w:type="paragraph" w:customStyle="1" w:styleId="ConsPlusNormal">
    <w:name w:val="ConsPlusNormal"/>
    <w:rsid w:val="007E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4DB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DB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C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umberedparas">
    <w:name w:val="numbered paras"/>
    <w:basedOn w:val="a"/>
    <w:rsid w:val="008C10D7"/>
    <w:pPr>
      <w:numPr>
        <w:numId w:val="2"/>
      </w:numPr>
      <w:spacing w:before="120" w:after="120" w:line="240" w:lineRule="auto"/>
    </w:pPr>
    <w:rPr>
      <w:rFonts w:ascii="Cambria" w:eastAsia="Cambria" w:hAnsi="Cambria" w:cs="Times New Roman"/>
      <w:sz w:val="24"/>
      <w:szCs w:val="24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6A6B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6B24"/>
    <w:pPr>
      <w:spacing w:after="16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6B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B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6B24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6A6B24"/>
    <w:pPr>
      <w:spacing w:after="0"/>
      <w:ind w:firstLine="709"/>
      <w:jc w:val="both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6A6B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4248-9380-4AC6-9E6A-BF599C70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2</cp:revision>
  <dcterms:created xsi:type="dcterms:W3CDTF">2020-05-18T07:42:00Z</dcterms:created>
  <dcterms:modified xsi:type="dcterms:W3CDTF">2020-05-18T07:42:00Z</dcterms:modified>
</cp:coreProperties>
</file>