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76" w:rsidRPr="001E18C8" w:rsidRDefault="00107A76" w:rsidP="00A72F67">
      <w:pPr>
        <w:spacing w:line="276" w:lineRule="auto"/>
        <w:jc w:val="center"/>
        <w:rPr>
          <w:b/>
          <w:szCs w:val="28"/>
        </w:rPr>
      </w:pPr>
      <w:bookmarkStart w:id="0" w:name="_GoBack"/>
      <w:bookmarkEnd w:id="0"/>
      <w:r w:rsidRPr="001E18C8">
        <w:rPr>
          <w:b/>
          <w:szCs w:val="28"/>
        </w:rPr>
        <w:t>ПОЯСНИТЕЛЬНАЯ ЗАПИСКА</w:t>
      </w:r>
    </w:p>
    <w:p w:rsidR="00107A76" w:rsidRPr="001E18C8" w:rsidRDefault="00107A76" w:rsidP="00DF0069">
      <w:pPr>
        <w:spacing w:after="240" w:line="240" w:lineRule="atLeast"/>
        <w:jc w:val="center"/>
        <w:rPr>
          <w:szCs w:val="28"/>
        </w:rPr>
      </w:pPr>
      <w:r w:rsidRPr="001E18C8">
        <w:rPr>
          <w:b/>
          <w:szCs w:val="28"/>
        </w:rPr>
        <w:t xml:space="preserve">к проекту федерального закона </w:t>
      </w:r>
      <w:r w:rsidR="00505AAB" w:rsidRPr="001E18C8">
        <w:rPr>
          <w:b/>
          <w:szCs w:val="28"/>
        </w:rPr>
        <w:t>"</w:t>
      </w:r>
      <w:r w:rsidR="00DF0069" w:rsidRPr="001E18C8">
        <w:rPr>
          <w:b/>
          <w:szCs w:val="28"/>
        </w:rPr>
        <w:t>О внесении изменений в Бюджетный кодекс Российской Федерации</w:t>
      </w:r>
      <w:r w:rsidR="00A97E68" w:rsidRPr="00A97E68">
        <w:rPr>
          <w:b/>
          <w:szCs w:val="28"/>
        </w:rPr>
        <w:t xml:space="preserve"> </w:t>
      </w:r>
      <w:r w:rsidR="00DF0069" w:rsidRPr="001E18C8">
        <w:rPr>
          <w:b/>
          <w:szCs w:val="28"/>
        </w:rPr>
        <w:t>в части совершенствования исполнения бюджетов по доходам и источникам финансирования дефицита</w:t>
      </w:r>
      <w:r w:rsidR="00513B3D">
        <w:rPr>
          <w:b/>
          <w:szCs w:val="28"/>
        </w:rPr>
        <w:t xml:space="preserve"> бюджета</w:t>
      </w:r>
      <w:r w:rsidR="00505AAB" w:rsidRPr="001E18C8">
        <w:rPr>
          <w:b/>
          <w:szCs w:val="28"/>
        </w:rPr>
        <w:t>"</w:t>
      </w:r>
    </w:p>
    <w:p w:rsidR="00DF0069" w:rsidRPr="001E18C8" w:rsidRDefault="00107A76" w:rsidP="00DF0069">
      <w:pPr>
        <w:spacing w:line="276" w:lineRule="auto"/>
        <w:ind w:firstLine="709"/>
        <w:rPr>
          <w:szCs w:val="28"/>
        </w:rPr>
      </w:pPr>
      <w:proofErr w:type="gramStart"/>
      <w:r w:rsidRPr="001E18C8">
        <w:rPr>
          <w:szCs w:val="28"/>
        </w:rPr>
        <w:t xml:space="preserve">Проект федерального закона </w:t>
      </w:r>
      <w:r w:rsidR="00505AAB" w:rsidRPr="001E18C8">
        <w:rPr>
          <w:szCs w:val="28"/>
        </w:rPr>
        <w:t>"</w:t>
      </w:r>
      <w:r w:rsidR="00DF0069" w:rsidRPr="001E18C8">
        <w:rPr>
          <w:szCs w:val="28"/>
        </w:rPr>
        <w:t>О внесении изменений в Бюджетный кодекс Российской Федерации в части совершенствования исполнения бюджетов по доходам и источникам финансирования дефицита</w:t>
      </w:r>
      <w:r w:rsidR="00513B3D">
        <w:rPr>
          <w:szCs w:val="28"/>
        </w:rPr>
        <w:t xml:space="preserve"> бюджета</w:t>
      </w:r>
      <w:r w:rsidR="00505AAB" w:rsidRPr="001E18C8">
        <w:rPr>
          <w:szCs w:val="28"/>
        </w:rPr>
        <w:t>"</w:t>
      </w:r>
      <w:r w:rsidR="00787244" w:rsidRPr="001E18C8">
        <w:rPr>
          <w:szCs w:val="28"/>
        </w:rPr>
        <w:t xml:space="preserve"> (далее – законопроект) </w:t>
      </w:r>
      <w:r w:rsidRPr="001E18C8">
        <w:rPr>
          <w:szCs w:val="28"/>
        </w:rPr>
        <w:t xml:space="preserve">разработан </w:t>
      </w:r>
      <w:r w:rsidR="00DF0069" w:rsidRPr="001E18C8">
        <w:rPr>
          <w:szCs w:val="28"/>
        </w:rPr>
        <w:t>в целях решени</w:t>
      </w:r>
      <w:r w:rsidR="008D4DB1" w:rsidRPr="001E18C8">
        <w:rPr>
          <w:szCs w:val="28"/>
        </w:rPr>
        <w:t>я</w:t>
      </w:r>
      <w:r w:rsidR="00DF0069" w:rsidRPr="001E18C8">
        <w:rPr>
          <w:szCs w:val="28"/>
        </w:rPr>
        <w:t xml:space="preserve"> ряда проблемных вопросов, связанных с реализацией норм бюджетного законодательства Российской Федерации в части администрирования доходов бюджетов бюджетной системы Российской Федерации</w:t>
      </w:r>
      <w:r w:rsidR="008D4DB1" w:rsidRPr="001E18C8">
        <w:rPr>
          <w:szCs w:val="28"/>
        </w:rPr>
        <w:t xml:space="preserve"> и источников финансирования дефицита федерального бюджета</w:t>
      </w:r>
      <w:r w:rsidR="00DF0069" w:rsidRPr="001E18C8">
        <w:rPr>
          <w:szCs w:val="28"/>
        </w:rPr>
        <w:t>.</w:t>
      </w:r>
      <w:proofErr w:type="gramEnd"/>
    </w:p>
    <w:p w:rsidR="00DF0069" w:rsidRPr="001E18C8" w:rsidRDefault="00DF0069" w:rsidP="00DF0069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 xml:space="preserve">Положения законопроекта предусматривают закрепление в Бюджетном кодексе </w:t>
      </w:r>
      <w:r w:rsidR="008D4DB1" w:rsidRPr="001E18C8">
        <w:rPr>
          <w:szCs w:val="28"/>
        </w:rPr>
        <w:t xml:space="preserve">Российской Федерации (далее – Бюджетный кодекс) </w:t>
      </w:r>
      <w:r w:rsidRPr="001E18C8">
        <w:rPr>
          <w:szCs w:val="28"/>
        </w:rPr>
        <w:t>положений, определяющих утверждение Правительством Российской Федерации перечня главных администраторов доходов федерального бюджета, являющихся федеральными органами государственной власти, государственными корпорациями, Центральным банком Российской Федерации.</w:t>
      </w:r>
    </w:p>
    <w:p w:rsidR="00F26F9C" w:rsidRPr="001E18C8" w:rsidRDefault="00F34EB5" w:rsidP="00BD4C4E">
      <w:pPr>
        <w:spacing w:line="276" w:lineRule="auto"/>
        <w:ind w:firstLine="709"/>
        <w:rPr>
          <w:szCs w:val="28"/>
        </w:rPr>
      </w:pPr>
      <w:r>
        <w:rPr>
          <w:szCs w:val="28"/>
        </w:rPr>
        <w:t>Кроме того, т</w:t>
      </w:r>
      <w:r w:rsidR="00F26F9C" w:rsidRPr="001E18C8">
        <w:rPr>
          <w:szCs w:val="28"/>
        </w:rPr>
        <w:t>ерриториальными органами Федерального казначейства регулярно проводится работа с администраторами доходов федерального бюджета по уточнению невыясненных поступлений (далее – НВС). Однако, при отсутств</w:t>
      </w:r>
      <w:proofErr w:type="gramStart"/>
      <w:r w:rsidR="00F26F9C" w:rsidRPr="001E18C8">
        <w:rPr>
          <w:szCs w:val="28"/>
        </w:rPr>
        <w:t>ии у а</w:t>
      </w:r>
      <w:proofErr w:type="gramEnd"/>
      <w:r w:rsidR="00F26F9C" w:rsidRPr="001E18C8">
        <w:rPr>
          <w:szCs w:val="28"/>
        </w:rPr>
        <w:t>дминистраторов доходов бюджета данных, подтверждающих принадлежность платежа, произвести уточнение платежей зачастую не представляется возможным.</w:t>
      </w:r>
    </w:p>
    <w:p w:rsidR="001C0BDD" w:rsidRDefault="00BD4C4E" w:rsidP="0070098F">
      <w:pPr>
        <w:spacing w:line="276" w:lineRule="auto"/>
        <w:ind w:firstLine="709"/>
        <w:rPr>
          <w:szCs w:val="28"/>
        </w:rPr>
      </w:pPr>
      <w:proofErr w:type="gramStart"/>
      <w:r w:rsidRPr="001E18C8">
        <w:rPr>
          <w:szCs w:val="28"/>
        </w:rPr>
        <w:t xml:space="preserve">В целях урегулирования вопроса по уточнению НВС, неуточненных в течение трех и более лет со дня их поступления, </w:t>
      </w:r>
      <w:r w:rsidR="00CC133D">
        <w:rPr>
          <w:szCs w:val="28"/>
        </w:rPr>
        <w:t xml:space="preserve">а также </w:t>
      </w:r>
      <w:r w:rsidRPr="001E18C8">
        <w:rPr>
          <w:szCs w:val="28"/>
        </w:rPr>
        <w:t xml:space="preserve">в целях устранения условий, способствующих росту невостребованной кредиторской задолженности по доходам бюджета, </w:t>
      </w:r>
      <w:r w:rsidR="00CC133D">
        <w:rPr>
          <w:szCs w:val="28"/>
        </w:rPr>
        <w:t xml:space="preserve">в </w:t>
      </w:r>
      <w:r w:rsidRPr="001E18C8">
        <w:rPr>
          <w:szCs w:val="28"/>
        </w:rPr>
        <w:t>стать</w:t>
      </w:r>
      <w:r w:rsidR="00CC133D">
        <w:rPr>
          <w:szCs w:val="28"/>
        </w:rPr>
        <w:t>е</w:t>
      </w:r>
      <w:r w:rsidRPr="001E18C8">
        <w:rPr>
          <w:szCs w:val="28"/>
        </w:rPr>
        <w:t xml:space="preserve"> 40 Бюджетного кодекса </w:t>
      </w:r>
      <w:r w:rsidR="008D4DB1" w:rsidRPr="001E18C8">
        <w:rPr>
          <w:szCs w:val="28"/>
        </w:rPr>
        <w:t xml:space="preserve">предлагается </w:t>
      </w:r>
      <w:r w:rsidR="00CC133D" w:rsidRPr="00CC133D">
        <w:rPr>
          <w:szCs w:val="28"/>
        </w:rPr>
        <w:t>закрепить на постоянной основе предусмотренны</w:t>
      </w:r>
      <w:r w:rsidR="0070098F">
        <w:rPr>
          <w:szCs w:val="28"/>
        </w:rPr>
        <w:t>й</w:t>
      </w:r>
      <w:r w:rsidR="00CC133D" w:rsidRPr="00CC133D">
        <w:rPr>
          <w:szCs w:val="28"/>
        </w:rPr>
        <w:t xml:space="preserve"> Федеральн</w:t>
      </w:r>
      <w:r w:rsidR="0070098F">
        <w:rPr>
          <w:szCs w:val="28"/>
        </w:rPr>
        <w:t>ым</w:t>
      </w:r>
      <w:r w:rsidR="00CC133D" w:rsidRPr="00CC133D">
        <w:rPr>
          <w:szCs w:val="28"/>
        </w:rPr>
        <w:t xml:space="preserve"> закон</w:t>
      </w:r>
      <w:r w:rsidR="0070098F">
        <w:rPr>
          <w:szCs w:val="28"/>
        </w:rPr>
        <w:t>ом</w:t>
      </w:r>
      <w:r w:rsidR="00CC133D" w:rsidRPr="00CC133D">
        <w:rPr>
          <w:szCs w:val="28"/>
        </w:rPr>
        <w:t xml:space="preserve"> от 02.12.2019 № 380-ФЗ </w:t>
      </w:r>
      <w:r w:rsidR="001C0BDD">
        <w:rPr>
          <w:szCs w:val="28"/>
        </w:rPr>
        <w:br/>
      </w:r>
      <w:r w:rsidR="00CC133D" w:rsidRPr="00CC133D">
        <w:rPr>
          <w:szCs w:val="28"/>
        </w:rPr>
        <w:t>"О федеральном бюджете на 2020 год и плановый период 2021 и 2022</w:t>
      </w:r>
      <w:proofErr w:type="gramEnd"/>
      <w:r w:rsidR="00CC133D" w:rsidRPr="00CC133D">
        <w:rPr>
          <w:szCs w:val="28"/>
        </w:rPr>
        <w:t xml:space="preserve"> годов" и применяемы</w:t>
      </w:r>
      <w:r w:rsidR="0070098F">
        <w:rPr>
          <w:szCs w:val="28"/>
        </w:rPr>
        <w:t>й</w:t>
      </w:r>
      <w:r w:rsidR="00CC133D" w:rsidRPr="00CC133D">
        <w:rPr>
          <w:szCs w:val="28"/>
        </w:rPr>
        <w:t xml:space="preserve"> в настоящее время</w:t>
      </w:r>
      <w:r w:rsidR="00CC133D">
        <w:rPr>
          <w:szCs w:val="28"/>
        </w:rPr>
        <w:t xml:space="preserve"> </w:t>
      </w:r>
      <w:r w:rsidR="0070098F">
        <w:rPr>
          <w:szCs w:val="28"/>
        </w:rPr>
        <w:t xml:space="preserve"> </w:t>
      </w:r>
      <w:r w:rsidRPr="001E18C8">
        <w:rPr>
          <w:szCs w:val="28"/>
        </w:rPr>
        <w:t>механизм уточнения невостребованных платежей, учитываемых в бюджете как НВС.</w:t>
      </w:r>
      <w:r w:rsidR="00CC133D">
        <w:rPr>
          <w:szCs w:val="28"/>
        </w:rPr>
        <w:t xml:space="preserve"> </w:t>
      </w:r>
    </w:p>
    <w:p w:rsidR="00BD4C4E" w:rsidRPr="001E18C8" w:rsidRDefault="00BD4C4E" w:rsidP="00BD4C4E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 xml:space="preserve">В целях урегулирования вопроса возврата излишне уплаченных (взысканных) платежей в бюджет, в части неналоговых платежей, законопроектом </w:t>
      </w:r>
      <w:proofErr w:type="gramStart"/>
      <w:r w:rsidR="0070098F" w:rsidRPr="001E18C8">
        <w:rPr>
          <w:szCs w:val="28"/>
        </w:rPr>
        <w:t>предусм</w:t>
      </w:r>
      <w:r w:rsidR="0070098F">
        <w:rPr>
          <w:szCs w:val="28"/>
        </w:rPr>
        <w:t>атривается</w:t>
      </w:r>
      <w:proofErr w:type="gramEnd"/>
      <w:r w:rsidR="0070098F" w:rsidRPr="001E18C8">
        <w:rPr>
          <w:szCs w:val="28"/>
        </w:rPr>
        <w:t xml:space="preserve"> </w:t>
      </w:r>
      <w:r w:rsidRPr="001E18C8">
        <w:rPr>
          <w:szCs w:val="28"/>
        </w:rPr>
        <w:t>в том числе срок, в течение которого осуществляется возврат (три года)</w:t>
      </w:r>
      <w:r w:rsidR="0070098F">
        <w:rPr>
          <w:szCs w:val="28"/>
        </w:rPr>
        <w:t>, по аналогии с</w:t>
      </w:r>
      <w:r w:rsidR="0070098F" w:rsidRPr="001E18C8">
        <w:rPr>
          <w:szCs w:val="28"/>
        </w:rPr>
        <w:t xml:space="preserve"> </w:t>
      </w:r>
      <w:r w:rsidR="0070098F">
        <w:rPr>
          <w:szCs w:val="28"/>
        </w:rPr>
        <w:t xml:space="preserve">платежами, установленными </w:t>
      </w:r>
      <w:r w:rsidR="0070098F" w:rsidRPr="001E18C8">
        <w:rPr>
          <w:szCs w:val="28"/>
        </w:rPr>
        <w:t>законодательством Российской Федерации о налогах и сборах и законодательством Российской Федерации о таможенном регулировании.</w:t>
      </w:r>
    </w:p>
    <w:p w:rsidR="003A4536" w:rsidRPr="001E18C8" w:rsidRDefault="006E1E29" w:rsidP="00A51858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>Также з</w:t>
      </w:r>
      <w:r w:rsidR="003A4536" w:rsidRPr="001E18C8">
        <w:rPr>
          <w:szCs w:val="28"/>
        </w:rPr>
        <w:t>аконопроектом предлагается уточнить положения статьи 160</w:t>
      </w:r>
      <w:r w:rsidR="003A4536" w:rsidRPr="001E18C8">
        <w:rPr>
          <w:szCs w:val="28"/>
          <w:vertAlign w:val="superscript"/>
        </w:rPr>
        <w:t>1</w:t>
      </w:r>
      <w:r w:rsidR="003A4536" w:rsidRPr="001E18C8">
        <w:rPr>
          <w:szCs w:val="28"/>
        </w:rPr>
        <w:t xml:space="preserve"> Бюджетного кодекса.</w:t>
      </w:r>
    </w:p>
    <w:p w:rsidR="00A51858" w:rsidRPr="001E18C8" w:rsidRDefault="003A4536" w:rsidP="00A51858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lastRenderedPageBreak/>
        <w:t>Так, д</w:t>
      </w:r>
      <w:r w:rsidR="00A51858" w:rsidRPr="001E18C8">
        <w:rPr>
          <w:szCs w:val="28"/>
        </w:rPr>
        <w:t>ействующая редакция статьи 160</w:t>
      </w:r>
      <w:r w:rsidR="00A51858" w:rsidRPr="001E18C8">
        <w:rPr>
          <w:szCs w:val="28"/>
          <w:vertAlign w:val="superscript"/>
        </w:rPr>
        <w:t>1</w:t>
      </w:r>
      <w:r w:rsidR="00A51858" w:rsidRPr="001E18C8">
        <w:rPr>
          <w:szCs w:val="28"/>
        </w:rPr>
        <w:t xml:space="preserve"> Бюджетного кодекса предусматривает ведение главным администратором (администратором) доходов </w:t>
      </w:r>
      <w:proofErr w:type="gramStart"/>
      <w:r w:rsidR="00A51858" w:rsidRPr="001E18C8">
        <w:rPr>
          <w:szCs w:val="28"/>
        </w:rPr>
        <w:t>бюджета реестра источников доходов бюджета</w:t>
      </w:r>
      <w:proofErr w:type="gramEnd"/>
      <w:r w:rsidR="00A51858" w:rsidRPr="001E18C8">
        <w:rPr>
          <w:szCs w:val="28"/>
        </w:rPr>
        <w:t xml:space="preserve"> по закрепленным за ним источникам доходов на основании перечня источников доходов бюджетов бюджетной системы Российской Федерации. Данное положение необходимо привести в соответствие с положениями статьи 47</w:t>
      </w:r>
      <w:r w:rsidR="00A51858" w:rsidRPr="001E18C8">
        <w:rPr>
          <w:szCs w:val="28"/>
          <w:vertAlign w:val="superscript"/>
        </w:rPr>
        <w:t>1</w:t>
      </w:r>
      <w:r w:rsidR="00A51858" w:rsidRPr="001E18C8">
        <w:rPr>
          <w:szCs w:val="28"/>
        </w:rPr>
        <w:t xml:space="preserve"> Бюджетного кодекса, согласно которой реестры </w:t>
      </w:r>
      <w:proofErr w:type="gramStart"/>
      <w:r w:rsidR="00A51858" w:rsidRPr="001E18C8">
        <w:rPr>
          <w:szCs w:val="28"/>
        </w:rPr>
        <w:t>источников доходов бюджетов бюджетной системы Российской Федерации</w:t>
      </w:r>
      <w:proofErr w:type="gramEnd"/>
      <w:r w:rsidR="00A51858" w:rsidRPr="001E18C8">
        <w:rPr>
          <w:szCs w:val="28"/>
        </w:rPr>
        <w:t xml:space="preserve"> ведутся Министерством финансов Российской Федерации, органами управления государственными внебюджетными фондами, финансовыми органами субъектов Российской Федерации и муниципальных образований на основании перечня источников доходов Российской Федерации. </w:t>
      </w:r>
    </w:p>
    <w:p w:rsidR="00A51858" w:rsidRPr="001E18C8" w:rsidRDefault="00A51858" w:rsidP="00A51858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 xml:space="preserve">При этом в полномочия главных администраторов доходов </w:t>
      </w:r>
      <w:r w:rsidR="006E1E29" w:rsidRPr="001E18C8">
        <w:rPr>
          <w:szCs w:val="28"/>
        </w:rPr>
        <w:t xml:space="preserve">бюджета </w:t>
      </w:r>
      <w:r w:rsidRPr="001E18C8">
        <w:rPr>
          <w:szCs w:val="28"/>
        </w:rPr>
        <w:t xml:space="preserve">входит формирование информации для включения в перечень </w:t>
      </w:r>
      <w:proofErr w:type="gramStart"/>
      <w:r w:rsidRPr="001E18C8">
        <w:rPr>
          <w:szCs w:val="28"/>
        </w:rPr>
        <w:t>источников доходов бюджетов бюджетной системы Российской Федерации</w:t>
      </w:r>
      <w:proofErr w:type="gramEnd"/>
      <w:r w:rsidRPr="001E18C8">
        <w:rPr>
          <w:szCs w:val="28"/>
        </w:rPr>
        <w:t xml:space="preserve"> и реестр источников доходов бюджета, что требует закрепления в статье 160</w:t>
      </w:r>
      <w:r w:rsidRPr="001E18C8">
        <w:rPr>
          <w:szCs w:val="28"/>
          <w:vertAlign w:val="superscript"/>
        </w:rPr>
        <w:t>1</w:t>
      </w:r>
      <w:r w:rsidRPr="001E18C8">
        <w:rPr>
          <w:szCs w:val="28"/>
        </w:rPr>
        <w:t xml:space="preserve"> Бюджетного кодекса.</w:t>
      </w:r>
    </w:p>
    <w:p w:rsidR="005232A2" w:rsidRPr="001E18C8" w:rsidRDefault="00F26F9C" w:rsidP="00A51858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>Кроме того, в</w:t>
      </w:r>
      <w:r w:rsidR="005232A2" w:rsidRPr="001E18C8">
        <w:rPr>
          <w:szCs w:val="28"/>
        </w:rPr>
        <w:t xml:space="preserve"> настоящее время ряд корпораций наделен полномочиями главного администратора доходов бюджета федеральными законами</w:t>
      </w:r>
      <w:r w:rsidRPr="001E18C8">
        <w:rPr>
          <w:szCs w:val="28"/>
        </w:rPr>
        <w:t xml:space="preserve"> от 13.07.2015 №</w:t>
      </w:r>
      <w:r w:rsidR="00A706A2" w:rsidRPr="001E18C8">
        <w:rPr>
          <w:szCs w:val="28"/>
        </w:rPr>
        <w:t> </w:t>
      </w:r>
      <w:r w:rsidRPr="001E18C8">
        <w:rPr>
          <w:szCs w:val="28"/>
        </w:rPr>
        <w:t xml:space="preserve">215-ФЗ </w:t>
      </w:r>
      <w:r w:rsidR="00A706A2" w:rsidRPr="001E18C8">
        <w:rPr>
          <w:szCs w:val="28"/>
        </w:rPr>
        <w:t>"О Государственной корпорации по космической деятельности "</w:t>
      </w:r>
      <w:proofErr w:type="spellStart"/>
      <w:r w:rsidR="00A706A2" w:rsidRPr="001E18C8">
        <w:rPr>
          <w:szCs w:val="28"/>
        </w:rPr>
        <w:t>Роскосмос</w:t>
      </w:r>
      <w:proofErr w:type="spellEnd"/>
      <w:r w:rsidR="00A706A2" w:rsidRPr="001E18C8">
        <w:rPr>
          <w:szCs w:val="28"/>
        </w:rPr>
        <w:t>"</w:t>
      </w:r>
      <w:r w:rsidRPr="001E18C8">
        <w:rPr>
          <w:szCs w:val="28"/>
        </w:rPr>
        <w:t xml:space="preserve">, от 01.12.2007 № 317-ФЗ </w:t>
      </w:r>
      <w:r w:rsidR="00A706A2" w:rsidRPr="001E18C8">
        <w:rPr>
          <w:szCs w:val="28"/>
        </w:rPr>
        <w:t>"О Государственной корпорации по атомной энергии "</w:t>
      </w:r>
      <w:proofErr w:type="spellStart"/>
      <w:r w:rsidR="00A706A2" w:rsidRPr="001E18C8">
        <w:rPr>
          <w:szCs w:val="28"/>
        </w:rPr>
        <w:t>Росатом</w:t>
      </w:r>
      <w:proofErr w:type="spellEnd"/>
      <w:r w:rsidR="00A706A2" w:rsidRPr="001E18C8">
        <w:rPr>
          <w:szCs w:val="28"/>
        </w:rPr>
        <w:t>"</w:t>
      </w:r>
      <w:r w:rsidR="005232A2" w:rsidRPr="001E18C8">
        <w:rPr>
          <w:szCs w:val="28"/>
        </w:rPr>
        <w:t>, при этом отсутс</w:t>
      </w:r>
      <w:r w:rsidRPr="001E18C8">
        <w:rPr>
          <w:szCs w:val="28"/>
        </w:rPr>
        <w:t>т</w:t>
      </w:r>
      <w:r w:rsidR="005232A2" w:rsidRPr="001E18C8">
        <w:rPr>
          <w:szCs w:val="28"/>
        </w:rPr>
        <w:t>вует порядок их осуществления</w:t>
      </w:r>
      <w:r w:rsidRPr="001E18C8">
        <w:rPr>
          <w:szCs w:val="28"/>
        </w:rPr>
        <w:t>.</w:t>
      </w:r>
      <w:r w:rsidR="005232A2" w:rsidRPr="001E18C8">
        <w:rPr>
          <w:szCs w:val="28"/>
        </w:rPr>
        <w:t xml:space="preserve"> </w:t>
      </w:r>
    </w:p>
    <w:p w:rsidR="003A4536" w:rsidRPr="001E18C8" w:rsidRDefault="003A4536" w:rsidP="00A51858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>В целях устранения пробела в правовом регулировании вопроса обеспечения исполнения государственными корпорациями полномочий главн</w:t>
      </w:r>
      <w:r w:rsidR="005232A2" w:rsidRPr="001E18C8">
        <w:rPr>
          <w:szCs w:val="28"/>
        </w:rPr>
        <w:t>ого</w:t>
      </w:r>
      <w:r w:rsidRPr="001E18C8">
        <w:rPr>
          <w:szCs w:val="28"/>
        </w:rPr>
        <w:t xml:space="preserve"> администратор</w:t>
      </w:r>
      <w:r w:rsidR="005232A2" w:rsidRPr="001E18C8">
        <w:rPr>
          <w:szCs w:val="28"/>
        </w:rPr>
        <w:t>а</w:t>
      </w:r>
      <w:r w:rsidRPr="001E18C8">
        <w:rPr>
          <w:szCs w:val="28"/>
        </w:rPr>
        <w:t xml:space="preserve"> доходов бюджет</w:t>
      </w:r>
      <w:r w:rsidR="005232A2" w:rsidRPr="001E18C8">
        <w:rPr>
          <w:szCs w:val="28"/>
        </w:rPr>
        <w:t>а</w:t>
      </w:r>
      <w:r w:rsidRPr="001E18C8">
        <w:rPr>
          <w:szCs w:val="28"/>
        </w:rPr>
        <w:t xml:space="preserve"> </w:t>
      </w:r>
      <w:r w:rsidR="0057692E" w:rsidRPr="001E18C8">
        <w:rPr>
          <w:szCs w:val="28"/>
        </w:rPr>
        <w:t>законопроектом предлагается норма</w:t>
      </w:r>
      <w:r w:rsidR="006E1E29" w:rsidRPr="001E18C8">
        <w:rPr>
          <w:szCs w:val="28"/>
        </w:rPr>
        <w:t>,</w:t>
      </w:r>
      <w:r w:rsidR="0057692E" w:rsidRPr="001E18C8">
        <w:rPr>
          <w:szCs w:val="28"/>
        </w:rPr>
        <w:t xml:space="preserve"> определяющая </w:t>
      </w:r>
      <w:r w:rsidRPr="001E18C8">
        <w:rPr>
          <w:szCs w:val="28"/>
        </w:rPr>
        <w:t>исполнени</w:t>
      </w:r>
      <w:r w:rsidR="0057692E" w:rsidRPr="001E18C8">
        <w:rPr>
          <w:szCs w:val="28"/>
        </w:rPr>
        <w:t>е</w:t>
      </w:r>
      <w:r w:rsidRPr="001E18C8">
        <w:rPr>
          <w:szCs w:val="28"/>
        </w:rPr>
        <w:t xml:space="preserve"> государственными корпорациями </w:t>
      </w:r>
      <w:r w:rsidR="005232A2" w:rsidRPr="001E18C8">
        <w:rPr>
          <w:szCs w:val="28"/>
        </w:rPr>
        <w:t xml:space="preserve">указанных </w:t>
      </w:r>
      <w:r w:rsidRPr="001E18C8">
        <w:rPr>
          <w:szCs w:val="28"/>
        </w:rPr>
        <w:t>полномочий, в соответствии с порядком, установленным Правительством Российской Федерации</w:t>
      </w:r>
      <w:r w:rsidR="0057692E" w:rsidRPr="001E18C8">
        <w:rPr>
          <w:szCs w:val="28"/>
        </w:rPr>
        <w:t>.</w:t>
      </w:r>
    </w:p>
    <w:p w:rsidR="00A51858" w:rsidRPr="001E18C8" w:rsidRDefault="0057692E" w:rsidP="00A51858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>Предлагаемая законопроектом норма по внесению изменений в статью 160</w:t>
      </w:r>
      <w:r w:rsidRPr="001E18C8">
        <w:rPr>
          <w:szCs w:val="28"/>
          <w:vertAlign w:val="superscript"/>
        </w:rPr>
        <w:t>2</w:t>
      </w:r>
      <w:r w:rsidRPr="001E18C8">
        <w:rPr>
          <w:szCs w:val="28"/>
        </w:rPr>
        <w:t xml:space="preserve"> Бюджетного кодекса предусматривает исключение необходимости планирования (прогнозирования) поступлений по источникам финансирования дефицита бюджета от возврата средств федерального бюджета, ранее размещенных на депозитах, и возврата средств по договорам </w:t>
      </w:r>
      <w:proofErr w:type="spellStart"/>
      <w:r w:rsidRPr="001E18C8">
        <w:rPr>
          <w:szCs w:val="28"/>
        </w:rPr>
        <w:t>репо</w:t>
      </w:r>
      <w:proofErr w:type="spellEnd"/>
      <w:r w:rsidRPr="001E18C8">
        <w:rPr>
          <w:szCs w:val="28"/>
        </w:rPr>
        <w:t xml:space="preserve"> ввиду того, что объем возврата указанных средств непосредственно зависит от объема ранее произведенного их размещения.</w:t>
      </w:r>
    </w:p>
    <w:p w:rsidR="0057692E" w:rsidRPr="001E18C8" w:rsidRDefault="0057692E" w:rsidP="00A51858">
      <w:pPr>
        <w:spacing w:line="276" w:lineRule="auto"/>
        <w:ind w:firstLine="709"/>
        <w:rPr>
          <w:szCs w:val="28"/>
        </w:rPr>
      </w:pPr>
      <w:proofErr w:type="gramStart"/>
      <w:r w:rsidRPr="001E18C8">
        <w:rPr>
          <w:szCs w:val="28"/>
        </w:rPr>
        <w:t>В целях реализации требования Счетной палаты Российской Федерации о закреплении в Бюджетном кодексе нормы о предоставлении расчетов доходов в составе</w:t>
      </w:r>
      <w:proofErr w:type="gramEnd"/>
      <w:r w:rsidRPr="001E18C8">
        <w:rPr>
          <w:szCs w:val="28"/>
        </w:rPr>
        <w:t xml:space="preserve"> материалов к проекту федерального закона о внесении изменений в федеральный закон о федеральном бюджете на текущий финансовый год и плановый период законопроектом предлагается норма, предусматривающая предоставление указанных расчетов.</w:t>
      </w:r>
    </w:p>
    <w:p w:rsidR="009112E6" w:rsidRPr="001E18C8" w:rsidRDefault="00DA5032" w:rsidP="009112E6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lastRenderedPageBreak/>
        <w:t xml:space="preserve">Кроме того, в целях совершенствования исполнения бюджетов по доходам законопроектом предлагается внесение изменений в статьи Бюджетного кодекса, регулирующие формирование доходов бюджетов бюджетной системы Российской Федерации, </w:t>
      </w:r>
      <w:proofErr w:type="gramStart"/>
      <w:r w:rsidRPr="001E18C8">
        <w:rPr>
          <w:szCs w:val="28"/>
        </w:rPr>
        <w:t>связанные</w:t>
      </w:r>
      <w:proofErr w:type="gramEnd"/>
      <w:r w:rsidRPr="001E18C8">
        <w:rPr>
          <w:szCs w:val="28"/>
        </w:rPr>
        <w:t xml:space="preserve"> в том числе с приведением в соответствие с отраслевым законодательством Российской Федерации.</w:t>
      </w:r>
      <w:r w:rsidR="0001082D" w:rsidRPr="001E18C8">
        <w:rPr>
          <w:szCs w:val="28"/>
        </w:rPr>
        <w:t xml:space="preserve"> Так, в</w:t>
      </w:r>
      <w:r w:rsidR="009112E6" w:rsidRPr="001E18C8">
        <w:rPr>
          <w:szCs w:val="28"/>
        </w:rPr>
        <w:t xml:space="preserve"> Федеральн</w:t>
      </w:r>
      <w:r w:rsidR="0001082D" w:rsidRPr="001E18C8">
        <w:rPr>
          <w:szCs w:val="28"/>
        </w:rPr>
        <w:t>ый</w:t>
      </w:r>
      <w:r w:rsidR="009112E6" w:rsidRPr="001E18C8">
        <w:rPr>
          <w:szCs w:val="28"/>
        </w:rPr>
        <w:t xml:space="preserve"> закон от 20.12.2004 № 166-ФЗ "О рыболовстве и сохранении водных биологических ресурсов" были внесены изменения, предполагающие замену термина "рыбопромысловый участок" термином "рыболовный участок" и уточнение термина "договор о закреплении доли добычи (вылова) водных биоресурсов".</w:t>
      </w:r>
    </w:p>
    <w:p w:rsidR="00E85240" w:rsidRDefault="00B6769E" w:rsidP="00E85240">
      <w:pPr>
        <w:spacing w:line="276" w:lineRule="auto"/>
        <w:ind w:firstLine="709"/>
        <w:rPr>
          <w:szCs w:val="28"/>
        </w:rPr>
      </w:pPr>
      <w:r w:rsidRPr="00B6769E">
        <w:rPr>
          <w:szCs w:val="28"/>
        </w:rPr>
        <w:t>Вместе с тем, предлагается закрепить на постоянной основе в Бюджетном кодексе, предусмотренные в статье 2 Федерального закона от 02.12.2019 № 380-ФЗ "О федеральном бюджете на 2020 год и планов</w:t>
      </w:r>
      <w:r w:rsidRPr="00BE00BA">
        <w:rPr>
          <w:szCs w:val="28"/>
        </w:rPr>
        <w:t>ый</w:t>
      </w:r>
      <w:r w:rsidRPr="00B6769E">
        <w:rPr>
          <w:szCs w:val="28"/>
        </w:rPr>
        <w:t xml:space="preserve"> период 2021 и 2022 годов", и применяемые в настоящее время, нормативы зачисления платы за публичный сервитут. Поскольку данные нормативы стабильны и не подлежат пересмотру, их </w:t>
      </w:r>
      <w:proofErr w:type="gramStart"/>
      <w:r w:rsidRPr="00B6769E">
        <w:rPr>
          <w:szCs w:val="28"/>
        </w:rPr>
        <w:t>ежегодное</w:t>
      </w:r>
      <w:proofErr w:type="gramEnd"/>
      <w:r w:rsidRPr="00B6769E">
        <w:rPr>
          <w:szCs w:val="28"/>
        </w:rPr>
        <w:t xml:space="preserve"> </w:t>
      </w:r>
      <w:proofErr w:type="spellStart"/>
      <w:r w:rsidRPr="00B6769E">
        <w:rPr>
          <w:szCs w:val="28"/>
        </w:rPr>
        <w:t>переутверждение</w:t>
      </w:r>
      <w:proofErr w:type="spellEnd"/>
      <w:r w:rsidRPr="00B6769E">
        <w:rPr>
          <w:szCs w:val="28"/>
        </w:rPr>
        <w:t xml:space="preserve"> в законе о федеральном бюджете на текущий и планов</w:t>
      </w:r>
      <w:r w:rsidRPr="00BE00BA">
        <w:rPr>
          <w:szCs w:val="28"/>
        </w:rPr>
        <w:t>ы</w:t>
      </w:r>
      <w:r w:rsidR="00F34EB5">
        <w:rPr>
          <w:szCs w:val="28"/>
        </w:rPr>
        <w:t>й</w:t>
      </w:r>
      <w:r w:rsidRPr="00B6769E">
        <w:rPr>
          <w:szCs w:val="28"/>
        </w:rPr>
        <w:t xml:space="preserve"> периоды избыточно.</w:t>
      </w:r>
    </w:p>
    <w:p w:rsidR="00FC7206" w:rsidRPr="001E18C8" w:rsidRDefault="0047241C" w:rsidP="009112E6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>Реализация положений, предусмотренных законопроектом,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47241C" w:rsidRPr="001E18C8" w:rsidRDefault="0047241C" w:rsidP="00FC7206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>Предлагаемые изменения не повлияют на достижение целей государственных программ Российской Федерации и не окажут влияние на доходы или расходы бюджетов бюджетной системы Российской Федерации.</w:t>
      </w:r>
    </w:p>
    <w:p w:rsidR="0047241C" w:rsidRPr="001E18C8" w:rsidRDefault="0047241C" w:rsidP="00FC7206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47241C" w:rsidRPr="001E18C8" w:rsidRDefault="0047241C" w:rsidP="00FC7206">
      <w:pPr>
        <w:spacing w:line="276" w:lineRule="auto"/>
        <w:ind w:firstLine="709"/>
        <w:rPr>
          <w:szCs w:val="28"/>
        </w:rPr>
      </w:pPr>
      <w:r w:rsidRPr="001E18C8">
        <w:rPr>
          <w:szCs w:val="28"/>
        </w:rPr>
        <w:t xml:space="preserve">Положения законопроекта соответствуют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471047" w:rsidRDefault="00471047" w:rsidP="0047241C">
      <w:pPr>
        <w:ind w:firstLine="709"/>
      </w:pPr>
    </w:p>
    <w:p w:rsidR="00471047" w:rsidRDefault="00471047" w:rsidP="00471047">
      <w:pPr>
        <w:ind w:firstLine="709"/>
      </w:pPr>
    </w:p>
    <w:sectPr w:rsidR="00471047" w:rsidSect="00FC720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567" w:bottom="1276" w:left="1134" w:header="709" w:footer="709" w:gutter="0"/>
      <w:paperSrc w:first="1" w:other="1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844" w16cex:dateUtc="2020-08-31T13:48:00Z"/>
  <w16cex:commentExtensible w16cex:durableId="22F7A85D" w16cex:dateUtc="2020-08-31T13:48:00Z"/>
  <w16cex:commentExtensible w16cex:durableId="22F7AA95" w16cex:dateUtc="2020-08-31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94D306" w16cid:durableId="22F7A844"/>
  <w16cid:commentId w16cid:paraId="64B7CA0A" w16cid:durableId="22F7A85D"/>
  <w16cid:commentId w16cid:paraId="35E63182" w16cid:durableId="22F7AA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B5" w:rsidRDefault="00C025B5">
      <w:r>
        <w:separator/>
      </w:r>
    </w:p>
  </w:endnote>
  <w:endnote w:type="continuationSeparator" w:id="0">
    <w:p w:rsidR="00C025B5" w:rsidRDefault="00C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C5" w:rsidRPr="003E04DD" w:rsidRDefault="000550C5" w:rsidP="00107A76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C5" w:rsidRPr="003E04DD" w:rsidRDefault="000550C5" w:rsidP="00107A76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B5" w:rsidRDefault="00C025B5">
      <w:r>
        <w:separator/>
      </w:r>
    </w:p>
  </w:footnote>
  <w:footnote w:type="continuationSeparator" w:id="0">
    <w:p w:rsidR="00C025B5" w:rsidRDefault="00C0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C5" w:rsidRPr="00107A76" w:rsidRDefault="000550C5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107A76">
      <w:rPr>
        <w:rStyle w:val="a5"/>
        <w:snapToGrid w:val="0"/>
        <w:color w:val="000000"/>
        <w:szCs w:val="0"/>
        <w:u w:color="000000"/>
      </w:rPr>
      <w:fldChar w:fldCharType="begin"/>
    </w:r>
    <w:r w:rsidRPr="00107A76">
      <w:rPr>
        <w:rStyle w:val="a5"/>
        <w:snapToGrid w:val="0"/>
        <w:color w:val="000000"/>
        <w:szCs w:val="0"/>
        <w:u w:color="000000"/>
      </w:rPr>
      <w:instrText xml:space="preserve"> PAGE </w:instrText>
    </w:r>
    <w:r w:rsidRPr="00107A76">
      <w:rPr>
        <w:rStyle w:val="a5"/>
        <w:snapToGrid w:val="0"/>
        <w:color w:val="000000"/>
        <w:szCs w:val="0"/>
        <w:u w:color="000000"/>
      </w:rPr>
      <w:fldChar w:fldCharType="separate"/>
    </w:r>
    <w:r w:rsidR="00DC7249">
      <w:rPr>
        <w:rStyle w:val="a5"/>
        <w:noProof/>
        <w:snapToGrid w:val="0"/>
        <w:color w:val="000000"/>
        <w:szCs w:val="0"/>
        <w:u w:color="000000"/>
      </w:rPr>
      <w:t>2</w:t>
    </w:r>
    <w:r w:rsidRPr="00107A76">
      <w:rPr>
        <w:rStyle w:val="a5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C5" w:rsidRPr="003E04DD" w:rsidRDefault="000550C5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1524"/>
    <w:rsid w:val="000034C2"/>
    <w:rsid w:val="00003D7B"/>
    <w:rsid w:val="0001082D"/>
    <w:rsid w:val="00013367"/>
    <w:rsid w:val="000550C5"/>
    <w:rsid w:val="00057EFD"/>
    <w:rsid w:val="00071741"/>
    <w:rsid w:val="00082D4B"/>
    <w:rsid w:val="000A25E9"/>
    <w:rsid w:val="000D1934"/>
    <w:rsid w:val="000F26C7"/>
    <w:rsid w:val="000F3608"/>
    <w:rsid w:val="000F3814"/>
    <w:rsid w:val="00107A76"/>
    <w:rsid w:val="00107BAF"/>
    <w:rsid w:val="00141389"/>
    <w:rsid w:val="00155CF8"/>
    <w:rsid w:val="0018754B"/>
    <w:rsid w:val="00193C91"/>
    <w:rsid w:val="00195117"/>
    <w:rsid w:val="001974E5"/>
    <w:rsid w:val="001A0685"/>
    <w:rsid w:val="001A2817"/>
    <w:rsid w:val="001B72C3"/>
    <w:rsid w:val="001C0BDD"/>
    <w:rsid w:val="001D163B"/>
    <w:rsid w:val="001D4C32"/>
    <w:rsid w:val="001E18C8"/>
    <w:rsid w:val="001F3637"/>
    <w:rsid w:val="001F52E9"/>
    <w:rsid w:val="00200A50"/>
    <w:rsid w:val="00222BF3"/>
    <w:rsid w:val="002334C4"/>
    <w:rsid w:val="00263696"/>
    <w:rsid w:val="00265956"/>
    <w:rsid w:val="00275BDC"/>
    <w:rsid w:val="002944D7"/>
    <w:rsid w:val="002A38A0"/>
    <w:rsid w:val="002B51EF"/>
    <w:rsid w:val="002E091E"/>
    <w:rsid w:val="00300F01"/>
    <w:rsid w:val="00304FD8"/>
    <w:rsid w:val="00313FC7"/>
    <w:rsid w:val="00314365"/>
    <w:rsid w:val="00342BEB"/>
    <w:rsid w:val="003642E2"/>
    <w:rsid w:val="0036781A"/>
    <w:rsid w:val="00386949"/>
    <w:rsid w:val="003A4536"/>
    <w:rsid w:val="003C2D3A"/>
    <w:rsid w:val="003C491E"/>
    <w:rsid w:val="003C6276"/>
    <w:rsid w:val="003E04DD"/>
    <w:rsid w:val="003E0A89"/>
    <w:rsid w:val="0040032D"/>
    <w:rsid w:val="00402B99"/>
    <w:rsid w:val="00411DD9"/>
    <w:rsid w:val="00424BA1"/>
    <w:rsid w:val="00435F49"/>
    <w:rsid w:val="0043622F"/>
    <w:rsid w:val="0045379E"/>
    <w:rsid w:val="00471047"/>
    <w:rsid w:val="0047241C"/>
    <w:rsid w:val="00477F8C"/>
    <w:rsid w:val="0049350B"/>
    <w:rsid w:val="00497123"/>
    <w:rsid w:val="00497F53"/>
    <w:rsid w:val="004A7C17"/>
    <w:rsid w:val="004C5B85"/>
    <w:rsid w:val="004D715D"/>
    <w:rsid w:val="004F3855"/>
    <w:rsid w:val="005039CE"/>
    <w:rsid w:val="00505AAB"/>
    <w:rsid w:val="0050687C"/>
    <w:rsid w:val="00513B3D"/>
    <w:rsid w:val="00521787"/>
    <w:rsid w:val="005232A2"/>
    <w:rsid w:val="00526FF2"/>
    <w:rsid w:val="00544EF2"/>
    <w:rsid w:val="00560401"/>
    <w:rsid w:val="00561BC4"/>
    <w:rsid w:val="00564A61"/>
    <w:rsid w:val="00566CF5"/>
    <w:rsid w:val="0057692E"/>
    <w:rsid w:val="00583D26"/>
    <w:rsid w:val="005927D2"/>
    <w:rsid w:val="005C28FE"/>
    <w:rsid w:val="005E151D"/>
    <w:rsid w:val="005F23A9"/>
    <w:rsid w:val="00600A84"/>
    <w:rsid w:val="00601F72"/>
    <w:rsid w:val="00624ABA"/>
    <w:rsid w:val="0065435C"/>
    <w:rsid w:val="00694D56"/>
    <w:rsid w:val="006A21CD"/>
    <w:rsid w:val="006B2327"/>
    <w:rsid w:val="006C1DDE"/>
    <w:rsid w:val="006D12F7"/>
    <w:rsid w:val="006E1E29"/>
    <w:rsid w:val="006F199C"/>
    <w:rsid w:val="006F2192"/>
    <w:rsid w:val="0070098F"/>
    <w:rsid w:val="00716108"/>
    <w:rsid w:val="00723DE9"/>
    <w:rsid w:val="00737EBE"/>
    <w:rsid w:val="00740F54"/>
    <w:rsid w:val="0074190F"/>
    <w:rsid w:val="00763C3E"/>
    <w:rsid w:val="00763C51"/>
    <w:rsid w:val="00774F20"/>
    <w:rsid w:val="00787244"/>
    <w:rsid w:val="007A034D"/>
    <w:rsid w:val="007F42B0"/>
    <w:rsid w:val="007F64E0"/>
    <w:rsid w:val="008026F2"/>
    <w:rsid w:val="008219FE"/>
    <w:rsid w:val="00842958"/>
    <w:rsid w:val="00846FF0"/>
    <w:rsid w:val="00850D58"/>
    <w:rsid w:val="00855465"/>
    <w:rsid w:val="0086137D"/>
    <w:rsid w:val="0087593A"/>
    <w:rsid w:val="00886145"/>
    <w:rsid w:val="008A2A08"/>
    <w:rsid w:val="008A617B"/>
    <w:rsid w:val="008A77EC"/>
    <w:rsid w:val="008B1480"/>
    <w:rsid w:val="008D4DB1"/>
    <w:rsid w:val="008F2734"/>
    <w:rsid w:val="00900B45"/>
    <w:rsid w:val="00906DC6"/>
    <w:rsid w:val="009112E6"/>
    <w:rsid w:val="0091549D"/>
    <w:rsid w:val="00921EA1"/>
    <w:rsid w:val="00942E3C"/>
    <w:rsid w:val="00943D7D"/>
    <w:rsid w:val="0094704B"/>
    <w:rsid w:val="0095519B"/>
    <w:rsid w:val="00962DE5"/>
    <w:rsid w:val="009A508D"/>
    <w:rsid w:val="009B1477"/>
    <w:rsid w:val="009B54D9"/>
    <w:rsid w:val="009D1A75"/>
    <w:rsid w:val="009E78CA"/>
    <w:rsid w:val="00A025D3"/>
    <w:rsid w:val="00A14108"/>
    <w:rsid w:val="00A16607"/>
    <w:rsid w:val="00A17BA7"/>
    <w:rsid w:val="00A405DF"/>
    <w:rsid w:val="00A444A7"/>
    <w:rsid w:val="00A45130"/>
    <w:rsid w:val="00A51858"/>
    <w:rsid w:val="00A523D5"/>
    <w:rsid w:val="00A706A2"/>
    <w:rsid w:val="00A72F67"/>
    <w:rsid w:val="00A80590"/>
    <w:rsid w:val="00A81A97"/>
    <w:rsid w:val="00A844B8"/>
    <w:rsid w:val="00A948BD"/>
    <w:rsid w:val="00A97E68"/>
    <w:rsid w:val="00AC0A4B"/>
    <w:rsid w:val="00AE4C57"/>
    <w:rsid w:val="00AF09A9"/>
    <w:rsid w:val="00B02F06"/>
    <w:rsid w:val="00B0422C"/>
    <w:rsid w:val="00B12518"/>
    <w:rsid w:val="00B12B5C"/>
    <w:rsid w:val="00B31EBA"/>
    <w:rsid w:val="00B6769E"/>
    <w:rsid w:val="00B750FD"/>
    <w:rsid w:val="00BA4FBC"/>
    <w:rsid w:val="00BD4C4E"/>
    <w:rsid w:val="00BD785B"/>
    <w:rsid w:val="00BE00BA"/>
    <w:rsid w:val="00BE6AEB"/>
    <w:rsid w:val="00BF0A7E"/>
    <w:rsid w:val="00C025B5"/>
    <w:rsid w:val="00C22232"/>
    <w:rsid w:val="00C22AF1"/>
    <w:rsid w:val="00C42723"/>
    <w:rsid w:val="00C5096A"/>
    <w:rsid w:val="00C6001D"/>
    <w:rsid w:val="00C771DC"/>
    <w:rsid w:val="00CC133D"/>
    <w:rsid w:val="00CD7729"/>
    <w:rsid w:val="00CE614D"/>
    <w:rsid w:val="00CF324E"/>
    <w:rsid w:val="00D12279"/>
    <w:rsid w:val="00D22A37"/>
    <w:rsid w:val="00D262F4"/>
    <w:rsid w:val="00D4065B"/>
    <w:rsid w:val="00D6260B"/>
    <w:rsid w:val="00D8409C"/>
    <w:rsid w:val="00D96DBA"/>
    <w:rsid w:val="00DA5032"/>
    <w:rsid w:val="00DA5958"/>
    <w:rsid w:val="00DA7D5F"/>
    <w:rsid w:val="00DB58FB"/>
    <w:rsid w:val="00DC7249"/>
    <w:rsid w:val="00DD4170"/>
    <w:rsid w:val="00DF0069"/>
    <w:rsid w:val="00DF572C"/>
    <w:rsid w:val="00DF7A34"/>
    <w:rsid w:val="00E12C12"/>
    <w:rsid w:val="00E2046C"/>
    <w:rsid w:val="00E35D51"/>
    <w:rsid w:val="00E424BA"/>
    <w:rsid w:val="00E4253D"/>
    <w:rsid w:val="00E4390F"/>
    <w:rsid w:val="00E5295B"/>
    <w:rsid w:val="00E67E00"/>
    <w:rsid w:val="00E715FE"/>
    <w:rsid w:val="00E85240"/>
    <w:rsid w:val="00E94DF4"/>
    <w:rsid w:val="00E963C2"/>
    <w:rsid w:val="00E96EA3"/>
    <w:rsid w:val="00EB23FF"/>
    <w:rsid w:val="00EB4F4C"/>
    <w:rsid w:val="00EC21FA"/>
    <w:rsid w:val="00ED2D2C"/>
    <w:rsid w:val="00ED44A8"/>
    <w:rsid w:val="00F07B62"/>
    <w:rsid w:val="00F20C6C"/>
    <w:rsid w:val="00F25901"/>
    <w:rsid w:val="00F26F9C"/>
    <w:rsid w:val="00F3146F"/>
    <w:rsid w:val="00F31812"/>
    <w:rsid w:val="00F34EB5"/>
    <w:rsid w:val="00F41FCC"/>
    <w:rsid w:val="00F43ED3"/>
    <w:rsid w:val="00F53F52"/>
    <w:rsid w:val="00F5498D"/>
    <w:rsid w:val="00F60961"/>
    <w:rsid w:val="00F8747E"/>
    <w:rsid w:val="00FA62F4"/>
    <w:rsid w:val="00FA79F4"/>
    <w:rsid w:val="00FB74CC"/>
    <w:rsid w:val="00FC1CC8"/>
    <w:rsid w:val="00FC489B"/>
    <w:rsid w:val="00FC7206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21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1787"/>
    <w:rPr>
      <w:rFonts w:ascii="Tahoma" w:hAnsi="Tahoma" w:cs="Tahoma"/>
      <w:sz w:val="16"/>
      <w:szCs w:val="16"/>
    </w:rPr>
  </w:style>
  <w:style w:type="character" w:styleId="a8">
    <w:name w:val="annotation reference"/>
    <w:rsid w:val="00DA5032"/>
    <w:rPr>
      <w:sz w:val="16"/>
      <w:szCs w:val="16"/>
    </w:rPr>
  </w:style>
  <w:style w:type="paragraph" w:styleId="a9">
    <w:name w:val="annotation text"/>
    <w:basedOn w:val="a"/>
    <w:link w:val="aa"/>
    <w:rsid w:val="00DA5032"/>
    <w:rPr>
      <w:sz w:val="20"/>
    </w:rPr>
  </w:style>
  <w:style w:type="character" w:customStyle="1" w:styleId="aa">
    <w:name w:val="Текст примечания Знак"/>
    <w:link w:val="a9"/>
    <w:rsid w:val="00DA5032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DA5032"/>
    <w:rPr>
      <w:b/>
      <w:bCs/>
    </w:rPr>
  </w:style>
  <w:style w:type="character" w:customStyle="1" w:styleId="ac">
    <w:name w:val="Тема примечания Знак"/>
    <w:link w:val="ab"/>
    <w:rsid w:val="00DA5032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21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1787"/>
    <w:rPr>
      <w:rFonts w:ascii="Tahoma" w:hAnsi="Tahoma" w:cs="Tahoma"/>
      <w:sz w:val="16"/>
      <w:szCs w:val="16"/>
    </w:rPr>
  </w:style>
  <w:style w:type="character" w:styleId="a8">
    <w:name w:val="annotation reference"/>
    <w:rsid w:val="00DA5032"/>
    <w:rPr>
      <w:sz w:val="16"/>
      <w:szCs w:val="16"/>
    </w:rPr>
  </w:style>
  <w:style w:type="paragraph" w:styleId="a9">
    <w:name w:val="annotation text"/>
    <w:basedOn w:val="a"/>
    <w:link w:val="aa"/>
    <w:rsid w:val="00DA5032"/>
    <w:rPr>
      <w:sz w:val="20"/>
    </w:rPr>
  </w:style>
  <w:style w:type="character" w:customStyle="1" w:styleId="aa">
    <w:name w:val="Текст примечания Знак"/>
    <w:link w:val="a9"/>
    <w:rsid w:val="00DA5032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DA5032"/>
    <w:rPr>
      <w:b/>
      <w:bCs/>
    </w:rPr>
  </w:style>
  <w:style w:type="character" w:customStyle="1" w:styleId="ac">
    <w:name w:val="Тема примечания Знак"/>
    <w:link w:val="ab"/>
    <w:rsid w:val="00DA503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Дом</cp:lastModifiedBy>
  <cp:revision>2</cp:revision>
  <cp:lastPrinted>2017-01-26T07:54:00Z</cp:lastPrinted>
  <dcterms:created xsi:type="dcterms:W3CDTF">2020-09-03T14:52:00Z</dcterms:created>
  <dcterms:modified xsi:type="dcterms:W3CDTF">2020-09-03T14:52:00Z</dcterms:modified>
</cp:coreProperties>
</file>