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31" w:rsidRDefault="001F0F31" w:rsidP="001F0F31">
      <w:pPr>
        <w:pStyle w:val="Style9"/>
        <w:shd w:val="clear" w:color="auto" w:fill="auto"/>
        <w:spacing w:before="0" w:after="0" w:line="240" w:lineRule="auto"/>
        <w:ind w:firstLine="720"/>
        <w:jc w:val="both"/>
        <w:rPr>
          <w:rStyle w:val="CharStyle10"/>
          <w:rFonts w:ascii="Times New Roman" w:hAnsi="Times New Roman" w:cs="Times New Roman"/>
          <w:b/>
          <w:bCs/>
          <w:color w:val="000000"/>
          <w:sz w:val="28"/>
          <w:szCs w:val="28"/>
        </w:rPr>
      </w:pPr>
    </w:p>
    <w:p w:rsidR="001F0F31" w:rsidRPr="00BF63F1" w:rsidRDefault="001F0F31" w:rsidP="001F0F31">
      <w:pPr>
        <w:pStyle w:val="Style9"/>
        <w:shd w:val="clear" w:color="auto" w:fill="auto"/>
        <w:spacing w:before="0" w:after="0" w:line="240" w:lineRule="auto"/>
        <w:ind w:firstLine="720"/>
        <w:rPr>
          <w:rStyle w:val="CharStyle10"/>
          <w:rFonts w:ascii="Times New Roman" w:hAnsi="Times New Roman" w:cs="Times New Roman"/>
          <w:bCs/>
          <w:color w:val="000000"/>
          <w:sz w:val="28"/>
          <w:szCs w:val="28"/>
        </w:rPr>
      </w:pPr>
      <w:r w:rsidRPr="00BF63F1">
        <w:rPr>
          <w:rStyle w:val="CharStyle10"/>
          <w:rFonts w:ascii="Times New Roman" w:hAnsi="Times New Roman" w:cs="Times New Roman"/>
          <w:bCs/>
          <w:color w:val="000000"/>
          <w:sz w:val="28"/>
          <w:szCs w:val="28"/>
        </w:rPr>
        <w:t>ПРОЕКТ</w:t>
      </w:r>
    </w:p>
    <w:p w:rsidR="001F0F31" w:rsidRDefault="001F0F31" w:rsidP="001F0F31">
      <w:pPr>
        <w:pStyle w:val="Style9"/>
        <w:shd w:val="clear" w:color="auto" w:fill="auto"/>
        <w:spacing w:before="0" w:after="0" w:line="240" w:lineRule="auto"/>
        <w:ind w:firstLine="720"/>
        <w:rPr>
          <w:rStyle w:val="CharStyle10"/>
          <w:rFonts w:ascii="Times New Roman" w:hAnsi="Times New Roman" w:cs="Times New Roman"/>
          <w:b/>
          <w:bCs/>
          <w:color w:val="000000"/>
          <w:sz w:val="28"/>
          <w:szCs w:val="28"/>
        </w:rPr>
      </w:pPr>
    </w:p>
    <w:p w:rsidR="001F0F31" w:rsidRDefault="001F0F31" w:rsidP="001F0F31">
      <w:pPr>
        <w:pStyle w:val="Style9"/>
        <w:shd w:val="clear" w:color="auto" w:fill="auto"/>
        <w:spacing w:before="0" w:after="0" w:line="240" w:lineRule="auto"/>
        <w:ind w:firstLine="720"/>
        <w:rPr>
          <w:rStyle w:val="CharStyle10"/>
          <w:rFonts w:ascii="Times New Roman" w:hAnsi="Times New Roman" w:cs="Times New Roman"/>
          <w:b/>
          <w:bCs/>
          <w:color w:val="000000"/>
          <w:sz w:val="28"/>
          <w:szCs w:val="28"/>
        </w:rPr>
      </w:pPr>
    </w:p>
    <w:p w:rsidR="001F0F31" w:rsidRDefault="001F0F31" w:rsidP="001F0F31">
      <w:pPr>
        <w:pStyle w:val="Style9"/>
        <w:shd w:val="clear" w:color="auto" w:fill="auto"/>
        <w:spacing w:before="0" w:after="0" w:line="240" w:lineRule="auto"/>
        <w:ind w:firstLine="720"/>
        <w:jc w:val="center"/>
        <w:rPr>
          <w:rStyle w:val="CharStyle10"/>
          <w:rFonts w:ascii="Times New Roman" w:hAnsi="Times New Roman" w:cs="Times New Roman"/>
          <w:b/>
          <w:bCs/>
          <w:color w:val="000000"/>
          <w:sz w:val="28"/>
          <w:szCs w:val="28"/>
        </w:rPr>
      </w:pPr>
      <w:r>
        <w:rPr>
          <w:rStyle w:val="CharStyle10"/>
          <w:rFonts w:ascii="Times New Roman" w:hAnsi="Times New Roman" w:cs="Times New Roman"/>
          <w:b/>
          <w:bCs/>
          <w:color w:val="000000"/>
          <w:sz w:val="28"/>
          <w:szCs w:val="28"/>
        </w:rPr>
        <w:t>ПОЯСНИТЕЛЬНАЯ ЗАПИСКА</w:t>
      </w:r>
    </w:p>
    <w:p w:rsidR="00552D56" w:rsidRPr="00552D56" w:rsidRDefault="00552D56" w:rsidP="00601AC7">
      <w:pPr>
        <w:pStyle w:val="Style9"/>
        <w:spacing w:after="0" w:line="240" w:lineRule="auto"/>
        <w:ind w:firstLine="720"/>
        <w:jc w:val="center"/>
        <w:rPr>
          <w:rStyle w:val="CharStyle10"/>
          <w:rFonts w:ascii="Times New Roman" w:hAnsi="Times New Roman" w:cs="Times New Roman"/>
          <w:b/>
          <w:bCs/>
          <w:color w:val="000000"/>
          <w:sz w:val="28"/>
          <w:szCs w:val="28"/>
        </w:rPr>
      </w:pPr>
      <w:r w:rsidRPr="00552D56">
        <w:rPr>
          <w:rStyle w:val="CharStyle10"/>
          <w:rFonts w:ascii="Times New Roman" w:hAnsi="Times New Roman" w:cs="Times New Roman"/>
          <w:b/>
          <w:bCs/>
          <w:color w:val="000000"/>
          <w:sz w:val="28"/>
          <w:szCs w:val="28"/>
        </w:rPr>
        <w:t>к проекту постановления Правительства Российской Федерации</w:t>
      </w:r>
    </w:p>
    <w:p w:rsidR="004A2C0B" w:rsidRDefault="00552D56" w:rsidP="00B22577">
      <w:pPr>
        <w:autoSpaceDE w:val="0"/>
        <w:autoSpaceDN w:val="0"/>
        <w:adjustRightInd w:val="0"/>
        <w:spacing w:after="480"/>
        <w:jc w:val="center"/>
        <w:rPr>
          <w:rStyle w:val="CharStyle10"/>
          <w:b w:val="0"/>
          <w:bCs w:val="0"/>
          <w:sz w:val="28"/>
          <w:szCs w:val="28"/>
        </w:rPr>
      </w:pPr>
      <w:r w:rsidRPr="00552D56">
        <w:rPr>
          <w:rStyle w:val="CharStyle10"/>
          <w:sz w:val="28"/>
          <w:szCs w:val="28"/>
        </w:rPr>
        <w:t>«</w:t>
      </w:r>
      <w:r w:rsidR="00B22577" w:rsidRPr="009B74C6">
        <w:rPr>
          <w:b/>
          <w:sz w:val="28"/>
          <w:szCs w:val="28"/>
        </w:rPr>
        <w:t>О</w:t>
      </w:r>
      <w:r w:rsidR="000553AD" w:rsidRPr="000553AD">
        <w:t xml:space="preserve"> </w:t>
      </w:r>
      <w:r w:rsidR="000553AD" w:rsidRPr="000553AD">
        <w:rPr>
          <w:b/>
          <w:sz w:val="28"/>
          <w:szCs w:val="28"/>
        </w:rPr>
        <w:t xml:space="preserve">мерах валютного контроля в условиях внешнего </w:t>
      </w:r>
      <w:proofErr w:type="spellStart"/>
      <w:r w:rsidR="000553AD" w:rsidRPr="000553AD">
        <w:rPr>
          <w:b/>
          <w:sz w:val="28"/>
          <w:szCs w:val="28"/>
        </w:rPr>
        <w:t>санкционного</w:t>
      </w:r>
      <w:proofErr w:type="spellEnd"/>
      <w:r w:rsidR="000553AD" w:rsidRPr="000553AD">
        <w:rPr>
          <w:b/>
          <w:sz w:val="28"/>
          <w:szCs w:val="28"/>
        </w:rPr>
        <w:t xml:space="preserve"> давления</w:t>
      </w:r>
      <w:r w:rsidRPr="00552D56">
        <w:rPr>
          <w:rStyle w:val="CharStyle10"/>
          <w:sz w:val="28"/>
          <w:szCs w:val="28"/>
        </w:rPr>
        <w:t>»</w:t>
      </w:r>
    </w:p>
    <w:p w:rsidR="000553AD" w:rsidRPr="000553AD" w:rsidRDefault="00552D56" w:rsidP="000553AD">
      <w:pPr>
        <w:autoSpaceDE w:val="0"/>
        <w:autoSpaceDN w:val="0"/>
        <w:adjustRightInd w:val="0"/>
        <w:ind w:firstLine="709"/>
        <w:jc w:val="both"/>
        <w:rPr>
          <w:sz w:val="28"/>
          <w:szCs w:val="28"/>
        </w:rPr>
      </w:pPr>
      <w:r w:rsidRPr="00B22577">
        <w:rPr>
          <w:sz w:val="28"/>
          <w:szCs w:val="28"/>
        </w:rPr>
        <w:t xml:space="preserve">Проект постановления </w:t>
      </w:r>
      <w:r w:rsidR="00CA480F">
        <w:rPr>
          <w:sz w:val="28"/>
          <w:szCs w:val="28"/>
        </w:rPr>
        <w:t>Правительства Российской Федерации</w:t>
      </w:r>
      <w:r w:rsidR="000553AD">
        <w:rPr>
          <w:sz w:val="28"/>
          <w:szCs w:val="28"/>
        </w:rPr>
        <w:t xml:space="preserve"> </w:t>
      </w:r>
      <w:r w:rsidR="00B22577">
        <w:rPr>
          <w:sz w:val="28"/>
          <w:szCs w:val="28"/>
        </w:rPr>
        <w:t>«</w:t>
      </w:r>
      <w:r w:rsidR="000553AD" w:rsidRPr="000553AD">
        <w:rPr>
          <w:sz w:val="28"/>
          <w:szCs w:val="28"/>
        </w:rPr>
        <w:t xml:space="preserve">О мерах валютного контроля в условиях внешнего </w:t>
      </w:r>
      <w:proofErr w:type="spellStart"/>
      <w:r w:rsidR="000553AD" w:rsidRPr="000553AD">
        <w:rPr>
          <w:sz w:val="28"/>
          <w:szCs w:val="28"/>
        </w:rPr>
        <w:t>санкционного</w:t>
      </w:r>
      <w:proofErr w:type="spellEnd"/>
      <w:r w:rsidR="000553AD" w:rsidRPr="000553AD">
        <w:rPr>
          <w:sz w:val="28"/>
          <w:szCs w:val="28"/>
        </w:rPr>
        <w:t xml:space="preserve"> давления</w:t>
      </w:r>
      <w:r w:rsidR="00B22577">
        <w:rPr>
          <w:sz w:val="28"/>
          <w:szCs w:val="28"/>
        </w:rPr>
        <w:t>»</w:t>
      </w:r>
      <w:r w:rsidRPr="00B22577">
        <w:rPr>
          <w:sz w:val="28"/>
          <w:szCs w:val="28"/>
        </w:rPr>
        <w:t xml:space="preserve"> (далее – проект постановления) </w:t>
      </w:r>
      <w:r w:rsidR="000553AD" w:rsidRPr="000553AD">
        <w:rPr>
          <w:sz w:val="28"/>
          <w:szCs w:val="28"/>
        </w:rPr>
        <w:t>разработан в целях снижения административной нагрузки на резидентов и нивелир</w:t>
      </w:r>
      <w:r w:rsidR="00E17F00">
        <w:rPr>
          <w:sz w:val="28"/>
          <w:szCs w:val="28"/>
        </w:rPr>
        <w:t xml:space="preserve">ования последствий внешнего </w:t>
      </w:r>
      <w:proofErr w:type="spellStart"/>
      <w:r w:rsidR="00E17F00">
        <w:rPr>
          <w:sz w:val="28"/>
          <w:szCs w:val="28"/>
        </w:rPr>
        <w:t>санк</w:t>
      </w:r>
      <w:r w:rsidR="000553AD" w:rsidRPr="000553AD">
        <w:rPr>
          <w:sz w:val="28"/>
          <w:szCs w:val="28"/>
        </w:rPr>
        <w:t>ционного</w:t>
      </w:r>
      <w:proofErr w:type="spellEnd"/>
      <w:r w:rsidR="000553AD" w:rsidRPr="000553AD">
        <w:rPr>
          <w:sz w:val="28"/>
          <w:szCs w:val="28"/>
        </w:rPr>
        <w:t xml:space="preserve"> давления.</w:t>
      </w:r>
    </w:p>
    <w:p w:rsidR="000553AD" w:rsidRPr="000553AD" w:rsidRDefault="000553AD" w:rsidP="000553AD">
      <w:pPr>
        <w:autoSpaceDE w:val="0"/>
        <w:autoSpaceDN w:val="0"/>
        <w:adjustRightInd w:val="0"/>
        <w:ind w:firstLine="709"/>
        <w:jc w:val="both"/>
        <w:rPr>
          <w:sz w:val="28"/>
          <w:szCs w:val="28"/>
        </w:rPr>
      </w:pPr>
      <w:r w:rsidRPr="000553AD">
        <w:rPr>
          <w:sz w:val="28"/>
          <w:szCs w:val="28"/>
        </w:rPr>
        <w:t>Проектом постановления предусматривается приостановление до 31 декабря 2022 года включительно проведения налоговыми органами проверок соблюдения валютного законодательства Российской Федерации за исключением случаев, когда по проводимым проверкам выявлены нарушения, срок давности привлечения к а</w:t>
      </w:r>
      <w:r w:rsidR="00B50010">
        <w:rPr>
          <w:sz w:val="28"/>
          <w:szCs w:val="28"/>
        </w:rPr>
        <w:t>дминистративной ответственности</w:t>
      </w:r>
      <w:r w:rsidRPr="000553AD">
        <w:rPr>
          <w:sz w:val="28"/>
          <w:szCs w:val="28"/>
        </w:rPr>
        <w:t xml:space="preserve"> за которые истекает до 31 декабря 2022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 </w:t>
      </w:r>
    </w:p>
    <w:p w:rsidR="000553AD" w:rsidRPr="000553AD" w:rsidRDefault="000553AD" w:rsidP="000553AD">
      <w:pPr>
        <w:autoSpaceDE w:val="0"/>
        <w:autoSpaceDN w:val="0"/>
        <w:adjustRightInd w:val="0"/>
        <w:ind w:firstLine="709"/>
        <w:jc w:val="both"/>
        <w:rPr>
          <w:sz w:val="28"/>
          <w:szCs w:val="28"/>
        </w:rPr>
      </w:pPr>
      <w:r w:rsidRPr="000553AD">
        <w:rPr>
          <w:sz w:val="28"/>
          <w:szCs w:val="28"/>
        </w:rPr>
        <w:t xml:space="preserve">Устанавливаемое проектом постановления </w:t>
      </w:r>
      <w:r w:rsidR="00E17F00">
        <w:rPr>
          <w:sz w:val="28"/>
          <w:szCs w:val="28"/>
        </w:rPr>
        <w:t>приостановление</w:t>
      </w:r>
      <w:r w:rsidRPr="000553AD">
        <w:rPr>
          <w:sz w:val="28"/>
          <w:szCs w:val="28"/>
        </w:rPr>
        <w:t xml:space="preserve"> проведения проверок соблюдения валютного законодательства Российской Федерации и административного производства не распространяется на нарушения, связанные с исполнением нормативных актов Президента Российской Федерации, Правительства Российской Федерации и Банка России, принятых </w:t>
      </w:r>
      <w:r w:rsidR="00A62EC2">
        <w:rPr>
          <w:sz w:val="28"/>
          <w:szCs w:val="28"/>
        </w:rPr>
        <w:t xml:space="preserve">начиная с </w:t>
      </w:r>
      <w:bookmarkStart w:id="0" w:name="_GoBack"/>
      <w:bookmarkEnd w:id="0"/>
      <w:r w:rsidRPr="000553AD">
        <w:rPr>
          <w:sz w:val="28"/>
          <w:szCs w:val="28"/>
        </w:rPr>
        <w:t xml:space="preserve">28 февраля 2022 г., которые устанавливают </w:t>
      </w:r>
      <w:r w:rsidR="00B372C1">
        <w:rPr>
          <w:sz w:val="28"/>
          <w:szCs w:val="28"/>
        </w:rPr>
        <w:t>специальные экономические меры в связи с недружественными действиями Соединенных Штатов Америки и примкнувших к ним иностранных государств и международных организаций (далее – специальные экономические меры)</w:t>
      </w:r>
      <w:r w:rsidRPr="000553AD">
        <w:rPr>
          <w:sz w:val="28"/>
          <w:szCs w:val="28"/>
        </w:rPr>
        <w:t>, а также на нарушения валютного законодательства Российской Федерации, связанные с куплей-продажей иностранной валюты минуя уполномоченные банки и нарушения, связанные с расчетами при осуществлении валютных операций между резидентами без использования банковских счетов в уполномоченных банках в наличной форме.</w:t>
      </w:r>
    </w:p>
    <w:p w:rsidR="000553AD" w:rsidRPr="000553AD" w:rsidRDefault="000553AD" w:rsidP="000553AD">
      <w:pPr>
        <w:autoSpaceDE w:val="0"/>
        <w:autoSpaceDN w:val="0"/>
        <w:adjustRightInd w:val="0"/>
        <w:ind w:firstLine="709"/>
        <w:jc w:val="both"/>
        <w:rPr>
          <w:sz w:val="28"/>
          <w:szCs w:val="28"/>
        </w:rPr>
      </w:pPr>
      <w:r w:rsidRPr="000553AD">
        <w:rPr>
          <w:sz w:val="28"/>
          <w:szCs w:val="28"/>
        </w:rPr>
        <w:t>Указанные нарушения в нынешних условиях представляют существенное нарушение интересов государства в области реализации единой государственной валютной политики, поскольку несут угрозу устойчивости валюты Российской Федерации и стабильности внутреннего валютного рынка.</w:t>
      </w:r>
    </w:p>
    <w:p w:rsidR="000553AD" w:rsidRPr="000553AD" w:rsidRDefault="000553AD" w:rsidP="000553AD">
      <w:pPr>
        <w:autoSpaceDE w:val="0"/>
        <w:autoSpaceDN w:val="0"/>
        <w:adjustRightInd w:val="0"/>
        <w:ind w:firstLine="709"/>
        <w:jc w:val="both"/>
        <w:rPr>
          <w:sz w:val="28"/>
          <w:szCs w:val="28"/>
        </w:rPr>
      </w:pPr>
      <w:r w:rsidRPr="000553AD">
        <w:rPr>
          <w:sz w:val="28"/>
          <w:szCs w:val="28"/>
        </w:rPr>
        <w:t xml:space="preserve">На момент разработки проекта постановления </w:t>
      </w:r>
      <w:r w:rsidR="00B372C1">
        <w:rPr>
          <w:sz w:val="28"/>
          <w:szCs w:val="28"/>
        </w:rPr>
        <w:t>специальные экономические меры</w:t>
      </w:r>
      <w:r w:rsidR="00B372C1" w:rsidRPr="000553AD">
        <w:rPr>
          <w:sz w:val="28"/>
          <w:szCs w:val="28"/>
        </w:rPr>
        <w:t xml:space="preserve"> </w:t>
      </w:r>
      <w:r w:rsidRPr="000553AD">
        <w:rPr>
          <w:sz w:val="28"/>
          <w:szCs w:val="28"/>
        </w:rPr>
        <w:t>установлен</w:t>
      </w:r>
      <w:r w:rsidR="00B372C1">
        <w:rPr>
          <w:sz w:val="28"/>
          <w:szCs w:val="28"/>
        </w:rPr>
        <w:t>ы</w:t>
      </w:r>
      <w:r w:rsidRPr="000553AD">
        <w:rPr>
          <w:sz w:val="28"/>
          <w:szCs w:val="28"/>
        </w:rPr>
        <w:t xml:space="preserve"> Указами Президента Российской Федерации от 28.02.2022 </w:t>
      </w:r>
      <w:r w:rsidR="00B372C1">
        <w:rPr>
          <w:sz w:val="28"/>
          <w:szCs w:val="28"/>
        </w:rPr>
        <w:t xml:space="preserve">                </w:t>
      </w:r>
      <w:r w:rsidRPr="000553AD">
        <w:rPr>
          <w:sz w:val="28"/>
          <w:szCs w:val="28"/>
        </w:rPr>
        <w:t>№ 79, от 01.03.</w:t>
      </w:r>
      <w:r>
        <w:rPr>
          <w:sz w:val="28"/>
          <w:szCs w:val="28"/>
        </w:rPr>
        <w:t>2022 № 81 и</w:t>
      </w:r>
      <w:r w:rsidRPr="000553AD">
        <w:rPr>
          <w:sz w:val="28"/>
          <w:szCs w:val="28"/>
        </w:rPr>
        <w:t xml:space="preserve"> от 18.03.2022 № 126. </w:t>
      </w:r>
    </w:p>
    <w:p w:rsidR="000553AD" w:rsidRPr="000553AD" w:rsidRDefault="000553AD" w:rsidP="000553AD">
      <w:pPr>
        <w:autoSpaceDE w:val="0"/>
        <w:autoSpaceDN w:val="0"/>
        <w:adjustRightInd w:val="0"/>
        <w:ind w:firstLine="709"/>
        <w:jc w:val="both"/>
        <w:rPr>
          <w:sz w:val="28"/>
          <w:szCs w:val="28"/>
        </w:rPr>
      </w:pPr>
      <w:r w:rsidRPr="000553AD">
        <w:rPr>
          <w:sz w:val="28"/>
          <w:szCs w:val="28"/>
        </w:rPr>
        <w:t xml:space="preserve">Поскольку Правительство Российской Федерации и Банк России на основании части 1 статьи 5 Федерального закона от 10.12.2003 № 173-ФЗ </w:t>
      </w:r>
      <w:r>
        <w:rPr>
          <w:sz w:val="28"/>
          <w:szCs w:val="28"/>
        </w:rPr>
        <w:t xml:space="preserve">                 </w:t>
      </w:r>
      <w:proofErr w:type="gramStart"/>
      <w:r>
        <w:rPr>
          <w:sz w:val="28"/>
          <w:szCs w:val="28"/>
        </w:rPr>
        <w:t xml:space="preserve">   </w:t>
      </w:r>
      <w:r w:rsidRPr="000553AD">
        <w:rPr>
          <w:sz w:val="28"/>
          <w:szCs w:val="28"/>
        </w:rPr>
        <w:t>«</w:t>
      </w:r>
      <w:proofErr w:type="gramEnd"/>
      <w:r w:rsidRPr="000553AD">
        <w:rPr>
          <w:sz w:val="28"/>
          <w:szCs w:val="28"/>
        </w:rPr>
        <w:t>О валютном регулировании и валютном контроле»</w:t>
      </w:r>
      <w:r>
        <w:rPr>
          <w:sz w:val="28"/>
          <w:szCs w:val="28"/>
        </w:rPr>
        <w:t xml:space="preserve"> (далее – Закон № 173-ФЗ)</w:t>
      </w:r>
      <w:r w:rsidRPr="000553AD">
        <w:rPr>
          <w:sz w:val="28"/>
          <w:szCs w:val="28"/>
        </w:rPr>
        <w:t xml:space="preserve"> </w:t>
      </w:r>
      <w:r w:rsidRPr="000553AD">
        <w:rPr>
          <w:sz w:val="28"/>
          <w:szCs w:val="28"/>
        </w:rPr>
        <w:lastRenderedPageBreak/>
        <w:t xml:space="preserve">являются органами валютного регулирования, в проекте постановления также предлагается предусмотреть возможность проведения проверок исполнения принятых ими нормативных актов, устанавливающих </w:t>
      </w:r>
      <w:r w:rsidR="00B372C1">
        <w:rPr>
          <w:sz w:val="28"/>
          <w:szCs w:val="28"/>
        </w:rPr>
        <w:t>специальные экономические меры</w:t>
      </w:r>
      <w:r w:rsidRPr="000553AD">
        <w:rPr>
          <w:sz w:val="28"/>
          <w:szCs w:val="28"/>
        </w:rPr>
        <w:t xml:space="preserve"> (в случае их последующего принятия).</w:t>
      </w:r>
    </w:p>
    <w:p w:rsidR="000553AD" w:rsidRPr="000553AD" w:rsidRDefault="000553AD" w:rsidP="000553AD">
      <w:pPr>
        <w:autoSpaceDE w:val="0"/>
        <w:autoSpaceDN w:val="0"/>
        <w:adjustRightInd w:val="0"/>
        <w:ind w:firstLine="709"/>
        <w:jc w:val="both"/>
        <w:rPr>
          <w:sz w:val="28"/>
          <w:szCs w:val="28"/>
        </w:rPr>
      </w:pPr>
      <w:r w:rsidRPr="000553AD">
        <w:rPr>
          <w:sz w:val="28"/>
          <w:szCs w:val="28"/>
        </w:rPr>
        <w:t>Также проектом постановления предусматривается продление с 1 июня 2022 года до 1 декабря 2022 года предельного срока представления физическими лицами - резидентами налоговым органам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(далее – отчеты), за отчетный 2021 год.</w:t>
      </w:r>
    </w:p>
    <w:p w:rsidR="000553AD" w:rsidRPr="000553AD" w:rsidRDefault="000553AD" w:rsidP="000553AD">
      <w:pPr>
        <w:autoSpaceDE w:val="0"/>
        <w:autoSpaceDN w:val="0"/>
        <w:adjustRightInd w:val="0"/>
        <w:ind w:firstLine="709"/>
        <w:jc w:val="both"/>
        <w:rPr>
          <w:sz w:val="28"/>
          <w:szCs w:val="28"/>
        </w:rPr>
      </w:pPr>
      <w:r w:rsidRPr="000553AD">
        <w:rPr>
          <w:sz w:val="28"/>
          <w:szCs w:val="28"/>
        </w:rPr>
        <w:t>Перенос срока представления отчетов обусловлен сложностями, возникающими у физических лиц-резидентов по получению необходимой для заполнения отчетов информации и подтверждающих документов от банков и иных организаций финансового рынка, расположенных за пределами территории Российской Федерации.</w:t>
      </w:r>
    </w:p>
    <w:p w:rsidR="00BB59A9" w:rsidRDefault="000553AD" w:rsidP="000553AD">
      <w:pPr>
        <w:autoSpaceDE w:val="0"/>
        <w:autoSpaceDN w:val="0"/>
        <w:adjustRightInd w:val="0"/>
        <w:ind w:firstLine="709"/>
        <w:jc w:val="both"/>
        <w:rPr>
          <w:sz w:val="28"/>
          <w:szCs w:val="28"/>
        </w:rPr>
      </w:pPr>
      <w:r w:rsidRPr="000553AD">
        <w:rPr>
          <w:sz w:val="28"/>
          <w:szCs w:val="28"/>
        </w:rPr>
        <w:t>В связи с тем, что отчеты должны быть представлены физическими лицами-резидентами за 2021 год, то в них отсутствует информация, необходимая для проверки исполнения требований Указов Президента Российской Федерации от 28.02.2022 № 79, от 01.03.2022 № 81, от 18.03.2022 № 126 в связи с чем перенос срока представления отчетов с учетом двухлетнего срока давности привлечения к административной ответственности за нарушения валютного законодательства не повлечет негативных последствий для осуществления валютного контроля.</w:t>
      </w:r>
    </w:p>
    <w:p w:rsidR="005B5626" w:rsidRDefault="005B5626" w:rsidP="00BB59A9">
      <w:pPr>
        <w:autoSpaceDE w:val="0"/>
        <w:autoSpaceDN w:val="0"/>
        <w:adjustRightInd w:val="0"/>
        <w:ind w:firstLine="709"/>
        <w:jc w:val="both"/>
        <w:rPr>
          <w:sz w:val="28"/>
          <w:szCs w:val="28"/>
        </w:rPr>
      </w:pPr>
      <w:r w:rsidRPr="005B5626">
        <w:rPr>
          <w:sz w:val="28"/>
          <w:szCs w:val="28"/>
        </w:rPr>
        <w:t>При подготовке проекта постановления проведен анализ практики применения</w:t>
      </w:r>
      <w:r>
        <w:rPr>
          <w:sz w:val="28"/>
          <w:szCs w:val="28"/>
        </w:rPr>
        <w:t xml:space="preserve"> З</w:t>
      </w:r>
      <w:r w:rsidRPr="005B5626">
        <w:rPr>
          <w:sz w:val="28"/>
          <w:szCs w:val="28"/>
        </w:rPr>
        <w:t>акона № 173-ФЗ.</w:t>
      </w:r>
    </w:p>
    <w:p w:rsidR="00BB59A9" w:rsidRDefault="00552D56" w:rsidP="00BB59A9">
      <w:pPr>
        <w:autoSpaceDE w:val="0"/>
        <w:autoSpaceDN w:val="0"/>
        <w:adjustRightInd w:val="0"/>
        <w:ind w:firstLine="709"/>
        <w:jc w:val="both"/>
        <w:rPr>
          <w:sz w:val="28"/>
          <w:szCs w:val="28"/>
        </w:rPr>
      </w:pPr>
      <w:r w:rsidRPr="00552D56">
        <w:rPr>
          <w:sz w:val="28"/>
          <w:szCs w:val="28"/>
        </w:rPr>
        <w:t>В проекте постановления отсутствуют требования, связанные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BB59A9" w:rsidRDefault="00552D56" w:rsidP="00BB59A9">
      <w:pPr>
        <w:autoSpaceDE w:val="0"/>
        <w:autoSpaceDN w:val="0"/>
        <w:adjustRightInd w:val="0"/>
        <w:ind w:firstLine="709"/>
        <w:jc w:val="both"/>
        <w:rPr>
          <w:sz w:val="28"/>
          <w:szCs w:val="28"/>
        </w:rPr>
      </w:pPr>
      <w:r w:rsidRPr="00552D56">
        <w:rPr>
          <w:sz w:val="28"/>
          <w:szCs w:val="28"/>
        </w:rPr>
        <w:t>Принятие и реализация положений проекта постановления не потребует дополнительных денежных средств из федерального бюджета, не окажет влияния на достижение целей государственных программ Российской Федерации и не повлечет отрицательных социально-экономических,</w:t>
      </w:r>
      <w:r w:rsidR="00BB59A9">
        <w:rPr>
          <w:sz w:val="28"/>
          <w:szCs w:val="28"/>
        </w:rPr>
        <w:t xml:space="preserve"> финансовых и иных последствий.</w:t>
      </w:r>
    </w:p>
    <w:p w:rsidR="007F0981" w:rsidRPr="00C637B5" w:rsidRDefault="00552D56" w:rsidP="00BB59A9">
      <w:pPr>
        <w:autoSpaceDE w:val="0"/>
        <w:autoSpaceDN w:val="0"/>
        <w:adjustRightInd w:val="0"/>
        <w:ind w:firstLine="709"/>
        <w:jc w:val="both"/>
        <w:rPr>
          <w:sz w:val="28"/>
          <w:szCs w:val="28"/>
        </w:rPr>
      </w:pPr>
      <w:r w:rsidRPr="00552D56">
        <w:rPr>
          <w:sz w:val="28"/>
          <w:szCs w:val="28"/>
        </w:rPr>
        <w:t>Проект постановления не противоречит положениям Договора о Евразийском экономическом союзе, а также положениям иных международных договоров Российской Федерации.</w:t>
      </w:r>
    </w:p>
    <w:sectPr w:rsidR="007F0981" w:rsidRPr="00C637B5" w:rsidSect="00BB59A9">
      <w:headerReference w:type="default" r:id="rId6"/>
      <w:pgSz w:w="11909" w:h="16834"/>
      <w:pgMar w:top="851" w:right="1043" w:bottom="993" w:left="1024" w:header="426"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B7" w:rsidRDefault="00C02BB7" w:rsidP="001F0F31">
      <w:r>
        <w:separator/>
      </w:r>
    </w:p>
  </w:endnote>
  <w:endnote w:type="continuationSeparator" w:id="0">
    <w:p w:rsidR="00C02BB7" w:rsidRDefault="00C02BB7" w:rsidP="001F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B7" w:rsidRDefault="00C02BB7" w:rsidP="001F0F31">
      <w:r>
        <w:separator/>
      </w:r>
    </w:p>
  </w:footnote>
  <w:footnote w:type="continuationSeparator" w:id="0">
    <w:p w:rsidR="00C02BB7" w:rsidRDefault="00C02BB7" w:rsidP="001F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55725"/>
      <w:docPartObj>
        <w:docPartGallery w:val="Page Numbers (Top of Page)"/>
        <w:docPartUnique/>
      </w:docPartObj>
    </w:sdtPr>
    <w:sdtEndPr/>
    <w:sdtContent>
      <w:p w:rsidR="004A2C0B" w:rsidRDefault="004A2C0B">
        <w:pPr>
          <w:pStyle w:val="a3"/>
          <w:jc w:val="center"/>
        </w:pPr>
        <w:r>
          <w:fldChar w:fldCharType="begin"/>
        </w:r>
        <w:r>
          <w:instrText>PAGE   \* MERGEFORMAT</w:instrText>
        </w:r>
        <w:r>
          <w:fldChar w:fldCharType="separate"/>
        </w:r>
        <w:r w:rsidR="00A62EC2">
          <w:rPr>
            <w:noProof/>
          </w:rPr>
          <w:t>2</w:t>
        </w:r>
        <w:r>
          <w:fldChar w:fldCharType="end"/>
        </w:r>
      </w:p>
    </w:sdtContent>
  </w:sdt>
  <w:p w:rsidR="004A2C0B" w:rsidRDefault="004A2C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71"/>
    <w:rsid w:val="00012D0F"/>
    <w:rsid w:val="000553AD"/>
    <w:rsid w:val="000910B6"/>
    <w:rsid w:val="000B34B5"/>
    <w:rsid w:val="000E36E3"/>
    <w:rsid w:val="00174A89"/>
    <w:rsid w:val="001971F9"/>
    <w:rsid w:val="001D3CFC"/>
    <w:rsid w:val="001F0F31"/>
    <w:rsid w:val="00206019"/>
    <w:rsid w:val="00243EF4"/>
    <w:rsid w:val="002A08FA"/>
    <w:rsid w:val="003275B3"/>
    <w:rsid w:val="003318FB"/>
    <w:rsid w:val="00421248"/>
    <w:rsid w:val="00443A9B"/>
    <w:rsid w:val="00450CCD"/>
    <w:rsid w:val="00480601"/>
    <w:rsid w:val="00492078"/>
    <w:rsid w:val="004A2C0B"/>
    <w:rsid w:val="005110CF"/>
    <w:rsid w:val="00552D56"/>
    <w:rsid w:val="005A14D8"/>
    <w:rsid w:val="005B5626"/>
    <w:rsid w:val="005C74E4"/>
    <w:rsid w:val="005D7A78"/>
    <w:rsid w:val="005F60DB"/>
    <w:rsid w:val="00601AC7"/>
    <w:rsid w:val="006D1860"/>
    <w:rsid w:val="006F2EAA"/>
    <w:rsid w:val="00780695"/>
    <w:rsid w:val="007B797B"/>
    <w:rsid w:val="007C2ACC"/>
    <w:rsid w:val="007F0981"/>
    <w:rsid w:val="008146B7"/>
    <w:rsid w:val="00853313"/>
    <w:rsid w:val="008A2B11"/>
    <w:rsid w:val="00914906"/>
    <w:rsid w:val="00942DA9"/>
    <w:rsid w:val="00952C82"/>
    <w:rsid w:val="00977E71"/>
    <w:rsid w:val="009D04D4"/>
    <w:rsid w:val="00A40FAF"/>
    <w:rsid w:val="00A62EC2"/>
    <w:rsid w:val="00A9798B"/>
    <w:rsid w:val="00B0153B"/>
    <w:rsid w:val="00B22577"/>
    <w:rsid w:val="00B25EF9"/>
    <w:rsid w:val="00B372C1"/>
    <w:rsid w:val="00B50010"/>
    <w:rsid w:val="00BB59A9"/>
    <w:rsid w:val="00BD7CD1"/>
    <w:rsid w:val="00BF63F1"/>
    <w:rsid w:val="00C02BB7"/>
    <w:rsid w:val="00C57C22"/>
    <w:rsid w:val="00C637B5"/>
    <w:rsid w:val="00CA480F"/>
    <w:rsid w:val="00CC03B1"/>
    <w:rsid w:val="00D53940"/>
    <w:rsid w:val="00D54DB9"/>
    <w:rsid w:val="00D66C75"/>
    <w:rsid w:val="00E01243"/>
    <w:rsid w:val="00E05744"/>
    <w:rsid w:val="00E17F00"/>
    <w:rsid w:val="00ED5C4F"/>
    <w:rsid w:val="00F00A22"/>
    <w:rsid w:val="00FD2F71"/>
    <w:rsid w:val="00FD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C37F"/>
  <w15:chartTrackingRefBased/>
  <w15:docId w15:val="{A46C895D-033B-4F44-B78F-3986912F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F31"/>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rsid w:val="001F0F31"/>
    <w:rPr>
      <w:shd w:val="clear" w:color="auto" w:fill="FFFFFF"/>
    </w:rPr>
  </w:style>
  <w:style w:type="character" w:customStyle="1" w:styleId="CharStyle10">
    <w:name w:val="Char Style 10"/>
    <w:basedOn w:val="a0"/>
    <w:link w:val="Style9"/>
    <w:uiPriority w:val="99"/>
    <w:rsid w:val="001F0F31"/>
    <w:rPr>
      <w:b/>
      <w:bCs/>
      <w:shd w:val="clear" w:color="auto" w:fill="FFFFFF"/>
    </w:rPr>
  </w:style>
  <w:style w:type="character" w:customStyle="1" w:styleId="CharStyle13">
    <w:name w:val="Char Style 13"/>
    <w:basedOn w:val="a0"/>
    <w:link w:val="Style12"/>
    <w:uiPriority w:val="99"/>
    <w:rsid w:val="001F0F31"/>
    <w:rPr>
      <w:spacing w:val="10"/>
      <w:sz w:val="17"/>
      <w:szCs w:val="17"/>
      <w:shd w:val="clear" w:color="auto" w:fill="FFFFFF"/>
    </w:rPr>
  </w:style>
  <w:style w:type="character" w:customStyle="1" w:styleId="CharStyle14">
    <w:name w:val="Char Style 14"/>
    <w:basedOn w:val="CharStyle13"/>
    <w:uiPriority w:val="99"/>
    <w:rsid w:val="001F0F31"/>
    <w:rPr>
      <w:spacing w:val="10"/>
      <w:sz w:val="17"/>
      <w:szCs w:val="17"/>
      <w:shd w:val="clear" w:color="auto" w:fill="FFFFFF"/>
    </w:rPr>
  </w:style>
  <w:style w:type="character" w:customStyle="1" w:styleId="CharStyle15">
    <w:name w:val="Char Style 15"/>
    <w:basedOn w:val="CharStyle13"/>
    <w:uiPriority w:val="99"/>
    <w:rsid w:val="001F0F31"/>
    <w:rPr>
      <w:spacing w:val="10"/>
      <w:sz w:val="26"/>
      <w:szCs w:val="26"/>
      <w:shd w:val="clear" w:color="auto" w:fill="FFFFFF"/>
    </w:rPr>
  </w:style>
  <w:style w:type="paragraph" w:customStyle="1" w:styleId="Style2">
    <w:name w:val="Style 2"/>
    <w:basedOn w:val="a"/>
    <w:link w:val="CharStyle3"/>
    <w:uiPriority w:val="99"/>
    <w:rsid w:val="001F0F31"/>
    <w:pPr>
      <w:shd w:val="clear" w:color="auto" w:fill="FFFFFF"/>
      <w:spacing w:line="240" w:lineRule="atLeast"/>
      <w:ind w:hanging="1720"/>
    </w:pPr>
    <w:rPr>
      <w:rFonts w:asciiTheme="minorHAnsi" w:eastAsiaTheme="minorHAnsi" w:hAnsiTheme="minorHAnsi" w:cstheme="minorBidi"/>
      <w:color w:val="auto"/>
      <w:sz w:val="22"/>
      <w:szCs w:val="22"/>
      <w:lang w:eastAsia="en-US"/>
    </w:rPr>
  </w:style>
  <w:style w:type="paragraph" w:customStyle="1" w:styleId="Style9">
    <w:name w:val="Style 9"/>
    <w:basedOn w:val="a"/>
    <w:link w:val="CharStyle10"/>
    <w:uiPriority w:val="99"/>
    <w:rsid w:val="001F0F31"/>
    <w:pPr>
      <w:shd w:val="clear" w:color="auto" w:fill="FFFFFF"/>
      <w:spacing w:before="540" w:after="60" w:line="240" w:lineRule="atLeast"/>
      <w:jc w:val="right"/>
    </w:pPr>
    <w:rPr>
      <w:rFonts w:asciiTheme="minorHAnsi" w:eastAsiaTheme="minorHAnsi" w:hAnsiTheme="minorHAnsi" w:cstheme="minorBidi"/>
      <w:b/>
      <w:bCs/>
      <w:color w:val="auto"/>
      <w:sz w:val="22"/>
      <w:szCs w:val="22"/>
      <w:lang w:eastAsia="en-US"/>
    </w:rPr>
  </w:style>
  <w:style w:type="paragraph" w:customStyle="1" w:styleId="Style12">
    <w:name w:val="Style 12"/>
    <w:basedOn w:val="a"/>
    <w:link w:val="CharStyle13"/>
    <w:uiPriority w:val="99"/>
    <w:rsid w:val="001F0F31"/>
    <w:pPr>
      <w:shd w:val="clear" w:color="auto" w:fill="FFFFFF"/>
      <w:spacing w:line="240" w:lineRule="atLeast"/>
    </w:pPr>
    <w:rPr>
      <w:rFonts w:asciiTheme="minorHAnsi" w:eastAsiaTheme="minorHAnsi" w:hAnsiTheme="minorHAnsi" w:cstheme="minorBidi"/>
      <w:color w:val="auto"/>
      <w:spacing w:val="10"/>
      <w:sz w:val="17"/>
      <w:szCs w:val="17"/>
      <w:lang w:eastAsia="en-US"/>
    </w:rPr>
  </w:style>
  <w:style w:type="paragraph" w:styleId="a3">
    <w:name w:val="header"/>
    <w:basedOn w:val="a"/>
    <w:link w:val="a4"/>
    <w:uiPriority w:val="99"/>
    <w:unhideWhenUsed/>
    <w:rsid w:val="001F0F31"/>
    <w:pPr>
      <w:tabs>
        <w:tab w:val="center" w:pos="4677"/>
        <w:tab w:val="right" w:pos="9355"/>
      </w:tabs>
    </w:pPr>
  </w:style>
  <w:style w:type="character" w:customStyle="1" w:styleId="a4">
    <w:name w:val="Верхний колонтитул Знак"/>
    <w:basedOn w:val="a0"/>
    <w:link w:val="a3"/>
    <w:uiPriority w:val="99"/>
    <w:rsid w:val="001F0F31"/>
    <w:rPr>
      <w:rFonts w:ascii="Times New Roman" w:eastAsia="Times New Roman" w:hAnsi="Times New Roman" w:cs="Times New Roman"/>
      <w:color w:val="000000"/>
      <w:sz w:val="24"/>
      <w:szCs w:val="24"/>
      <w:lang w:eastAsia="ru-RU"/>
    </w:rPr>
  </w:style>
  <w:style w:type="paragraph" w:styleId="a5">
    <w:name w:val="footer"/>
    <w:basedOn w:val="a"/>
    <w:link w:val="a6"/>
    <w:uiPriority w:val="99"/>
    <w:unhideWhenUsed/>
    <w:rsid w:val="001F0F31"/>
    <w:pPr>
      <w:tabs>
        <w:tab w:val="center" w:pos="4677"/>
        <w:tab w:val="right" w:pos="9355"/>
      </w:tabs>
    </w:pPr>
  </w:style>
  <w:style w:type="character" w:customStyle="1" w:styleId="a6">
    <w:name w:val="Нижний колонтитул Знак"/>
    <w:basedOn w:val="a0"/>
    <w:link w:val="a5"/>
    <w:uiPriority w:val="99"/>
    <w:rsid w:val="001F0F31"/>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D53940"/>
    <w:pPr>
      <w:widowControl/>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ВОЗНЕСЕНСКИЙ СЕРГЕЙ ИВАНОВИЧ</dc:creator>
  <cp:keywords/>
  <dc:description/>
  <cp:lastModifiedBy>АГАЕВ ШАХМАР ДОВРАН ОГЛЫ</cp:lastModifiedBy>
  <cp:revision>20</cp:revision>
  <dcterms:created xsi:type="dcterms:W3CDTF">2021-08-25T11:25:00Z</dcterms:created>
  <dcterms:modified xsi:type="dcterms:W3CDTF">2022-04-19T07:45:00Z</dcterms:modified>
</cp:coreProperties>
</file>