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516" w:rsidRPr="003D7275" w:rsidRDefault="00D3268E" w:rsidP="00A22516">
      <w:pPr>
        <w:pStyle w:val="a4"/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E2F40">
        <w:rPr>
          <w:rFonts w:ascii="Times New Roman" w:hAnsi="Times New Roman"/>
          <w:b/>
          <w:sz w:val="28"/>
          <w:szCs w:val="28"/>
          <w:lang w:val="en-US"/>
        </w:rPr>
        <w:t>Domestic government b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onds (OFZ) auctions’ schedule, </w:t>
      </w:r>
      <w:r w:rsidR="00B01168" w:rsidRPr="00F43A8B">
        <w:rPr>
          <w:rFonts w:ascii="Times New Roman" w:hAnsi="Times New Roman"/>
          <w:b/>
          <w:sz w:val="28"/>
          <w:szCs w:val="28"/>
          <w:lang w:val="en-US"/>
        </w:rPr>
        <w:t>2</w:t>
      </w:r>
      <w:r w:rsidRPr="007E2F40">
        <w:rPr>
          <w:rFonts w:ascii="Times New Roman" w:hAnsi="Times New Roman"/>
          <w:b/>
          <w:sz w:val="28"/>
          <w:szCs w:val="28"/>
          <w:lang w:val="en-US"/>
        </w:rPr>
        <w:t>Q 20</w:t>
      </w:r>
      <w:r w:rsidR="000A53D3" w:rsidRPr="000A53D3">
        <w:rPr>
          <w:rFonts w:ascii="Times New Roman" w:hAnsi="Times New Roman"/>
          <w:b/>
          <w:sz w:val="28"/>
          <w:szCs w:val="28"/>
          <w:lang w:val="en-US"/>
        </w:rPr>
        <w:t>2</w:t>
      </w:r>
      <w:r w:rsidR="00DE3576">
        <w:rPr>
          <w:rFonts w:ascii="Times New Roman" w:hAnsi="Times New Roman"/>
          <w:b/>
          <w:sz w:val="28"/>
          <w:szCs w:val="28"/>
          <w:lang w:val="en-US"/>
        </w:rPr>
        <w:t>6</w:t>
      </w:r>
    </w:p>
    <w:p w:rsidR="006E6587" w:rsidRDefault="006E6587" w:rsidP="00D10507">
      <w:pPr>
        <w:pStyle w:val="a4"/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D3268E" w:rsidRPr="000A53D3" w:rsidRDefault="00D3268E" w:rsidP="00D3268E">
      <w:pPr>
        <w:pStyle w:val="a4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Auction dates</w:t>
      </w:r>
    </w:p>
    <w:tbl>
      <w:tblPr>
        <w:tblW w:w="9636" w:type="dxa"/>
        <w:tblInd w:w="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550"/>
        <w:gridCol w:w="465"/>
        <w:gridCol w:w="2652"/>
        <w:gridCol w:w="680"/>
        <w:gridCol w:w="2863"/>
      </w:tblGrid>
      <w:tr w:rsidR="008D2C67" w:rsidTr="00E200C1">
        <w:trPr>
          <w:trHeight w:val="567"/>
        </w:trPr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D2C67" w:rsidRPr="00626E89" w:rsidRDefault="00B01168" w:rsidP="008D2C67">
            <w:pPr>
              <w:pStyle w:val="a4"/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01168">
              <w:rPr>
                <w:rFonts w:ascii="Times New Roman" w:hAnsi="Times New Roman"/>
                <w:sz w:val="28"/>
                <w:szCs w:val="28"/>
                <w:lang w:val="en-US"/>
              </w:rPr>
              <w:t>April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D2C67" w:rsidRDefault="00B01168" w:rsidP="008D2C67">
            <w:pPr>
              <w:pStyle w:val="a4"/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01168">
              <w:rPr>
                <w:rFonts w:ascii="Times New Roman" w:hAnsi="Times New Roman"/>
                <w:sz w:val="28"/>
                <w:szCs w:val="28"/>
                <w:lang w:val="en-US"/>
              </w:rPr>
              <w:t>May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D2C67" w:rsidRPr="00DE3576" w:rsidRDefault="00B01168" w:rsidP="008D2C67">
            <w:pPr>
              <w:pStyle w:val="a4"/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1168">
              <w:rPr>
                <w:rFonts w:ascii="Times New Roman" w:hAnsi="Times New Roman"/>
                <w:sz w:val="28"/>
                <w:szCs w:val="28"/>
                <w:lang w:val="en-US"/>
              </w:rPr>
              <w:t>June</w:t>
            </w:r>
          </w:p>
        </w:tc>
      </w:tr>
      <w:tr w:rsidR="00B1326C" w:rsidTr="00CC5BC7">
        <w:trPr>
          <w:trHeight w:val="56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326C" w:rsidRDefault="00B1326C" w:rsidP="00B1326C">
            <w:pPr>
              <w:pStyle w:val="a4"/>
              <w:tabs>
                <w:tab w:val="left" w:pos="1134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326C" w:rsidRPr="00932C56" w:rsidRDefault="00B01168" w:rsidP="00B1326C">
            <w:pPr>
              <w:pStyle w:val="a4"/>
              <w:tabs>
                <w:tab w:val="left" w:pos="1134"/>
              </w:tabs>
              <w:ind w:firstLine="6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01168">
              <w:rPr>
                <w:rFonts w:ascii="Times New Roman" w:hAnsi="Times New Roman"/>
                <w:sz w:val="28"/>
                <w:szCs w:val="28"/>
                <w:lang w:val="en-US"/>
              </w:rPr>
              <w:t>April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326C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B1326C" w:rsidRPr="00531C1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="00B1326C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="00DE357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B1326C" w:rsidRDefault="00B01168" w:rsidP="00B1326C">
            <w:pPr>
              <w:pStyle w:val="a4"/>
              <w:tabs>
                <w:tab w:val="left" w:pos="1134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B132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B1326C" w:rsidRPr="00932C56" w:rsidRDefault="00B01168" w:rsidP="00B1326C">
            <w:pPr>
              <w:pStyle w:val="a4"/>
              <w:tabs>
                <w:tab w:val="left" w:pos="1134"/>
              </w:tabs>
              <w:ind w:firstLine="6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01168">
              <w:rPr>
                <w:rFonts w:ascii="Times New Roman" w:hAnsi="Times New Roman"/>
                <w:sz w:val="28"/>
                <w:szCs w:val="28"/>
                <w:lang w:val="en-US"/>
              </w:rPr>
              <w:t>May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</w:t>
            </w:r>
            <w:r w:rsidR="00B1326C" w:rsidRPr="00531C1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="00B1326C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="00DE357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326C" w:rsidRDefault="00DE3576" w:rsidP="00B1326C">
            <w:pPr>
              <w:pStyle w:val="a4"/>
              <w:tabs>
                <w:tab w:val="left" w:pos="1134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B132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326C" w:rsidRPr="00932C56" w:rsidRDefault="00B01168" w:rsidP="00B1326C">
            <w:pPr>
              <w:pStyle w:val="a4"/>
              <w:tabs>
                <w:tab w:val="left" w:pos="1134"/>
              </w:tabs>
              <w:ind w:firstLine="6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01168">
              <w:rPr>
                <w:rFonts w:ascii="Times New Roman" w:hAnsi="Times New Roman"/>
                <w:sz w:val="28"/>
                <w:szCs w:val="28"/>
                <w:lang w:val="en-US"/>
              </w:rPr>
              <w:t>June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="00B1326C" w:rsidRPr="00531C1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="00B1326C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="00DE357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1326C" w:rsidTr="00CC5BC7">
        <w:trPr>
          <w:trHeight w:val="56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326C" w:rsidRDefault="00B1326C" w:rsidP="00B1326C">
            <w:pPr>
              <w:pStyle w:val="a4"/>
              <w:tabs>
                <w:tab w:val="left" w:pos="1134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326C" w:rsidRPr="00932C56" w:rsidRDefault="00B01168" w:rsidP="00B1326C">
            <w:pPr>
              <w:pStyle w:val="a4"/>
              <w:tabs>
                <w:tab w:val="left" w:pos="1134"/>
              </w:tabs>
              <w:ind w:firstLine="6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01168">
              <w:rPr>
                <w:rFonts w:ascii="Times New Roman" w:hAnsi="Times New Roman"/>
                <w:sz w:val="28"/>
                <w:szCs w:val="28"/>
                <w:lang w:val="en-US"/>
              </w:rPr>
              <w:t>April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</w:t>
            </w:r>
            <w:r w:rsidR="00B1326C" w:rsidRPr="00531C1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="00B1326C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="00DE357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B1326C" w:rsidRDefault="00B01168" w:rsidP="00B1326C">
            <w:pPr>
              <w:pStyle w:val="a4"/>
              <w:tabs>
                <w:tab w:val="left" w:pos="1134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B1326C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B1326C" w:rsidRPr="00932C56" w:rsidRDefault="00B01168" w:rsidP="00B1326C">
            <w:pPr>
              <w:pStyle w:val="a4"/>
              <w:tabs>
                <w:tab w:val="left" w:pos="1134"/>
              </w:tabs>
              <w:ind w:firstLine="6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01168">
              <w:rPr>
                <w:rFonts w:ascii="Times New Roman" w:hAnsi="Times New Roman"/>
                <w:sz w:val="28"/>
                <w:szCs w:val="28"/>
                <w:lang w:val="en-US"/>
              </w:rPr>
              <w:t>May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E357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1326C" w:rsidRPr="00531C1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="00B1326C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="00DE357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326C" w:rsidRDefault="00DE3576" w:rsidP="00B1326C">
            <w:pPr>
              <w:pStyle w:val="a4"/>
              <w:tabs>
                <w:tab w:val="left" w:pos="1134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="00B132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B1326C" w:rsidRPr="00932C56" w:rsidRDefault="00B01168" w:rsidP="00B1326C">
            <w:pPr>
              <w:pStyle w:val="a4"/>
              <w:tabs>
                <w:tab w:val="left" w:pos="1134"/>
              </w:tabs>
              <w:ind w:firstLine="6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01168">
              <w:rPr>
                <w:rFonts w:ascii="Times New Roman" w:hAnsi="Times New Roman"/>
                <w:sz w:val="28"/>
                <w:szCs w:val="28"/>
                <w:lang w:val="en-US"/>
              </w:rPr>
              <w:t>June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E357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B1326C" w:rsidRPr="00531C1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="00B1326C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="00DE357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1326C" w:rsidTr="005546AB">
        <w:trPr>
          <w:trHeight w:val="56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326C" w:rsidRDefault="00B1326C" w:rsidP="00B1326C">
            <w:pPr>
              <w:pStyle w:val="a4"/>
              <w:tabs>
                <w:tab w:val="left" w:pos="1134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326C" w:rsidRPr="00932C56" w:rsidRDefault="00B01168" w:rsidP="00B1326C">
            <w:pPr>
              <w:pStyle w:val="a4"/>
              <w:tabs>
                <w:tab w:val="left" w:pos="1134"/>
              </w:tabs>
              <w:ind w:firstLine="6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01168">
              <w:rPr>
                <w:rFonts w:ascii="Times New Roman" w:hAnsi="Times New Roman"/>
                <w:sz w:val="28"/>
                <w:szCs w:val="28"/>
                <w:lang w:val="en-US"/>
              </w:rPr>
              <w:t>April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15</w:t>
            </w:r>
            <w:r w:rsidR="00B1326C" w:rsidRPr="00531C1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="00B1326C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="00DE357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B1326C" w:rsidRPr="00CF31E4" w:rsidRDefault="00B01168" w:rsidP="00B1326C">
            <w:pPr>
              <w:pStyle w:val="a4"/>
              <w:tabs>
                <w:tab w:val="left" w:pos="1134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B132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B1326C" w:rsidRPr="00932C56" w:rsidRDefault="00B01168" w:rsidP="00B1326C">
            <w:pPr>
              <w:pStyle w:val="a4"/>
              <w:tabs>
                <w:tab w:val="left" w:pos="1134"/>
              </w:tabs>
              <w:ind w:firstLine="6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01168">
              <w:rPr>
                <w:rFonts w:ascii="Times New Roman" w:hAnsi="Times New Roman"/>
                <w:sz w:val="28"/>
                <w:szCs w:val="28"/>
                <w:lang w:val="en-US"/>
              </w:rPr>
              <w:t>May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B1326C" w:rsidRPr="00531C1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="00B1326C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="00DE357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326C" w:rsidRDefault="00DE3576" w:rsidP="00B1326C">
            <w:pPr>
              <w:pStyle w:val="a4"/>
              <w:tabs>
                <w:tab w:val="left" w:pos="1134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 w:rsidR="00B132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B1326C" w:rsidRPr="00932C56" w:rsidRDefault="00B01168" w:rsidP="00B1326C">
            <w:pPr>
              <w:pStyle w:val="a4"/>
              <w:tabs>
                <w:tab w:val="left" w:pos="1134"/>
              </w:tabs>
              <w:ind w:firstLine="6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01168">
              <w:rPr>
                <w:rFonts w:ascii="Times New Roman" w:hAnsi="Times New Roman"/>
                <w:sz w:val="28"/>
                <w:szCs w:val="28"/>
                <w:lang w:val="en-US"/>
              </w:rPr>
              <w:t>June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E357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B1326C" w:rsidRPr="00531C1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="00B1326C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="00DE357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1326C" w:rsidTr="00F43A8B">
        <w:trPr>
          <w:trHeight w:val="56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1326C" w:rsidRDefault="00B01168" w:rsidP="00DE3576">
            <w:pPr>
              <w:pStyle w:val="a4"/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B1326C" w:rsidRPr="00932C56" w:rsidRDefault="00B01168" w:rsidP="00B1326C">
            <w:pPr>
              <w:pStyle w:val="a4"/>
              <w:tabs>
                <w:tab w:val="left" w:pos="1134"/>
              </w:tabs>
              <w:ind w:firstLine="6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01168">
              <w:rPr>
                <w:rFonts w:ascii="Times New Roman" w:hAnsi="Times New Roman"/>
                <w:sz w:val="28"/>
                <w:szCs w:val="28"/>
                <w:lang w:val="en-US"/>
              </w:rPr>
              <w:t>April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22</w:t>
            </w:r>
            <w:r w:rsidRPr="00531C1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B1326C" w:rsidRPr="00CF31E4" w:rsidRDefault="00B01168" w:rsidP="00B1326C">
            <w:pPr>
              <w:pStyle w:val="a4"/>
              <w:tabs>
                <w:tab w:val="left" w:pos="1134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DE35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B1326C" w:rsidRPr="00932C56" w:rsidRDefault="00B01168" w:rsidP="00B1326C">
            <w:pPr>
              <w:pStyle w:val="a4"/>
              <w:tabs>
                <w:tab w:val="left" w:pos="1134"/>
              </w:tabs>
              <w:ind w:firstLine="6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01168">
              <w:rPr>
                <w:rFonts w:ascii="Times New Roman" w:hAnsi="Times New Roman"/>
                <w:sz w:val="28"/>
                <w:szCs w:val="28"/>
                <w:lang w:val="en-US"/>
              </w:rPr>
              <w:t>May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E357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DE3576" w:rsidRPr="00531C1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="00DE3576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="00DE357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1326C" w:rsidRDefault="00DE3576" w:rsidP="00B1326C">
            <w:pPr>
              <w:pStyle w:val="a4"/>
              <w:tabs>
                <w:tab w:val="left" w:pos="1134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B132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B1326C" w:rsidRPr="00932C56" w:rsidRDefault="00B01168" w:rsidP="00B1326C">
            <w:pPr>
              <w:pStyle w:val="a4"/>
              <w:tabs>
                <w:tab w:val="left" w:pos="1134"/>
              </w:tabs>
              <w:ind w:firstLine="6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01168">
              <w:rPr>
                <w:rFonts w:ascii="Times New Roman" w:hAnsi="Times New Roman"/>
                <w:sz w:val="28"/>
                <w:szCs w:val="28"/>
                <w:lang w:val="en-US"/>
              </w:rPr>
              <w:t>June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E357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1326C" w:rsidRPr="00531C1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="00B1326C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="00DE357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01168" w:rsidTr="00DE3576">
        <w:trPr>
          <w:trHeight w:val="56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1168" w:rsidRDefault="00B01168" w:rsidP="00DE3576">
            <w:pPr>
              <w:pStyle w:val="a4"/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1168" w:rsidRPr="00932C56" w:rsidRDefault="00B01168" w:rsidP="00F43A8B">
            <w:pPr>
              <w:pStyle w:val="a4"/>
              <w:tabs>
                <w:tab w:val="left" w:pos="1134"/>
              </w:tabs>
              <w:ind w:firstLine="6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01168">
              <w:rPr>
                <w:rFonts w:ascii="Times New Roman" w:hAnsi="Times New Roman"/>
                <w:sz w:val="28"/>
                <w:szCs w:val="28"/>
                <w:lang w:val="en-US"/>
              </w:rPr>
              <w:t>April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531C1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1168" w:rsidRDefault="00B01168" w:rsidP="00B1326C">
            <w:pPr>
              <w:pStyle w:val="a4"/>
              <w:tabs>
                <w:tab w:val="left" w:pos="1134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1168" w:rsidRDefault="00B01168" w:rsidP="00B1326C">
            <w:pPr>
              <w:pStyle w:val="a4"/>
              <w:tabs>
                <w:tab w:val="left" w:pos="1134"/>
              </w:tabs>
              <w:ind w:firstLine="63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1168" w:rsidRDefault="00B01168" w:rsidP="00B1326C">
            <w:pPr>
              <w:pStyle w:val="a4"/>
              <w:tabs>
                <w:tab w:val="left" w:pos="1134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1168" w:rsidRDefault="00B01168" w:rsidP="00B1326C">
            <w:pPr>
              <w:pStyle w:val="a4"/>
              <w:tabs>
                <w:tab w:val="left" w:pos="1134"/>
              </w:tabs>
              <w:ind w:firstLine="63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D3268E" w:rsidRPr="000A53D3" w:rsidRDefault="00D3268E" w:rsidP="00D3268E">
      <w:pPr>
        <w:pStyle w:val="a4"/>
        <w:tabs>
          <w:tab w:val="left" w:pos="1134"/>
        </w:tabs>
        <w:ind w:firstLine="709"/>
        <w:rPr>
          <w:rFonts w:ascii="Times New Roman" w:hAnsi="Times New Roman"/>
          <w:i/>
          <w:szCs w:val="28"/>
          <w:lang w:val="en-US"/>
        </w:rPr>
      </w:pPr>
    </w:p>
    <w:p w:rsidR="00F9088B" w:rsidRPr="004C0CDE" w:rsidRDefault="00F9088B" w:rsidP="00F9088B">
      <w:pPr>
        <w:pStyle w:val="a4"/>
        <w:tabs>
          <w:tab w:val="left" w:pos="1134"/>
        </w:tabs>
        <w:rPr>
          <w:rFonts w:ascii="Times New Roman" w:hAnsi="Times New Roman"/>
          <w:b/>
          <w:sz w:val="28"/>
          <w:szCs w:val="28"/>
          <w:lang w:val="en-US"/>
        </w:rPr>
      </w:pPr>
    </w:p>
    <w:p w:rsidR="00A2296A" w:rsidRDefault="00C71FB6" w:rsidP="00A2296A">
      <w:pPr>
        <w:pStyle w:val="a4"/>
        <w:tabs>
          <w:tab w:val="left" w:pos="1134"/>
          <w:tab w:val="left" w:pos="1276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Indicative </w:t>
      </w:r>
      <w:r w:rsidR="00A2296A" w:rsidRPr="00A2296A">
        <w:rPr>
          <w:rFonts w:ascii="Times New Roman" w:hAnsi="Times New Roman"/>
          <w:b/>
          <w:sz w:val="28"/>
          <w:szCs w:val="28"/>
          <w:lang w:val="en-US"/>
        </w:rPr>
        <w:t xml:space="preserve">proceeds from the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OFZ </w:t>
      </w:r>
      <w:r w:rsidR="00A2296A" w:rsidRPr="00A2296A">
        <w:rPr>
          <w:rFonts w:ascii="Times New Roman" w:hAnsi="Times New Roman"/>
          <w:b/>
          <w:sz w:val="28"/>
          <w:szCs w:val="28"/>
          <w:lang w:val="en-US"/>
        </w:rPr>
        <w:t>placement</w:t>
      </w:r>
      <w:r w:rsidR="00A2296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C71FB6" w:rsidRDefault="00A2296A" w:rsidP="00A2296A">
      <w:pPr>
        <w:pStyle w:val="a4"/>
        <w:tabs>
          <w:tab w:val="left" w:pos="1134"/>
          <w:tab w:val="left" w:pos="1276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A2296A">
        <w:rPr>
          <w:rFonts w:ascii="Times New Roman" w:hAnsi="Times New Roman"/>
          <w:b/>
          <w:sz w:val="28"/>
          <w:szCs w:val="28"/>
          <w:lang w:val="en-US"/>
        </w:rPr>
        <w:t>broken down by</w:t>
      </w:r>
      <w:r w:rsidRPr="001227AC">
        <w:rPr>
          <w:b/>
          <w:sz w:val="28"/>
          <w:szCs w:val="28"/>
          <w:lang w:val="en-US"/>
        </w:rPr>
        <w:t xml:space="preserve"> </w:t>
      </w:r>
      <w:r w:rsidRPr="00A2296A">
        <w:rPr>
          <w:rFonts w:ascii="Times New Roman" w:hAnsi="Times New Roman"/>
          <w:b/>
          <w:sz w:val="28"/>
          <w:szCs w:val="28"/>
          <w:lang w:val="en-US"/>
        </w:rPr>
        <w:t>maturity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in</w:t>
      </w:r>
      <w:r w:rsidR="00DE357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B01168" w:rsidRPr="00F43A8B">
        <w:rPr>
          <w:rFonts w:ascii="Times New Roman" w:hAnsi="Times New Roman"/>
          <w:b/>
          <w:sz w:val="28"/>
          <w:szCs w:val="28"/>
          <w:lang w:val="en-US"/>
        </w:rPr>
        <w:t>2</w:t>
      </w:r>
      <w:r w:rsidR="00C71FB6">
        <w:rPr>
          <w:rFonts w:ascii="Times New Roman" w:hAnsi="Times New Roman"/>
          <w:b/>
          <w:sz w:val="28"/>
          <w:szCs w:val="28"/>
          <w:lang w:val="en-US"/>
        </w:rPr>
        <w:t xml:space="preserve">Q </w:t>
      </w:r>
      <w:r w:rsidR="00C71FB6" w:rsidRPr="003003D8">
        <w:rPr>
          <w:rFonts w:ascii="Times New Roman" w:hAnsi="Times New Roman"/>
          <w:b/>
          <w:sz w:val="28"/>
          <w:szCs w:val="28"/>
          <w:lang w:val="en-US"/>
        </w:rPr>
        <w:t>20</w:t>
      </w:r>
      <w:r w:rsidR="00C71FB6" w:rsidRPr="000A53D3">
        <w:rPr>
          <w:rFonts w:ascii="Times New Roman" w:hAnsi="Times New Roman"/>
          <w:b/>
          <w:sz w:val="28"/>
          <w:szCs w:val="28"/>
          <w:lang w:val="en-US"/>
        </w:rPr>
        <w:t>2</w:t>
      </w:r>
      <w:r w:rsidR="00DE3576">
        <w:rPr>
          <w:rFonts w:ascii="Times New Roman" w:hAnsi="Times New Roman"/>
          <w:b/>
          <w:sz w:val="28"/>
          <w:szCs w:val="28"/>
          <w:lang w:val="en-US"/>
        </w:rPr>
        <w:t>6</w:t>
      </w:r>
    </w:p>
    <w:p w:rsidR="00A2296A" w:rsidRPr="00932C56" w:rsidRDefault="00A2296A" w:rsidP="00A2296A">
      <w:pPr>
        <w:pStyle w:val="a4"/>
        <w:tabs>
          <w:tab w:val="left" w:pos="1134"/>
          <w:tab w:val="left" w:pos="1276"/>
        </w:tabs>
        <w:spacing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92"/>
        <w:gridCol w:w="2727"/>
      </w:tblGrid>
      <w:tr w:rsidR="00C71FB6" w:rsidRPr="0009445E" w:rsidTr="0054428D">
        <w:trPr>
          <w:trHeight w:val="567"/>
          <w:jc w:val="center"/>
        </w:trPr>
        <w:tc>
          <w:tcPr>
            <w:tcW w:w="22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71FB6" w:rsidRPr="001227AC" w:rsidRDefault="00C71FB6" w:rsidP="0054428D">
            <w:pPr>
              <w:pStyle w:val="a4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Years</w:t>
            </w:r>
            <w:r w:rsidRPr="001227A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to</w:t>
            </w:r>
            <w:r w:rsidRPr="001227A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maturity</w:t>
            </w:r>
          </w:p>
        </w:tc>
        <w:tc>
          <w:tcPr>
            <w:tcW w:w="2727" w:type="dxa"/>
            <w:tcBorders>
              <w:bottom w:val="double" w:sz="4" w:space="0" w:color="auto"/>
            </w:tcBorders>
            <w:vAlign w:val="center"/>
          </w:tcPr>
          <w:p w:rsidR="00C71FB6" w:rsidRPr="001E7B79" w:rsidRDefault="00A2296A" w:rsidP="0054428D">
            <w:pPr>
              <w:pStyle w:val="a4"/>
              <w:spacing w:line="240" w:lineRule="auto"/>
              <w:ind w:left="13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2296A">
              <w:rPr>
                <w:rFonts w:ascii="Times New Roman" w:hAnsi="Times New Roman"/>
                <w:sz w:val="28"/>
                <w:szCs w:val="28"/>
                <w:lang w:val="en-US"/>
              </w:rPr>
              <w:t>Indicative proceeds from the OFZ placement</w:t>
            </w:r>
            <w:r w:rsidR="00C71FB6">
              <w:rPr>
                <w:rFonts w:ascii="Times New Roman" w:hAnsi="Times New Roman"/>
                <w:sz w:val="28"/>
                <w:szCs w:val="28"/>
                <w:lang w:val="en-US"/>
              </w:rPr>
              <w:t>, bn</w:t>
            </w:r>
            <w:r w:rsidR="00C71FB6" w:rsidRPr="003003D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C71FB6">
              <w:rPr>
                <w:rFonts w:ascii="Times New Roman" w:hAnsi="Times New Roman"/>
                <w:sz w:val="28"/>
                <w:szCs w:val="28"/>
                <w:lang w:val="en-US"/>
              </w:rPr>
              <w:t>rubles</w:t>
            </w:r>
            <w:r w:rsidR="001E7B79" w:rsidRPr="001E7B79">
              <w:rPr>
                <w:rFonts w:ascii="Times New Roman" w:hAnsi="Times New Roman"/>
                <w:sz w:val="28"/>
                <w:szCs w:val="28"/>
                <w:lang w:val="en-US"/>
              </w:rPr>
              <w:t>*</w:t>
            </w:r>
          </w:p>
        </w:tc>
      </w:tr>
      <w:tr w:rsidR="00C71FB6" w:rsidRPr="00A2296A" w:rsidTr="0054428D">
        <w:trPr>
          <w:trHeight w:val="442"/>
          <w:jc w:val="center"/>
        </w:trPr>
        <w:tc>
          <w:tcPr>
            <w:tcW w:w="229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71FB6" w:rsidRPr="001227AC" w:rsidRDefault="00C71FB6" w:rsidP="0054428D">
            <w:pPr>
              <w:pStyle w:val="a4"/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up to 10Y</w:t>
            </w:r>
          </w:p>
        </w:tc>
        <w:tc>
          <w:tcPr>
            <w:tcW w:w="2727" w:type="dxa"/>
            <w:vMerge w:val="restart"/>
            <w:tcBorders>
              <w:top w:val="double" w:sz="4" w:space="0" w:color="auto"/>
            </w:tcBorders>
            <w:vAlign w:val="center"/>
          </w:tcPr>
          <w:p w:rsidR="00C71FB6" w:rsidRPr="001227AC" w:rsidRDefault="0009445E" w:rsidP="00662355">
            <w:pPr>
              <w:pStyle w:val="a4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600</w:t>
            </w:r>
          </w:p>
        </w:tc>
      </w:tr>
      <w:tr w:rsidR="00C71FB6" w:rsidRPr="00A2296A" w:rsidTr="0054428D">
        <w:trPr>
          <w:trHeight w:val="562"/>
          <w:jc w:val="center"/>
        </w:trPr>
        <w:tc>
          <w:tcPr>
            <w:tcW w:w="2292" w:type="dxa"/>
            <w:vMerge/>
            <w:shd w:val="clear" w:color="auto" w:fill="auto"/>
            <w:vAlign w:val="center"/>
          </w:tcPr>
          <w:p w:rsidR="00C71FB6" w:rsidRDefault="00C71FB6" w:rsidP="0054428D">
            <w:pPr>
              <w:pStyle w:val="a4"/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727" w:type="dxa"/>
            <w:vMerge/>
            <w:vAlign w:val="center"/>
          </w:tcPr>
          <w:p w:rsidR="00C71FB6" w:rsidRPr="001227AC" w:rsidRDefault="00C71FB6" w:rsidP="0054428D">
            <w:pPr>
              <w:pStyle w:val="a4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C71FB6" w:rsidRPr="00A2296A" w:rsidTr="0054428D">
        <w:trPr>
          <w:trHeight w:val="442"/>
          <w:jc w:val="center"/>
        </w:trPr>
        <w:tc>
          <w:tcPr>
            <w:tcW w:w="2292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71FB6" w:rsidRPr="0007040E" w:rsidRDefault="00C71FB6" w:rsidP="0054428D">
            <w:pPr>
              <w:pStyle w:val="a4"/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more than 10Y </w:t>
            </w:r>
          </w:p>
        </w:tc>
        <w:tc>
          <w:tcPr>
            <w:tcW w:w="2727" w:type="dxa"/>
            <w:vMerge w:val="restart"/>
            <w:tcBorders>
              <w:top w:val="dashSmallGap" w:sz="4" w:space="0" w:color="auto"/>
            </w:tcBorders>
            <w:vAlign w:val="center"/>
          </w:tcPr>
          <w:p w:rsidR="00C71FB6" w:rsidRPr="001227AC" w:rsidRDefault="0009445E" w:rsidP="0054428D">
            <w:pPr>
              <w:pStyle w:val="a4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900</w:t>
            </w:r>
            <w:bookmarkStart w:id="0" w:name="_GoBack"/>
            <w:bookmarkEnd w:id="0"/>
          </w:p>
        </w:tc>
      </w:tr>
      <w:tr w:rsidR="00C71FB6" w:rsidRPr="00A2296A" w:rsidTr="0054428D">
        <w:trPr>
          <w:trHeight w:val="562"/>
          <w:jc w:val="center"/>
        </w:trPr>
        <w:tc>
          <w:tcPr>
            <w:tcW w:w="22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1FB6" w:rsidRDefault="00C71FB6" w:rsidP="0054428D">
            <w:pPr>
              <w:pStyle w:val="a4"/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727" w:type="dxa"/>
            <w:vMerge/>
            <w:tcBorders>
              <w:bottom w:val="single" w:sz="4" w:space="0" w:color="auto"/>
            </w:tcBorders>
            <w:vAlign w:val="center"/>
          </w:tcPr>
          <w:p w:rsidR="00C71FB6" w:rsidDel="007A6989" w:rsidRDefault="00C71FB6" w:rsidP="0054428D">
            <w:pPr>
              <w:pStyle w:val="a4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C71FB6" w:rsidRPr="00D10507" w:rsidRDefault="00C71FB6" w:rsidP="00C71FB6">
      <w:pPr>
        <w:pStyle w:val="a4"/>
        <w:ind w:firstLine="709"/>
        <w:rPr>
          <w:sz w:val="28"/>
          <w:szCs w:val="28"/>
          <w:lang w:val="en-US"/>
        </w:rPr>
      </w:pPr>
    </w:p>
    <w:p w:rsidR="00C71FB6" w:rsidRDefault="00C71FB6" w:rsidP="00D3268E">
      <w:pPr>
        <w:pStyle w:val="a4"/>
        <w:tabs>
          <w:tab w:val="left" w:pos="1134"/>
        </w:tabs>
        <w:ind w:firstLine="709"/>
        <w:rPr>
          <w:rFonts w:ascii="Times New Roman" w:hAnsi="Times New Roman"/>
          <w:sz w:val="28"/>
          <w:szCs w:val="28"/>
          <w:lang w:val="en-US"/>
        </w:rPr>
      </w:pPr>
    </w:p>
    <w:p w:rsidR="005E4BFB" w:rsidRPr="00207F3A" w:rsidRDefault="00C71FB6" w:rsidP="001E7B79">
      <w:pPr>
        <w:pStyle w:val="a4"/>
        <w:tabs>
          <w:tab w:val="left" w:pos="1134"/>
        </w:tabs>
        <w:ind w:firstLine="709"/>
        <w:rPr>
          <w:rFonts w:ascii="Times New Roman" w:hAnsi="Times New Roman"/>
          <w:szCs w:val="28"/>
          <w:lang w:val="en-US"/>
        </w:rPr>
      </w:pPr>
      <w:r w:rsidRPr="00207F3A">
        <w:rPr>
          <w:rFonts w:ascii="Times New Roman" w:hAnsi="Times New Roman"/>
          <w:szCs w:val="28"/>
          <w:lang w:val="en-US"/>
        </w:rPr>
        <w:t>*</w:t>
      </w:r>
      <w:r w:rsidR="005E4BFB">
        <w:rPr>
          <w:rFonts w:ascii="Times New Roman" w:hAnsi="Times New Roman"/>
          <w:szCs w:val="28"/>
          <w:lang w:val="en-US"/>
        </w:rPr>
        <w:t xml:space="preserve"> </w:t>
      </w:r>
      <w:r w:rsidR="005C60B1" w:rsidRPr="005C60B1">
        <w:rPr>
          <w:rFonts w:ascii="Times New Roman" w:hAnsi="Times New Roman"/>
          <w:szCs w:val="28"/>
          <w:lang w:val="en-US"/>
        </w:rPr>
        <w:t xml:space="preserve">The </w:t>
      </w:r>
      <w:r w:rsidR="00A2296A" w:rsidRPr="00A2296A">
        <w:rPr>
          <w:rFonts w:ascii="Times New Roman" w:hAnsi="Times New Roman"/>
          <w:szCs w:val="28"/>
          <w:lang w:val="en-US"/>
        </w:rPr>
        <w:t>proceeds from the OFZ placement</w:t>
      </w:r>
      <w:r w:rsidR="00A2296A" w:rsidRPr="00A2296A" w:rsidDel="00A2296A">
        <w:rPr>
          <w:rFonts w:ascii="Times New Roman" w:hAnsi="Times New Roman"/>
          <w:szCs w:val="28"/>
          <w:lang w:val="en-US"/>
        </w:rPr>
        <w:t xml:space="preserve"> </w:t>
      </w:r>
      <w:r w:rsidR="00A2296A">
        <w:rPr>
          <w:rFonts w:ascii="Times New Roman" w:hAnsi="Times New Roman"/>
          <w:szCs w:val="28"/>
          <w:lang w:val="en-US"/>
        </w:rPr>
        <w:t>are</w:t>
      </w:r>
      <w:r w:rsidR="005C60B1" w:rsidRPr="005C60B1">
        <w:rPr>
          <w:rFonts w:ascii="Times New Roman" w:hAnsi="Times New Roman"/>
          <w:szCs w:val="28"/>
          <w:lang w:val="en-US"/>
        </w:rPr>
        <w:t xml:space="preserve"> calculated in accordance with Article 113 of the Budget Code of the Russian Federation, </w:t>
      </w:r>
      <w:r w:rsidR="00A2296A">
        <w:rPr>
          <w:rFonts w:ascii="Times New Roman" w:hAnsi="Times New Roman"/>
          <w:szCs w:val="28"/>
          <w:lang w:val="en-US"/>
        </w:rPr>
        <w:t>means</w:t>
      </w:r>
      <w:r w:rsidR="005C60B1" w:rsidRPr="005C60B1">
        <w:rPr>
          <w:rFonts w:ascii="Times New Roman" w:hAnsi="Times New Roman"/>
          <w:szCs w:val="28"/>
          <w:lang w:val="en-US"/>
        </w:rPr>
        <w:t xml:space="preserve"> that the amounts of accrued </w:t>
      </w:r>
      <w:r w:rsidR="00A2296A">
        <w:rPr>
          <w:rFonts w:ascii="Times New Roman" w:hAnsi="Times New Roman"/>
          <w:szCs w:val="28"/>
          <w:lang w:val="en-US"/>
        </w:rPr>
        <w:t xml:space="preserve">interest </w:t>
      </w:r>
      <w:r w:rsidR="005C60B1" w:rsidRPr="005C60B1">
        <w:rPr>
          <w:rFonts w:ascii="Times New Roman" w:hAnsi="Times New Roman"/>
          <w:szCs w:val="28"/>
          <w:lang w:val="en-US"/>
        </w:rPr>
        <w:t xml:space="preserve">(AI) received from bond placements, as well as the excess of the placement price (excluding AI) over the nominal value of the bonds, </w:t>
      </w:r>
      <w:r w:rsidR="00A2296A">
        <w:rPr>
          <w:rFonts w:ascii="Times New Roman" w:hAnsi="Times New Roman"/>
          <w:szCs w:val="28"/>
          <w:lang w:val="en-US"/>
        </w:rPr>
        <w:t xml:space="preserve">are </w:t>
      </w:r>
      <w:r w:rsidR="005C60B1" w:rsidRPr="005C60B1">
        <w:rPr>
          <w:rFonts w:ascii="Times New Roman" w:hAnsi="Times New Roman"/>
          <w:szCs w:val="28"/>
          <w:lang w:val="en-US"/>
        </w:rPr>
        <w:t xml:space="preserve">not counted towards the </w:t>
      </w:r>
      <w:r w:rsidR="00A2296A">
        <w:rPr>
          <w:rFonts w:ascii="Times New Roman" w:hAnsi="Times New Roman"/>
          <w:szCs w:val="28"/>
          <w:lang w:val="en-US"/>
        </w:rPr>
        <w:t>filfillment</w:t>
      </w:r>
      <w:r w:rsidR="00A2296A" w:rsidRPr="005C60B1">
        <w:rPr>
          <w:rFonts w:ascii="Times New Roman" w:hAnsi="Times New Roman"/>
          <w:szCs w:val="28"/>
          <w:lang w:val="en-US"/>
        </w:rPr>
        <w:t xml:space="preserve"> </w:t>
      </w:r>
      <w:r w:rsidR="005C60B1" w:rsidRPr="005C60B1">
        <w:rPr>
          <w:rFonts w:ascii="Times New Roman" w:hAnsi="Times New Roman"/>
          <w:szCs w:val="28"/>
          <w:lang w:val="en-US"/>
        </w:rPr>
        <w:t xml:space="preserve">of </w:t>
      </w:r>
      <w:r w:rsidR="00A2296A">
        <w:rPr>
          <w:rFonts w:ascii="Times New Roman" w:hAnsi="Times New Roman"/>
          <w:szCs w:val="28"/>
          <w:lang w:val="en-US"/>
        </w:rPr>
        <w:t>G</w:t>
      </w:r>
      <w:r w:rsidR="00A2296A" w:rsidRPr="005C60B1">
        <w:rPr>
          <w:rFonts w:ascii="Times New Roman" w:hAnsi="Times New Roman"/>
          <w:szCs w:val="28"/>
          <w:lang w:val="en-US"/>
        </w:rPr>
        <w:t xml:space="preserve">overnment </w:t>
      </w:r>
      <w:r w:rsidR="001A1D96">
        <w:rPr>
          <w:rFonts w:ascii="Times New Roman" w:hAnsi="Times New Roman"/>
          <w:szCs w:val="28"/>
          <w:lang w:val="en-US"/>
        </w:rPr>
        <w:t>B</w:t>
      </w:r>
      <w:r w:rsidR="005C60B1" w:rsidRPr="005C60B1">
        <w:rPr>
          <w:rFonts w:ascii="Times New Roman" w:hAnsi="Times New Roman"/>
          <w:szCs w:val="28"/>
          <w:lang w:val="en-US"/>
        </w:rPr>
        <w:t xml:space="preserve">orrowing </w:t>
      </w:r>
      <w:r w:rsidR="001A1D96">
        <w:rPr>
          <w:rFonts w:ascii="Times New Roman" w:hAnsi="Times New Roman"/>
          <w:szCs w:val="28"/>
          <w:lang w:val="en-US"/>
        </w:rPr>
        <w:t>P</w:t>
      </w:r>
      <w:r w:rsidR="001A1D96" w:rsidRPr="005C60B1">
        <w:rPr>
          <w:rFonts w:ascii="Times New Roman" w:hAnsi="Times New Roman"/>
          <w:szCs w:val="28"/>
          <w:lang w:val="en-US"/>
        </w:rPr>
        <w:t>rograms</w:t>
      </w:r>
      <w:r w:rsidR="005C60B1" w:rsidRPr="005C60B1">
        <w:rPr>
          <w:rFonts w:ascii="Times New Roman" w:hAnsi="Times New Roman"/>
          <w:szCs w:val="28"/>
          <w:lang w:val="en-US"/>
        </w:rPr>
        <w:t>.</w:t>
      </w:r>
    </w:p>
    <w:p w:rsidR="00E55D40" w:rsidRPr="000A53D3" w:rsidRDefault="00E55D40" w:rsidP="00C71FB6">
      <w:pPr>
        <w:pStyle w:val="a4"/>
        <w:tabs>
          <w:tab w:val="left" w:pos="1134"/>
        </w:tabs>
        <w:rPr>
          <w:rFonts w:ascii="Times New Roman" w:hAnsi="Times New Roman"/>
          <w:sz w:val="28"/>
          <w:szCs w:val="28"/>
          <w:lang w:val="en-US"/>
        </w:rPr>
      </w:pPr>
    </w:p>
    <w:sectPr w:rsidR="00E55D40" w:rsidRPr="000A53D3" w:rsidSect="00C704E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729" w:rsidRDefault="002C4729" w:rsidP="00CF399B">
      <w:r>
        <w:separator/>
      </w:r>
    </w:p>
  </w:endnote>
  <w:endnote w:type="continuationSeparator" w:id="0">
    <w:p w:rsidR="002C4729" w:rsidRDefault="002C4729" w:rsidP="00CF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729" w:rsidRDefault="002C4729" w:rsidP="00CF399B">
      <w:r>
        <w:separator/>
      </w:r>
    </w:p>
  </w:footnote>
  <w:footnote w:type="continuationSeparator" w:id="0">
    <w:p w:rsidR="002C4729" w:rsidRDefault="002C4729" w:rsidP="00CF3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E3"/>
    <w:rsid w:val="000014AE"/>
    <w:rsid w:val="00003FC4"/>
    <w:rsid w:val="00011D8C"/>
    <w:rsid w:val="00020F9E"/>
    <w:rsid w:val="00036EAA"/>
    <w:rsid w:val="000458F4"/>
    <w:rsid w:val="00053773"/>
    <w:rsid w:val="00071384"/>
    <w:rsid w:val="000756D5"/>
    <w:rsid w:val="0009445E"/>
    <w:rsid w:val="000A53D3"/>
    <w:rsid w:val="000B634B"/>
    <w:rsid w:val="000D6EBB"/>
    <w:rsid w:val="000E765A"/>
    <w:rsid w:val="00114E3A"/>
    <w:rsid w:val="001227AC"/>
    <w:rsid w:val="00140FE5"/>
    <w:rsid w:val="00143D2A"/>
    <w:rsid w:val="00166283"/>
    <w:rsid w:val="0017415A"/>
    <w:rsid w:val="0017468A"/>
    <w:rsid w:val="00176BEE"/>
    <w:rsid w:val="00180147"/>
    <w:rsid w:val="001967E5"/>
    <w:rsid w:val="001A09CE"/>
    <w:rsid w:val="001A1D96"/>
    <w:rsid w:val="001D3FC8"/>
    <w:rsid w:val="001E7B79"/>
    <w:rsid w:val="001F22EF"/>
    <w:rsid w:val="001F3963"/>
    <w:rsid w:val="001F64E0"/>
    <w:rsid w:val="00200374"/>
    <w:rsid w:val="00207F3A"/>
    <w:rsid w:val="00217C1C"/>
    <w:rsid w:val="00234AD9"/>
    <w:rsid w:val="00244AC6"/>
    <w:rsid w:val="00245959"/>
    <w:rsid w:val="00254935"/>
    <w:rsid w:val="00280141"/>
    <w:rsid w:val="002C4729"/>
    <w:rsid w:val="002C55A3"/>
    <w:rsid w:val="0030740C"/>
    <w:rsid w:val="003149A3"/>
    <w:rsid w:val="00344BF5"/>
    <w:rsid w:val="0035744B"/>
    <w:rsid w:val="003611DB"/>
    <w:rsid w:val="00364DD8"/>
    <w:rsid w:val="00384F79"/>
    <w:rsid w:val="00391EB8"/>
    <w:rsid w:val="003B3144"/>
    <w:rsid w:val="003B4BB0"/>
    <w:rsid w:val="003C1F3A"/>
    <w:rsid w:val="003C6982"/>
    <w:rsid w:val="003D09C2"/>
    <w:rsid w:val="003D7275"/>
    <w:rsid w:val="003E2680"/>
    <w:rsid w:val="003E3FD9"/>
    <w:rsid w:val="003E76F7"/>
    <w:rsid w:val="003F3F69"/>
    <w:rsid w:val="0040411B"/>
    <w:rsid w:val="00423664"/>
    <w:rsid w:val="0043473D"/>
    <w:rsid w:val="00437FEB"/>
    <w:rsid w:val="00443667"/>
    <w:rsid w:val="00454F4F"/>
    <w:rsid w:val="00457EEC"/>
    <w:rsid w:val="00460185"/>
    <w:rsid w:val="0048431F"/>
    <w:rsid w:val="004939BA"/>
    <w:rsid w:val="00494722"/>
    <w:rsid w:val="004B085B"/>
    <w:rsid w:val="004C7897"/>
    <w:rsid w:val="004D74FB"/>
    <w:rsid w:val="004E3771"/>
    <w:rsid w:val="004F28DE"/>
    <w:rsid w:val="004F2B42"/>
    <w:rsid w:val="00501D24"/>
    <w:rsid w:val="005057A1"/>
    <w:rsid w:val="0051520E"/>
    <w:rsid w:val="00531C16"/>
    <w:rsid w:val="00536E8F"/>
    <w:rsid w:val="0054176B"/>
    <w:rsid w:val="00543A6B"/>
    <w:rsid w:val="005546AB"/>
    <w:rsid w:val="00562688"/>
    <w:rsid w:val="0057190E"/>
    <w:rsid w:val="00574AB6"/>
    <w:rsid w:val="0058488D"/>
    <w:rsid w:val="0058667C"/>
    <w:rsid w:val="005C60B1"/>
    <w:rsid w:val="005D1196"/>
    <w:rsid w:val="005E4BFB"/>
    <w:rsid w:val="005F58FA"/>
    <w:rsid w:val="00603CF6"/>
    <w:rsid w:val="00614BCA"/>
    <w:rsid w:val="00620DB9"/>
    <w:rsid w:val="00625268"/>
    <w:rsid w:val="00626E89"/>
    <w:rsid w:val="00627CD4"/>
    <w:rsid w:val="00637FAD"/>
    <w:rsid w:val="00650DFF"/>
    <w:rsid w:val="00660361"/>
    <w:rsid w:val="00662355"/>
    <w:rsid w:val="00671478"/>
    <w:rsid w:val="006A59A9"/>
    <w:rsid w:val="006B4E58"/>
    <w:rsid w:val="006C35A0"/>
    <w:rsid w:val="006D7351"/>
    <w:rsid w:val="006E507F"/>
    <w:rsid w:val="006E6587"/>
    <w:rsid w:val="00700C7B"/>
    <w:rsid w:val="00712279"/>
    <w:rsid w:val="00716B54"/>
    <w:rsid w:val="007320EE"/>
    <w:rsid w:val="00741F1B"/>
    <w:rsid w:val="00763064"/>
    <w:rsid w:val="00767967"/>
    <w:rsid w:val="00774573"/>
    <w:rsid w:val="00782624"/>
    <w:rsid w:val="007A6989"/>
    <w:rsid w:val="007A6F26"/>
    <w:rsid w:val="007C759F"/>
    <w:rsid w:val="007D13CE"/>
    <w:rsid w:val="007D1AC4"/>
    <w:rsid w:val="007E0D69"/>
    <w:rsid w:val="007E2F40"/>
    <w:rsid w:val="007E34C0"/>
    <w:rsid w:val="007F0E89"/>
    <w:rsid w:val="008036C5"/>
    <w:rsid w:val="008214FD"/>
    <w:rsid w:val="00822A09"/>
    <w:rsid w:val="008244BB"/>
    <w:rsid w:val="00826703"/>
    <w:rsid w:val="00844AF2"/>
    <w:rsid w:val="008551D6"/>
    <w:rsid w:val="00873253"/>
    <w:rsid w:val="00874789"/>
    <w:rsid w:val="0088786A"/>
    <w:rsid w:val="0089264C"/>
    <w:rsid w:val="008C7234"/>
    <w:rsid w:val="008D2C67"/>
    <w:rsid w:val="008D4CA7"/>
    <w:rsid w:val="008E32B6"/>
    <w:rsid w:val="00900915"/>
    <w:rsid w:val="00903C14"/>
    <w:rsid w:val="00906470"/>
    <w:rsid w:val="00910A39"/>
    <w:rsid w:val="00911841"/>
    <w:rsid w:val="00932C56"/>
    <w:rsid w:val="00947FCB"/>
    <w:rsid w:val="00951CDC"/>
    <w:rsid w:val="00953347"/>
    <w:rsid w:val="0095531E"/>
    <w:rsid w:val="00963F7A"/>
    <w:rsid w:val="009749D8"/>
    <w:rsid w:val="00997D84"/>
    <w:rsid w:val="009A3C22"/>
    <w:rsid w:val="009E3B50"/>
    <w:rsid w:val="009E55F7"/>
    <w:rsid w:val="009F5786"/>
    <w:rsid w:val="009F6FC7"/>
    <w:rsid w:val="00A0228A"/>
    <w:rsid w:val="00A1244F"/>
    <w:rsid w:val="00A22516"/>
    <w:rsid w:val="00A2296A"/>
    <w:rsid w:val="00A23BDE"/>
    <w:rsid w:val="00A37397"/>
    <w:rsid w:val="00A43396"/>
    <w:rsid w:val="00A55DEF"/>
    <w:rsid w:val="00A6458A"/>
    <w:rsid w:val="00A647FE"/>
    <w:rsid w:val="00A859DB"/>
    <w:rsid w:val="00AB0A86"/>
    <w:rsid w:val="00AB3331"/>
    <w:rsid w:val="00AC05A9"/>
    <w:rsid w:val="00AC57B5"/>
    <w:rsid w:val="00AD7B7D"/>
    <w:rsid w:val="00AE7A2D"/>
    <w:rsid w:val="00AF5038"/>
    <w:rsid w:val="00B01168"/>
    <w:rsid w:val="00B116F5"/>
    <w:rsid w:val="00B1326C"/>
    <w:rsid w:val="00B251BB"/>
    <w:rsid w:val="00B30E7E"/>
    <w:rsid w:val="00B7071B"/>
    <w:rsid w:val="00B81CCF"/>
    <w:rsid w:val="00B82D15"/>
    <w:rsid w:val="00B85CF8"/>
    <w:rsid w:val="00B91FE5"/>
    <w:rsid w:val="00BB1AA5"/>
    <w:rsid w:val="00BB70CF"/>
    <w:rsid w:val="00BC28D6"/>
    <w:rsid w:val="00BC67F6"/>
    <w:rsid w:val="00BD5EB7"/>
    <w:rsid w:val="00BE0B1A"/>
    <w:rsid w:val="00BE2094"/>
    <w:rsid w:val="00BE330D"/>
    <w:rsid w:val="00BE4C44"/>
    <w:rsid w:val="00BE7EBF"/>
    <w:rsid w:val="00C0350C"/>
    <w:rsid w:val="00C1230A"/>
    <w:rsid w:val="00C2380B"/>
    <w:rsid w:val="00C30080"/>
    <w:rsid w:val="00C4145E"/>
    <w:rsid w:val="00C43BD8"/>
    <w:rsid w:val="00C53EEC"/>
    <w:rsid w:val="00C64E3C"/>
    <w:rsid w:val="00C704E4"/>
    <w:rsid w:val="00C71FB6"/>
    <w:rsid w:val="00C90762"/>
    <w:rsid w:val="00C978C4"/>
    <w:rsid w:val="00CA1550"/>
    <w:rsid w:val="00CA670F"/>
    <w:rsid w:val="00CB4AEE"/>
    <w:rsid w:val="00CC3B2E"/>
    <w:rsid w:val="00CC55C2"/>
    <w:rsid w:val="00CC5BC7"/>
    <w:rsid w:val="00CD4BC9"/>
    <w:rsid w:val="00CE579D"/>
    <w:rsid w:val="00CE5FBE"/>
    <w:rsid w:val="00CF31E4"/>
    <w:rsid w:val="00CF399B"/>
    <w:rsid w:val="00D04B3C"/>
    <w:rsid w:val="00D07EA1"/>
    <w:rsid w:val="00D10507"/>
    <w:rsid w:val="00D13623"/>
    <w:rsid w:val="00D2276B"/>
    <w:rsid w:val="00D2332B"/>
    <w:rsid w:val="00D27D5A"/>
    <w:rsid w:val="00D3268E"/>
    <w:rsid w:val="00D53881"/>
    <w:rsid w:val="00D878EB"/>
    <w:rsid w:val="00D942E5"/>
    <w:rsid w:val="00D94E4C"/>
    <w:rsid w:val="00DA04E1"/>
    <w:rsid w:val="00DA0989"/>
    <w:rsid w:val="00DB49C3"/>
    <w:rsid w:val="00DD1E67"/>
    <w:rsid w:val="00DE0C23"/>
    <w:rsid w:val="00DE3576"/>
    <w:rsid w:val="00DE3E2F"/>
    <w:rsid w:val="00DE3F8C"/>
    <w:rsid w:val="00DF339C"/>
    <w:rsid w:val="00DF3B7C"/>
    <w:rsid w:val="00DF53E3"/>
    <w:rsid w:val="00E004BD"/>
    <w:rsid w:val="00E00FED"/>
    <w:rsid w:val="00E028A6"/>
    <w:rsid w:val="00E07E22"/>
    <w:rsid w:val="00E200C1"/>
    <w:rsid w:val="00E25D77"/>
    <w:rsid w:val="00E36F28"/>
    <w:rsid w:val="00E51C6F"/>
    <w:rsid w:val="00E5557C"/>
    <w:rsid w:val="00E55D40"/>
    <w:rsid w:val="00E6512F"/>
    <w:rsid w:val="00E76431"/>
    <w:rsid w:val="00E80D9D"/>
    <w:rsid w:val="00E873D3"/>
    <w:rsid w:val="00EB17F3"/>
    <w:rsid w:val="00EC606D"/>
    <w:rsid w:val="00ED699B"/>
    <w:rsid w:val="00EE40AE"/>
    <w:rsid w:val="00EF424F"/>
    <w:rsid w:val="00EF6DDA"/>
    <w:rsid w:val="00F12552"/>
    <w:rsid w:val="00F32F29"/>
    <w:rsid w:val="00F43A8B"/>
    <w:rsid w:val="00F45D09"/>
    <w:rsid w:val="00F4671E"/>
    <w:rsid w:val="00F67E8C"/>
    <w:rsid w:val="00F727B5"/>
    <w:rsid w:val="00F75DC3"/>
    <w:rsid w:val="00F82C85"/>
    <w:rsid w:val="00F903AC"/>
    <w:rsid w:val="00F9088B"/>
    <w:rsid w:val="00F9214B"/>
    <w:rsid w:val="00F93CE5"/>
    <w:rsid w:val="00F95DEE"/>
    <w:rsid w:val="00FA52A4"/>
    <w:rsid w:val="00FA7E0F"/>
    <w:rsid w:val="00FB30EF"/>
    <w:rsid w:val="00FB336B"/>
    <w:rsid w:val="00FC0DD9"/>
    <w:rsid w:val="00FC3487"/>
    <w:rsid w:val="00FC4118"/>
    <w:rsid w:val="00FD24DF"/>
    <w:rsid w:val="00FF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7FE48"/>
  <w15:docId w15:val="{FC1E9B91-8862-4846-B51A-D0624B2A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rsid w:val="00EF424F"/>
  </w:style>
  <w:style w:type="paragraph" w:styleId="a3">
    <w:name w:val="List Paragraph"/>
    <w:basedOn w:val="a"/>
    <w:uiPriority w:val="34"/>
    <w:qFormat/>
    <w:rsid w:val="00E873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E873D3"/>
    <w:pPr>
      <w:spacing w:line="360" w:lineRule="auto"/>
      <w:jc w:val="both"/>
    </w:pPr>
    <w:rPr>
      <w:rFonts w:ascii="Courier New" w:hAnsi="Courier New"/>
      <w:szCs w:val="20"/>
    </w:rPr>
  </w:style>
  <w:style w:type="character" w:customStyle="1" w:styleId="a5">
    <w:name w:val="Основной текст Знак"/>
    <w:link w:val="a4"/>
    <w:rsid w:val="00E873D3"/>
    <w:rPr>
      <w:rFonts w:ascii="Courier New" w:hAnsi="Courier New"/>
      <w:sz w:val="24"/>
    </w:rPr>
  </w:style>
  <w:style w:type="paragraph" w:styleId="a6">
    <w:name w:val="Balloon Text"/>
    <w:basedOn w:val="a"/>
    <w:link w:val="a7"/>
    <w:rsid w:val="008551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551D6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rsid w:val="00CF399B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CF399B"/>
  </w:style>
  <w:style w:type="character" w:styleId="aa">
    <w:name w:val="footnote reference"/>
    <w:rsid w:val="00CF399B"/>
    <w:rPr>
      <w:vertAlign w:val="superscript"/>
    </w:rPr>
  </w:style>
  <w:style w:type="character" w:customStyle="1" w:styleId="ypks7kbdpwfgdykd3qb9">
    <w:name w:val="ypks7kbdpwfgdykd3qb9"/>
    <w:basedOn w:val="a0"/>
    <w:rsid w:val="00F90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3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9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15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77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91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1606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19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3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61F02-0E60-46A5-A6F3-96E99AF76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159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 об изменении времени приема заявок при первичном размещении облигаций федеральных займов на Фондовой бирже ММВБ-РТС</vt:lpstr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 об изменении времени приема заявок при первичном размещении облигаций федеральных займов на Фондовой бирже ММВБ-РТС</dc:title>
  <dc:creator>user</dc:creator>
  <cp:lastModifiedBy>ХАМИЗОВ АНЗОР СУЛТАНОВИЧ</cp:lastModifiedBy>
  <cp:revision>7</cp:revision>
  <cp:lastPrinted>2020-04-09T18:31:00Z</cp:lastPrinted>
  <dcterms:created xsi:type="dcterms:W3CDTF">2025-12-26T13:41:00Z</dcterms:created>
  <dcterms:modified xsi:type="dcterms:W3CDTF">2026-03-26T16:18:00Z</dcterms:modified>
</cp:coreProperties>
</file>