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642"/>
        <w:gridCol w:w="5563"/>
      </w:tblGrid>
      <w:tr w:rsidR="00F31603" w:rsidRPr="001B6209" w14:paraId="02524769" w14:textId="77777777" w:rsidTr="00647C5A">
        <w:tc>
          <w:tcPr>
            <w:tcW w:w="4643" w:type="dxa"/>
            <w:shd w:val="clear" w:color="auto" w:fill="auto"/>
          </w:tcPr>
          <w:p w14:paraId="31070CA7" w14:textId="77777777" w:rsidR="00F31603" w:rsidRPr="001B6209" w:rsidRDefault="00F31603" w:rsidP="00647C5A">
            <w:pPr>
              <w:spacing w:line="240" w:lineRule="auto"/>
              <w:ind w:firstLine="3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</w:t>
            </w:r>
          </w:p>
          <w:p w14:paraId="767D2FC4" w14:textId="77777777" w:rsidR="00F31603" w:rsidRPr="001B6209" w:rsidRDefault="00F31603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3B9E6EE2" w14:textId="77777777" w:rsidR="00F31603" w:rsidRPr="001B6209" w:rsidRDefault="00F31603" w:rsidP="0033740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10B788" w14:textId="77777777" w:rsidR="00F31603" w:rsidRPr="001B6209" w:rsidRDefault="00F31603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14:paraId="445DB7AB" w14:textId="77777777" w:rsidR="00F31603" w:rsidRPr="001B6209" w:rsidRDefault="0043600A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F31603" w:rsidRPr="001B620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5564" w:type="dxa"/>
            <w:shd w:val="clear" w:color="auto" w:fill="auto"/>
          </w:tcPr>
          <w:p w14:paraId="5A5BFE1A" w14:textId="77777777" w:rsidR="00F31603" w:rsidRPr="001B6209" w:rsidRDefault="00F31603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Федеральное казначейство</w:t>
            </w:r>
          </w:p>
          <w:p w14:paraId="16300344" w14:textId="77777777" w:rsidR="00F31603" w:rsidRPr="001B6209" w:rsidRDefault="00F31603" w:rsidP="0033740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F9F6AF" w14:textId="77777777" w:rsidR="00F31603" w:rsidRPr="001B6209" w:rsidRDefault="00F31603" w:rsidP="00337408">
            <w:pPr>
              <w:spacing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796D24" w14:textId="77777777" w:rsidR="00F31603" w:rsidRPr="001B6209" w:rsidRDefault="00F31603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от ________________</w:t>
            </w:r>
          </w:p>
          <w:p w14:paraId="375CE88D" w14:textId="77777777" w:rsidR="00F31603" w:rsidRPr="001B6209" w:rsidRDefault="0043600A" w:rsidP="00647C5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F31603" w:rsidRPr="001B620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14:paraId="298A46FC" w14:textId="77777777" w:rsidR="00F31603" w:rsidRPr="001B6209" w:rsidRDefault="00F31603" w:rsidP="00530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643"/>
        <w:gridCol w:w="4644"/>
      </w:tblGrid>
      <w:tr w:rsidR="00F31603" w:rsidRPr="001B6209" w14:paraId="79D11189" w14:textId="77777777" w:rsidTr="009C2875">
        <w:trPr>
          <w:jc w:val="center"/>
        </w:trPr>
        <w:tc>
          <w:tcPr>
            <w:tcW w:w="4643" w:type="dxa"/>
            <w:shd w:val="clear" w:color="auto" w:fill="auto"/>
          </w:tcPr>
          <w:p w14:paraId="38D20219" w14:textId="77777777" w:rsidR="00F31603" w:rsidRPr="001B6209" w:rsidRDefault="00F31603" w:rsidP="00337408">
            <w:pPr>
              <w:spacing w:line="240" w:lineRule="auto"/>
              <w:ind w:firstLine="709"/>
              <w:contextualSpacing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644" w:type="dxa"/>
            <w:shd w:val="clear" w:color="auto" w:fill="auto"/>
          </w:tcPr>
          <w:p w14:paraId="6BA74DAC" w14:textId="77777777" w:rsidR="00647C5A" w:rsidRDefault="00647C5A" w:rsidP="009C2875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BC276" w14:textId="77777777" w:rsidR="00F31603" w:rsidRPr="001B6209" w:rsidRDefault="00F31603" w:rsidP="009C2875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Главные администраторы</w:t>
            </w:r>
          </w:p>
          <w:p w14:paraId="373FEFD3" w14:textId="77777777" w:rsidR="00F31603" w:rsidRPr="001B6209" w:rsidRDefault="00F31603" w:rsidP="009C2875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6209">
              <w:rPr>
                <w:rFonts w:ascii="Times New Roman" w:hAnsi="Times New Roman" w:cs="Times New Roman"/>
                <w:sz w:val="28"/>
                <w:szCs w:val="28"/>
              </w:rPr>
              <w:t>средств федерального бюджета</w:t>
            </w:r>
          </w:p>
          <w:p w14:paraId="2AE04C04" w14:textId="77777777" w:rsidR="00F31603" w:rsidRPr="001B6209" w:rsidRDefault="00F31603" w:rsidP="009C2875">
            <w:pPr>
              <w:spacing w:line="240" w:lineRule="auto"/>
              <w:contextualSpacing/>
              <w:jc w:val="center"/>
              <w:rPr>
                <w:rFonts w:cs="Times New Roman"/>
                <w:szCs w:val="28"/>
              </w:rPr>
            </w:pPr>
          </w:p>
        </w:tc>
      </w:tr>
    </w:tbl>
    <w:p w14:paraId="649ABE09" w14:textId="77777777" w:rsidR="00F31603" w:rsidRPr="001B6209" w:rsidRDefault="00F31603" w:rsidP="00530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F79567C" w14:textId="77777777" w:rsidR="00F31603" w:rsidRPr="001B6209" w:rsidRDefault="00F31603" w:rsidP="00530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CF78627" w14:textId="77777777" w:rsidR="00F31603" w:rsidRPr="001B6209" w:rsidRDefault="00F31603" w:rsidP="00530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E23500" w14:textId="77777777" w:rsidR="00F31603" w:rsidRPr="001B6209" w:rsidRDefault="00F31603" w:rsidP="0053089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1808A2" w14:textId="77777777" w:rsidR="00F31603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 xml:space="preserve">О дополнительных критериях по раскрытию информации </w:t>
      </w:r>
    </w:p>
    <w:p w14:paraId="100FFB35" w14:textId="77777777" w:rsidR="00F31603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 xml:space="preserve">при составлении и представлении годовой консолидированной </w:t>
      </w:r>
    </w:p>
    <w:p w14:paraId="5024D740" w14:textId="77777777" w:rsidR="00F31603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 xml:space="preserve">бюджетной отчетности, годовой консолидированной </w:t>
      </w:r>
    </w:p>
    <w:p w14:paraId="30629887" w14:textId="77777777" w:rsidR="00530892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>бухгалтерской отчетности государственных бюджетных</w:t>
      </w:r>
    </w:p>
    <w:p w14:paraId="51824A8F" w14:textId="77777777" w:rsidR="00530892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>и автономных учреждений главными администраторами</w:t>
      </w:r>
    </w:p>
    <w:p w14:paraId="0E732FC9" w14:textId="77777777" w:rsidR="00530892" w:rsidRPr="001B6209" w:rsidRDefault="00F31603" w:rsidP="00F31603">
      <w:pPr>
        <w:pStyle w:val="aa"/>
        <w:contextualSpacing/>
        <w:rPr>
          <w:rFonts w:ascii="Times New Roman" w:hAnsi="Times New Roman" w:cs="Times New Roman"/>
          <w:szCs w:val="28"/>
        </w:rPr>
      </w:pPr>
      <w:r w:rsidRPr="001B6209">
        <w:rPr>
          <w:rFonts w:ascii="Times New Roman" w:hAnsi="Times New Roman" w:cs="Times New Roman"/>
          <w:szCs w:val="28"/>
        </w:rPr>
        <w:t xml:space="preserve">средств федерального бюджета за </w:t>
      </w:r>
      <w:r w:rsidR="00131957" w:rsidRPr="001B6209">
        <w:rPr>
          <w:rFonts w:ascii="Times New Roman" w:hAnsi="Times New Roman" w:cs="Times New Roman"/>
          <w:szCs w:val="28"/>
        </w:rPr>
        <w:t>202</w:t>
      </w:r>
      <w:r w:rsidR="007F3413" w:rsidRPr="001B6209">
        <w:rPr>
          <w:rFonts w:ascii="Times New Roman" w:hAnsi="Times New Roman" w:cs="Times New Roman"/>
          <w:szCs w:val="28"/>
        </w:rPr>
        <w:t>5</w:t>
      </w:r>
      <w:r w:rsidR="00131957" w:rsidRPr="001B6209">
        <w:rPr>
          <w:rFonts w:ascii="Times New Roman" w:hAnsi="Times New Roman" w:cs="Times New Roman"/>
          <w:szCs w:val="28"/>
        </w:rPr>
        <w:t xml:space="preserve"> </w:t>
      </w:r>
      <w:r w:rsidRPr="001B6209">
        <w:rPr>
          <w:rFonts w:ascii="Times New Roman" w:hAnsi="Times New Roman" w:cs="Times New Roman"/>
          <w:szCs w:val="28"/>
        </w:rPr>
        <w:t>год</w:t>
      </w:r>
    </w:p>
    <w:p w14:paraId="73FCF1B5" w14:textId="77777777" w:rsidR="00F31603" w:rsidRPr="001B6209" w:rsidRDefault="00F31603" w:rsidP="00035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D195BA" w14:textId="77777777" w:rsidR="00F31603" w:rsidRPr="001B6209" w:rsidRDefault="00F31603" w:rsidP="00035C9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69ECD8" w14:textId="77777777" w:rsidR="00502602" w:rsidRDefault="00502602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602">
        <w:rPr>
          <w:rFonts w:ascii="Times New Roman" w:hAnsi="Times New Roman" w:cs="Times New Roman"/>
          <w:sz w:val="28"/>
          <w:szCs w:val="28"/>
        </w:rPr>
        <w:t>Составление и представление главными распорядителями (распорядителями, получателями) средств федерального бюджета, главными администраторами (администраторами) доходов федерального бюджета, главными администраторами (администраторами) источников финансирования дефицита федерального бюджета (далее – главные администраторы средств федерального бюджета) годовой консолидированной бюджетной отчетности, а также консолидированной бухгалтерской отчетности бюджетных и автономных учреждений, в отношении которых они осуществляют полномочия учредителя, за 2025 год осуществляется в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соответствии с 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602">
        <w:rPr>
          <w:rFonts w:ascii="Times New Roman" w:hAnsi="Times New Roman" w:cs="Times New Roman"/>
          <w:sz w:val="28"/>
          <w:szCs w:val="28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191н (</w:t>
      </w:r>
      <w:r>
        <w:rPr>
          <w:rFonts w:ascii="Times New Roman" w:hAnsi="Times New Roman" w:cs="Times New Roman"/>
          <w:sz w:val="28"/>
          <w:szCs w:val="28"/>
        </w:rPr>
        <w:t>с учетом изменений, внесенных приказом Министерства финансов Российской Федерации от 04.08.2025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102н</w:t>
      </w:r>
      <w:r w:rsidRPr="00502602">
        <w:rPr>
          <w:rFonts w:ascii="Times New Roman" w:hAnsi="Times New Roman" w:cs="Times New Roman"/>
          <w:sz w:val="28"/>
          <w:szCs w:val="28"/>
        </w:rPr>
        <w:t>), Инструкции о порядке составления, представления годовой, квартальной бухгалтерской отчетности государственных (муниципальных) бюджетных и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автономных учреждений, утвержденной приказом Министерства финансов Российской Федерации от 25.03.2011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33н (</w:t>
      </w:r>
      <w:r>
        <w:rPr>
          <w:rFonts w:ascii="Times New Roman" w:hAnsi="Times New Roman" w:cs="Times New Roman"/>
          <w:sz w:val="28"/>
          <w:szCs w:val="28"/>
        </w:rPr>
        <w:t>с учетом изменений, внесенных приказом Министерства финансов Российской Федерации от 04.08.2025 № 101н</w:t>
      </w:r>
      <w:r w:rsidRPr="00502602">
        <w:rPr>
          <w:rFonts w:ascii="Times New Roman" w:hAnsi="Times New Roman" w:cs="Times New Roman"/>
          <w:sz w:val="28"/>
          <w:szCs w:val="28"/>
        </w:rPr>
        <w:t>), Инструкции о порядке составления и представления дополнительных форм годовой и квартальной бюджетной отчетности об исполнении федерального бюджета, утвержденной приказом Министерства финансов Российской Федерации от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01.03.2016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502602">
        <w:rPr>
          <w:rFonts w:ascii="Times New Roman" w:hAnsi="Times New Roman" w:cs="Times New Roman"/>
          <w:sz w:val="28"/>
          <w:szCs w:val="28"/>
        </w:rPr>
        <w:t>15н</w:t>
      </w:r>
      <w:r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приказом Министерством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 Российской Федерации от 07.11.2025 № 160н)</w:t>
      </w:r>
      <w:r w:rsidR="00436948">
        <w:rPr>
          <w:rFonts w:ascii="Times New Roman" w:hAnsi="Times New Roman" w:cs="Times New Roman"/>
          <w:sz w:val="28"/>
          <w:szCs w:val="28"/>
        </w:rPr>
        <w:t xml:space="preserve"> (далее – Инструкция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>
        <w:rPr>
          <w:rFonts w:ascii="Times New Roman" w:hAnsi="Times New Roman" w:cs="Times New Roman"/>
          <w:sz w:val="28"/>
          <w:szCs w:val="28"/>
        </w:rPr>
        <w:t>15н)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AFE000" w14:textId="7C444D41" w:rsidR="00073DA8" w:rsidRDefault="00073DA8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09">
        <w:rPr>
          <w:rFonts w:ascii="Times New Roman" w:hAnsi="Times New Roman" w:cs="Times New Roman"/>
          <w:sz w:val="28"/>
          <w:szCs w:val="28"/>
        </w:rPr>
        <w:t>При представлении бюджетной (бухгалтерской) отчетности необходимо руководствоваться приложениями к совместному письму Минфина России и Федерального казначейства от 29.11.2024 № 02-06-06/120378 / </w:t>
      </w:r>
      <w:r w:rsidRPr="001B6209">
        <w:rPr>
          <w:rFonts w:ascii="Times New Roman" w:hAnsi="Times New Roman" w:cs="Times New Roman"/>
          <w:sz w:val="28"/>
          <w:szCs w:val="28"/>
        </w:rPr>
        <w:br/>
        <w:t>07-04-05/02-35262 «О дополнительных критериях по раскрытию информации при составлении и представлении годовой консолидированной бюджетной отчетности, годовой консолидированной бухгалтерской отчетности государственных бюджетных и автономных учреждений главными администраторами средств федерального бюджета за 2024 год», за исключением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2.2., абзаца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6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3, абзаца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3 пункта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8.3</w:t>
      </w:r>
      <w:r w:rsidR="00795D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пункта 9.1</w:t>
      </w:r>
      <w:r w:rsidR="001C575A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B6209">
        <w:rPr>
          <w:rFonts w:ascii="Times New Roman" w:hAnsi="Times New Roman" w:cs="Times New Roman"/>
          <w:sz w:val="28"/>
          <w:szCs w:val="28"/>
        </w:rPr>
        <w:t xml:space="preserve"> с учетом изменений нормативных правовых актов, регулирующих применение кодов бюджетной классификации Российской Федерации, а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1B6209">
        <w:rPr>
          <w:rFonts w:ascii="Times New Roman" w:hAnsi="Times New Roman" w:cs="Times New Roman"/>
          <w:sz w:val="28"/>
          <w:szCs w:val="28"/>
        </w:rPr>
        <w:t>также следующих особенностей.</w:t>
      </w:r>
    </w:p>
    <w:p w14:paraId="10314F6C" w14:textId="68CE1AA9" w:rsidR="004C7B72" w:rsidRDefault="004C7B72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стандартом бухгалтерского учета для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организаций государственного сектора «Концептуальные основы бухгалтерского учета и отчетности организаций государственного сектора», утвержденным приказом Министерства финансов Российской Федерации от</w:t>
      </w:r>
      <w:r w:rsidR="00C47F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31.12.2016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256н (далее – СГС Концептуальные основы), ф</w:t>
      </w:r>
      <w:r w:rsidRPr="004C7B72">
        <w:rPr>
          <w:rFonts w:ascii="Times New Roman" w:hAnsi="Times New Roman" w:cs="Times New Roman"/>
          <w:sz w:val="28"/>
          <w:szCs w:val="28"/>
        </w:rPr>
        <w:t>ормирование консолидированной отчетности осуществляется на основании данных</w:t>
      </w:r>
      <w:r>
        <w:rPr>
          <w:rFonts w:ascii="Times New Roman" w:hAnsi="Times New Roman" w:cs="Times New Roman"/>
          <w:sz w:val="28"/>
          <w:szCs w:val="28"/>
        </w:rPr>
        <w:t xml:space="preserve"> бюджетной,</w:t>
      </w:r>
      <w:r w:rsidRPr="004C7B72">
        <w:rPr>
          <w:rFonts w:ascii="Times New Roman" w:hAnsi="Times New Roman" w:cs="Times New Roman"/>
          <w:sz w:val="28"/>
          <w:szCs w:val="28"/>
        </w:rPr>
        <w:t xml:space="preserve"> бухгалтерской (финансовой) отчетности, представленной субъекту консолидированной отчетности, включаемых по результатам проверки такой отчетности на соответствие требованиям к ее составлению и представлению, установленным нормативными правовыми актами, регулирующими ведение </w:t>
      </w:r>
      <w:r>
        <w:rPr>
          <w:rFonts w:ascii="Times New Roman" w:hAnsi="Times New Roman" w:cs="Times New Roman"/>
          <w:sz w:val="28"/>
          <w:szCs w:val="28"/>
        </w:rPr>
        <w:t xml:space="preserve">бюджетного, </w:t>
      </w:r>
      <w:r w:rsidRPr="004C7B72">
        <w:rPr>
          <w:rFonts w:ascii="Times New Roman" w:hAnsi="Times New Roman" w:cs="Times New Roman"/>
          <w:sz w:val="28"/>
          <w:szCs w:val="28"/>
        </w:rPr>
        <w:t xml:space="preserve">бухгалтерского учета и составление </w:t>
      </w:r>
      <w:r>
        <w:rPr>
          <w:rFonts w:ascii="Times New Roman" w:hAnsi="Times New Roman" w:cs="Times New Roman"/>
          <w:sz w:val="28"/>
          <w:szCs w:val="28"/>
        </w:rPr>
        <w:t xml:space="preserve">бюджетной, </w:t>
      </w:r>
      <w:r w:rsidRPr="004C7B72">
        <w:rPr>
          <w:rFonts w:ascii="Times New Roman" w:hAnsi="Times New Roman" w:cs="Times New Roman"/>
          <w:sz w:val="28"/>
          <w:szCs w:val="28"/>
        </w:rPr>
        <w:t xml:space="preserve">бухгалтерской (финансовой) отчетности, путем выверки показателей представленной </w:t>
      </w:r>
      <w:r>
        <w:rPr>
          <w:rFonts w:ascii="Times New Roman" w:hAnsi="Times New Roman" w:cs="Times New Roman"/>
          <w:sz w:val="28"/>
          <w:szCs w:val="28"/>
        </w:rPr>
        <w:t xml:space="preserve">бюджетной, </w:t>
      </w:r>
      <w:r w:rsidRPr="004C7B72">
        <w:rPr>
          <w:rFonts w:ascii="Times New Roman" w:hAnsi="Times New Roman" w:cs="Times New Roman"/>
          <w:sz w:val="28"/>
          <w:szCs w:val="28"/>
        </w:rPr>
        <w:t>бухгалтерской (финансовой) отчетности по установленным в соответствии с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4C7B7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контрольным соотношениям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C09988" w14:textId="77777777" w:rsidR="004C7B72" w:rsidRDefault="004C7B72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взаимодействия субъекта консолидированной отчетности и субъекта отчетности</w:t>
      </w:r>
      <w:r w:rsidR="00E530D7">
        <w:rPr>
          <w:rFonts w:ascii="Times New Roman" w:hAnsi="Times New Roman" w:cs="Times New Roman"/>
          <w:sz w:val="28"/>
          <w:szCs w:val="28"/>
        </w:rPr>
        <w:t>, предоставившего отчетность,</w:t>
      </w:r>
      <w:r>
        <w:rPr>
          <w:rFonts w:ascii="Times New Roman" w:hAnsi="Times New Roman" w:cs="Times New Roman"/>
          <w:sz w:val="28"/>
          <w:szCs w:val="28"/>
        </w:rPr>
        <w:t xml:space="preserve"> установлен пунктом 64 СГС</w:t>
      </w:r>
      <w:r w:rsidR="00647C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Концептуальные основы.</w:t>
      </w:r>
    </w:p>
    <w:p w14:paraId="4DCED231" w14:textId="77777777" w:rsidR="000A05E6" w:rsidRDefault="00237EAE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7EAE">
        <w:rPr>
          <w:rFonts w:ascii="Times New Roman" w:hAnsi="Times New Roman" w:cs="Times New Roman"/>
          <w:sz w:val="28"/>
          <w:szCs w:val="28"/>
        </w:rPr>
        <w:t>В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237EAE">
        <w:rPr>
          <w:rFonts w:ascii="Times New Roman" w:hAnsi="Times New Roman" w:cs="Times New Roman"/>
          <w:sz w:val="28"/>
          <w:szCs w:val="28"/>
        </w:rPr>
        <w:t xml:space="preserve">графах 8 и 9 раздела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37EAE">
        <w:rPr>
          <w:rFonts w:ascii="Times New Roman" w:hAnsi="Times New Roman" w:cs="Times New Roman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37EAE"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073DA8" w:rsidRPr="00073DA8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Pr="00237EAE">
        <w:rPr>
          <w:rFonts w:ascii="Times New Roman" w:hAnsi="Times New Roman" w:cs="Times New Roman"/>
          <w:sz w:val="28"/>
          <w:szCs w:val="28"/>
        </w:rPr>
        <w:t>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7EAE">
        <w:rPr>
          <w:rFonts w:ascii="Times New Roman" w:hAnsi="Times New Roman" w:cs="Times New Roman"/>
          <w:sz w:val="28"/>
          <w:szCs w:val="28"/>
        </w:rPr>
        <w:t>0503164) отражаются соответственно код и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237EAE">
        <w:rPr>
          <w:rFonts w:ascii="Times New Roman" w:hAnsi="Times New Roman" w:cs="Times New Roman"/>
          <w:sz w:val="28"/>
          <w:szCs w:val="28"/>
        </w:rPr>
        <w:t>наименование причины, повлиявшей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37EAE">
        <w:rPr>
          <w:rFonts w:ascii="Times New Roman" w:hAnsi="Times New Roman" w:cs="Times New Roman"/>
          <w:sz w:val="28"/>
          <w:szCs w:val="28"/>
        </w:rPr>
        <w:t>наличие указанных отклонений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пунктом 163 Инструкции № 191н, а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также</w:t>
      </w:r>
      <w:r w:rsidR="00E8183C">
        <w:rPr>
          <w:rFonts w:ascii="Times New Roman" w:hAnsi="Times New Roman" w:cs="Times New Roman"/>
          <w:sz w:val="28"/>
          <w:szCs w:val="28"/>
        </w:rPr>
        <w:t xml:space="preserve"> кодов</w:t>
      </w:r>
      <w:r w:rsidR="000A05E6">
        <w:rPr>
          <w:rFonts w:ascii="Times New Roman" w:hAnsi="Times New Roman" w:cs="Times New Roman"/>
          <w:sz w:val="28"/>
          <w:szCs w:val="28"/>
        </w:rPr>
        <w:t>:</w:t>
      </w:r>
    </w:p>
    <w:p w14:paraId="12628F33" w14:textId="77777777" w:rsidR="00237EAE" w:rsidRDefault="000A05E6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6">
        <w:rPr>
          <w:rFonts w:ascii="Times New Roman" w:hAnsi="Times New Roman" w:cs="Times New Roman"/>
          <w:sz w:val="28"/>
          <w:szCs w:val="28"/>
        </w:rPr>
        <w:t>39 - наличие остатков в связи с применением регрессивной шкалы по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>страховым взносам;</w:t>
      </w:r>
    </w:p>
    <w:p w14:paraId="6A1C527E" w14:textId="77777777" w:rsidR="000A05E6" w:rsidRDefault="000A05E6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6">
        <w:rPr>
          <w:rFonts w:ascii="Times New Roman" w:hAnsi="Times New Roman" w:cs="Times New Roman"/>
          <w:sz w:val="28"/>
          <w:szCs w:val="28"/>
        </w:rPr>
        <w:t>40 - изменением численности получателей денежных средств (сотрудников, студентов, аспирантов)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95AA1A" w14:textId="77777777" w:rsidR="000A05E6" w:rsidRPr="000A05E6" w:rsidRDefault="000A05E6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6">
        <w:rPr>
          <w:rFonts w:ascii="Times New Roman" w:hAnsi="Times New Roman" w:cs="Times New Roman"/>
          <w:sz w:val="28"/>
          <w:szCs w:val="28"/>
        </w:rPr>
        <w:t xml:space="preserve">В случае наличия нескольких причин, повлиявших на наличие отклонений, </w:t>
      </w:r>
      <w:r w:rsidRPr="000A05E6">
        <w:rPr>
          <w:rFonts w:ascii="Times New Roman" w:hAnsi="Times New Roman" w:cs="Times New Roman"/>
          <w:sz w:val="28"/>
          <w:szCs w:val="28"/>
        </w:rPr>
        <w:lastRenderedPageBreak/>
        <w:t xml:space="preserve">указывается код причины, оказавшей наибольшее влияние.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A05E6">
        <w:rPr>
          <w:rFonts w:ascii="Times New Roman" w:hAnsi="Times New Roman" w:cs="Times New Roman"/>
          <w:sz w:val="28"/>
          <w:szCs w:val="28"/>
        </w:rPr>
        <w:t>ояснения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причинам отклонений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Таблице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A05E6">
        <w:rPr>
          <w:rFonts w:ascii="Times New Roman" w:hAnsi="Times New Roman" w:cs="Times New Roman"/>
          <w:sz w:val="28"/>
          <w:szCs w:val="28"/>
        </w:rPr>
        <w:t>13 Пояснительной записки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0503160) </w:t>
      </w:r>
      <w:r>
        <w:rPr>
          <w:rFonts w:ascii="Times New Roman" w:hAnsi="Times New Roman" w:cs="Times New Roman"/>
          <w:sz w:val="28"/>
          <w:szCs w:val="28"/>
        </w:rPr>
        <w:t>не описываются</w:t>
      </w:r>
      <w:r w:rsidRPr="000A05E6">
        <w:rPr>
          <w:rFonts w:ascii="Times New Roman" w:hAnsi="Times New Roman" w:cs="Times New Roman"/>
          <w:sz w:val="28"/>
          <w:szCs w:val="28"/>
        </w:rPr>
        <w:t>.</w:t>
      </w:r>
    </w:p>
    <w:p w14:paraId="17AB8ABA" w14:textId="77777777" w:rsidR="000A05E6" w:rsidRDefault="000A05E6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5E6">
        <w:rPr>
          <w:rFonts w:ascii="Times New Roman" w:hAnsi="Times New Roman" w:cs="Times New Roman"/>
          <w:sz w:val="28"/>
          <w:szCs w:val="28"/>
        </w:rPr>
        <w:t>Информация о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>причинах отклонения от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>планового процента исполнения, отраженная по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коду 99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05E6">
        <w:rPr>
          <w:rFonts w:ascii="Times New Roman" w:hAnsi="Times New Roman" w:cs="Times New Roman"/>
          <w:sz w:val="28"/>
          <w:szCs w:val="28"/>
        </w:rPr>
        <w:t>Иные причины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05E6">
        <w:rPr>
          <w:rFonts w:ascii="Times New Roman" w:hAnsi="Times New Roman" w:cs="Times New Roman"/>
          <w:sz w:val="28"/>
          <w:szCs w:val="28"/>
        </w:rPr>
        <w:t xml:space="preserve"> в</w:t>
      </w:r>
      <w:r w:rsidR="00D50619"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графе 8 раздела 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A05E6">
        <w:rPr>
          <w:rFonts w:ascii="Times New Roman" w:hAnsi="Times New Roman" w:cs="Times New Roman"/>
          <w:sz w:val="28"/>
          <w:szCs w:val="28"/>
        </w:rPr>
        <w:t>Расходы бюджета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05E6">
        <w:rPr>
          <w:rFonts w:ascii="Times New Roman" w:hAnsi="Times New Roman" w:cs="Times New Roman"/>
          <w:sz w:val="28"/>
          <w:szCs w:val="28"/>
        </w:rPr>
        <w:t xml:space="preserve"> Сведения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 xml:space="preserve">0503164), в Таблице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0A05E6">
        <w:rPr>
          <w:rFonts w:ascii="Times New Roman" w:hAnsi="Times New Roman" w:cs="Times New Roman"/>
          <w:sz w:val="28"/>
          <w:szCs w:val="28"/>
        </w:rPr>
        <w:t>13 Пояснительной записки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05E6">
        <w:rPr>
          <w:rFonts w:ascii="Times New Roman" w:hAnsi="Times New Roman" w:cs="Times New Roman"/>
          <w:sz w:val="28"/>
          <w:szCs w:val="28"/>
        </w:rPr>
        <w:t>0503160)</w:t>
      </w:r>
      <w:r>
        <w:rPr>
          <w:rFonts w:ascii="Times New Roman" w:hAnsi="Times New Roman" w:cs="Times New Roman"/>
          <w:sz w:val="28"/>
          <w:szCs w:val="28"/>
        </w:rPr>
        <w:t xml:space="preserve"> не отражается</w:t>
      </w:r>
      <w:r w:rsidRPr="000A05E6">
        <w:rPr>
          <w:rFonts w:ascii="Times New Roman" w:hAnsi="Times New Roman" w:cs="Times New Roman"/>
          <w:sz w:val="28"/>
          <w:szCs w:val="28"/>
        </w:rPr>
        <w:t>.</w:t>
      </w:r>
    </w:p>
    <w:p w14:paraId="2AF5CEE6" w14:textId="77777777" w:rsidR="003828E2" w:rsidRPr="001B6209" w:rsidRDefault="003828E2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6209">
        <w:rPr>
          <w:rFonts w:ascii="Times New Roman" w:hAnsi="Times New Roman" w:cs="Times New Roman"/>
          <w:sz w:val="28"/>
          <w:szCs w:val="28"/>
        </w:rPr>
        <w:t>В Сведениях об исполнении мероприятий в рамках целевых программ (ф. 0503166) к целевым статьям расходов, отражающих расходы федеральных целевых программ, относятся следующие программные (непрограммные) статьи расходов: 21 5 00, 22 5 00, 32 5 00, 34 5 00, 42 5 00, 47 5 00, 99 8 00.</w:t>
      </w:r>
    </w:p>
    <w:p w14:paraId="64424393" w14:textId="07DD63C1" w:rsidR="00073DA8" w:rsidRDefault="00177D64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 при предоставлении </w:t>
      </w:r>
      <w:r w:rsidR="00073DA8" w:rsidRPr="001B6209">
        <w:rPr>
          <w:rFonts w:ascii="Times New Roman" w:hAnsi="Times New Roman" w:cs="Times New Roman"/>
          <w:sz w:val="28"/>
          <w:szCs w:val="28"/>
        </w:rPr>
        <w:t>консолидированной бюджетной отчетности главными администраторами средств федерального бюджета</w:t>
      </w:r>
      <w:r w:rsidR="00073DA8" w:rsidRPr="005018F4">
        <w:rPr>
          <w:rFonts w:ascii="Times New Roman" w:hAnsi="Times New Roman" w:cs="Times New Roman"/>
          <w:sz w:val="28"/>
          <w:szCs w:val="28"/>
        </w:rPr>
        <w:t>, которым открыты в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>Федеральном казначействе лицевые счета распорядителей и получателей средств бюджета Союзного государства</w:t>
      </w:r>
      <w:r w:rsidR="00073DA8">
        <w:rPr>
          <w:rFonts w:ascii="Times New Roman" w:hAnsi="Times New Roman" w:cs="Times New Roman"/>
          <w:sz w:val="28"/>
          <w:szCs w:val="28"/>
        </w:rPr>
        <w:t>,</w:t>
      </w:r>
      <w:r w:rsidR="00073DA8" w:rsidRPr="001B6209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073DA8" w:rsidRPr="005018F4">
        <w:rPr>
          <w:rFonts w:ascii="Times New Roman" w:hAnsi="Times New Roman" w:cs="Times New Roman"/>
          <w:sz w:val="28"/>
          <w:szCs w:val="28"/>
        </w:rPr>
        <w:t>Отчет об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>исполнении бюджета Союзного государства (ф.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 xml:space="preserve">0503127) (далее </w:t>
      </w:r>
      <w:r w:rsidR="00073DA8">
        <w:rPr>
          <w:rFonts w:ascii="Times New Roman" w:hAnsi="Times New Roman" w:cs="Times New Roman"/>
          <w:sz w:val="28"/>
          <w:szCs w:val="28"/>
        </w:rPr>
        <w:t>–</w:t>
      </w:r>
      <w:r w:rsidR="00073DA8" w:rsidRPr="005018F4">
        <w:rPr>
          <w:rFonts w:ascii="Times New Roman" w:hAnsi="Times New Roman" w:cs="Times New Roman"/>
          <w:sz w:val="28"/>
          <w:szCs w:val="28"/>
        </w:rPr>
        <w:t xml:space="preserve"> Отчет (ф.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>0503127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>СГ). Отчет (ф.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>0503127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 xml:space="preserve">СГ) представляется средствами </w:t>
      </w:r>
      <w:r w:rsidR="006E19D0" w:rsidRPr="006E19D0">
        <w:rPr>
          <w:rFonts w:ascii="Times New Roman" w:hAnsi="Times New Roman" w:cs="Times New Roman"/>
          <w:sz w:val="28"/>
          <w:szCs w:val="28"/>
        </w:rPr>
        <w:t>подсистемы учета и отчетности</w:t>
      </w:r>
      <w:r w:rsidR="00073DA8" w:rsidRPr="005018F4">
        <w:rPr>
          <w:rFonts w:ascii="Times New Roman" w:hAnsi="Times New Roman" w:cs="Times New Roman"/>
          <w:sz w:val="28"/>
          <w:szCs w:val="28"/>
        </w:rPr>
        <w:t xml:space="preserve"> </w:t>
      </w:r>
      <w:r w:rsidR="006E19D0" w:rsidRPr="006E19D0">
        <w:rPr>
          <w:rFonts w:ascii="Times New Roman" w:hAnsi="Times New Roman" w:cs="Times New Roman"/>
          <w:sz w:val="28"/>
          <w:szCs w:val="28"/>
        </w:rPr>
        <w:t>государственной интегрированной информационной системы управления государственными финансами</w:t>
      </w:r>
      <w:r w:rsidR="00073DA8">
        <w:rPr>
          <w:rFonts w:ascii="Times New Roman" w:hAnsi="Times New Roman" w:cs="Times New Roman"/>
          <w:sz w:val="28"/>
          <w:szCs w:val="28"/>
        </w:rPr>
        <w:t xml:space="preserve"> </w:t>
      </w:r>
      <w:r w:rsidR="006E19D0">
        <w:rPr>
          <w:rFonts w:ascii="Times New Roman" w:hAnsi="Times New Roman" w:cs="Times New Roman"/>
          <w:sz w:val="28"/>
          <w:szCs w:val="28"/>
        </w:rPr>
        <w:t>«</w:t>
      </w:r>
      <w:r w:rsidR="006E19D0" w:rsidRPr="006E19D0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E19D0">
        <w:rPr>
          <w:rFonts w:ascii="Times New Roman" w:hAnsi="Times New Roman" w:cs="Times New Roman"/>
          <w:sz w:val="28"/>
          <w:szCs w:val="28"/>
        </w:rPr>
        <w:t xml:space="preserve">» </w:t>
      </w:r>
      <w:r w:rsidR="00073DA8" w:rsidRPr="005018F4">
        <w:rPr>
          <w:rFonts w:ascii="Times New Roman" w:hAnsi="Times New Roman" w:cs="Times New Roman"/>
          <w:sz w:val="28"/>
          <w:szCs w:val="28"/>
        </w:rPr>
        <w:t>не</w:t>
      </w:r>
      <w:r w:rsidR="00073DA8">
        <w:rPr>
          <w:rFonts w:ascii="Times New Roman" w:hAnsi="Times New Roman" w:cs="Times New Roman"/>
          <w:sz w:val="28"/>
          <w:szCs w:val="28"/>
        </w:rPr>
        <w:t> </w:t>
      </w:r>
      <w:r w:rsidR="00073DA8" w:rsidRPr="005018F4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073DA8">
        <w:rPr>
          <w:rFonts w:ascii="Times New Roman" w:hAnsi="Times New Roman" w:cs="Times New Roman"/>
          <w:sz w:val="28"/>
          <w:szCs w:val="28"/>
        </w:rPr>
        <w:t>02</w:t>
      </w:r>
      <w:r w:rsidR="00073DA8" w:rsidRPr="005018F4">
        <w:rPr>
          <w:rFonts w:ascii="Times New Roman" w:hAnsi="Times New Roman" w:cs="Times New Roman"/>
          <w:sz w:val="28"/>
          <w:szCs w:val="28"/>
        </w:rPr>
        <w:t>.0</w:t>
      </w:r>
      <w:r w:rsidR="00073DA8">
        <w:rPr>
          <w:rFonts w:ascii="Times New Roman" w:hAnsi="Times New Roman" w:cs="Times New Roman"/>
          <w:sz w:val="28"/>
          <w:szCs w:val="28"/>
        </w:rPr>
        <w:t>2</w:t>
      </w:r>
      <w:r w:rsidR="00073DA8" w:rsidRPr="005018F4">
        <w:rPr>
          <w:rFonts w:ascii="Times New Roman" w:hAnsi="Times New Roman" w:cs="Times New Roman"/>
          <w:sz w:val="28"/>
          <w:szCs w:val="28"/>
        </w:rPr>
        <w:t>.202</w:t>
      </w:r>
      <w:r w:rsidR="00073DA8">
        <w:rPr>
          <w:rFonts w:ascii="Times New Roman" w:hAnsi="Times New Roman" w:cs="Times New Roman"/>
          <w:sz w:val="28"/>
          <w:szCs w:val="28"/>
        </w:rPr>
        <w:t>6</w:t>
      </w:r>
      <w:r w:rsidR="00073DA8" w:rsidRPr="005018F4">
        <w:rPr>
          <w:rFonts w:ascii="Times New Roman" w:hAnsi="Times New Roman" w:cs="Times New Roman"/>
          <w:sz w:val="28"/>
          <w:szCs w:val="28"/>
        </w:rPr>
        <w:t>.</w:t>
      </w:r>
    </w:p>
    <w:p w14:paraId="5D273ACA" w14:textId="77777777" w:rsidR="00073DA8" w:rsidRPr="005018F4" w:rsidRDefault="00073DA8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F4">
        <w:rPr>
          <w:rFonts w:ascii="Times New Roman" w:hAnsi="Times New Roman" w:cs="Times New Roman"/>
          <w:sz w:val="28"/>
          <w:szCs w:val="28"/>
        </w:rPr>
        <w:t>В графе 5 Отчета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0503127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СГ) отражаются данные объемов финансирования, зачисленных на лицевые счета распорядителей и получателей средств бюджета Союзного государства, 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учетом нераспределенных бюджетных назначений (бюджетных ассигнований, лимитов бюджетных обязательств). Показатели графы 4 Отчета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0503127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СГ) не формируются.</w:t>
      </w:r>
    </w:p>
    <w:p w14:paraId="45072FCC" w14:textId="77777777" w:rsidR="00073DA8" w:rsidRDefault="00073DA8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F4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этом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сводный Отчет (ф.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0503127) данные по исполнению бюджета Союзного государства не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018F4">
        <w:rPr>
          <w:rFonts w:ascii="Times New Roman" w:hAnsi="Times New Roman" w:cs="Times New Roman"/>
          <w:sz w:val="28"/>
          <w:szCs w:val="28"/>
        </w:rPr>
        <w:t>включаются.</w:t>
      </w:r>
    </w:p>
    <w:p w14:paraId="3FC18BD6" w14:textId="64BF55BA" w:rsidR="00436948" w:rsidRDefault="00C47F2D" w:rsidP="00647C5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представления г</w:t>
      </w:r>
      <w:r w:rsidRPr="00C47F2D">
        <w:rPr>
          <w:rFonts w:ascii="Times New Roman" w:hAnsi="Times New Roman" w:cs="Times New Roman"/>
          <w:sz w:val="28"/>
          <w:szCs w:val="28"/>
        </w:rPr>
        <w:t>лавны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средств федерального бюджета, наиболее значимы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науки, образования, культ</w:t>
      </w:r>
      <w:r>
        <w:rPr>
          <w:rFonts w:ascii="Times New Roman" w:hAnsi="Times New Roman" w:cs="Times New Roman"/>
          <w:sz w:val="28"/>
          <w:szCs w:val="28"/>
        </w:rPr>
        <w:t>уры и</w:t>
      </w:r>
      <w:r w:rsidR="006E19D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здравоохранения, указанными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в ведомственной структуре расходов федерального бюдж</w:t>
      </w:r>
      <w:r>
        <w:rPr>
          <w:rFonts w:ascii="Times New Roman" w:hAnsi="Times New Roman" w:cs="Times New Roman"/>
          <w:sz w:val="28"/>
          <w:szCs w:val="28"/>
        </w:rPr>
        <w:t>ета, осуществляющими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полномочия главного распорядителя бюджетных средств по предоставлению в установленном порядке данному учреждению, как получателю бюджетных средств, субсидий из федерального бюджета на выполнение установленного ему государственного задания</w:t>
      </w:r>
      <w:r w:rsidR="00436948">
        <w:rPr>
          <w:rFonts w:ascii="Times New Roman" w:hAnsi="Times New Roman" w:cs="Times New Roman"/>
          <w:sz w:val="28"/>
          <w:szCs w:val="28"/>
        </w:rPr>
        <w:t>, распорядителями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436948">
        <w:rPr>
          <w:rFonts w:ascii="Times New Roman" w:hAnsi="Times New Roman" w:cs="Times New Roman"/>
          <w:sz w:val="28"/>
          <w:szCs w:val="28"/>
        </w:rPr>
        <w:t>федерального бюджета, получателями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средств ф</w:t>
      </w:r>
      <w:r w:rsidR="00436948">
        <w:rPr>
          <w:rFonts w:ascii="Times New Roman" w:hAnsi="Times New Roman" w:cs="Times New Roman"/>
          <w:sz w:val="28"/>
          <w:szCs w:val="28"/>
        </w:rPr>
        <w:t>едерального бюджета, федеральными государственными бюджетными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36948">
        <w:rPr>
          <w:rFonts w:ascii="Times New Roman" w:hAnsi="Times New Roman" w:cs="Times New Roman"/>
          <w:sz w:val="28"/>
          <w:szCs w:val="28"/>
        </w:rPr>
        <w:t>ми, федеральными государственными автономными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36948">
        <w:rPr>
          <w:rFonts w:ascii="Times New Roman" w:hAnsi="Times New Roman" w:cs="Times New Roman"/>
          <w:sz w:val="28"/>
          <w:szCs w:val="28"/>
        </w:rPr>
        <w:t>ми, осуществляющими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в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Pr="00C47F2D">
        <w:rPr>
          <w:rFonts w:ascii="Times New Roman" w:hAnsi="Times New Roman" w:cs="Times New Roman"/>
          <w:sz w:val="28"/>
          <w:szCs w:val="28"/>
        </w:rPr>
        <w:t>порядке, установленном Правительством Российской Федерации, полномочия федерального органа</w:t>
      </w:r>
      <w:r w:rsidR="00436948">
        <w:rPr>
          <w:rFonts w:ascii="Times New Roman" w:hAnsi="Times New Roman" w:cs="Times New Roman"/>
          <w:sz w:val="28"/>
          <w:szCs w:val="28"/>
        </w:rPr>
        <w:t xml:space="preserve"> государственной власти, имеющими</w:t>
      </w:r>
      <w:r w:rsidRPr="00C47F2D">
        <w:rPr>
          <w:rFonts w:ascii="Times New Roman" w:hAnsi="Times New Roman" w:cs="Times New Roman"/>
          <w:sz w:val="28"/>
          <w:szCs w:val="28"/>
        </w:rPr>
        <w:t xml:space="preserve"> право на принятие и (или) исполнение бюджетных обязательств от имени Российской Федерации, </w:t>
      </w:r>
      <w:r w:rsidR="00436948">
        <w:rPr>
          <w:rFonts w:ascii="Times New Roman" w:hAnsi="Times New Roman" w:cs="Times New Roman"/>
          <w:sz w:val="28"/>
          <w:szCs w:val="28"/>
        </w:rPr>
        <w:t>в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>
        <w:rPr>
          <w:rFonts w:ascii="Times New Roman" w:hAnsi="Times New Roman" w:cs="Times New Roman"/>
          <w:sz w:val="28"/>
          <w:szCs w:val="28"/>
        </w:rPr>
        <w:t>соответствии с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>
        <w:rPr>
          <w:rFonts w:ascii="Times New Roman" w:hAnsi="Times New Roman" w:cs="Times New Roman"/>
          <w:sz w:val="28"/>
          <w:szCs w:val="28"/>
        </w:rPr>
        <w:t>положениями Инструкции №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>
        <w:rPr>
          <w:rFonts w:ascii="Times New Roman" w:hAnsi="Times New Roman" w:cs="Times New Roman"/>
          <w:sz w:val="28"/>
          <w:szCs w:val="28"/>
        </w:rPr>
        <w:t xml:space="preserve">15н в </w:t>
      </w:r>
      <w:r w:rsidR="00436948" w:rsidRPr="00436948">
        <w:rPr>
          <w:rFonts w:ascii="Times New Roman" w:hAnsi="Times New Roman" w:cs="Times New Roman"/>
          <w:sz w:val="28"/>
          <w:szCs w:val="28"/>
        </w:rPr>
        <w:t>Расшифровк</w:t>
      </w:r>
      <w:r w:rsidR="00436948">
        <w:rPr>
          <w:rFonts w:ascii="Times New Roman" w:hAnsi="Times New Roman" w:cs="Times New Roman"/>
          <w:sz w:val="28"/>
          <w:szCs w:val="28"/>
        </w:rPr>
        <w:t>е</w:t>
      </w:r>
      <w:r w:rsidR="00436948" w:rsidRPr="00436948">
        <w:rPr>
          <w:rFonts w:ascii="Times New Roman" w:hAnsi="Times New Roman" w:cs="Times New Roman"/>
          <w:sz w:val="28"/>
          <w:szCs w:val="28"/>
        </w:rPr>
        <w:t xml:space="preserve"> дебиторской задолженности </w:t>
      </w:r>
      <w:r w:rsidR="00436948" w:rsidRPr="00436948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 w:rsidRPr="00436948">
        <w:rPr>
          <w:rFonts w:ascii="Times New Roman" w:hAnsi="Times New Roman" w:cs="Times New Roman"/>
          <w:sz w:val="28"/>
          <w:szCs w:val="28"/>
        </w:rPr>
        <w:t>субсидиям организациям (ф.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 w:rsidRPr="00436948">
        <w:rPr>
          <w:rFonts w:ascii="Times New Roman" w:hAnsi="Times New Roman" w:cs="Times New Roman"/>
          <w:sz w:val="28"/>
          <w:szCs w:val="28"/>
        </w:rPr>
        <w:t>0503193)</w:t>
      </w:r>
      <w:r w:rsidR="00436948" w:rsidRPr="001B6209">
        <w:rPr>
          <w:rFonts w:ascii="Times New Roman" w:hAnsi="Times New Roman" w:cs="Times New Roman"/>
          <w:sz w:val="28"/>
          <w:szCs w:val="28"/>
        </w:rPr>
        <w:t>, формируемой по</w:t>
      </w:r>
      <w:r w:rsidR="00795D20">
        <w:rPr>
          <w:rFonts w:ascii="Times New Roman" w:hAnsi="Times New Roman" w:cs="Times New Roman"/>
          <w:sz w:val="28"/>
          <w:szCs w:val="28"/>
        </w:rPr>
        <w:t> </w:t>
      </w:r>
      <w:r w:rsidR="00436948" w:rsidRPr="001B6209">
        <w:rPr>
          <w:rFonts w:ascii="Times New Roman" w:hAnsi="Times New Roman" w:cs="Times New Roman"/>
          <w:sz w:val="28"/>
          <w:szCs w:val="28"/>
        </w:rPr>
        <w:t>субсидиям, предоставляемым в соответствии со статьей 78 Бюджетного кодекса Российской Федерации, дополнительно отражаются показатели по субсидиям, предоставленным в соответствии со статьей 78.3 Бюджетного кодекса Российской Федерации.</w:t>
      </w:r>
    </w:p>
    <w:p w14:paraId="7F1E6BB4" w14:textId="77777777" w:rsidR="00C47F2D" w:rsidRDefault="00C47F2D" w:rsidP="00436948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16C5DC" w14:textId="77777777" w:rsidR="006C4D0C" w:rsidRDefault="006C4D0C" w:rsidP="00322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B1714B" w14:textId="77777777" w:rsidR="00237390" w:rsidRPr="001B6209" w:rsidRDefault="00237390" w:rsidP="00322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544B6D" w14:textId="77777777" w:rsidR="006C4D0C" w:rsidRPr="001B6209" w:rsidRDefault="006C4D0C" w:rsidP="00322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DE4DC5" w14:textId="77777777" w:rsidR="00E22463" w:rsidRPr="001B6209" w:rsidRDefault="00E22463" w:rsidP="0032237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B6DF2" w:rsidRPr="004D45A1" w14:paraId="1F3C15A3" w14:textId="77777777" w:rsidTr="00647C5A">
        <w:trPr>
          <w:trHeight w:val="2252"/>
        </w:trPr>
        <w:tc>
          <w:tcPr>
            <w:tcW w:w="4820" w:type="dxa"/>
            <w:shd w:val="clear" w:color="auto" w:fill="auto"/>
          </w:tcPr>
          <w:p w14:paraId="6A5A48BE" w14:textId="77777777" w:rsidR="008B6DF2" w:rsidRPr="001B6209" w:rsidRDefault="004624D7" w:rsidP="004624D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</w:t>
            </w:r>
            <w:r w:rsidR="008B6DF2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</w:t>
            </w:r>
          </w:p>
          <w:p w14:paraId="24A59A7C" w14:textId="77777777" w:rsidR="008B6DF2" w:rsidRPr="001B6209" w:rsidRDefault="008B6DF2" w:rsidP="004624D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Министра финансов</w:t>
            </w:r>
          </w:p>
          <w:p w14:paraId="00244B63" w14:textId="77777777" w:rsidR="008B6DF2" w:rsidRPr="001B6209" w:rsidRDefault="008B6DF2" w:rsidP="004624D7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Российской Федерации</w:t>
            </w:r>
          </w:p>
          <w:p w14:paraId="0B6CBB42" w14:textId="77777777" w:rsidR="008B6DF2" w:rsidRPr="001B6209" w:rsidRDefault="008B6DF2" w:rsidP="00647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5587F7C" w14:textId="77777777" w:rsidR="00454023" w:rsidRPr="001B6209" w:rsidRDefault="00454023" w:rsidP="00647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F1F9C38" w14:textId="77777777" w:rsidR="008B6DF2" w:rsidRPr="001B6209" w:rsidRDefault="008B6DF2" w:rsidP="00647C5A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</w:t>
            </w:r>
            <w:r w:rsidR="00454023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</w:t>
            </w: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</w:t>
            </w:r>
            <w:r w:rsidR="004624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</w:t>
            </w: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</w:t>
            </w:r>
            <w:r w:rsidR="00454023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</w:t>
            </w: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_____ </w:t>
            </w:r>
            <w:r w:rsidR="004624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Н.А. </w:t>
            </w:r>
            <w:proofErr w:type="spellStart"/>
            <w:r w:rsidR="004624D7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Бегчин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4AB8D547" w14:textId="77777777" w:rsidR="008B6DF2" w:rsidRPr="001B6209" w:rsidRDefault="007F3413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</w:t>
            </w:r>
            <w:r w:rsidR="008B6DF2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уководител</w:t>
            </w: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</w:p>
          <w:p w14:paraId="2FDAE2D4" w14:textId="77777777" w:rsidR="008B6DF2" w:rsidRPr="001B6209" w:rsidRDefault="008B6DF2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Федерального казначейства</w:t>
            </w:r>
          </w:p>
          <w:p w14:paraId="7B3CB747" w14:textId="77777777" w:rsidR="008B6DF2" w:rsidRPr="001B6209" w:rsidRDefault="008B6DF2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3501DF2" w14:textId="77777777" w:rsidR="008B6DF2" w:rsidRPr="001B6209" w:rsidRDefault="008B6DF2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399B032" w14:textId="77777777" w:rsidR="00454023" w:rsidRPr="001B6209" w:rsidRDefault="00454023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A093B7E" w14:textId="77777777" w:rsidR="008B6DF2" w:rsidRPr="0045766C" w:rsidRDefault="008B6DF2" w:rsidP="00647C5A">
            <w:pPr>
              <w:widowControl w:val="0"/>
              <w:autoSpaceDE w:val="0"/>
              <w:autoSpaceDN w:val="0"/>
              <w:spacing w:after="0" w:line="240" w:lineRule="auto"/>
              <w:ind w:firstLine="2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</w:t>
            </w:r>
            <w:r w:rsidR="00454023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</w:t>
            </w:r>
            <w:r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</w:t>
            </w:r>
            <w:r w:rsidR="007F3413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Р.Е. </w:t>
            </w:r>
            <w:proofErr w:type="spellStart"/>
            <w:r w:rsidR="007F3413" w:rsidRPr="001B620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Артюхин</w:t>
            </w:r>
            <w:proofErr w:type="spellEnd"/>
          </w:p>
        </w:tc>
      </w:tr>
    </w:tbl>
    <w:p w14:paraId="5F16BEEB" w14:textId="77777777" w:rsidR="006B71BF" w:rsidRPr="00E22463" w:rsidRDefault="006B71BF" w:rsidP="006A00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Start w:id="2" w:name="P76"/>
      <w:bookmarkStart w:id="3" w:name="P103"/>
      <w:bookmarkStart w:id="4" w:name="P104"/>
      <w:bookmarkStart w:id="5" w:name="P105"/>
      <w:bookmarkStart w:id="6" w:name="P106"/>
      <w:bookmarkStart w:id="7" w:name="P107"/>
      <w:bookmarkStart w:id="8" w:name="P141"/>
      <w:bookmarkStart w:id="9" w:name="P198"/>
      <w:bookmarkStart w:id="10" w:name="P283"/>
      <w:bookmarkStart w:id="11" w:name="P364"/>
      <w:bookmarkStart w:id="12" w:name="P53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sectPr w:rsidR="006B71BF" w:rsidRPr="00E22463" w:rsidSect="006E19D0">
      <w:headerReference w:type="default" r:id="rId8"/>
      <w:pgSz w:w="11906" w:h="16838"/>
      <w:pgMar w:top="1134" w:right="709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CEBC4" w14:textId="77777777" w:rsidR="00116857" w:rsidRDefault="00116857" w:rsidP="00337408">
      <w:pPr>
        <w:spacing w:after="0" w:line="240" w:lineRule="auto"/>
      </w:pPr>
      <w:r>
        <w:separator/>
      </w:r>
    </w:p>
  </w:endnote>
  <w:endnote w:type="continuationSeparator" w:id="0">
    <w:p w14:paraId="62EE22BC" w14:textId="77777777" w:rsidR="00116857" w:rsidRDefault="00116857" w:rsidP="00337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1BC9F3" w14:textId="77777777" w:rsidR="00116857" w:rsidRDefault="00116857" w:rsidP="00337408">
      <w:pPr>
        <w:spacing w:after="0" w:line="240" w:lineRule="auto"/>
      </w:pPr>
      <w:r>
        <w:separator/>
      </w:r>
    </w:p>
  </w:footnote>
  <w:footnote w:type="continuationSeparator" w:id="0">
    <w:p w14:paraId="40C0F28A" w14:textId="77777777" w:rsidR="00116857" w:rsidRDefault="00116857" w:rsidP="00337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0103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819EC10" w14:textId="3D360EA6" w:rsidR="00C86656" w:rsidRPr="005573C3" w:rsidRDefault="00C86656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573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573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573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C575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573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582277D" w14:textId="77777777" w:rsidR="00C86656" w:rsidRDefault="00C86656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808A2"/>
    <w:multiLevelType w:val="hybridMultilevel"/>
    <w:tmpl w:val="CABE6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BF"/>
    <w:rsid w:val="00003DE8"/>
    <w:rsid w:val="00005F41"/>
    <w:rsid w:val="000133A4"/>
    <w:rsid w:val="00014B32"/>
    <w:rsid w:val="0001577A"/>
    <w:rsid w:val="00030E6C"/>
    <w:rsid w:val="00031424"/>
    <w:rsid w:val="00035C96"/>
    <w:rsid w:val="0004136F"/>
    <w:rsid w:val="0005044B"/>
    <w:rsid w:val="00055607"/>
    <w:rsid w:val="00061FCF"/>
    <w:rsid w:val="000641FF"/>
    <w:rsid w:val="000724EC"/>
    <w:rsid w:val="00073DA8"/>
    <w:rsid w:val="00080EB1"/>
    <w:rsid w:val="00085F15"/>
    <w:rsid w:val="00093E21"/>
    <w:rsid w:val="00094D78"/>
    <w:rsid w:val="000A05E6"/>
    <w:rsid w:val="000B25C3"/>
    <w:rsid w:val="000B3719"/>
    <w:rsid w:val="000B6899"/>
    <w:rsid w:val="000C3E0D"/>
    <w:rsid w:val="000C3EDA"/>
    <w:rsid w:val="000D10FE"/>
    <w:rsid w:val="000D6FAD"/>
    <w:rsid w:val="000E5BFB"/>
    <w:rsid w:val="000E5DA0"/>
    <w:rsid w:val="000F0863"/>
    <w:rsid w:val="000F7FBC"/>
    <w:rsid w:val="00100FFB"/>
    <w:rsid w:val="001040E0"/>
    <w:rsid w:val="001134CC"/>
    <w:rsid w:val="00114A8B"/>
    <w:rsid w:val="001161AC"/>
    <w:rsid w:val="00116857"/>
    <w:rsid w:val="00116A7B"/>
    <w:rsid w:val="00120FF1"/>
    <w:rsid w:val="00122CE3"/>
    <w:rsid w:val="00124AF3"/>
    <w:rsid w:val="001269A0"/>
    <w:rsid w:val="00127842"/>
    <w:rsid w:val="00127E16"/>
    <w:rsid w:val="00131170"/>
    <w:rsid w:val="00131957"/>
    <w:rsid w:val="00137B26"/>
    <w:rsid w:val="00137DC7"/>
    <w:rsid w:val="001500FF"/>
    <w:rsid w:val="0015136F"/>
    <w:rsid w:val="00152847"/>
    <w:rsid w:val="00152AD6"/>
    <w:rsid w:val="00155A11"/>
    <w:rsid w:val="001601F6"/>
    <w:rsid w:val="00163E1B"/>
    <w:rsid w:val="00164CA1"/>
    <w:rsid w:val="001710A8"/>
    <w:rsid w:val="0017188A"/>
    <w:rsid w:val="00171E77"/>
    <w:rsid w:val="00177D64"/>
    <w:rsid w:val="00177FFB"/>
    <w:rsid w:val="00184129"/>
    <w:rsid w:val="0018534F"/>
    <w:rsid w:val="00196C1A"/>
    <w:rsid w:val="001A3699"/>
    <w:rsid w:val="001A5A42"/>
    <w:rsid w:val="001B6174"/>
    <w:rsid w:val="001B6209"/>
    <w:rsid w:val="001B754C"/>
    <w:rsid w:val="001B7582"/>
    <w:rsid w:val="001C09A0"/>
    <w:rsid w:val="001C38CB"/>
    <w:rsid w:val="001C575A"/>
    <w:rsid w:val="001C74CD"/>
    <w:rsid w:val="001D6546"/>
    <w:rsid w:val="001D720D"/>
    <w:rsid w:val="001E2414"/>
    <w:rsid w:val="001E3A3B"/>
    <w:rsid w:val="001F707C"/>
    <w:rsid w:val="0020085C"/>
    <w:rsid w:val="00203B19"/>
    <w:rsid w:val="00205571"/>
    <w:rsid w:val="00222244"/>
    <w:rsid w:val="0022389E"/>
    <w:rsid w:val="0022469F"/>
    <w:rsid w:val="00227426"/>
    <w:rsid w:val="002317A2"/>
    <w:rsid w:val="00234EC8"/>
    <w:rsid w:val="00237390"/>
    <w:rsid w:val="00237921"/>
    <w:rsid w:val="00237EAE"/>
    <w:rsid w:val="00243C26"/>
    <w:rsid w:val="00246AF7"/>
    <w:rsid w:val="002526EE"/>
    <w:rsid w:val="002538C9"/>
    <w:rsid w:val="00261705"/>
    <w:rsid w:val="00265CFD"/>
    <w:rsid w:val="0028113E"/>
    <w:rsid w:val="002847E2"/>
    <w:rsid w:val="0028730D"/>
    <w:rsid w:val="002A2F4D"/>
    <w:rsid w:val="002A2FD7"/>
    <w:rsid w:val="002A39C3"/>
    <w:rsid w:val="002A5242"/>
    <w:rsid w:val="002B0789"/>
    <w:rsid w:val="002B363B"/>
    <w:rsid w:val="002B50FC"/>
    <w:rsid w:val="002B7CBB"/>
    <w:rsid w:val="002C22BF"/>
    <w:rsid w:val="002D568D"/>
    <w:rsid w:val="002E2A96"/>
    <w:rsid w:val="002E2BAB"/>
    <w:rsid w:val="002E336F"/>
    <w:rsid w:val="002F5795"/>
    <w:rsid w:val="00303C76"/>
    <w:rsid w:val="00305E32"/>
    <w:rsid w:val="00312DE9"/>
    <w:rsid w:val="00322379"/>
    <w:rsid w:val="00322BB1"/>
    <w:rsid w:val="00333E5B"/>
    <w:rsid w:val="00336FF0"/>
    <w:rsid w:val="00337408"/>
    <w:rsid w:val="00340A92"/>
    <w:rsid w:val="00342105"/>
    <w:rsid w:val="00345875"/>
    <w:rsid w:val="00351D2E"/>
    <w:rsid w:val="003532AF"/>
    <w:rsid w:val="00354FB4"/>
    <w:rsid w:val="00356D4C"/>
    <w:rsid w:val="003701BD"/>
    <w:rsid w:val="003719C7"/>
    <w:rsid w:val="0037521B"/>
    <w:rsid w:val="003805D8"/>
    <w:rsid w:val="003828E2"/>
    <w:rsid w:val="00390D10"/>
    <w:rsid w:val="00392C0D"/>
    <w:rsid w:val="00394C2A"/>
    <w:rsid w:val="003964F3"/>
    <w:rsid w:val="00397A64"/>
    <w:rsid w:val="00397B66"/>
    <w:rsid w:val="003A0CFF"/>
    <w:rsid w:val="003B0107"/>
    <w:rsid w:val="003B09F8"/>
    <w:rsid w:val="003B5D54"/>
    <w:rsid w:val="003B632B"/>
    <w:rsid w:val="003C0607"/>
    <w:rsid w:val="003C6FDA"/>
    <w:rsid w:val="003D255E"/>
    <w:rsid w:val="003D323A"/>
    <w:rsid w:val="003D6601"/>
    <w:rsid w:val="003E3752"/>
    <w:rsid w:val="003F1972"/>
    <w:rsid w:val="003F1AF7"/>
    <w:rsid w:val="003F3840"/>
    <w:rsid w:val="003F6AAE"/>
    <w:rsid w:val="00407994"/>
    <w:rsid w:val="00407A53"/>
    <w:rsid w:val="00407CA9"/>
    <w:rsid w:val="0041306A"/>
    <w:rsid w:val="00421ED5"/>
    <w:rsid w:val="00427352"/>
    <w:rsid w:val="00430532"/>
    <w:rsid w:val="00434407"/>
    <w:rsid w:val="004353CE"/>
    <w:rsid w:val="0043600A"/>
    <w:rsid w:val="00436948"/>
    <w:rsid w:val="004420EF"/>
    <w:rsid w:val="00447908"/>
    <w:rsid w:val="00454023"/>
    <w:rsid w:val="00455503"/>
    <w:rsid w:val="0045766C"/>
    <w:rsid w:val="004605A3"/>
    <w:rsid w:val="004624D7"/>
    <w:rsid w:val="00465139"/>
    <w:rsid w:val="00465C65"/>
    <w:rsid w:val="00466CCE"/>
    <w:rsid w:val="0046745B"/>
    <w:rsid w:val="00477DC8"/>
    <w:rsid w:val="00484A37"/>
    <w:rsid w:val="00486A6A"/>
    <w:rsid w:val="0049498E"/>
    <w:rsid w:val="00495D23"/>
    <w:rsid w:val="004A4460"/>
    <w:rsid w:val="004A639D"/>
    <w:rsid w:val="004B181C"/>
    <w:rsid w:val="004B5F99"/>
    <w:rsid w:val="004C21B9"/>
    <w:rsid w:val="004C2798"/>
    <w:rsid w:val="004C3498"/>
    <w:rsid w:val="004C7B72"/>
    <w:rsid w:val="004D172D"/>
    <w:rsid w:val="004D320D"/>
    <w:rsid w:val="004D45A1"/>
    <w:rsid w:val="004D78EA"/>
    <w:rsid w:val="004E23F4"/>
    <w:rsid w:val="004E2696"/>
    <w:rsid w:val="004E62F2"/>
    <w:rsid w:val="004F0F59"/>
    <w:rsid w:val="004F7B54"/>
    <w:rsid w:val="00500894"/>
    <w:rsid w:val="005018F4"/>
    <w:rsid w:val="00502602"/>
    <w:rsid w:val="005032ED"/>
    <w:rsid w:val="00511E03"/>
    <w:rsid w:val="00512CE4"/>
    <w:rsid w:val="005226D1"/>
    <w:rsid w:val="0052302E"/>
    <w:rsid w:val="0052391A"/>
    <w:rsid w:val="00523FCA"/>
    <w:rsid w:val="00530892"/>
    <w:rsid w:val="005352C4"/>
    <w:rsid w:val="0055029E"/>
    <w:rsid w:val="005551E1"/>
    <w:rsid w:val="00555A27"/>
    <w:rsid w:val="0055642E"/>
    <w:rsid w:val="005573C3"/>
    <w:rsid w:val="0057095F"/>
    <w:rsid w:val="005712F2"/>
    <w:rsid w:val="0057262E"/>
    <w:rsid w:val="00576A4A"/>
    <w:rsid w:val="00577E2F"/>
    <w:rsid w:val="00581622"/>
    <w:rsid w:val="00590113"/>
    <w:rsid w:val="0059598B"/>
    <w:rsid w:val="005A0015"/>
    <w:rsid w:val="005A06FD"/>
    <w:rsid w:val="005A3136"/>
    <w:rsid w:val="005A7E15"/>
    <w:rsid w:val="005B2820"/>
    <w:rsid w:val="005B3F31"/>
    <w:rsid w:val="005C1D4C"/>
    <w:rsid w:val="005E0956"/>
    <w:rsid w:val="005E3B0D"/>
    <w:rsid w:val="005E3E35"/>
    <w:rsid w:val="005E66FB"/>
    <w:rsid w:val="005F0113"/>
    <w:rsid w:val="00601240"/>
    <w:rsid w:val="0061118D"/>
    <w:rsid w:val="006149B9"/>
    <w:rsid w:val="0061794B"/>
    <w:rsid w:val="00620E44"/>
    <w:rsid w:val="0063015D"/>
    <w:rsid w:val="006311FB"/>
    <w:rsid w:val="00633982"/>
    <w:rsid w:val="00635D5D"/>
    <w:rsid w:val="0064005A"/>
    <w:rsid w:val="00646A88"/>
    <w:rsid w:val="00647C5A"/>
    <w:rsid w:val="00654979"/>
    <w:rsid w:val="00655CDB"/>
    <w:rsid w:val="00656153"/>
    <w:rsid w:val="00661CD5"/>
    <w:rsid w:val="00663427"/>
    <w:rsid w:val="006661D1"/>
    <w:rsid w:val="00667EB5"/>
    <w:rsid w:val="00667ED0"/>
    <w:rsid w:val="00667F2E"/>
    <w:rsid w:val="006704CE"/>
    <w:rsid w:val="006825A9"/>
    <w:rsid w:val="0068270B"/>
    <w:rsid w:val="006827AD"/>
    <w:rsid w:val="00687651"/>
    <w:rsid w:val="00687A86"/>
    <w:rsid w:val="006A0088"/>
    <w:rsid w:val="006A274C"/>
    <w:rsid w:val="006A6D33"/>
    <w:rsid w:val="006B71BF"/>
    <w:rsid w:val="006C4D0C"/>
    <w:rsid w:val="006C4D4D"/>
    <w:rsid w:val="006C57BE"/>
    <w:rsid w:val="006D26FB"/>
    <w:rsid w:val="006D5E51"/>
    <w:rsid w:val="006D7BBA"/>
    <w:rsid w:val="006E19D0"/>
    <w:rsid w:val="006E5413"/>
    <w:rsid w:val="006F3647"/>
    <w:rsid w:val="006F3950"/>
    <w:rsid w:val="00702168"/>
    <w:rsid w:val="0070316C"/>
    <w:rsid w:val="00704246"/>
    <w:rsid w:val="007137ED"/>
    <w:rsid w:val="0071766F"/>
    <w:rsid w:val="00722999"/>
    <w:rsid w:val="00733A90"/>
    <w:rsid w:val="00735E5D"/>
    <w:rsid w:val="007445FD"/>
    <w:rsid w:val="00750172"/>
    <w:rsid w:val="00752F10"/>
    <w:rsid w:val="0076114E"/>
    <w:rsid w:val="0076169F"/>
    <w:rsid w:val="007650B9"/>
    <w:rsid w:val="007729F4"/>
    <w:rsid w:val="00774052"/>
    <w:rsid w:val="007776A5"/>
    <w:rsid w:val="0078287F"/>
    <w:rsid w:val="00784B3A"/>
    <w:rsid w:val="00787DED"/>
    <w:rsid w:val="00791EED"/>
    <w:rsid w:val="00793BCB"/>
    <w:rsid w:val="00793FB2"/>
    <w:rsid w:val="00795D20"/>
    <w:rsid w:val="00795DE5"/>
    <w:rsid w:val="0079645B"/>
    <w:rsid w:val="007A6DC3"/>
    <w:rsid w:val="007B4582"/>
    <w:rsid w:val="007B5A5D"/>
    <w:rsid w:val="007C04D6"/>
    <w:rsid w:val="007C4335"/>
    <w:rsid w:val="007C49CC"/>
    <w:rsid w:val="007C5D1A"/>
    <w:rsid w:val="007D128E"/>
    <w:rsid w:val="007D2DEF"/>
    <w:rsid w:val="007D426E"/>
    <w:rsid w:val="007E53C1"/>
    <w:rsid w:val="007E6C97"/>
    <w:rsid w:val="007E75ED"/>
    <w:rsid w:val="007F2ED4"/>
    <w:rsid w:val="007F2F33"/>
    <w:rsid w:val="007F3413"/>
    <w:rsid w:val="007F47EA"/>
    <w:rsid w:val="007F7B9F"/>
    <w:rsid w:val="00800DF3"/>
    <w:rsid w:val="00817973"/>
    <w:rsid w:val="00822934"/>
    <w:rsid w:val="008231BD"/>
    <w:rsid w:val="00824142"/>
    <w:rsid w:val="00825E2C"/>
    <w:rsid w:val="008417EF"/>
    <w:rsid w:val="00846735"/>
    <w:rsid w:val="008573CD"/>
    <w:rsid w:val="00860756"/>
    <w:rsid w:val="0086707E"/>
    <w:rsid w:val="00871953"/>
    <w:rsid w:val="00875594"/>
    <w:rsid w:val="008837B7"/>
    <w:rsid w:val="00885E46"/>
    <w:rsid w:val="00893AF3"/>
    <w:rsid w:val="00894E8C"/>
    <w:rsid w:val="008A1FB7"/>
    <w:rsid w:val="008A2512"/>
    <w:rsid w:val="008B1456"/>
    <w:rsid w:val="008B2D13"/>
    <w:rsid w:val="008B36EF"/>
    <w:rsid w:val="008B41D6"/>
    <w:rsid w:val="008B6CF6"/>
    <w:rsid w:val="008B6DF2"/>
    <w:rsid w:val="008B7725"/>
    <w:rsid w:val="008C1299"/>
    <w:rsid w:val="008C4481"/>
    <w:rsid w:val="008C62D0"/>
    <w:rsid w:val="008D1A2B"/>
    <w:rsid w:val="008D1A9B"/>
    <w:rsid w:val="008E0F2B"/>
    <w:rsid w:val="008F10DD"/>
    <w:rsid w:val="008F66BD"/>
    <w:rsid w:val="00902D1F"/>
    <w:rsid w:val="0090373D"/>
    <w:rsid w:val="0090534D"/>
    <w:rsid w:val="00912073"/>
    <w:rsid w:val="009170EA"/>
    <w:rsid w:val="009225BC"/>
    <w:rsid w:val="0092313F"/>
    <w:rsid w:val="00926CD1"/>
    <w:rsid w:val="00932961"/>
    <w:rsid w:val="00932B22"/>
    <w:rsid w:val="00932FA4"/>
    <w:rsid w:val="009356E9"/>
    <w:rsid w:val="00936FF0"/>
    <w:rsid w:val="00943567"/>
    <w:rsid w:val="0094439A"/>
    <w:rsid w:val="00947ED0"/>
    <w:rsid w:val="00950251"/>
    <w:rsid w:val="0095025C"/>
    <w:rsid w:val="00960E0B"/>
    <w:rsid w:val="0096138E"/>
    <w:rsid w:val="00971982"/>
    <w:rsid w:val="009739CD"/>
    <w:rsid w:val="00974396"/>
    <w:rsid w:val="009758B9"/>
    <w:rsid w:val="00976EFB"/>
    <w:rsid w:val="00982290"/>
    <w:rsid w:val="009913AA"/>
    <w:rsid w:val="009919D7"/>
    <w:rsid w:val="00996E3B"/>
    <w:rsid w:val="009A101A"/>
    <w:rsid w:val="009A1470"/>
    <w:rsid w:val="009A291D"/>
    <w:rsid w:val="009A2CD7"/>
    <w:rsid w:val="009C0499"/>
    <w:rsid w:val="009C2875"/>
    <w:rsid w:val="009C766E"/>
    <w:rsid w:val="009D4B91"/>
    <w:rsid w:val="009E2392"/>
    <w:rsid w:val="009E4737"/>
    <w:rsid w:val="009F1BDE"/>
    <w:rsid w:val="009F39B2"/>
    <w:rsid w:val="00A0141D"/>
    <w:rsid w:val="00A03DF1"/>
    <w:rsid w:val="00A0473B"/>
    <w:rsid w:val="00A06B78"/>
    <w:rsid w:val="00A220B7"/>
    <w:rsid w:val="00A24F03"/>
    <w:rsid w:val="00A24F26"/>
    <w:rsid w:val="00A26E9E"/>
    <w:rsid w:val="00A30BCD"/>
    <w:rsid w:val="00A3597A"/>
    <w:rsid w:val="00A428E8"/>
    <w:rsid w:val="00A42EE3"/>
    <w:rsid w:val="00A45E33"/>
    <w:rsid w:val="00A610E4"/>
    <w:rsid w:val="00A611F7"/>
    <w:rsid w:val="00A613AC"/>
    <w:rsid w:val="00A61BDE"/>
    <w:rsid w:val="00A62AE2"/>
    <w:rsid w:val="00A62C74"/>
    <w:rsid w:val="00A67C08"/>
    <w:rsid w:val="00A74342"/>
    <w:rsid w:val="00A7466B"/>
    <w:rsid w:val="00A81F5B"/>
    <w:rsid w:val="00AA27B6"/>
    <w:rsid w:val="00AB03A7"/>
    <w:rsid w:val="00AB4381"/>
    <w:rsid w:val="00AC4A4C"/>
    <w:rsid w:val="00AC583B"/>
    <w:rsid w:val="00AC68F2"/>
    <w:rsid w:val="00AD35C2"/>
    <w:rsid w:val="00AD77B2"/>
    <w:rsid w:val="00AE0B86"/>
    <w:rsid w:val="00AE6EF8"/>
    <w:rsid w:val="00AE77C9"/>
    <w:rsid w:val="00AF0B7C"/>
    <w:rsid w:val="00AF24FD"/>
    <w:rsid w:val="00AF29EA"/>
    <w:rsid w:val="00AF36EC"/>
    <w:rsid w:val="00AF55E5"/>
    <w:rsid w:val="00B10D34"/>
    <w:rsid w:val="00B17F4C"/>
    <w:rsid w:val="00B22AB1"/>
    <w:rsid w:val="00B27FF7"/>
    <w:rsid w:val="00B405A4"/>
    <w:rsid w:val="00B4354E"/>
    <w:rsid w:val="00B62FDA"/>
    <w:rsid w:val="00B716EB"/>
    <w:rsid w:val="00B71DA0"/>
    <w:rsid w:val="00B773B9"/>
    <w:rsid w:val="00B800A7"/>
    <w:rsid w:val="00B801E4"/>
    <w:rsid w:val="00B83B8A"/>
    <w:rsid w:val="00B83FAD"/>
    <w:rsid w:val="00B933CA"/>
    <w:rsid w:val="00B93AB7"/>
    <w:rsid w:val="00B97806"/>
    <w:rsid w:val="00BA490E"/>
    <w:rsid w:val="00BA61C0"/>
    <w:rsid w:val="00BB5A65"/>
    <w:rsid w:val="00BB6E7A"/>
    <w:rsid w:val="00BC41C8"/>
    <w:rsid w:val="00BD1672"/>
    <w:rsid w:val="00BD32A5"/>
    <w:rsid w:val="00BE4B05"/>
    <w:rsid w:val="00BE72EA"/>
    <w:rsid w:val="00BF318B"/>
    <w:rsid w:val="00BF484C"/>
    <w:rsid w:val="00BF516B"/>
    <w:rsid w:val="00C00722"/>
    <w:rsid w:val="00C00F8C"/>
    <w:rsid w:val="00C01693"/>
    <w:rsid w:val="00C040BF"/>
    <w:rsid w:val="00C1075A"/>
    <w:rsid w:val="00C17057"/>
    <w:rsid w:val="00C23ABB"/>
    <w:rsid w:val="00C23B3D"/>
    <w:rsid w:val="00C34168"/>
    <w:rsid w:val="00C34E68"/>
    <w:rsid w:val="00C36233"/>
    <w:rsid w:val="00C37F46"/>
    <w:rsid w:val="00C41C14"/>
    <w:rsid w:val="00C4237F"/>
    <w:rsid w:val="00C47842"/>
    <w:rsid w:val="00C479EA"/>
    <w:rsid w:val="00C47F2D"/>
    <w:rsid w:val="00C65E39"/>
    <w:rsid w:val="00C66FD9"/>
    <w:rsid w:val="00C75D7E"/>
    <w:rsid w:val="00C833DB"/>
    <w:rsid w:val="00C85BBE"/>
    <w:rsid w:val="00C86656"/>
    <w:rsid w:val="00C90A88"/>
    <w:rsid w:val="00C91DF9"/>
    <w:rsid w:val="00C9213B"/>
    <w:rsid w:val="00C92674"/>
    <w:rsid w:val="00C95ADD"/>
    <w:rsid w:val="00CA100E"/>
    <w:rsid w:val="00CA20CE"/>
    <w:rsid w:val="00CA4D6D"/>
    <w:rsid w:val="00CA6C3D"/>
    <w:rsid w:val="00CB6DF5"/>
    <w:rsid w:val="00CC179F"/>
    <w:rsid w:val="00CC30F9"/>
    <w:rsid w:val="00CD1596"/>
    <w:rsid w:val="00CD2F6A"/>
    <w:rsid w:val="00CD41A7"/>
    <w:rsid w:val="00CD7E52"/>
    <w:rsid w:val="00CD7E81"/>
    <w:rsid w:val="00CE04A1"/>
    <w:rsid w:val="00CE5E51"/>
    <w:rsid w:val="00CE630F"/>
    <w:rsid w:val="00CF0CC1"/>
    <w:rsid w:val="00CF1B88"/>
    <w:rsid w:val="00CF4390"/>
    <w:rsid w:val="00D02D02"/>
    <w:rsid w:val="00D03F01"/>
    <w:rsid w:val="00D03F0A"/>
    <w:rsid w:val="00D12EF3"/>
    <w:rsid w:val="00D1366D"/>
    <w:rsid w:val="00D26576"/>
    <w:rsid w:val="00D27A8E"/>
    <w:rsid w:val="00D30D35"/>
    <w:rsid w:val="00D313A4"/>
    <w:rsid w:val="00D35A55"/>
    <w:rsid w:val="00D3786F"/>
    <w:rsid w:val="00D413AE"/>
    <w:rsid w:val="00D50619"/>
    <w:rsid w:val="00D528EE"/>
    <w:rsid w:val="00D53E5D"/>
    <w:rsid w:val="00D71BEB"/>
    <w:rsid w:val="00D73B71"/>
    <w:rsid w:val="00D755EF"/>
    <w:rsid w:val="00D7650E"/>
    <w:rsid w:val="00D76CC2"/>
    <w:rsid w:val="00D7702B"/>
    <w:rsid w:val="00D77922"/>
    <w:rsid w:val="00D819FE"/>
    <w:rsid w:val="00D92682"/>
    <w:rsid w:val="00DA424D"/>
    <w:rsid w:val="00DB6F72"/>
    <w:rsid w:val="00DB7432"/>
    <w:rsid w:val="00DC1546"/>
    <w:rsid w:val="00DD5511"/>
    <w:rsid w:val="00DF4130"/>
    <w:rsid w:val="00DF5468"/>
    <w:rsid w:val="00E009A1"/>
    <w:rsid w:val="00E04D6E"/>
    <w:rsid w:val="00E22463"/>
    <w:rsid w:val="00E238BB"/>
    <w:rsid w:val="00E27CB9"/>
    <w:rsid w:val="00E30A54"/>
    <w:rsid w:val="00E37BF6"/>
    <w:rsid w:val="00E43250"/>
    <w:rsid w:val="00E50052"/>
    <w:rsid w:val="00E506A4"/>
    <w:rsid w:val="00E530D7"/>
    <w:rsid w:val="00E56981"/>
    <w:rsid w:val="00E62C7B"/>
    <w:rsid w:val="00E64D2A"/>
    <w:rsid w:val="00E65366"/>
    <w:rsid w:val="00E67988"/>
    <w:rsid w:val="00E70F41"/>
    <w:rsid w:val="00E76349"/>
    <w:rsid w:val="00E80196"/>
    <w:rsid w:val="00E8183C"/>
    <w:rsid w:val="00E85A9D"/>
    <w:rsid w:val="00E85EEE"/>
    <w:rsid w:val="00E87FED"/>
    <w:rsid w:val="00E90490"/>
    <w:rsid w:val="00E922AF"/>
    <w:rsid w:val="00E93358"/>
    <w:rsid w:val="00EA2175"/>
    <w:rsid w:val="00EA4FB0"/>
    <w:rsid w:val="00EB0886"/>
    <w:rsid w:val="00EB0C82"/>
    <w:rsid w:val="00EC0AEB"/>
    <w:rsid w:val="00EC3D6E"/>
    <w:rsid w:val="00EC5CD0"/>
    <w:rsid w:val="00EC7A3F"/>
    <w:rsid w:val="00EC7AE7"/>
    <w:rsid w:val="00ED06D8"/>
    <w:rsid w:val="00ED0CBC"/>
    <w:rsid w:val="00ED5273"/>
    <w:rsid w:val="00ED5BAE"/>
    <w:rsid w:val="00EE1884"/>
    <w:rsid w:val="00EE4A44"/>
    <w:rsid w:val="00EE5002"/>
    <w:rsid w:val="00EE7912"/>
    <w:rsid w:val="00EF116B"/>
    <w:rsid w:val="00EF2B23"/>
    <w:rsid w:val="00F061C1"/>
    <w:rsid w:val="00F06C80"/>
    <w:rsid w:val="00F1129D"/>
    <w:rsid w:val="00F13860"/>
    <w:rsid w:val="00F241D4"/>
    <w:rsid w:val="00F31603"/>
    <w:rsid w:val="00F37DCA"/>
    <w:rsid w:val="00F42A56"/>
    <w:rsid w:val="00F47125"/>
    <w:rsid w:val="00F53A6A"/>
    <w:rsid w:val="00F701DD"/>
    <w:rsid w:val="00F71C1A"/>
    <w:rsid w:val="00F73700"/>
    <w:rsid w:val="00F7689D"/>
    <w:rsid w:val="00F76B3A"/>
    <w:rsid w:val="00F85C29"/>
    <w:rsid w:val="00F864D4"/>
    <w:rsid w:val="00F936FE"/>
    <w:rsid w:val="00F94961"/>
    <w:rsid w:val="00FA10EE"/>
    <w:rsid w:val="00FA12A6"/>
    <w:rsid w:val="00FA12D1"/>
    <w:rsid w:val="00FA222B"/>
    <w:rsid w:val="00FA34E6"/>
    <w:rsid w:val="00FB42BA"/>
    <w:rsid w:val="00FB7A35"/>
    <w:rsid w:val="00FC0097"/>
    <w:rsid w:val="00FC41B8"/>
    <w:rsid w:val="00FC63F6"/>
    <w:rsid w:val="00FC79D6"/>
    <w:rsid w:val="00FD2C9D"/>
    <w:rsid w:val="00FD53F6"/>
    <w:rsid w:val="00FE0ECF"/>
    <w:rsid w:val="00FE1C1F"/>
    <w:rsid w:val="00FE45EB"/>
    <w:rsid w:val="00FE4848"/>
    <w:rsid w:val="00FF5BD3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F19E7"/>
  <w15:docId w15:val="{A00283E6-4EA1-4576-AE97-E9B5356A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B71B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B71B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B71B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B71B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B71B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B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71BF"/>
    <w:rPr>
      <w:rFonts w:ascii="Segoe UI" w:hAnsi="Segoe UI" w:cs="Segoe UI"/>
      <w:sz w:val="18"/>
      <w:szCs w:val="18"/>
    </w:rPr>
  </w:style>
  <w:style w:type="paragraph" w:customStyle="1" w:styleId="ConsPlusTitlePage">
    <w:name w:val="ConsPlusTitlePage"/>
    <w:rsid w:val="006B71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6B7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7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F31603"/>
    <w:pPr>
      <w:spacing w:after="0" w:line="240" w:lineRule="auto"/>
    </w:pPr>
  </w:style>
  <w:style w:type="paragraph" w:styleId="ab">
    <w:name w:val="endnote text"/>
    <w:basedOn w:val="a"/>
    <w:link w:val="ac"/>
    <w:uiPriority w:val="99"/>
    <w:semiHidden/>
    <w:unhideWhenUsed/>
    <w:rsid w:val="003374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337408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33740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337408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37408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37408"/>
    <w:rPr>
      <w:vertAlign w:val="superscript"/>
    </w:rPr>
  </w:style>
  <w:style w:type="paragraph" w:styleId="af1">
    <w:name w:val="Revision"/>
    <w:hidden/>
    <w:uiPriority w:val="99"/>
    <w:semiHidden/>
    <w:rsid w:val="00E37BF6"/>
    <w:pPr>
      <w:spacing w:after="0" w:line="240" w:lineRule="auto"/>
    </w:pPr>
  </w:style>
  <w:style w:type="paragraph" w:styleId="af2">
    <w:name w:val="header"/>
    <w:basedOn w:val="a"/>
    <w:link w:val="af3"/>
    <w:uiPriority w:val="99"/>
    <w:unhideWhenUsed/>
    <w:rsid w:val="00CA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A20CE"/>
  </w:style>
  <w:style w:type="paragraph" w:styleId="af4">
    <w:name w:val="footer"/>
    <w:basedOn w:val="a"/>
    <w:link w:val="af5"/>
    <w:uiPriority w:val="99"/>
    <w:unhideWhenUsed/>
    <w:rsid w:val="00CA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A20CE"/>
  </w:style>
  <w:style w:type="paragraph" w:styleId="af6">
    <w:name w:val="Plain Text"/>
    <w:basedOn w:val="a"/>
    <w:link w:val="af7"/>
    <w:uiPriority w:val="99"/>
    <w:semiHidden/>
    <w:unhideWhenUsed/>
    <w:rsid w:val="00421ED5"/>
    <w:pPr>
      <w:spacing w:after="0" w:line="240" w:lineRule="auto"/>
    </w:pPr>
    <w:rPr>
      <w:rFonts w:ascii="Calibri" w:hAnsi="Calibri"/>
      <w:szCs w:val="21"/>
    </w:rPr>
  </w:style>
  <w:style w:type="character" w:customStyle="1" w:styleId="af7">
    <w:name w:val="Текст Знак"/>
    <w:basedOn w:val="a0"/>
    <w:link w:val="af6"/>
    <w:uiPriority w:val="99"/>
    <w:semiHidden/>
    <w:rsid w:val="00421ED5"/>
    <w:rPr>
      <w:rFonts w:ascii="Calibri" w:hAnsi="Calibri"/>
      <w:szCs w:val="21"/>
    </w:rPr>
  </w:style>
  <w:style w:type="character" w:styleId="af8">
    <w:name w:val="Hyperlink"/>
    <w:basedOn w:val="a0"/>
    <w:uiPriority w:val="99"/>
    <w:unhideWhenUsed/>
    <w:rsid w:val="005A06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29088-03C2-475C-9DE9-760280BC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Аржанова Елена Ивановна</dc:creator>
  <cp:lastModifiedBy>Воробьева Дарья Павловна</cp:lastModifiedBy>
  <cp:revision>6</cp:revision>
  <cp:lastPrinted>2026-01-20T14:05:00Z</cp:lastPrinted>
  <dcterms:created xsi:type="dcterms:W3CDTF">2026-01-21T08:13:00Z</dcterms:created>
  <dcterms:modified xsi:type="dcterms:W3CDTF">2026-01-23T15:45:00Z</dcterms:modified>
</cp:coreProperties>
</file>