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12" w:rsidRPr="002D2522" w:rsidRDefault="00583F12" w:rsidP="00583F12">
      <w:pPr>
        <w:spacing w:before="0" w:after="0" w:line="240" w:lineRule="auto"/>
        <w:ind w:left="5670"/>
        <w:rPr>
          <w:sz w:val="28"/>
        </w:rPr>
      </w:pPr>
    </w:p>
    <w:tbl>
      <w:tblPr>
        <w:tblStyle w:val="a7"/>
        <w:tblpPr w:leftFromText="180" w:rightFromText="180" w:vertAnchor="text" w:horzAnchor="margin" w:tblpY="49"/>
        <w:tblOverlap w:val="never"/>
        <w:tblW w:w="9638" w:type="dxa"/>
        <w:tblLayout w:type="fixed"/>
        <w:tblCellMar>
          <w:left w:w="0" w:type="dxa"/>
          <w:right w:w="0" w:type="dxa"/>
        </w:tblCellMar>
        <w:tblLook w:val="04A0" w:firstRow="1" w:lastRow="0" w:firstColumn="1" w:lastColumn="0" w:noHBand="0" w:noVBand="1"/>
      </w:tblPr>
      <w:tblGrid>
        <w:gridCol w:w="9638"/>
      </w:tblGrid>
      <w:tr w:rsidR="008C28FD" w:rsidRPr="008630A2" w:rsidTr="002D2522">
        <w:trPr>
          <w:trHeight w:val="2974"/>
        </w:trPr>
        <w:tc>
          <w:tcPr>
            <w:tcW w:w="9638" w:type="dxa"/>
            <w:tcBorders>
              <w:top w:val="nil"/>
              <w:left w:val="nil"/>
              <w:bottom w:val="nil"/>
              <w:right w:val="nil"/>
            </w:tcBorders>
            <w:vAlign w:val="bottom"/>
          </w:tcPr>
          <w:p w:rsidR="008C28FD" w:rsidRPr="008630A2" w:rsidRDefault="008C28FD" w:rsidP="00CE577D">
            <w:pPr>
              <w:jc w:val="center"/>
            </w:pPr>
          </w:p>
        </w:tc>
      </w:tr>
    </w:tbl>
    <w:tbl>
      <w:tblPr>
        <w:tblStyle w:val="a7"/>
        <w:tblpPr w:leftFromText="180" w:rightFromText="180" w:vertAnchor="text" w:tblpY="1"/>
        <w:tblOverlap w:val="never"/>
        <w:tblW w:w="4610" w:type="dxa"/>
        <w:tblLayout w:type="fixed"/>
        <w:tblLook w:val="0000" w:firstRow="0" w:lastRow="0" w:firstColumn="0" w:lastColumn="0" w:noHBand="0" w:noVBand="0"/>
      </w:tblPr>
      <w:tblGrid>
        <w:gridCol w:w="1701"/>
        <w:gridCol w:w="284"/>
        <w:gridCol w:w="2625"/>
      </w:tblGrid>
      <w:tr w:rsidR="00CE577D" w:rsidRPr="008630A2" w:rsidTr="00F77D08">
        <w:trPr>
          <w:trHeight w:val="244"/>
        </w:trPr>
        <w:tc>
          <w:tcPr>
            <w:tcW w:w="1701" w:type="dxa"/>
            <w:tcBorders>
              <w:top w:val="nil"/>
              <w:left w:val="nil"/>
              <w:bottom w:val="nil"/>
              <w:right w:val="nil"/>
            </w:tcBorders>
          </w:tcPr>
          <w:p w:rsidR="00F77D08" w:rsidRPr="008630A2" w:rsidRDefault="00946837" w:rsidP="00C5110D">
            <w:pPr>
              <w:spacing w:before="0" w:after="0"/>
              <w:contextualSpacing w:val="0"/>
              <w:rPr>
                <w:sz w:val="28"/>
              </w:rPr>
            </w:pPr>
            <w:r w:rsidRPr="008630A2">
              <w:rPr>
                <w:sz w:val="28"/>
              </w:rPr>
              <w:t xml:space="preserve"> </w:t>
            </w:r>
          </w:p>
          <w:p w:rsidR="00F77D08" w:rsidRPr="008630A2" w:rsidRDefault="00F77D08" w:rsidP="00C5110D">
            <w:pPr>
              <w:spacing w:before="0" w:after="0"/>
              <w:contextualSpacing w:val="0"/>
              <w:rPr>
                <w:sz w:val="28"/>
              </w:rPr>
            </w:pPr>
          </w:p>
          <w:p w:rsidR="00F77D08" w:rsidRPr="00002F96" w:rsidRDefault="00F77D08" w:rsidP="00C5110D">
            <w:pPr>
              <w:spacing w:before="0" w:after="0"/>
              <w:contextualSpacing w:val="0"/>
              <w:rPr>
                <w:szCs w:val="24"/>
              </w:rPr>
            </w:pPr>
          </w:p>
          <w:p w:rsidR="00444145" w:rsidRDefault="00444145" w:rsidP="00F77D08">
            <w:pPr>
              <w:spacing w:before="0" w:after="0"/>
              <w:contextualSpacing w:val="0"/>
              <w:rPr>
                <w:sz w:val="28"/>
              </w:rPr>
            </w:pPr>
            <w:r>
              <w:rPr>
                <w:sz w:val="28"/>
              </w:rPr>
              <w:t xml:space="preserve">  </w:t>
            </w:r>
          </w:p>
          <w:p w:rsidR="00F77D08" w:rsidRPr="008630A2" w:rsidRDefault="00444145" w:rsidP="00F77D08">
            <w:pPr>
              <w:spacing w:before="0" w:after="0"/>
              <w:contextualSpacing w:val="0"/>
              <w:rPr>
                <w:sz w:val="28"/>
              </w:rPr>
            </w:pPr>
            <w:r>
              <w:rPr>
                <w:sz w:val="28"/>
              </w:rPr>
              <w:t xml:space="preserve">  </w:t>
            </w:r>
            <w:r w:rsidR="00F77D08" w:rsidRPr="008630A2">
              <w:rPr>
                <w:sz w:val="28"/>
              </w:rPr>
              <w:t xml:space="preserve">   </w:t>
            </w:r>
          </w:p>
          <w:p w:rsidR="00F77D08" w:rsidRPr="008630A2" w:rsidRDefault="00F77D08" w:rsidP="00F77D08">
            <w:pPr>
              <w:spacing w:before="0" w:after="0"/>
              <w:contextualSpacing w:val="0"/>
              <w:rPr>
                <w:sz w:val="28"/>
              </w:rPr>
            </w:pPr>
          </w:p>
          <w:p w:rsidR="00F77D08" w:rsidRPr="008630A2" w:rsidRDefault="00F77D08" w:rsidP="00F77D08">
            <w:pPr>
              <w:spacing w:before="0" w:after="0"/>
              <w:contextualSpacing w:val="0"/>
              <w:rPr>
                <w:sz w:val="28"/>
              </w:rPr>
            </w:pPr>
          </w:p>
          <w:p w:rsidR="00CE577D" w:rsidRPr="008630A2" w:rsidRDefault="00F77D08" w:rsidP="00F77D08">
            <w:pPr>
              <w:spacing w:before="0" w:after="0"/>
              <w:contextualSpacing w:val="0"/>
              <w:rPr>
                <w:sz w:val="28"/>
              </w:rPr>
            </w:pPr>
            <w:r w:rsidRPr="008630A2">
              <w:rPr>
                <w:sz w:val="28"/>
              </w:rPr>
              <w:t xml:space="preserve">                </w:t>
            </w:r>
          </w:p>
        </w:tc>
        <w:tc>
          <w:tcPr>
            <w:tcW w:w="284" w:type="dxa"/>
            <w:tcBorders>
              <w:top w:val="nil"/>
              <w:left w:val="nil"/>
              <w:bottom w:val="nil"/>
              <w:right w:val="nil"/>
            </w:tcBorders>
            <w:shd w:val="clear" w:color="auto" w:fill="auto"/>
          </w:tcPr>
          <w:p w:rsidR="00CE577D" w:rsidRPr="008630A2" w:rsidRDefault="00CE577D" w:rsidP="00946837">
            <w:pPr>
              <w:spacing w:before="0" w:after="0"/>
              <w:contextualSpacing w:val="0"/>
              <w:rPr>
                <w:sz w:val="28"/>
              </w:rPr>
            </w:pPr>
          </w:p>
        </w:tc>
        <w:tc>
          <w:tcPr>
            <w:tcW w:w="2625" w:type="dxa"/>
            <w:tcBorders>
              <w:top w:val="nil"/>
              <w:left w:val="nil"/>
              <w:bottom w:val="nil"/>
              <w:right w:val="nil"/>
            </w:tcBorders>
            <w:shd w:val="clear" w:color="auto" w:fill="auto"/>
          </w:tcPr>
          <w:p w:rsidR="00F77D08" w:rsidRPr="008630A2" w:rsidRDefault="00F77D08" w:rsidP="00946837">
            <w:pPr>
              <w:spacing w:before="0" w:after="0"/>
              <w:contextualSpacing w:val="0"/>
              <w:rPr>
                <w:sz w:val="28"/>
              </w:rPr>
            </w:pPr>
          </w:p>
          <w:p w:rsidR="00F77D08" w:rsidRPr="008630A2" w:rsidRDefault="00F77D08" w:rsidP="00946837">
            <w:pPr>
              <w:spacing w:before="0" w:after="0"/>
              <w:contextualSpacing w:val="0"/>
              <w:rPr>
                <w:sz w:val="28"/>
              </w:rPr>
            </w:pPr>
          </w:p>
          <w:p w:rsidR="00F77D08" w:rsidRPr="008630A2" w:rsidRDefault="00F77D08" w:rsidP="00946837">
            <w:pPr>
              <w:spacing w:before="0" w:after="0"/>
              <w:contextualSpacing w:val="0"/>
              <w:rPr>
                <w:sz w:val="28"/>
              </w:rPr>
            </w:pPr>
          </w:p>
          <w:p w:rsidR="00444145" w:rsidRPr="00002F96" w:rsidRDefault="00444145" w:rsidP="00946837">
            <w:pPr>
              <w:spacing w:before="0" w:after="0"/>
              <w:contextualSpacing w:val="0"/>
              <w:rPr>
                <w:szCs w:val="24"/>
              </w:rPr>
            </w:pPr>
          </w:p>
          <w:p w:rsidR="00CE577D" w:rsidRPr="008630A2" w:rsidRDefault="00CE577D" w:rsidP="00946837">
            <w:pPr>
              <w:spacing w:before="0" w:after="0"/>
              <w:contextualSpacing w:val="0"/>
              <w:rPr>
                <w:sz w:val="28"/>
              </w:rPr>
            </w:pPr>
          </w:p>
        </w:tc>
      </w:tr>
    </w:tbl>
    <w:tbl>
      <w:tblPr>
        <w:tblStyle w:val="a7"/>
        <w:tblpPr w:leftFromText="181" w:rightFromText="181" w:topFromText="170" w:horzAnchor="page" w:tblpX="1859" w:tblpY="56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CE577D" w:rsidRPr="008630A2" w:rsidTr="00946837">
        <w:trPr>
          <w:trHeight w:val="281"/>
        </w:trPr>
        <w:tc>
          <w:tcPr>
            <w:tcW w:w="4395" w:type="dxa"/>
          </w:tcPr>
          <w:tbl>
            <w:tblPr>
              <w:tblpPr w:leftFromText="180" w:rightFromText="180" w:vertAnchor="text" w:horzAnchor="margin"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9"/>
            </w:tblGrid>
            <w:tr w:rsidR="00CB75FF" w:rsidRPr="008630A2" w:rsidTr="00CB75FF">
              <w:trPr>
                <w:trHeight w:val="759"/>
              </w:trPr>
              <w:tc>
                <w:tcPr>
                  <w:tcW w:w="4179" w:type="dxa"/>
                  <w:tcBorders>
                    <w:top w:val="nil"/>
                    <w:left w:val="nil"/>
                    <w:bottom w:val="nil"/>
                    <w:right w:val="nil"/>
                  </w:tcBorders>
                </w:tcPr>
                <w:p w:rsidR="00CB75FF" w:rsidRPr="008630A2" w:rsidRDefault="007306C6" w:rsidP="00CB75FF">
                  <w:pPr>
                    <w:spacing w:before="0" w:after="0" w:line="240" w:lineRule="auto"/>
                    <w:contextualSpacing w:val="0"/>
                    <w:rPr>
                      <w:sz w:val="28"/>
                    </w:rPr>
                  </w:pPr>
                  <w:r w:rsidRPr="00AC46F4">
                    <w:rPr>
                      <w:rFonts w:eastAsia="Times New Roman"/>
                      <w:sz w:val="28"/>
                      <w:szCs w:val="20"/>
                      <w:lang w:eastAsia="ru-RU"/>
                    </w:rPr>
                    <w:t>Главные распорядители средств федерального бюджета</w:t>
                  </w:r>
                </w:p>
              </w:tc>
            </w:tr>
          </w:tbl>
          <w:p w:rsidR="00CE577D" w:rsidRPr="008630A2" w:rsidRDefault="0037113E" w:rsidP="00C5110D">
            <w:pPr>
              <w:spacing w:before="0" w:after="0"/>
              <w:ind w:left="-105" w:right="-308"/>
              <w:contextualSpacing w:val="0"/>
              <w:rPr>
                <w:sz w:val="28"/>
              </w:rPr>
            </w:pPr>
            <w:r w:rsidRPr="008630A2">
              <w:rPr>
                <w:sz w:val="28"/>
              </w:rPr>
              <w:tab/>
            </w:r>
          </w:p>
        </w:tc>
      </w:tr>
    </w:tbl>
    <w:p w:rsidR="00CE577D" w:rsidRPr="008630A2" w:rsidRDefault="00CE577D" w:rsidP="00CE577D">
      <w:pPr>
        <w:tabs>
          <w:tab w:val="left" w:pos="1323"/>
        </w:tabs>
      </w:pPr>
    </w:p>
    <w:p w:rsidR="00CE577D" w:rsidRPr="008630A2" w:rsidRDefault="00CE577D" w:rsidP="00CE577D"/>
    <w:p w:rsidR="00F77D08" w:rsidRPr="008630A2" w:rsidRDefault="00F77D08" w:rsidP="00BC6BB0">
      <w:pPr>
        <w:spacing w:before="0" w:after="0" w:line="240" w:lineRule="auto"/>
        <w:ind w:firstLine="709"/>
        <w:jc w:val="both"/>
        <w:rPr>
          <w:sz w:val="28"/>
        </w:rPr>
      </w:pPr>
    </w:p>
    <w:p w:rsidR="00630F8F" w:rsidRPr="00630F8F" w:rsidRDefault="00C5110D" w:rsidP="008D46E7">
      <w:pPr>
        <w:spacing w:line="240" w:lineRule="auto"/>
        <w:ind w:firstLine="709"/>
        <w:jc w:val="both"/>
        <w:rPr>
          <w:sz w:val="28"/>
        </w:rPr>
      </w:pPr>
      <w:r w:rsidRPr="00630F8F">
        <w:rPr>
          <w:sz w:val="28"/>
        </w:rPr>
        <w:t xml:space="preserve">Министерство </w:t>
      </w:r>
      <w:r w:rsidR="00D66931" w:rsidRPr="00630F8F">
        <w:rPr>
          <w:sz w:val="28"/>
        </w:rPr>
        <w:t>финансов Российской Федерации</w:t>
      </w:r>
      <w:r w:rsidR="004B524B" w:rsidRPr="00630F8F">
        <w:rPr>
          <w:sz w:val="28"/>
        </w:rPr>
        <w:t xml:space="preserve"> </w:t>
      </w:r>
      <w:r w:rsidR="007D6168" w:rsidRPr="00630F8F">
        <w:rPr>
          <w:sz w:val="28"/>
        </w:rPr>
        <w:t>направляет разъяснения по порядку</w:t>
      </w:r>
      <w:r w:rsidR="00630F8F">
        <w:rPr>
          <w:sz w:val="28"/>
        </w:rPr>
        <w:t xml:space="preserve"> </w:t>
      </w:r>
      <w:r w:rsidR="00630F8F" w:rsidRPr="00630F8F">
        <w:rPr>
          <w:sz w:val="28"/>
        </w:rPr>
        <w:t xml:space="preserve">формирования кодов и наименований направлений расходов, применяемых в целевых статьях расходов бюджета субъекта Российской Федерации на исполнение расходных обязательств субъекта Российской Федерации, в целях </w:t>
      </w:r>
      <w:proofErr w:type="spellStart"/>
      <w:r w:rsidR="00630F8F" w:rsidRPr="00630F8F">
        <w:rPr>
          <w:sz w:val="28"/>
        </w:rPr>
        <w:t>софинансирования</w:t>
      </w:r>
      <w:proofErr w:type="spellEnd"/>
      <w:r w:rsidR="00630F8F" w:rsidRPr="00630F8F">
        <w:rPr>
          <w:sz w:val="28"/>
        </w:rPr>
        <w:t xml:space="preserve"> которых предоставляю</w:t>
      </w:r>
      <w:r w:rsidR="00630F8F">
        <w:rPr>
          <w:sz w:val="28"/>
        </w:rPr>
        <w:t>тся межбюджетные трансферты</w:t>
      </w:r>
      <w:r w:rsidR="008D46E7">
        <w:rPr>
          <w:sz w:val="28"/>
        </w:rPr>
        <w:t xml:space="preserve"> из федерального бюджета, а также их отражения в соглашениях о предоставлении межбюджетных трансфертов.</w:t>
      </w:r>
    </w:p>
    <w:p w:rsidR="009209D7" w:rsidRDefault="00E00372" w:rsidP="009209D7">
      <w:pPr>
        <w:spacing w:line="240" w:lineRule="auto"/>
        <w:ind w:firstLine="709"/>
        <w:jc w:val="both"/>
        <w:rPr>
          <w:sz w:val="28"/>
        </w:rPr>
      </w:pPr>
      <w:r w:rsidRPr="0054015C">
        <w:rPr>
          <w:color w:val="000000"/>
          <w:sz w:val="28"/>
          <w:lang w:bidi="ru-RU"/>
        </w:rPr>
        <w:t xml:space="preserve">Пунктом 4 статьи 21 </w:t>
      </w:r>
      <w:r w:rsidRPr="0054015C">
        <w:rPr>
          <w:sz w:val="28"/>
        </w:rPr>
        <w:t xml:space="preserve">Бюджетного кодекса Российской Федерации                      </w:t>
      </w:r>
      <w:proofErr w:type="gramStart"/>
      <w:r w:rsidRPr="0054015C">
        <w:rPr>
          <w:sz w:val="28"/>
        </w:rPr>
        <w:t xml:space="preserve">   (</w:t>
      </w:r>
      <w:proofErr w:type="gramEnd"/>
      <w:r w:rsidRPr="0054015C">
        <w:rPr>
          <w:sz w:val="28"/>
        </w:rPr>
        <w:t>далее – Кодекс) установлено, что п</w:t>
      </w:r>
      <w:r w:rsidRPr="0054015C">
        <w:rPr>
          <w:color w:val="000000"/>
          <w:sz w:val="28"/>
          <w:lang w:bidi="ru-RU"/>
        </w:rPr>
        <w:t xml:space="preserve">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Кодексом. </w:t>
      </w:r>
      <w:r w:rsidRPr="0054015C">
        <w:rPr>
          <w:sz w:val="28"/>
        </w:rPr>
        <w:t xml:space="preserve">Перечень и коды целевых статей расходов бюджетов, финансовое обеспечение которых осуществляется за счет </w:t>
      </w:r>
      <w:r>
        <w:rPr>
          <w:sz w:val="28"/>
        </w:rPr>
        <w:t xml:space="preserve">целевых </w:t>
      </w:r>
      <w:r w:rsidRPr="0054015C">
        <w:rPr>
          <w:sz w:val="28"/>
        </w:rPr>
        <w:t xml:space="preserve">межбюджетных </w:t>
      </w:r>
      <w:r>
        <w:rPr>
          <w:sz w:val="28"/>
        </w:rPr>
        <w:t>трансфертов</w:t>
      </w:r>
      <w:r w:rsidRPr="0054015C">
        <w:rPr>
          <w:sz w:val="28"/>
        </w:rPr>
        <w:t xml:space="preserve">,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w:t>
      </w:r>
      <w:r>
        <w:rPr>
          <w:sz w:val="28"/>
        </w:rPr>
        <w:t>межбюджетные трансферты</w:t>
      </w:r>
      <w:r w:rsidRPr="0054015C">
        <w:rPr>
          <w:sz w:val="28"/>
        </w:rPr>
        <w:t>.</w:t>
      </w:r>
    </w:p>
    <w:p w:rsidR="00AF6774" w:rsidRDefault="00E00372" w:rsidP="00AF6774">
      <w:pPr>
        <w:spacing w:line="240" w:lineRule="auto"/>
        <w:ind w:firstLine="709"/>
        <w:jc w:val="both"/>
        <w:rPr>
          <w:sz w:val="28"/>
        </w:rPr>
      </w:pPr>
      <w:r>
        <w:rPr>
          <w:color w:val="000000" w:themeColor="text1"/>
          <w:sz w:val="28"/>
        </w:rPr>
        <w:t xml:space="preserve">Согласно пунктам 24 и 45 Порядка </w:t>
      </w:r>
      <w:r w:rsidRPr="003D4927">
        <w:rPr>
          <w:color w:val="000000" w:themeColor="text1"/>
          <w:sz w:val="28"/>
        </w:rPr>
        <w:t>формирования и применения кодов бюджетной классификации Российской Федерации, их структур</w:t>
      </w:r>
      <w:r>
        <w:rPr>
          <w:color w:val="000000" w:themeColor="text1"/>
          <w:sz w:val="28"/>
        </w:rPr>
        <w:t>ы</w:t>
      </w:r>
      <w:r w:rsidRPr="003D4927">
        <w:rPr>
          <w:color w:val="000000" w:themeColor="text1"/>
          <w:sz w:val="28"/>
        </w:rPr>
        <w:t xml:space="preserve"> и принцип</w:t>
      </w:r>
      <w:r>
        <w:rPr>
          <w:color w:val="000000" w:themeColor="text1"/>
          <w:sz w:val="28"/>
        </w:rPr>
        <w:t>ов</w:t>
      </w:r>
      <w:r w:rsidRPr="003D4927">
        <w:rPr>
          <w:color w:val="000000" w:themeColor="text1"/>
          <w:sz w:val="28"/>
        </w:rPr>
        <w:t xml:space="preserve"> назначения, утвержденны</w:t>
      </w:r>
      <w:r>
        <w:rPr>
          <w:color w:val="000000" w:themeColor="text1"/>
          <w:sz w:val="28"/>
        </w:rPr>
        <w:t>х</w:t>
      </w:r>
      <w:r w:rsidRPr="003D4927">
        <w:rPr>
          <w:color w:val="000000" w:themeColor="text1"/>
          <w:sz w:val="28"/>
        </w:rPr>
        <w:t xml:space="preserve"> приказом Министерства финансов Российской Федерации </w:t>
      </w:r>
      <w:r>
        <w:rPr>
          <w:color w:val="000000" w:themeColor="text1"/>
          <w:sz w:val="28"/>
        </w:rPr>
        <w:t xml:space="preserve">от 24 мая 2022 г. № 82н (далее - Порядок № 82н), для отражения </w:t>
      </w:r>
      <w:r>
        <w:rPr>
          <w:sz w:val="28"/>
        </w:rPr>
        <w:t>расходов бюджетов субъектов Российской Федерации</w:t>
      </w:r>
      <w:r w:rsidR="00AC25E8">
        <w:rPr>
          <w:sz w:val="28"/>
        </w:rPr>
        <w:t xml:space="preserve">, в том числе </w:t>
      </w:r>
      <w:r w:rsidR="00AC25E8" w:rsidRPr="00AC25E8">
        <w:rPr>
          <w:sz w:val="28"/>
        </w:rPr>
        <w:t xml:space="preserve">на реализацию региональных проектов, направленных на достижение соответствующих мероприятий (результатов) федеральных проектов, входящих в состав национальных проектов (программы) или </w:t>
      </w:r>
      <w:r w:rsidR="00AC25E8">
        <w:rPr>
          <w:sz w:val="28"/>
        </w:rPr>
        <w:t>к</w:t>
      </w:r>
      <w:r w:rsidR="00AC25E8" w:rsidRPr="00AC25E8">
        <w:rPr>
          <w:sz w:val="28"/>
        </w:rPr>
        <w:t>омплексного плана</w:t>
      </w:r>
      <w:r w:rsidR="00AC25E8">
        <w:rPr>
          <w:sz w:val="28"/>
        </w:rPr>
        <w:t xml:space="preserve"> </w:t>
      </w:r>
      <w:r w:rsidR="00AC25E8" w:rsidRPr="00AC25E8">
        <w:rPr>
          <w:sz w:val="28"/>
        </w:rPr>
        <w:t>модернизации и расширения магистральной инфраструктуры</w:t>
      </w:r>
      <w:r>
        <w:rPr>
          <w:sz w:val="28"/>
        </w:rPr>
        <w:t xml:space="preserve">, в целях </w:t>
      </w:r>
      <w:proofErr w:type="spellStart"/>
      <w:r>
        <w:rPr>
          <w:sz w:val="28"/>
        </w:rPr>
        <w:t>софинансирования</w:t>
      </w:r>
      <w:proofErr w:type="spellEnd"/>
      <w:r>
        <w:rPr>
          <w:sz w:val="28"/>
        </w:rPr>
        <w:t xml:space="preserve"> (финансового обеспечения)</w:t>
      </w:r>
      <w:r w:rsidR="009209D7">
        <w:rPr>
          <w:sz w:val="28"/>
        </w:rPr>
        <w:t xml:space="preserve"> </w:t>
      </w:r>
      <w:r>
        <w:rPr>
          <w:sz w:val="28"/>
        </w:rPr>
        <w:t xml:space="preserve">которых бюджетам субъектов Российской Федерации предоставляются из федерального бюджета межбюджетные трансферты, применяются коды направлений расходов, содержащие значения </w:t>
      </w:r>
      <w:r w:rsidRPr="003D1DA9">
        <w:rPr>
          <w:color w:val="000000"/>
          <w:sz w:val="28"/>
          <w:lang w:bidi="ru-RU"/>
        </w:rPr>
        <w:t xml:space="preserve">50000 </w:t>
      </w:r>
      <w:r>
        <w:rPr>
          <w:color w:val="000000"/>
          <w:sz w:val="28"/>
          <w:lang w:bidi="ru-RU"/>
        </w:rPr>
        <w:t>–</w:t>
      </w:r>
      <w:r w:rsidRPr="003D1DA9">
        <w:rPr>
          <w:color w:val="000000"/>
          <w:sz w:val="28"/>
          <w:lang w:bidi="ru-RU"/>
        </w:rPr>
        <w:t xml:space="preserve"> 59990</w:t>
      </w:r>
      <w:r>
        <w:rPr>
          <w:color w:val="000000"/>
          <w:sz w:val="28"/>
          <w:lang w:bidi="ru-RU"/>
        </w:rPr>
        <w:t xml:space="preserve">, </w:t>
      </w:r>
      <w:r>
        <w:rPr>
          <w:sz w:val="28"/>
        </w:rPr>
        <w:t>R0000 - R9990.</w:t>
      </w:r>
    </w:p>
    <w:p w:rsidR="00CE1577" w:rsidRDefault="00CE1577" w:rsidP="00AF6774">
      <w:pPr>
        <w:spacing w:line="240" w:lineRule="auto"/>
        <w:ind w:firstLine="709"/>
        <w:jc w:val="both"/>
        <w:rPr>
          <w:sz w:val="28"/>
        </w:rPr>
      </w:pPr>
    </w:p>
    <w:p w:rsidR="008F79BB" w:rsidRDefault="00AF6774" w:rsidP="008F79BB">
      <w:pPr>
        <w:spacing w:line="240" w:lineRule="auto"/>
        <w:ind w:firstLine="709"/>
        <w:jc w:val="both"/>
        <w:rPr>
          <w:sz w:val="28"/>
        </w:rPr>
      </w:pPr>
      <w:r>
        <w:rPr>
          <w:sz w:val="28"/>
        </w:rPr>
        <w:lastRenderedPageBreak/>
        <w:t>На основании вышеуказанных пунктов Порядка № 82н финансовый орган субъекта Российской Федерации вправе установить необходимую детализацию пятого разряда, содержащего значение "0", вышеуказанных кодов направлений расходов.</w:t>
      </w:r>
    </w:p>
    <w:p w:rsidR="008F79BB" w:rsidRDefault="006407FB" w:rsidP="008F79BB">
      <w:pPr>
        <w:spacing w:line="240" w:lineRule="auto"/>
        <w:ind w:firstLine="709"/>
        <w:jc w:val="both"/>
        <w:rPr>
          <w:sz w:val="28"/>
        </w:rPr>
      </w:pPr>
      <w:r>
        <w:rPr>
          <w:color w:val="000000"/>
          <w:sz w:val="28"/>
          <w:lang w:bidi="ru-RU"/>
        </w:rPr>
        <w:t>Обращаем внимание на то, что в соответствии с пунктами 24</w:t>
      </w:r>
      <w:r>
        <w:rPr>
          <w:color w:val="000000"/>
          <w:sz w:val="28"/>
          <w:vertAlign w:val="superscript"/>
          <w:lang w:bidi="ru-RU"/>
        </w:rPr>
        <w:t>1</w:t>
      </w:r>
      <w:r>
        <w:rPr>
          <w:color w:val="000000"/>
          <w:sz w:val="28"/>
          <w:lang w:bidi="ru-RU"/>
        </w:rPr>
        <w:t xml:space="preserve"> и 44 Порядка № 82н </w:t>
      </w:r>
      <w:r>
        <w:rPr>
          <w:sz w:val="28"/>
        </w:rPr>
        <w:t xml:space="preserve">финансовый орган субъекта Российской Федерации </w:t>
      </w:r>
      <w:r w:rsidRPr="006407FB">
        <w:rPr>
          <w:sz w:val="28"/>
        </w:rPr>
        <w:t>присваивает обособленное направление расходов (обособленные направления расходов) либо обособленную целевую статью (обособленные целевые статьи) в целях реализации каждого мероприятия (результата) структурного элемента (регионального проекта, ведомственного проекта, иного проекта) проектных частей государственных программ субъекта Российской Федерации за исключением мероприятий (результатов), источником финансового обеспечения реализации которых является консолидированная субсидия либо межбюджетный трансферт, предоставленный из федерального бюджета по коду направления расходов, в пятом разряде которого содержится значение "R", "F"</w:t>
      </w:r>
      <w:r w:rsidR="008F79BB">
        <w:rPr>
          <w:sz w:val="28"/>
        </w:rPr>
        <w:t xml:space="preserve"> или иное буквенное значение.</w:t>
      </w:r>
      <w:r w:rsidR="008F79BB" w:rsidRPr="008F79BB">
        <w:rPr>
          <w:sz w:val="28"/>
        </w:rPr>
        <w:t xml:space="preserve"> </w:t>
      </w:r>
    </w:p>
    <w:p w:rsidR="00AF6774" w:rsidRDefault="00AF6774" w:rsidP="00AF6774">
      <w:pPr>
        <w:spacing w:line="240" w:lineRule="auto"/>
        <w:ind w:firstLine="709"/>
        <w:jc w:val="both"/>
        <w:rPr>
          <w:sz w:val="28"/>
        </w:rPr>
      </w:pPr>
      <w:r>
        <w:rPr>
          <w:color w:val="000000"/>
          <w:sz w:val="28"/>
          <w:lang w:bidi="ru-RU"/>
        </w:rPr>
        <w:t>В</w:t>
      </w:r>
      <w:r w:rsidRPr="00025A7E">
        <w:rPr>
          <w:color w:val="000000"/>
          <w:sz w:val="28"/>
          <w:lang w:bidi="ru-RU"/>
        </w:rPr>
        <w:t xml:space="preserve"> приложении к соглашению</w:t>
      </w:r>
      <w:r>
        <w:rPr>
          <w:rStyle w:val="af"/>
          <w:color w:val="000000"/>
          <w:sz w:val="28"/>
          <w:lang w:bidi="ru-RU"/>
        </w:rPr>
        <w:footnoteReference w:id="1"/>
      </w:r>
      <w:r w:rsidRPr="00025A7E">
        <w:rPr>
          <w:color w:val="000000"/>
          <w:sz w:val="28"/>
          <w:lang w:bidi="ru-RU"/>
        </w:rPr>
        <w:t xml:space="preserve"> о предоставлении </w:t>
      </w:r>
      <w:r>
        <w:rPr>
          <w:sz w:val="28"/>
        </w:rPr>
        <w:t xml:space="preserve">межбюджетных трансфертов </w:t>
      </w:r>
      <w:r w:rsidRPr="00025A7E">
        <w:rPr>
          <w:color w:val="000000"/>
          <w:sz w:val="28"/>
          <w:lang w:bidi="ru-RU"/>
        </w:rPr>
        <w:t xml:space="preserve">из федерального бюджета бюджету субъекта Российской Федерации </w:t>
      </w:r>
      <w:r>
        <w:rPr>
          <w:sz w:val="28"/>
        </w:rPr>
        <w:t>указывается наименование направления расходов целевой статьи расходов бюджета субъекта Российской Федерации и соответствующий ему код (13 - 17 разряды кода классификации расходов бюджетов).</w:t>
      </w:r>
    </w:p>
    <w:p w:rsidR="004A5914" w:rsidRDefault="00AF6774" w:rsidP="004A5914">
      <w:pPr>
        <w:spacing w:line="240" w:lineRule="auto"/>
        <w:ind w:firstLine="709"/>
        <w:jc w:val="both"/>
        <w:rPr>
          <w:color w:val="000000"/>
          <w:sz w:val="28"/>
          <w:lang w:bidi="ru-RU"/>
        </w:rPr>
      </w:pPr>
      <w:r>
        <w:rPr>
          <w:sz w:val="28"/>
        </w:rPr>
        <w:t xml:space="preserve">В этой связи </w:t>
      </w:r>
      <w:r w:rsidRPr="003D1DA9">
        <w:rPr>
          <w:sz w:val="28"/>
        </w:rPr>
        <w:t xml:space="preserve">при </w:t>
      </w:r>
      <w:r w:rsidRPr="003D1DA9">
        <w:rPr>
          <w:color w:val="000000"/>
          <w:sz w:val="28"/>
          <w:lang w:bidi="ru-RU"/>
        </w:rPr>
        <w:t xml:space="preserve">заключении соглашения о предоставлении </w:t>
      </w:r>
      <w:r>
        <w:rPr>
          <w:sz w:val="28"/>
        </w:rPr>
        <w:t xml:space="preserve">межбюджетных трансфертов </w:t>
      </w:r>
      <w:r w:rsidRPr="003D1DA9">
        <w:rPr>
          <w:color w:val="000000"/>
          <w:sz w:val="28"/>
          <w:lang w:bidi="ru-RU"/>
        </w:rPr>
        <w:t>из федерального бюджета бюджету субъекта Российской Федерации</w:t>
      </w:r>
      <w:r w:rsidRPr="00583681">
        <w:rPr>
          <w:color w:val="000000"/>
          <w:sz w:val="28"/>
          <w:lang w:bidi="ru-RU"/>
        </w:rPr>
        <w:t xml:space="preserve"> </w:t>
      </w:r>
      <w:r w:rsidRPr="003D1DA9">
        <w:rPr>
          <w:color w:val="000000"/>
          <w:sz w:val="28"/>
          <w:lang w:bidi="ru-RU"/>
        </w:rPr>
        <w:t xml:space="preserve">следует указывать </w:t>
      </w:r>
      <w:r>
        <w:rPr>
          <w:color w:val="000000"/>
          <w:sz w:val="28"/>
          <w:lang w:bidi="ru-RU"/>
        </w:rPr>
        <w:t>в приложении к нему</w:t>
      </w:r>
      <w:r w:rsidRPr="003D1DA9">
        <w:rPr>
          <w:color w:val="000000"/>
          <w:sz w:val="28"/>
          <w:lang w:bidi="ru-RU"/>
        </w:rPr>
        <w:t xml:space="preserve"> коды и наименования направлений расходов, определенные финансовым органо</w:t>
      </w:r>
      <w:r>
        <w:rPr>
          <w:color w:val="000000"/>
          <w:sz w:val="28"/>
          <w:lang w:bidi="ru-RU"/>
        </w:rPr>
        <w:t>м субъекта Российской Федерации, в том числе коды направлений расходов, детализированные в пятом разряде.</w:t>
      </w:r>
    </w:p>
    <w:p w:rsidR="00CE1577" w:rsidRDefault="00CE1577" w:rsidP="007D6168">
      <w:pPr>
        <w:pStyle w:val="a5"/>
        <w:spacing w:before="0"/>
        <w:jc w:val="right"/>
        <w:rPr>
          <w:sz w:val="28"/>
        </w:rPr>
      </w:pPr>
    </w:p>
    <w:p w:rsidR="00CE1577" w:rsidRDefault="00CE1577" w:rsidP="007D6168">
      <w:pPr>
        <w:pStyle w:val="a5"/>
        <w:spacing w:before="0"/>
        <w:jc w:val="right"/>
        <w:rPr>
          <w:sz w:val="28"/>
        </w:rPr>
      </w:pPr>
    </w:p>
    <w:p w:rsidR="004B524B" w:rsidRPr="007D6168" w:rsidRDefault="001E404A" w:rsidP="007D6168">
      <w:pPr>
        <w:pStyle w:val="a5"/>
        <w:spacing w:before="0"/>
        <w:jc w:val="right"/>
        <w:rPr>
          <w:sz w:val="28"/>
        </w:rPr>
      </w:pPr>
      <w:r>
        <w:rPr>
          <w:sz w:val="28"/>
        </w:rPr>
        <w:t>А</w:t>
      </w:r>
      <w:r w:rsidR="00AB2D55">
        <w:rPr>
          <w:sz w:val="28"/>
        </w:rPr>
        <w:t>.</w:t>
      </w:r>
      <w:r>
        <w:rPr>
          <w:sz w:val="28"/>
        </w:rPr>
        <w:t>М</w:t>
      </w:r>
      <w:r w:rsidR="005C20A9" w:rsidRPr="008630A2">
        <w:rPr>
          <w:sz w:val="28"/>
        </w:rPr>
        <w:t xml:space="preserve">. </w:t>
      </w:r>
      <w:r>
        <w:rPr>
          <w:sz w:val="28"/>
        </w:rPr>
        <w:t>Лавров</w:t>
      </w:r>
    </w:p>
    <w:p w:rsidR="004B524B" w:rsidRDefault="004B524B" w:rsidP="00775ED5">
      <w:pPr>
        <w:pStyle w:val="a5"/>
        <w:spacing w:before="0"/>
        <w:rPr>
          <w:sz w:val="20"/>
          <w:szCs w:val="20"/>
        </w:rPr>
      </w:pPr>
    </w:p>
    <w:p w:rsidR="004B524B" w:rsidRDefault="004B524B" w:rsidP="00775ED5">
      <w:pPr>
        <w:pStyle w:val="a5"/>
        <w:spacing w:before="0"/>
        <w:rPr>
          <w:sz w:val="20"/>
          <w:szCs w:val="20"/>
        </w:rPr>
      </w:pPr>
    </w:p>
    <w:p w:rsidR="004B524B" w:rsidRDefault="004B524B" w:rsidP="00775ED5">
      <w:pPr>
        <w:pStyle w:val="a5"/>
        <w:spacing w:before="0"/>
        <w:rPr>
          <w:sz w:val="20"/>
          <w:szCs w:val="20"/>
        </w:rPr>
      </w:pPr>
    </w:p>
    <w:p w:rsidR="004B524B" w:rsidRDefault="004B524B" w:rsidP="00775ED5">
      <w:pPr>
        <w:pStyle w:val="a5"/>
        <w:spacing w:before="0"/>
        <w:rPr>
          <w:sz w:val="20"/>
          <w:szCs w:val="20"/>
        </w:rPr>
      </w:pPr>
    </w:p>
    <w:p w:rsidR="004B524B" w:rsidRDefault="004B524B" w:rsidP="00775ED5">
      <w:pPr>
        <w:pStyle w:val="a5"/>
        <w:spacing w:before="0"/>
        <w:rPr>
          <w:sz w:val="20"/>
          <w:szCs w:val="20"/>
        </w:rPr>
      </w:pPr>
    </w:p>
    <w:p w:rsidR="00902FE6" w:rsidRDefault="00902FE6" w:rsidP="00775ED5">
      <w:pPr>
        <w:pStyle w:val="a5"/>
        <w:spacing w:before="0"/>
        <w:rPr>
          <w:sz w:val="20"/>
          <w:szCs w:val="20"/>
        </w:rPr>
      </w:pPr>
    </w:p>
    <w:p w:rsidR="0069170B" w:rsidRDefault="0069170B" w:rsidP="00775ED5">
      <w:pPr>
        <w:pStyle w:val="a5"/>
        <w:spacing w:before="0"/>
        <w:rPr>
          <w:sz w:val="20"/>
          <w:szCs w:val="20"/>
        </w:rPr>
      </w:pPr>
    </w:p>
    <w:p w:rsidR="004A5914" w:rsidRDefault="004A5914" w:rsidP="009209D7">
      <w:pPr>
        <w:pStyle w:val="a5"/>
        <w:rPr>
          <w:sz w:val="20"/>
          <w:szCs w:val="20"/>
        </w:rPr>
      </w:pPr>
    </w:p>
    <w:p w:rsidR="004A5914" w:rsidRDefault="004A5914" w:rsidP="009209D7">
      <w:pPr>
        <w:pStyle w:val="a5"/>
        <w:rPr>
          <w:sz w:val="16"/>
          <w:szCs w:val="16"/>
        </w:rPr>
      </w:pPr>
    </w:p>
    <w:p w:rsidR="004A5914" w:rsidRDefault="004A5914" w:rsidP="009209D7">
      <w:pPr>
        <w:pStyle w:val="a5"/>
        <w:rPr>
          <w:sz w:val="16"/>
          <w:szCs w:val="16"/>
        </w:rPr>
      </w:pPr>
    </w:p>
    <w:p w:rsidR="004A5914" w:rsidRDefault="004A5914" w:rsidP="009209D7">
      <w:pPr>
        <w:pStyle w:val="a5"/>
        <w:rPr>
          <w:sz w:val="16"/>
          <w:szCs w:val="16"/>
        </w:rPr>
      </w:pPr>
    </w:p>
    <w:p w:rsidR="004A5914" w:rsidRDefault="004A5914" w:rsidP="009209D7">
      <w:pPr>
        <w:pStyle w:val="a5"/>
        <w:rPr>
          <w:sz w:val="16"/>
          <w:szCs w:val="16"/>
        </w:rPr>
      </w:pPr>
      <w:bookmarkStart w:id="0" w:name="_GoBack"/>
      <w:bookmarkEnd w:id="0"/>
    </w:p>
    <w:sectPr w:rsidR="004A5914" w:rsidSect="00CE1577">
      <w:headerReference w:type="default" r:id="rId8"/>
      <w:pgSz w:w="11906" w:h="16838"/>
      <w:pgMar w:top="567"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908" w:rsidRDefault="006E4908" w:rsidP="00041E4A">
      <w:pPr>
        <w:spacing w:after="0" w:line="240" w:lineRule="auto"/>
      </w:pPr>
      <w:r>
        <w:separator/>
      </w:r>
    </w:p>
  </w:endnote>
  <w:endnote w:type="continuationSeparator" w:id="0">
    <w:p w:rsidR="006E4908" w:rsidRDefault="006E4908"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908" w:rsidRDefault="006E4908" w:rsidP="00041E4A">
      <w:pPr>
        <w:spacing w:after="0" w:line="240" w:lineRule="auto"/>
      </w:pPr>
      <w:r>
        <w:separator/>
      </w:r>
    </w:p>
  </w:footnote>
  <w:footnote w:type="continuationSeparator" w:id="0">
    <w:p w:rsidR="006E4908" w:rsidRDefault="006E4908" w:rsidP="00041E4A">
      <w:pPr>
        <w:spacing w:after="0" w:line="240" w:lineRule="auto"/>
      </w:pPr>
      <w:r>
        <w:continuationSeparator/>
      </w:r>
    </w:p>
  </w:footnote>
  <w:footnote w:id="1">
    <w:p w:rsidR="00AF6774" w:rsidRDefault="00AF6774" w:rsidP="00AF6774">
      <w:pPr>
        <w:pStyle w:val="ad"/>
        <w:jc w:val="both"/>
        <w:rPr>
          <w:color w:val="000000"/>
          <w:lang w:bidi="ru-RU"/>
        </w:rPr>
      </w:pPr>
      <w:r>
        <w:rPr>
          <w:rStyle w:val="af"/>
        </w:rPr>
        <w:footnoteRef/>
      </w:r>
      <w:r>
        <w:t xml:space="preserve"> </w:t>
      </w:r>
      <w:r>
        <w:rPr>
          <w:color w:val="000000"/>
          <w:lang w:bidi="ru-RU"/>
        </w:rPr>
        <w:t>Сноска</w:t>
      </w:r>
      <w:r w:rsidRPr="008751FC">
        <w:rPr>
          <w:color w:val="000000"/>
          <w:lang w:bidi="ru-RU"/>
        </w:rPr>
        <w:t xml:space="preserve"> </w:t>
      </w:r>
      <w:r w:rsidRPr="008751FC">
        <w:t xml:space="preserve">"3" приложений № 1 </w:t>
      </w:r>
      <w:r w:rsidRPr="008751FC">
        <w:rPr>
          <w:color w:val="000000"/>
          <w:lang w:bidi="ru-RU"/>
        </w:rPr>
        <w:t xml:space="preserve">к Типовой форме </w:t>
      </w:r>
      <w:r w:rsidRPr="008751FC">
        <w:t xml:space="preserve">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w:t>
      </w:r>
      <w:r w:rsidRPr="008751FC">
        <w:rPr>
          <w:color w:val="000000"/>
          <w:lang w:bidi="ru-RU"/>
        </w:rPr>
        <w:t>утвержденной приказом Министерства финансов Российской Федерации от 14 декабря 2018 г. № 270н</w:t>
      </w:r>
      <w:r>
        <w:rPr>
          <w:color w:val="000000"/>
          <w:lang w:bidi="ru-RU"/>
        </w:rPr>
        <w:t xml:space="preserve">, </w:t>
      </w:r>
      <w:r w:rsidRPr="008751FC">
        <w:rPr>
          <w:color w:val="000000"/>
          <w:lang w:bidi="ru-RU"/>
        </w:rPr>
        <w:t>к Типовой форме соглашения о предоставлении субсидии из федерального бюджета бюджету субъекта Российской Федерации, утвержденной приказом Министерства финансов Российской Федерации</w:t>
      </w:r>
      <w:r>
        <w:rPr>
          <w:color w:val="000000"/>
          <w:lang w:bidi="ru-RU"/>
        </w:rPr>
        <w:t xml:space="preserve"> </w:t>
      </w:r>
      <w:r w:rsidRPr="008751FC">
        <w:rPr>
          <w:color w:val="000000"/>
          <w:lang w:bidi="ru-RU"/>
        </w:rPr>
        <w:t xml:space="preserve">от 14 декабря 2018 г. </w:t>
      </w:r>
      <w:r>
        <w:rPr>
          <w:color w:val="000000"/>
          <w:lang w:bidi="ru-RU"/>
        </w:rPr>
        <w:br/>
      </w:r>
      <w:r w:rsidRPr="008751FC">
        <w:rPr>
          <w:color w:val="000000"/>
          <w:lang w:bidi="ru-RU"/>
        </w:rPr>
        <w:t>№ 269н</w:t>
      </w:r>
      <w:r>
        <w:rPr>
          <w:color w:val="000000"/>
          <w:lang w:bidi="ru-RU"/>
        </w:rPr>
        <w:t>.</w:t>
      </w:r>
    </w:p>
    <w:p w:rsidR="00CE1577" w:rsidRPr="00CE1577" w:rsidRDefault="00CE1577" w:rsidP="00CE1577">
      <w:pPr>
        <w:pStyle w:val="a5"/>
        <w:rPr>
          <w:sz w:val="28"/>
        </w:rPr>
      </w:pPr>
      <w:r w:rsidRPr="00C21538">
        <w:rPr>
          <w:sz w:val="16"/>
          <w:szCs w:val="16"/>
        </w:rPr>
        <w:t xml:space="preserve">Исп.: </w:t>
      </w:r>
      <w:r>
        <w:rPr>
          <w:sz w:val="16"/>
          <w:szCs w:val="16"/>
        </w:rPr>
        <w:t>Оненова Б.О., тел.:983-38-83 (023</w:t>
      </w:r>
      <w:r w:rsidRPr="00C21538">
        <w:rPr>
          <w:sz w:val="16"/>
          <w:szCs w:val="16"/>
        </w:rPr>
        <w:t>5)</w:t>
      </w:r>
    </w:p>
    <w:p w:rsidR="00CE1577" w:rsidRDefault="00CE1577" w:rsidP="00AF6774">
      <w:pPr>
        <w:pStyle w:val="ad"/>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068739"/>
      <w:docPartObj>
        <w:docPartGallery w:val="Page Numbers (Top of Page)"/>
        <w:docPartUnique/>
      </w:docPartObj>
    </w:sdtPr>
    <w:sdtEndPr>
      <w:rPr>
        <w:sz w:val="20"/>
        <w:szCs w:val="20"/>
      </w:rPr>
    </w:sdtEndPr>
    <w:sdtContent>
      <w:p w:rsidR="00483DD0" w:rsidRPr="00483DD0" w:rsidRDefault="00483DD0">
        <w:pPr>
          <w:pStyle w:val="a3"/>
          <w:jc w:val="center"/>
          <w:rPr>
            <w:sz w:val="20"/>
            <w:szCs w:val="20"/>
          </w:rPr>
        </w:pPr>
        <w:r w:rsidRPr="00483DD0">
          <w:rPr>
            <w:sz w:val="20"/>
            <w:szCs w:val="20"/>
          </w:rPr>
          <w:fldChar w:fldCharType="begin"/>
        </w:r>
        <w:r w:rsidRPr="00483DD0">
          <w:rPr>
            <w:sz w:val="20"/>
            <w:szCs w:val="20"/>
          </w:rPr>
          <w:instrText>PAGE   \* MERGEFORMAT</w:instrText>
        </w:r>
        <w:r w:rsidRPr="00483DD0">
          <w:rPr>
            <w:sz w:val="20"/>
            <w:szCs w:val="20"/>
          </w:rPr>
          <w:fldChar w:fldCharType="separate"/>
        </w:r>
        <w:r w:rsidR="008F79BB">
          <w:rPr>
            <w:noProof/>
            <w:sz w:val="20"/>
            <w:szCs w:val="20"/>
          </w:rPr>
          <w:t>2</w:t>
        </w:r>
        <w:r w:rsidRPr="00483DD0">
          <w:rPr>
            <w:sz w:val="20"/>
            <w:szCs w:val="20"/>
          </w:rPr>
          <w:fldChar w:fldCharType="end"/>
        </w:r>
      </w:p>
    </w:sdtContent>
  </w:sdt>
  <w:p w:rsidR="00483DD0" w:rsidRDefault="00483D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C6F12"/>
    <w:multiLevelType w:val="hybridMultilevel"/>
    <w:tmpl w:val="5DAAA242"/>
    <w:lvl w:ilvl="0" w:tplc="2C38D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10927BD"/>
    <w:multiLevelType w:val="hybridMultilevel"/>
    <w:tmpl w:val="331AEE04"/>
    <w:lvl w:ilvl="0" w:tplc="A914F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34"/>
  <w:drawingGridVerticalSpacing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FD"/>
    <w:rsid w:val="00002F96"/>
    <w:rsid w:val="0000322C"/>
    <w:rsid w:val="00014F37"/>
    <w:rsid w:val="00017103"/>
    <w:rsid w:val="00020266"/>
    <w:rsid w:val="00024CFC"/>
    <w:rsid w:val="0003244A"/>
    <w:rsid w:val="000348CC"/>
    <w:rsid w:val="00040826"/>
    <w:rsid w:val="000408F7"/>
    <w:rsid w:val="00040E8D"/>
    <w:rsid w:val="00041280"/>
    <w:rsid w:val="00041E4A"/>
    <w:rsid w:val="00043FF0"/>
    <w:rsid w:val="00045E71"/>
    <w:rsid w:val="00057153"/>
    <w:rsid w:val="0006036B"/>
    <w:rsid w:val="00060E36"/>
    <w:rsid w:val="00065F9E"/>
    <w:rsid w:val="0007103E"/>
    <w:rsid w:val="000713BB"/>
    <w:rsid w:val="0007428D"/>
    <w:rsid w:val="00082512"/>
    <w:rsid w:val="00085B0B"/>
    <w:rsid w:val="00092B4E"/>
    <w:rsid w:val="00095328"/>
    <w:rsid w:val="00096F3D"/>
    <w:rsid w:val="000A1117"/>
    <w:rsid w:val="000A4622"/>
    <w:rsid w:val="000A7846"/>
    <w:rsid w:val="000A7F8C"/>
    <w:rsid w:val="000B0886"/>
    <w:rsid w:val="000C293D"/>
    <w:rsid w:val="000D1665"/>
    <w:rsid w:val="000E0935"/>
    <w:rsid w:val="000E0B87"/>
    <w:rsid w:val="000E0F4F"/>
    <w:rsid w:val="000F0F75"/>
    <w:rsid w:val="000F1B0A"/>
    <w:rsid w:val="000F2B91"/>
    <w:rsid w:val="000F47EE"/>
    <w:rsid w:val="00100501"/>
    <w:rsid w:val="00100894"/>
    <w:rsid w:val="00101E18"/>
    <w:rsid w:val="00103F27"/>
    <w:rsid w:val="00107413"/>
    <w:rsid w:val="0011310E"/>
    <w:rsid w:val="00117BBE"/>
    <w:rsid w:val="00121F5E"/>
    <w:rsid w:val="00123389"/>
    <w:rsid w:val="00126050"/>
    <w:rsid w:val="00145A31"/>
    <w:rsid w:val="00151937"/>
    <w:rsid w:val="00154722"/>
    <w:rsid w:val="00160A8A"/>
    <w:rsid w:val="00162FB6"/>
    <w:rsid w:val="00164A97"/>
    <w:rsid w:val="00182586"/>
    <w:rsid w:val="00185263"/>
    <w:rsid w:val="00186D02"/>
    <w:rsid w:val="00192067"/>
    <w:rsid w:val="00192411"/>
    <w:rsid w:val="001945D0"/>
    <w:rsid w:val="00195393"/>
    <w:rsid w:val="0019794F"/>
    <w:rsid w:val="001B3834"/>
    <w:rsid w:val="001B7FFD"/>
    <w:rsid w:val="001C04C2"/>
    <w:rsid w:val="001C38FF"/>
    <w:rsid w:val="001C58B9"/>
    <w:rsid w:val="001D6FEF"/>
    <w:rsid w:val="001E04B0"/>
    <w:rsid w:val="001E3754"/>
    <w:rsid w:val="001E404A"/>
    <w:rsid w:val="001E6E9F"/>
    <w:rsid w:val="001E70FE"/>
    <w:rsid w:val="001E7E1A"/>
    <w:rsid w:val="001F68DA"/>
    <w:rsid w:val="0020017C"/>
    <w:rsid w:val="0020746C"/>
    <w:rsid w:val="00215BC5"/>
    <w:rsid w:val="00215F2C"/>
    <w:rsid w:val="00216B80"/>
    <w:rsid w:val="00227A40"/>
    <w:rsid w:val="00231DFD"/>
    <w:rsid w:val="00234F3A"/>
    <w:rsid w:val="002359DA"/>
    <w:rsid w:val="0023625C"/>
    <w:rsid w:val="00241A9D"/>
    <w:rsid w:val="00244531"/>
    <w:rsid w:val="00247A4D"/>
    <w:rsid w:val="00251326"/>
    <w:rsid w:val="0028127F"/>
    <w:rsid w:val="002821BC"/>
    <w:rsid w:val="002878CB"/>
    <w:rsid w:val="00287E2D"/>
    <w:rsid w:val="0029124D"/>
    <w:rsid w:val="002946A5"/>
    <w:rsid w:val="002976B3"/>
    <w:rsid w:val="002A46F0"/>
    <w:rsid w:val="002A7FBF"/>
    <w:rsid w:val="002B303D"/>
    <w:rsid w:val="002B30F9"/>
    <w:rsid w:val="002B718B"/>
    <w:rsid w:val="002C35C3"/>
    <w:rsid w:val="002C73A2"/>
    <w:rsid w:val="002C7908"/>
    <w:rsid w:val="002D2522"/>
    <w:rsid w:val="002F1279"/>
    <w:rsid w:val="002F2AD8"/>
    <w:rsid w:val="002F4657"/>
    <w:rsid w:val="00300D98"/>
    <w:rsid w:val="0030166A"/>
    <w:rsid w:val="00301A50"/>
    <w:rsid w:val="00303F6E"/>
    <w:rsid w:val="00306B9D"/>
    <w:rsid w:val="0031296A"/>
    <w:rsid w:val="00322239"/>
    <w:rsid w:val="00324458"/>
    <w:rsid w:val="003252B3"/>
    <w:rsid w:val="00326145"/>
    <w:rsid w:val="00330063"/>
    <w:rsid w:val="00333832"/>
    <w:rsid w:val="003403D0"/>
    <w:rsid w:val="0034443C"/>
    <w:rsid w:val="00345D35"/>
    <w:rsid w:val="00364B88"/>
    <w:rsid w:val="00364CFC"/>
    <w:rsid w:val="00365C27"/>
    <w:rsid w:val="0037113E"/>
    <w:rsid w:val="00372168"/>
    <w:rsid w:val="00372841"/>
    <w:rsid w:val="0037372E"/>
    <w:rsid w:val="00374E4E"/>
    <w:rsid w:val="00383468"/>
    <w:rsid w:val="00385035"/>
    <w:rsid w:val="00385FCD"/>
    <w:rsid w:val="00387340"/>
    <w:rsid w:val="00393C3B"/>
    <w:rsid w:val="003A2C5B"/>
    <w:rsid w:val="003A3558"/>
    <w:rsid w:val="003A425B"/>
    <w:rsid w:val="003A54C3"/>
    <w:rsid w:val="003B394D"/>
    <w:rsid w:val="003B554A"/>
    <w:rsid w:val="003B6C92"/>
    <w:rsid w:val="003B6E30"/>
    <w:rsid w:val="003B7B6D"/>
    <w:rsid w:val="003C0C5B"/>
    <w:rsid w:val="003C45D1"/>
    <w:rsid w:val="003D02F3"/>
    <w:rsid w:val="003D26AD"/>
    <w:rsid w:val="003D2B11"/>
    <w:rsid w:val="003D3550"/>
    <w:rsid w:val="003D5C32"/>
    <w:rsid w:val="003D5F9B"/>
    <w:rsid w:val="003E4EB6"/>
    <w:rsid w:val="003F14CA"/>
    <w:rsid w:val="003F3728"/>
    <w:rsid w:val="003F7413"/>
    <w:rsid w:val="00403856"/>
    <w:rsid w:val="00407039"/>
    <w:rsid w:val="00410FC8"/>
    <w:rsid w:val="00413D5A"/>
    <w:rsid w:val="00423566"/>
    <w:rsid w:val="00430C97"/>
    <w:rsid w:val="00434AEF"/>
    <w:rsid w:val="00443315"/>
    <w:rsid w:val="00443E57"/>
    <w:rsid w:val="00444145"/>
    <w:rsid w:val="00452EA6"/>
    <w:rsid w:val="004721D3"/>
    <w:rsid w:val="00480804"/>
    <w:rsid w:val="00482FD3"/>
    <w:rsid w:val="00483DD0"/>
    <w:rsid w:val="0048438D"/>
    <w:rsid w:val="00485041"/>
    <w:rsid w:val="00485A85"/>
    <w:rsid w:val="00487428"/>
    <w:rsid w:val="0049379E"/>
    <w:rsid w:val="00494927"/>
    <w:rsid w:val="004A11D0"/>
    <w:rsid w:val="004A4407"/>
    <w:rsid w:val="004A5914"/>
    <w:rsid w:val="004B524B"/>
    <w:rsid w:val="004B5B06"/>
    <w:rsid w:val="004B6250"/>
    <w:rsid w:val="004C122A"/>
    <w:rsid w:val="004C5B96"/>
    <w:rsid w:val="004D7D1F"/>
    <w:rsid w:val="004F0795"/>
    <w:rsid w:val="004F1472"/>
    <w:rsid w:val="004F152E"/>
    <w:rsid w:val="004F74ED"/>
    <w:rsid w:val="004F75CC"/>
    <w:rsid w:val="00503D79"/>
    <w:rsid w:val="005070B2"/>
    <w:rsid w:val="00510B84"/>
    <w:rsid w:val="0051439C"/>
    <w:rsid w:val="005259C3"/>
    <w:rsid w:val="0053141D"/>
    <w:rsid w:val="00531F11"/>
    <w:rsid w:val="00532009"/>
    <w:rsid w:val="005338DC"/>
    <w:rsid w:val="00541D72"/>
    <w:rsid w:val="00570AA0"/>
    <w:rsid w:val="005712D9"/>
    <w:rsid w:val="00580BF3"/>
    <w:rsid w:val="00583F12"/>
    <w:rsid w:val="0058694C"/>
    <w:rsid w:val="00590D33"/>
    <w:rsid w:val="00591906"/>
    <w:rsid w:val="005A2AA9"/>
    <w:rsid w:val="005A44F0"/>
    <w:rsid w:val="005A4EF5"/>
    <w:rsid w:val="005A7233"/>
    <w:rsid w:val="005B0DAA"/>
    <w:rsid w:val="005B1636"/>
    <w:rsid w:val="005B3FE3"/>
    <w:rsid w:val="005B4284"/>
    <w:rsid w:val="005B54DA"/>
    <w:rsid w:val="005C20A9"/>
    <w:rsid w:val="005D139F"/>
    <w:rsid w:val="005D7419"/>
    <w:rsid w:val="005E5414"/>
    <w:rsid w:val="005E6D71"/>
    <w:rsid w:val="005F4515"/>
    <w:rsid w:val="005F7717"/>
    <w:rsid w:val="005F7A90"/>
    <w:rsid w:val="006018D1"/>
    <w:rsid w:val="0061522B"/>
    <w:rsid w:val="006217AC"/>
    <w:rsid w:val="00621CBC"/>
    <w:rsid w:val="00630A8D"/>
    <w:rsid w:val="00630F8F"/>
    <w:rsid w:val="0063143C"/>
    <w:rsid w:val="0063548C"/>
    <w:rsid w:val="006407FB"/>
    <w:rsid w:val="0064381F"/>
    <w:rsid w:val="006523EC"/>
    <w:rsid w:val="006541BA"/>
    <w:rsid w:val="006573CA"/>
    <w:rsid w:val="006808C1"/>
    <w:rsid w:val="006827D8"/>
    <w:rsid w:val="0069170B"/>
    <w:rsid w:val="006A45F5"/>
    <w:rsid w:val="006B0528"/>
    <w:rsid w:val="006C0610"/>
    <w:rsid w:val="006C094C"/>
    <w:rsid w:val="006C108F"/>
    <w:rsid w:val="006C53D9"/>
    <w:rsid w:val="006D0945"/>
    <w:rsid w:val="006D1350"/>
    <w:rsid w:val="006D168C"/>
    <w:rsid w:val="006D403E"/>
    <w:rsid w:val="006D5D8A"/>
    <w:rsid w:val="006D6B06"/>
    <w:rsid w:val="006D743E"/>
    <w:rsid w:val="006E392D"/>
    <w:rsid w:val="006E3F90"/>
    <w:rsid w:val="006E4908"/>
    <w:rsid w:val="006E51BB"/>
    <w:rsid w:val="006E5945"/>
    <w:rsid w:val="006E7065"/>
    <w:rsid w:val="006F3D00"/>
    <w:rsid w:val="006F4583"/>
    <w:rsid w:val="007030F4"/>
    <w:rsid w:val="00703E2A"/>
    <w:rsid w:val="00705788"/>
    <w:rsid w:val="00705A87"/>
    <w:rsid w:val="00705DCA"/>
    <w:rsid w:val="007112A9"/>
    <w:rsid w:val="0072122D"/>
    <w:rsid w:val="00721C6B"/>
    <w:rsid w:val="007226F1"/>
    <w:rsid w:val="00724011"/>
    <w:rsid w:val="00724FB3"/>
    <w:rsid w:val="00725946"/>
    <w:rsid w:val="007306C6"/>
    <w:rsid w:val="0073244A"/>
    <w:rsid w:val="00736359"/>
    <w:rsid w:val="007377DB"/>
    <w:rsid w:val="00750954"/>
    <w:rsid w:val="00751B1B"/>
    <w:rsid w:val="00760983"/>
    <w:rsid w:val="00770381"/>
    <w:rsid w:val="00775ED5"/>
    <w:rsid w:val="00776A68"/>
    <w:rsid w:val="00777FDC"/>
    <w:rsid w:val="007800B1"/>
    <w:rsid w:val="007838D3"/>
    <w:rsid w:val="0078397C"/>
    <w:rsid w:val="007908FC"/>
    <w:rsid w:val="00795137"/>
    <w:rsid w:val="0079751B"/>
    <w:rsid w:val="007B1F70"/>
    <w:rsid w:val="007C2371"/>
    <w:rsid w:val="007D0E19"/>
    <w:rsid w:val="007D183F"/>
    <w:rsid w:val="007D6168"/>
    <w:rsid w:val="007E04CB"/>
    <w:rsid w:val="007E20DF"/>
    <w:rsid w:val="007E2AB4"/>
    <w:rsid w:val="007E2FD3"/>
    <w:rsid w:val="007E45EC"/>
    <w:rsid w:val="007F364F"/>
    <w:rsid w:val="00802B0A"/>
    <w:rsid w:val="0080736C"/>
    <w:rsid w:val="00816DF6"/>
    <w:rsid w:val="00817FC4"/>
    <w:rsid w:val="008214E2"/>
    <w:rsid w:val="00821FA9"/>
    <w:rsid w:val="008372E1"/>
    <w:rsid w:val="00846F42"/>
    <w:rsid w:val="00854AD1"/>
    <w:rsid w:val="00855739"/>
    <w:rsid w:val="008565D5"/>
    <w:rsid w:val="008630A2"/>
    <w:rsid w:val="00863A66"/>
    <w:rsid w:val="00872DA0"/>
    <w:rsid w:val="00873CDD"/>
    <w:rsid w:val="00876098"/>
    <w:rsid w:val="00876E43"/>
    <w:rsid w:val="00884C24"/>
    <w:rsid w:val="008855CF"/>
    <w:rsid w:val="00886198"/>
    <w:rsid w:val="008A22BA"/>
    <w:rsid w:val="008A403B"/>
    <w:rsid w:val="008A6DF8"/>
    <w:rsid w:val="008B2BB0"/>
    <w:rsid w:val="008B2EFB"/>
    <w:rsid w:val="008B47F0"/>
    <w:rsid w:val="008C191C"/>
    <w:rsid w:val="008C28FD"/>
    <w:rsid w:val="008D459F"/>
    <w:rsid w:val="008D46E7"/>
    <w:rsid w:val="008E103F"/>
    <w:rsid w:val="008E5773"/>
    <w:rsid w:val="008E65CB"/>
    <w:rsid w:val="008F0A5B"/>
    <w:rsid w:val="008F79BB"/>
    <w:rsid w:val="009015F8"/>
    <w:rsid w:val="00902FE6"/>
    <w:rsid w:val="00911EE6"/>
    <w:rsid w:val="009134BB"/>
    <w:rsid w:val="00914039"/>
    <w:rsid w:val="00915305"/>
    <w:rsid w:val="00916466"/>
    <w:rsid w:val="009209D7"/>
    <w:rsid w:val="0092133B"/>
    <w:rsid w:val="009335C6"/>
    <w:rsid w:val="009348AB"/>
    <w:rsid w:val="00936D96"/>
    <w:rsid w:val="00937632"/>
    <w:rsid w:val="00941E94"/>
    <w:rsid w:val="009427AB"/>
    <w:rsid w:val="0094381D"/>
    <w:rsid w:val="00945E9A"/>
    <w:rsid w:val="00946837"/>
    <w:rsid w:val="00951C20"/>
    <w:rsid w:val="00952591"/>
    <w:rsid w:val="00965DAD"/>
    <w:rsid w:val="00971AE7"/>
    <w:rsid w:val="00972973"/>
    <w:rsid w:val="0097613F"/>
    <w:rsid w:val="00987688"/>
    <w:rsid w:val="009A3598"/>
    <w:rsid w:val="009A37B9"/>
    <w:rsid w:val="009A3B43"/>
    <w:rsid w:val="009A470E"/>
    <w:rsid w:val="009A7A6A"/>
    <w:rsid w:val="009B1DAF"/>
    <w:rsid w:val="009D6690"/>
    <w:rsid w:val="009E2274"/>
    <w:rsid w:val="009E3B45"/>
    <w:rsid w:val="009E476A"/>
    <w:rsid w:val="009E6F47"/>
    <w:rsid w:val="009F4119"/>
    <w:rsid w:val="00A034AD"/>
    <w:rsid w:val="00A1128E"/>
    <w:rsid w:val="00A13132"/>
    <w:rsid w:val="00A15A21"/>
    <w:rsid w:val="00A25BEE"/>
    <w:rsid w:val="00A27090"/>
    <w:rsid w:val="00A33791"/>
    <w:rsid w:val="00A344C6"/>
    <w:rsid w:val="00A37D9C"/>
    <w:rsid w:val="00A436B2"/>
    <w:rsid w:val="00A53A74"/>
    <w:rsid w:val="00A54D86"/>
    <w:rsid w:val="00A55B8E"/>
    <w:rsid w:val="00A62FFC"/>
    <w:rsid w:val="00A72781"/>
    <w:rsid w:val="00A73578"/>
    <w:rsid w:val="00A770BB"/>
    <w:rsid w:val="00A77566"/>
    <w:rsid w:val="00A835A1"/>
    <w:rsid w:val="00A942D4"/>
    <w:rsid w:val="00A96D06"/>
    <w:rsid w:val="00AA493B"/>
    <w:rsid w:val="00AA6A8F"/>
    <w:rsid w:val="00AB2D55"/>
    <w:rsid w:val="00AB2E13"/>
    <w:rsid w:val="00AB579A"/>
    <w:rsid w:val="00AB65CF"/>
    <w:rsid w:val="00AC1E56"/>
    <w:rsid w:val="00AC25E8"/>
    <w:rsid w:val="00AC7083"/>
    <w:rsid w:val="00AD00B1"/>
    <w:rsid w:val="00AD00D1"/>
    <w:rsid w:val="00AD24AA"/>
    <w:rsid w:val="00AD71C8"/>
    <w:rsid w:val="00AE7B2A"/>
    <w:rsid w:val="00AF1713"/>
    <w:rsid w:val="00AF2A9C"/>
    <w:rsid w:val="00AF6774"/>
    <w:rsid w:val="00AF7DB6"/>
    <w:rsid w:val="00B0102C"/>
    <w:rsid w:val="00B134D9"/>
    <w:rsid w:val="00B20637"/>
    <w:rsid w:val="00B273FD"/>
    <w:rsid w:val="00B3136F"/>
    <w:rsid w:val="00B318C2"/>
    <w:rsid w:val="00B338C0"/>
    <w:rsid w:val="00B3499A"/>
    <w:rsid w:val="00B435CF"/>
    <w:rsid w:val="00B43F5F"/>
    <w:rsid w:val="00B44C79"/>
    <w:rsid w:val="00B6721C"/>
    <w:rsid w:val="00B67C52"/>
    <w:rsid w:val="00B71D1E"/>
    <w:rsid w:val="00B734CC"/>
    <w:rsid w:val="00B74A58"/>
    <w:rsid w:val="00B750AA"/>
    <w:rsid w:val="00B82117"/>
    <w:rsid w:val="00B82278"/>
    <w:rsid w:val="00B8329F"/>
    <w:rsid w:val="00B97CA8"/>
    <w:rsid w:val="00B97D87"/>
    <w:rsid w:val="00BA2817"/>
    <w:rsid w:val="00BA2947"/>
    <w:rsid w:val="00BA7A81"/>
    <w:rsid w:val="00BC545B"/>
    <w:rsid w:val="00BC6BB0"/>
    <w:rsid w:val="00BD105E"/>
    <w:rsid w:val="00BD60C9"/>
    <w:rsid w:val="00BD6D80"/>
    <w:rsid w:val="00BE3493"/>
    <w:rsid w:val="00BE351B"/>
    <w:rsid w:val="00BE3AAD"/>
    <w:rsid w:val="00BE4990"/>
    <w:rsid w:val="00BF1BE8"/>
    <w:rsid w:val="00BF25D8"/>
    <w:rsid w:val="00BF47CB"/>
    <w:rsid w:val="00BF66E6"/>
    <w:rsid w:val="00C03254"/>
    <w:rsid w:val="00C05076"/>
    <w:rsid w:val="00C10561"/>
    <w:rsid w:val="00C17FEC"/>
    <w:rsid w:val="00C21EB9"/>
    <w:rsid w:val="00C4324E"/>
    <w:rsid w:val="00C5110D"/>
    <w:rsid w:val="00C529D1"/>
    <w:rsid w:val="00C533EE"/>
    <w:rsid w:val="00C55388"/>
    <w:rsid w:val="00C55E27"/>
    <w:rsid w:val="00C560FB"/>
    <w:rsid w:val="00C60DEE"/>
    <w:rsid w:val="00C651F7"/>
    <w:rsid w:val="00C827AB"/>
    <w:rsid w:val="00C849B2"/>
    <w:rsid w:val="00C95182"/>
    <w:rsid w:val="00C95C3B"/>
    <w:rsid w:val="00C972C0"/>
    <w:rsid w:val="00C97C2B"/>
    <w:rsid w:val="00CA7110"/>
    <w:rsid w:val="00CB75FF"/>
    <w:rsid w:val="00CC4345"/>
    <w:rsid w:val="00CD0794"/>
    <w:rsid w:val="00CD16AF"/>
    <w:rsid w:val="00CD249F"/>
    <w:rsid w:val="00CD293B"/>
    <w:rsid w:val="00CD4548"/>
    <w:rsid w:val="00CD7ACE"/>
    <w:rsid w:val="00CE1577"/>
    <w:rsid w:val="00CE2970"/>
    <w:rsid w:val="00CE577D"/>
    <w:rsid w:val="00CF3B8D"/>
    <w:rsid w:val="00D00796"/>
    <w:rsid w:val="00D03874"/>
    <w:rsid w:val="00D056BA"/>
    <w:rsid w:val="00D118A1"/>
    <w:rsid w:val="00D11D5A"/>
    <w:rsid w:val="00D23A9A"/>
    <w:rsid w:val="00D24ED5"/>
    <w:rsid w:val="00D508D6"/>
    <w:rsid w:val="00D50B10"/>
    <w:rsid w:val="00D51903"/>
    <w:rsid w:val="00D52543"/>
    <w:rsid w:val="00D52807"/>
    <w:rsid w:val="00D54E83"/>
    <w:rsid w:val="00D62070"/>
    <w:rsid w:val="00D62809"/>
    <w:rsid w:val="00D66931"/>
    <w:rsid w:val="00D711F8"/>
    <w:rsid w:val="00D72079"/>
    <w:rsid w:val="00D7208D"/>
    <w:rsid w:val="00D73A1A"/>
    <w:rsid w:val="00D77960"/>
    <w:rsid w:val="00D848B5"/>
    <w:rsid w:val="00D9379E"/>
    <w:rsid w:val="00DB07D5"/>
    <w:rsid w:val="00DB15AA"/>
    <w:rsid w:val="00DB57AE"/>
    <w:rsid w:val="00DB7601"/>
    <w:rsid w:val="00DC0C13"/>
    <w:rsid w:val="00DC198C"/>
    <w:rsid w:val="00DC3749"/>
    <w:rsid w:val="00DC4043"/>
    <w:rsid w:val="00DC4C33"/>
    <w:rsid w:val="00DC661D"/>
    <w:rsid w:val="00DD0019"/>
    <w:rsid w:val="00DD6825"/>
    <w:rsid w:val="00DF0A11"/>
    <w:rsid w:val="00DF17E3"/>
    <w:rsid w:val="00E00372"/>
    <w:rsid w:val="00E03539"/>
    <w:rsid w:val="00E03595"/>
    <w:rsid w:val="00E03B7F"/>
    <w:rsid w:val="00E04780"/>
    <w:rsid w:val="00E12625"/>
    <w:rsid w:val="00E23DBB"/>
    <w:rsid w:val="00E33AF4"/>
    <w:rsid w:val="00E47961"/>
    <w:rsid w:val="00E47D14"/>
    <w:rsid w:val="00E50BC1"/>
    <w:rsid w:val="00E51B56"/>
    <w:rsid w:val="00E557CC"/>
    <w:rsid w:val="00E64651"/>
    <w:rsid w:val="00E66E41"/>
    <w:rsid w:val="00E67760"/>
    <w:rsid w:val="00E67CAF"/>
    <w:rsid w:val="00E70E47"/>
    <w:rsid w:val="00E70EB5"/>
    <w:rsid w:val="00E74F7F"/>
    <w:rsid w:val="00E75252"/>
    <w:rsid w:val="00E8592A"/>
    <w:rsid w:val="00E90C1F"/>
    <w:rsid w:val="00E97552"/>
    <w:rsid w:val="00EA240A"/>
    <w:rsid w:val="00EA2957"/>
    <w:rsid w:val="00EB2D39"/>
    <w:rsid w:val="00EC0143"/>
    <w:rsid w:val="00EC0B6A"/>
    <w:rsid w:val="00EC1166"/>
    <w:rsid w:val="00EC3766"/>
    <w:rsid w:val="00EC5DF8"/>
    <w:rsid w:val="00ED1FEC"/>
    <w:rsid w:val="00ED2E23"/>
    <w:rsid w:val="00ED3157"/>
    <w:rsid w:val="00ED73E0"/>
    <w:rsid w:val="00ED77E1"/>
    <w:rsid w:val="00EE0C94"/>
    <w:rsid w:val="00EF2490"/>
    <w:rsid w:val="00EF6D5D"/>
    <w:rsid w:val="00F0255A"/>
    <w:rsid w:val="00F02612"/>
    <w:rsid w:val="00F1146C"/>
    <w:rsid w:val="00F161A4"/>
    <w:rsid w:val="00F27710"/>
    <w:rsid w:val="00F3043C"/>
    <w:rsid w:val="00F30BE9"/>
    <w:rsid w:val="00F41160"/>
    <w:rsid w:val="00F513B8"/>
    <w:rsid w:val="00F52909"/>
    <w:rsid w:val="00F52B73"/>
    <w:rsid w:val="00F54C3C"/>
    <w:rsid w:val="00F564F1"/>
    <w:rsid w:val="00F570ED"/>
    <w:rsid w:val="00F67DBD"/>
    <w:rsid w:val="00F77D08"/>
    <w:rsid w:val="00F80E7A"/>
    <w:rsid w:val="00F8549E"/>
    <w:rsid w:val="00F87C36"/>
    <w:rsid w:val="00F90526"/>
    <w:rsid w:val="00F93006"/>
    <w:rsid w:val="00F97572"/>
    <w:rsid w:val="00FA4831"/>
    <w:rsid w:val="00FC5568"/>
    <w:rsid w:val="00FD32CA"/>
    <w:rsid w:val="00FD3C40"/>
    <w:rsid w:val="00FD5205"/>
    <w:rsid w:val="00FD5EC9"/>
    <w:rsid w:val="00FE0A5C"/>
    <w:rsid w:val="00FE1215"/>
    <w:rsid w:val="00FE148C"/>
    <w:rsid w:val="00FE22BC"/>
    <w:rsid w:val="00FE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52740"/>
  <w14:defaultImageDpi w14:val="32767"/>
  <w15:docId w15:val="{C682A231-9210-411A-81CB-DC0EA1AB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BC"/>
    <w:pPr>
      <w:spacing w:before="240" w:after="240"/>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paragraph" w:styleId="aa">
    <w:name w:val="List Paragraph"/>
    <w:basedOn w:val="a"/>
    <w:uiPriority w:val="34"/>
    <w:qFormat/>
    <w:rsid w:val="003B6E30"/>
    <w:pPr>
      <w:ind w:left="720"/>
    </w:pPr>
  </w:style>
  <w:style w:type="paragraph" w:styleId="ab">
    <w:name w:val="Balloon Text"/>
    <w:basedOn w:val="a"/>
    <w:link w:val="ac"/>
    <w:uiPriority w:val="99"/>
    <w:semiHidden/>
    <w:unhideWhenUsed/>
    <w:rsid w:val="00D54E83"/>
    <w:pPr>
      <w:spacing w:before="0"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54E83"/>
    <w:rPr>
      <w:rFonts w:ascii="Segoe UI" w:hAnsi="Segoe UI" w:cs="Segoe UI"/>
      <w:sz w:val="18"/>
      <w:szCs w:val="18"/>
    </w:rPr>
  </w:style>
  <w:style w:type="paragraph" w:styleId="ad">
    <w:name w:val="footnote text"/>
    <w:basedOn w:val="a"/>
    <w:link w:val="ae"/>
    <w:uiPriority w:val="99"/>
    <w:semiHidden/>
    <w:unhideWhenUsed/>
    <w:rsid w:val="00C97C2B"/>
    <w:pPr>
      <w:spacing w:before="0" w:after="0" w:line="240" w:lineRule="auto"/>
    </w:pPr>
    <w:rPr>
      <w:rFonts w:eastAsia="Calibri"/>
      <w:sz w:val="20"/>
      <w:szCs w:val="20"/>
    </w:rPr>
  </w:style>
  <w:style w:type="character" w:customStyle="1" w:styleId="ae">
    <w:name w:val="Текст сноски Знак"/>
    <w:basedOn w:val="a0"/>
    <w:link w:val="ad"/>
    <w:uiPriority w:val="99"/>
    <w:semiHidden/>
    <w:rsid w:val="00C97C2B"/>
    <w:rPr>
      <w:rFonts w:eastAsia="Calibri"/>
      <w:sz w:val="20"/>
      <w:szCs w:val="20"/>
    </w:rPr>
  </w:style>
  <w:style w:type="character" w:styleId="af">
    <w:name w:val="footnote reference"/>
    <w:basedOn w:val="a0"/>
    <w:uiPriority w:val="99"/>
    <w:semiHidden/>
    <w:unhideWhenUsed/>
    <w:rsid w:val="00C97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8D0A-752B-49CC-AD8C-63A10124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 Afanasyev</dc:creator>
  <cp:keywords/>
  <dc:description/>
  <cp:lastModifiedBy>Оненова Баина Олеговна</cp:lastModifiedBy>
  <cp:revision>2</cp:revision>
  <cp:lastPrinted>2023-02-01T17:06:00Z</cp:lastPrinted>
  <dcterms:created xsi:type="dcterms:W3CDTF">2024-02-21T08:16:00Z</dcterms:created>
  <dcterms:modified xsi:type="dcterms:W3CDTF">2024-02-21T08:16:00Z</dcterms:modified>
</cp:coreProperties>
</file>