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79F41" w14:textId="77777777" w:rsidR="004E7835" w:rsidRPr="004E7835" w:rsidRDefault="004E7835" w:rsidP="004E7835">
      <w:pPr>
        <w:widowControl w:val="0"/>
        <w:autoSpaceDE w:val="0"/>
        <w:autoSpaceDN w:val="0"/>
        <w:spacing w:before="85"/>
        <w:ind w:left="967" w:right="968"/>
        <w:jc w:val="center"/>
        <w:rPr>
          <w:b/>
          <w:bCs/>
          <w:sz w:val="36"/>
          <w:szCs w:val="36"/>
        </w:rPr>
      </w:pPr>
      <w:r w:rsidRPr="004E7835">
        <w:rPr>
          <w:b/>
          <w:bCs/>
          <w:sz w:val="36"/>
          <w:szCs w:val="36"/>
        </w:rPr>
        <w:t>Долгосрочные обязательства</w:t>
      </w:r>
    </w:p>
    <w:p w14:paraId="4EA56BD6" w14:textId="77777777" w:rsidR="004E7835" w:rsidRPr="004E7835" w:rsidRDefault="004E7835" w:rsidP="004E7835">
      <w:pPr>
        <w:widowControl w:val="0"/>
        <w:autoSpaceDE w:val="0"/>
        <w:autoSpaceDN w:val="0"/>
        <w:spacing w:before="85"/>
        <w:ind w:left="967" w:right="968"/>
        <w:jc w:val="center"/>
        <w:rPr>
          <w:b/>
          <w:bCs/>
          <w:sz w:val="36"/>
          <w:szCs w:val="36"/>
        </w:rPr>
      </w:pPr>
      <w:r w:rsidRPr="004E7835">
        <w:rPr>
          <w:b/>
          <w:bCs/>
          <w:sz w:val="36"/>
          <w:szCs w:val="36"/>
          <w:lang w:val="en-US"/>
        </w:rPr>
        <w:t>c</w:t>
      </w:r>
      <w:r w:rsidRPr="004E7835">
        <w:rPr>
          <w:b/>
          <w:bCs/>
          <w:sz w:val="36"/>
          <w:szCs w:val="36"/>
        </w:rPr>
        <w:t xml:space="preserve"> ковенантами</w:t>
      </w:r>
    </w:p>
    <w:p w14:paraId="3B26C7E2" w14:textId="77777777" w:rsidR="004E7835" w:rsidRPr="004E7835" w:rsidRDefault="004E7835" w:rsidP="004E7835">
      <w:pPr>
        <w:widowControl w:val="0"/>
        <w:autoSpaceDE w:val="0"/>
        <w:autoSpaceDN w:val="0"/>
        <w:spacing w:before="85"/>
        <w:ind w:left="967" w:right="968"/>
        <w:jc w:val="center"/>
        <w:rPr>
          <w:b/>
          <w:bCs/>
          <w:sz w:val="36"/>
          <w:szCs w:val="36"/>
        </w:rPr>
      </w:pPr>
    </w:p>
    <w:p w14:paraId="59CF0C75" w14:textId="64F486B2" w:rsidR="004E7835" w:rsidRDefault="004E7835" w:rsidP="004E7835">
      <w:pPr>
        <w:jc w:val="center"/>
        <w:rPr>
          <w:rFonts w:eastAsia="Batang"/>
          <w:sz w:val="36"/>
        </w:rPr>
      </w:pPr>
      <w:r w:rsidRPr="004E7835">
        <w:rPr>
          <w:rFonts w:eastAsia="Batang"/>
          <w:sz w:val="36"/>
        </w:rPr>
        <w:t>Поправки к МСФО (IAS) 1</w:t>
      </w:r>
    </w:p>
    <w:p w14:paraId="13E037CE" w14:textId="77777777" w:rsidR="003B47F2" w:rsidRPr="004E7835" w:rsidRDefault="003B47F2" w:rsidP="004E7835">
      <w:pPr>
        <w:jc w:val="center"/>
        <w:rPr>
          <w:rFonts w:eastAsia="Batang" w:cs="Arial"/>
          <w:b/>
          <w:sz w:val="28"/>
          <w:szCs w:val="28"/>
        </w:rPr>
      </w:pPr>
    </w:p>
    <w:p w14:paraId="771DB8CC" w14:textId="77777777" w:rsidR="004E7835" w:rsidRPr="004E7835" w:rsidRDefault="004E7835" w:rsidP="004E7835">
      <w:pPr>
        <w:jc w:val="center"/>
        <w:rPr>
          <w:rFonts w:eastAsia="Batang" w:cs="Arial"/>
          <w:b/>
          <w:i/>
          <w:sz w:val="28"/>
          <w:szCs w:val="28"/>
        </w:rPr>
      </w:pPr>
    </w:p>
    <w:p w14:paraId="2D035C0F" w14:textId="77777777" w:rsidR="004E7835" w:rsidRPr="004E7835" w:rsidRDefault="004E7835" w:rsidP="004E7835">
      <w:pPr>
        <w:keepNext/>
        <w:keepLines/>
        <w:pBdr>
          <w:bottom w:val="single" w:sz="4" w:space="0" w:color="auto"/>
        </w:pBdr>
        <w:spacing w:before="400" w:after="200"/>
        <w:rPr>
          <w:rFonts w:ascii="Arial" w:hAnsi="Arial" w:cs="Arial"/>
          <w:b/>
          <w:sz w:val="26"/>
          <w:szCs w:val="20"/>
        </w:rPr>
      </w:pPr>
      <w:r w:rsidRPr="004E7835">
        <w:rPr>
          <w:rFonts w:ascii="Arial" w:hAnsi="Arial" w:cs="Arial"/>
          <w:b/>
          <w:sz w:val="26"/>
          <w:szCs w:val="20"/>
        </w:rPr>
        <w:t xml:space="preserve">Поправки к МСФО (IAS) 1 </w:t>
      </w:r>
      <w:r w:rsidRPr="004E7835">
        <w:rPr>
          <w:rFonts w:ascii="Arial" w:hAnsi="Arial" w:cs="Arial"/>
          <w:b/>
          <w:i/>
          <w:sz w:val="26"/>
          <w:szCs w:val="20"/>
        </w:rPr>
        <w:t>«Представление финансовой отчетности»</w:t>
      </w:r>
    </w:p>
    <w:p w14:paraId="74EF8450" w14:textId="77777777" w:rsidR="004E7835" w:rsidRPr="004E7835" w:rsidRDefault="004E7835" w:rsidP="004E7835">
      <w:pPr>
        <w:spacing w:before="100"/>
        <w:ind w:left="782" w:hanging="782"/>
        <w:jc w:val="both"/>
        <w:rPr>
          <w:sz w:val="19"/>
          <w:szCs w:val="20"/>
        </w:rPr>
      </w:pPr>
      <w:r w:rsidRPr="004E7835">
        <w:rPr>
          <w:sz w:val="19"/>
          <w:szCs w:val="20"/>
        </w:rPr>
        <w:t>В первом предложении пункта 60 цифры «66-76» заменить словами «66-76В».</w:t>
      </w:r>
    </w:p>
    <w:p w14:paraId="23B3DB3D" w14:textId="77777777" w:rsidR="004E7835" w:rsidRPr="004E7835" w:rsidRDefault="004E7835" w:rsidP="004E7835">
      <w:pPr>
        <w:spacing w:before="100"/>
        <w:ind w:left="782" w:hanging="782"/>
        <w:jc w:val="both"/>
        <w:rPr>
          <w:sz w:val="19"/>
          <w:szCs w:val="20"/>
        </w:rPr>
      </w:pPr>
      <w:r w:rsidRPr="004E7835">
        <w:rPr>
          <w:sz w:val="19"/>
          <w:szCs w:val="20"/>
        </w:rPr>
        <w:t>В третьем предложении пункта 71 слова «</w:t>
      </w:r>
      <w:r w:rsidRPr="004E7835">
        <w:rPr>
          <w:sz w:val="20"/>
          <w:szCs w:val="20"/>
          <w:lang w:eastAsia="en-GB"/>
        </w:rPr>
        <w:t>74 и 75» заменить словами «</w:t>
      </w:r>
      <w:r w:rsidRPr="004E7835">
        <w:rPr>
          <w:sz w:val="19"/>
          <w:szCs w:val="20"/>
        </w:rPr>
        <w:t>72A–75».</w:t>
      </w:r>
    </w:p>
    <w:p w14:paraId="45EE7579" w14:textId="77777777" w:rsidR="004E7835" w:rsidRPr="004E7835" w:rsidRDefault="004E7835" w:rsidP="004E7835">
      <w:pPr>
        <w:spacing w:before="100"/>
        <w:ind w:left="782" w:hanging="782"/>
        <w:jc w:val="both"/>
        <w:rPr>
          <w:sz w:val="19"/>
          <w:szCs w:val="20"/>
        </w:rPr>
      </w:pPr>
      <w:r w:rsidRPr="004E7835">
        <w:rPr>
          <w:sz w:val="19"/>
          <w:szCs w:val="20"/>
        </w:rPr>
        <w:t>Пункт 72А изложить в следующей редакции:</w:t>
      </w:r>
    </w:p>
    <w:p w14:paraId="681D7347" w14:textId="77777777" w:rsidR="004E7835" w:rsidRPr="004E7835" w:rsidRDefault="004E7835" w:rsidP="004E7835">
      <w:pPr>
        <w:spacing w:before="100"/>
        <w:ind w:left="782" w:hanging="782"/>
        <w:jc w:val="both"/>
        <w:rPr>
          <w:strike/>
          <w:sz w:val="19"/>
          <w:szCs w:val="20"/>
        </w:rPr>
      </w:pPr>
      <w:r w:rsidRPr="004E7835">
        <w:rPr>
          <w:sz w:val="19"/>
          <w:szCs w:val="20"/>
        </w:rPr>
        <w:t>72A</w:t>
      </w:r>
      <w:r w:rsidRPr="004E7835">
        <w:rPr>
          <w:sz w:val="19"/>
          <w:szCs w:val="20"/>
        </w:rPr>
        <w:tab/>
        <w:t>Право организации отсрочить урегулирование обязательства по меньшей мере на двенадцать месяцев после окончания отчетного периода должно быть реальным и, как показано в пунктах 72B–75, должно существовать на дату окончания отчетного периода.</w:t>
      </w:r>
      <w:r w:rsidRPr="004E7835">
        <w:rPr>
          <w:strike/>
          <w:sz w:val="19"/>
          <w:szCs w:val="20"/>
        </w:rPr>
        <w:t xml:space="preserve"> </w:t>
      </w:r>
    </w:p>
    <w:p w14:paraId="4CDC6035" w14:textId="77777777" w:rsidR="004E7835" w:rsidRPr="004E7835" w:rsidRDefault="004E7835" w:rsidP="004E7835">
      <w:pPr>
        <w:spacing w:before="100"/>
        <w:ind w:left="782" w:hanging="782"/>
        <w:jc w:val="both"/>
        <w:rPr>
          <w:sz w:val="19"/>
          <w:szCs w:val="20"/>
        </w:rPr>
      </w:pPr>
      <w:r w:rsidRPr="004E7835">
        <w:rPr>
          <w:sz w:val="19"/>
          <w:szCs w:val="20"/>
        </w:rPr>
        <w:t>После пункта 72А включить пункт 72В следующего содержания:</w:t>
      </w:r>
    </w:p>
    <w:p w14:paraId="3D639CEF" w14:textId="77777777" w:rsidR="004E7835" w:rsidRPr="004E7835" w:rsidRDefault="004E7835" w:rsidP="004E7835">
      <w:pPr>
        <w:spacing w:before="100"/>
        <w:ind w:left="782" w:hanging="782"/>
        <w:jc w:val="both"/>
        <w:rPr>
          <w:sz w:val="19"/>
          <w:szCs w:val="20"/>
        </w:rPr>
      </w:pPr>
      <w:r w:rsidRPr="004E7835">
        <w:rPr>
          <w:sz w:val="19"/>
          <w:szCs w:val="20"/>
        </w:rPr>
        <w:t>72B</w:t>
      </w:r>
      <w:r w:rsidRPr="004E7835">
        <w:rPr>
          <w:sz w:val="19"/>
          <w:szCs w:val="20"/>
        </w:rPr>
        <w:tab/>
        <w:t xml:space="preserve">Право организации отсрочить урегулирование обязательства, возникшего в результате кредитного соглашения, по меньшей мере на двенадцать месяцев после окончания отчетного периода может зависеть от соблюдения организацией условий, указанных в этом кредитном соглашении (далее именуемых «ковенантами»). Для целей применения пункта 69(d) такие ковенанты: </w:t>
      </w:r>
    </w:p>
    <w:p w14:paraId="318841D6" w14:textId="77777777" w:rsidR="004E7835" w:rsidRPr="004E7835" w:rsidRDefault="004E7835" w:rsidP="004E7835">
      <w:pPr>
        <w:spacing w:before="100"/>
        <w:ind w:left="1564" w:hanging="782"/>
        <w:jc w:val="both"/>
        <w:rPr>
          <w:sz w:val="19"/>
          <w:szCs w:val="20"/>
        </w:rPr>
      </w:pPr>
      <w:r w:rsidRPr="004E7835">
        <w:rPr>
          <w:sz w:val="19"/>
          <w:szCs w:val="20"/>
        </w:rPr>
        <w:t>(a)</w:t>
      </w:r>
      <w:r w:rsidRPr="004E7835">
        <w:rPr>
          <w:sz w:val="19"/>
          <w:szCs w:val="20"/>
        </w:rPr>
        <w:tab/>
        <w:t xml:space="preserve">влияют на вывод о существовании указанного права на </w:t>
      </w:r>
      <w:bookmarkStart w:id="0" w:name="_Hlk127446303"/>
      <w:r w:rsidRPr="004E7835">
        <w:rPr>
          <w:sz w:val="19"/>
          <w:szCs w:val="20"/>
        </w:rPr>
        <w:t xml:space="preserve">дату окончания </w:t>
      </w:r>
      <w:bookmarkEnd w:id="0"/>
      <w:r w:rsidRPr="004E7835">
        <w:rPr>
          <w:sz w:val="19"/>
          <w:szCs w:val="20"/>
        </w:rPr>
        <w:t>отчетного периода (как показано в пунктах 74-75), если от организации требуется, чтобы ковенант был соблюден на дату окончания отчетного периода или до этой даты. Такой ковенант влияет на вывод о существовании указанного права на дату окончания отчетного периода, даже если соблюдение этого ковенанта оценивается только после отчетного периода (например, ковенант связан с финансовым положением организации на дату окончания отчетного периода, но его соблюдение оценивается только после отчетного периода);</w:t>
      </w:r>
    </w:p>
    <w:p w14:paraId="53526D62" w14:textId="77777777" w:rsidR="004E7835" w:rsidRPr="004E7835" w:rsidRDefault="004E7835" w:rsidP="004E7835">
      <w:pPr>
        <w:spacing w:before="100"/>
        <w:ind w:left="1564" w:hanging="782"/>
        <w:jc w:val="both"/>
        <w:rPr>
          <w:sz w:val="19"/>
          <w:szCs w:val="20"/>
        </w:rPr>
      </w:pPr>
      <w:r w:rsidRPr="004E7835">
        <w:rPr>
          <w:sz w:val="19"/>
          <w:szCs w:val="20"/>
        </w:rPr>
        <w:t>(b)</w:t>
      </w:r>
      <w:r w:rsidRPr="004E7835">
        <w:rPr>
          <w:sz w:val="19"/>
          <w:szCs w:val="20"/>
        </w:rPr>
        <w:tab/>
        <w:t xml:space="preserve">не влияют на вывод о существовании указанного права на дату окончания отчетного периода, если от организации требуется соблюдение ковенанта только после окончания отчетного периода (например, ковенант связан с финансовым положением организации, которое будет через шесть месяцев после окончания отчетного периода). </w:t>
      </w:r>
    </w:p>
    <w:p w14:paraId="1C3B1CC0" w14:textId="77777777" w:rsidR="004E7835" w:rsidRPr="004E7835" w:rsidRDefault="004E7835" w:rsidP="004E7835">
      <w:pPr>
        <w:spacing w:before="100"/>
        <w:ind w:left="782" w:hanging="782"/>
        <w:jc w:val="both"/>
        <w:rPr>
          <w:sz w:val="19"/>
          <w:szCs w:val="20"/>
        </w:rPr>
      </w:pPr>
      <w:r w:rsidRPr="004E7835">
        <w:rPr>
          <w:sz w:val="19"/>
          <w:szCs w:val="20"/>
        </w:rPr>
        <w:t>В первом предложении пункта 74 слова «какое-либо условие» заменить словами «какой-либо ковенант».</w:t>
      </w:r>
    </w:p>
    <w:p w14:paraId="22CAA48E" w14:textId="77777777" w:rsidR="004E7835" w:rsidRPr="004E7835" w:rsidRDefault="004E7835" w:rsidP="004E7835">
      <w:pPr>
        <w:spacing w:before="100"/>
        <w:ind w:left="782" w:hanging="782"/>
        <w:jc w:val="both"/>
        <w:rPr>
          <w:sz w:val="19"/>
          <w:szCs w:val="20"/>
        </w:rPr>
      </w:pPr>
      <w:r w:rsidRPr="004E7835">
        <w:rPr>
          <w:sz w:val="19"/>
          <w:szCs w:val="20"/>
        </w:rPr>
        <w:t>После пункта 76 включить пункт 76ZA следующего содержания:</w:t>
      </w:r>
    </w:p>
    <w:p w14:paraId="531794E8" w14:textId="77777777" w:rsidR="004E7835" w:rsidRPr="004E7835" w:rsidRDefault="004E7835" w:rsidP="004E7835">
      <w:pPr>
        <w:spacing w:before="100"/>
        <w:ind w:left="782" w:hanging="782"/>
        <w:jc w:val="both"/>
        <w:rPr>
          <w:sz w:val="19"/>
          <w:szCs w:val="20"/>
        </w:rPr>
      </w:pPr>
      <w:r w:rsidRPr="004E7835">
        <w:rPr>
          <w:b/>
          <w:sz w:val="19"/>
          <w:szCs w:val="20"/>
        </w:rPr>
        <w:t>76ZA</w:t>
      </w:r>
      <w:r w:rsidRPr="004E7835">
        <w:rPr>
          <w:sz w:val="19"/>
          <w:szCs w:val="20"/>
        </w:rPr>
        <w:tab/>
      </w:r>
      <w:r w:rsidRPr="004E7835">
        <w:rPr>
          <w:b/>
          <w:sz w:val="19"/>
          <w:szCs w:val="20"/>
        </w:rPr>
        <w:t>При применении пунктов 69–75 организация может классифицировать обязательства, возникшие в результате кредитных соглашений, как долгосрочные в случаях, когда право организации отсрочить урегулирование данных обязательств зависит от соблюдения организацией ковенантов в течение двенадцати месяцев после окончания отчетного периода (см. пункт 72B(b)). В таких случаях организация должна раскрыть в примечаниях информацию, позволяющую пользователям финансовой отчетности понять риск того, что в течение двенадцати месяцев после окончания отчетного периода эти обязательства могут стать подлежащими погашению, в том числе:</w:t>
      </w:r>
    </w:p>
    <w:p w14:paraId="4AB86066" w14:textId="77777777" w:rsidR="004E7835" w:rsidRPr="004E7835" w:rsidRDefault="004E7835" w:rsidP="004E7835">
      <w:pPr>
        <w:spacing w:before="100"/>
        <w:ind w:left="1564" w:hanging="782"/>
        <w:jc w:val="both"/>
        <w:rPr>
          <w:sz w:val="19"/>
          <w:szCs w:val="20"/>
        </w:rPr>
      </w:pPr>
      <w:r w:rsidRPr="004E7835">
        <w:rPr>
          <w:b/>
          <w:sz w:val="19"/>
          <w:szCs w:val="20"/>
        </w:rPr>
        <w:t>(a)</w:t>
      </w:r>
      <w:r w:rsidRPr="004E7835">
        <w:rPr>
          <w:sz w:val="19"/>
          <w:szCs w:val="20"/>
        </w:rPr>
        <w:tab/>
      </w:r>
      <w:r w:rsidRPr="004E7835">
        <w:rPr>
          <w:b/>
          <w:sz w:val="19"/>
          <w:szCs w:val="20"/>
        </w:rPr>
        <w:t>информацию о ковенантах (включая описание характера ковенантов и того, когда организация обязана их соблюсти) и балансовую стоимость соответствующих обязательств;</w:t>
      </w:r>
    </w:p>
    <w:p w14:paraId="1E56F3E9" w14:textId="77777777" w:rsidR="004E7835" w:rsidRPr="004E7835" w:rsidRDefault="004E7835" w:rsidP="004E7835">
      <w:pPr>
        <w:spacing w:before="100"/>
        <w:ind w:left="1564" w:hanging="782"/>
        <w:jc w:val="both"/>
        <w:rPr>
          <w:sz w:val="19"/>
          <w:szCs w:val="20"/>
        </w:rPr>
      </w:pPr>
      <w:r w:rsidRPr="004E7835">
        <w:rPr>
          <w:b/>
          <w:sz w:val="19"/>
          <w:szCs w:val="20"/>
        </w:rPr>
        <w:t>(b)</w:t>
      </w:r>
      <w:r w:rsidRPr="004E7835">
        <w:rPr>
          <w:sz w:val="19"/>
          <w:szCs w:val="20"/>
        </w:rPr>
        <w:tab/>
      </w:r>
      <w:r w:rsidRPr="004E7835">
        <w:rPr>
          <w:b/>
          <w:sz w:val="19"/>
          <w:szCs w:val="20"/>
        </w:rPr>
        <w:t xml:space="preserve">факты и обстоятельства, если такие имеются, указывающие на то, что организация может испытывать затруднения, связанные с соблюдением ковенантов, например, предпринятые организацией действия в течение или после отчетного периода, с тем чтобы избежать или </w:t>
      </w:r>
      <w:bookmarkStart w:id="1" w:name="_GoBack"/>
      <w:bookmarkEnd w:id="1"/>
      <w:r w:rsidRPr="004E7835">
        <w:rPr>
          <w:b/>
          <w:sz w:val="19"/>
          <w:szCs w:val="20"/>
        </w:rPr>
        <w:t xml:space="preserve">смягчить последствия потенциального нарушения. К таким фактам и обстоятельствам можно отнести и тот факт, что ковенанты не были бы </w:t>
      </w:r>
      <w:r w:rsidRPr="004E7835">
        <w:rPr>
          <w:b/>
          <w:sz w:val="19"/>
          <w:szCs w:val="20"/>
        </w:rPr>
        <w:lastRenderedPageBreak/>
        <w:t>соблюдены организацией, если бы их соблюдение оценивалось исходя из обстоятельств организации, существовавших на конец отчетного периода.</w:t>
      </w:r>
    </w:p>
    <w:p w14:paraId="08D7F6BB" w14:textId="77777777" w:rsidR="004E7835" w:rsidRPr="004E7835" w:rsidRDefault="004E7835" w:rsidP="004E7835">
      <w:pPr>
        <w:spacing w:before="100"/>
        <w:ind w:left="782" w:hanging="782"/>
        <w:jc w:val="both"/>
        <w:rPr>
          <w:sz w:val="19"/>
          <w:szCs w:val="20"/>
        </w:rPr>
      </w:pPr>
      <w:r w:rsidRPr="004E7835">
        <w:rPr>
          <w:sz w:val="19"/>
          <w:szCs w:val="20"/>
        </w:rPr>
        <w:t>Пункт 139U изложить в следующей редакции:</w:t>
      </w:r>
    </w:p>
    <w:p w14:paraId="6021298A" w14:textId="77777777" w:rsidR="004E7835" w:rsidRPr="004E7835" w:rsidRDefault="004E7835" w:rsidP="004E7835">
      <w:pPr>
        <w:spacing w:before="100"/>
        <w:ind w:left="782" w:hanging="782"/>
        <w:jc w:val="both"/>
        <w:rPr>
          <w:sz w:val="19"/>
          <w:szCs w:val="20"/>
        </w:rPr>
      </w:pPr>
      <w:r w:rsidRPr="004E7835">
        <w:rPr>
          <w:sz w:val="19"/>
          <w:szCs w:val="20"/>
        </w:rPr>
        <w:t>139U</w:t>
      </w:r>
      <w:r w:rsidRPr="004E7835">
        <w:rPr>
          <w:sz w:val="19"/>
          <w:szCs w:val="20"/>
        </w:rPr>
        <w:tab/>
        <w:t xml:space="preserve">Документом </w:t>
      </w:r>
      <w:r w:rsidRPr="004E7835">
        <w:rPr>
          <w:i/>
          <w:sz w:val="19"/>
          <w:szCs w:val="20"/>
        </w:rPr>
        <w:t>«Классификация обязательств как краткосрочных или долгосрочных»</w:t>
      </w:r>
      <w:r w:rsidRPr="004E7835">
        <w:rPr>
          <w:sz w:val="19"/>
          <w:szCs w:val="20"/>
        </w:rPr>
        <w:t>, выпущенным в январе 2020 года, внесены изменения в пункты 69, 73, 74 и 76, а также добавлены пункты 72A, 75A, 76A и 76B. Организация должна применять данные поправки в отношении годовых отчетных периодов, начинающихся 1 января 2024 года или после этой даты, ретроспективно в соответствии с МСФО (IAS) 8. Допускается досрочное применение. Если организация применит данные поправки в отношении более раннего периода после выпуска поправок «Долгосрочные обязательства с ковенантами» (см. пункт 139W), она также должна применить поправки «Долгосрочные обязательства с ковенантами» в отношении данного периода. Если организация применит поправки «Классификация обязательств как краткосрочных или долгосрочных» в отношении более раннего периода, она должна раскрыть этот факт.</w:t>
      </w:r>
    </w:p>
    <w:p w14:paraId="73438984" w14:textId="77777777" w:rsidR="004E7835" w:rsidRPr="004E7835" w:rsidRDefault="004E7835" w:rsidP="004E7835">
      <w:pPr>
        <w:spacing w:before="100"/>
        <w:ind w:left="782" w:hanging="782"/>
        <w:jc w:val="both"/>
        <w:rPr>
          <w:sz w:val="19"/>
          <w:szCs w:val="20"/>
        </w:rPr>
      </w:pPr>
      <w:r w:rsidRPr="004E7835">
        <w:rPr>
          <w:sz w:val="19"/>
          <w:szCs w:val="20"/>
        </w:rPr>
        <w:t>После пункта 139</w:t>
      </w:r>
      <w:r w:rsidRPr="004E7835">
        <w:rPr>
          <w:sz w:val="19"/>
          <w:szCs w:val="20"/>
          <w:lang w:val="en-US"/>
        </w:rPr>
        <w:t>V</w:t>
      </w:r>
      <w:r w:rsidRPr="004E7835">
        <w:rPr>
          <w:sz w:val="19"/>
          <w:szCs w:val="20"/>
        </w:rPr>
        <w:t xml:space="preserve"> включить пункт 139</w:t>
      </w:r>
      <w:r w:rsidRPr="004E7835">
        <w:rPr>
          <w:sz w:val="19"/>
          <w:szCs w:val="20"/>
          <w:lang w:val="en-US"/>
        </w:rPr>
        <w:t>W</w:t>
      </w:r>
      <w:r w:rsidRPr="004E7835">
        <w:rPr>
          <w:sz w:val="19"/>
          <w:szCs w:val="20"/>
        </w:rPr>
        <w:t xml:space="preserve"> следующего содержания:</w:t>
      </w:r>
    </w:p>
    <w:p w14:paraId="00FF8CDC" w14:textId="77777777" w:rsidR="004E7835" w:rsidRPr="004E7835" w:rsidRDefault="004E7835" w:rsidP="004E7835">
      <w:pPr>
        <w:spacing w:before="100"/>
        <w:ind w:left="782" w:hanging="782"/>
        <w:jc w:val="both"/>
        <w:rPr>
          <w:sz w:val="19"/>
          <w:szCs w:val="20"/>
        </w:rPr>
      </w:pPr>
      <w:r w:rsidRPr="004E7835">
        <w:rPr>
          <w:sz w:val="19"/>
          <w:szCs w:val="20"/>
        </w:rPr>
        <w:t>139W</w:t>
      </w:r>
      <w:r w:rsidRPr="004E7835">
        <w:rPr>
          <w:sz w:val="19"/>
          <w:szCs w:val="20"/>
        </w:rPr>
        <w:tab/>
        <w:t xml:space="preserve">Документом </w:t>
      </w:r>
      <w:r w:rsidRPr="004E7835">
        <w:rPr>
          <w:i/>
          <w:sz w:val="19"/>
          <w:szCs w:val="20"/>
        </w:rPr>
        <w:t>«Долгосрочные обязательства с ковенантами»</w:t>
      </w:r>
      <w:r w:rsidRPr="004E7835">
        <w:rPr>
          <w:sz w:val="19"/>
          <w:szCs w:val="20"/>
        </w:rPr>
        <w:t xml:space="preserve">, выпущенным в октябре 2022 года, внесены изменения в пункты 60, 71, 72A, 74 и 139U, а также добавлены пункты 72B и 76ZA. Организация должна применять: </w:t>
      </w:r>
    </w:p>
    <w:p w14:paraId="66CB89CB" w14:textId="77777777" w:rsidR="004E7835" w:rsidRPr="004E7835" w:rsidRDefault="004E7835" w:rsidP="004E7835">
      <w:pPr>
        <w:spacing w:before="100"/>
        <w:ind w:left="1564" w:hanging="782"/>
        <w:jc w:val="both"/>
        <w:rPr>
          <w:sz w:val="19"/>
          <w:szCs w:val="20"/>
        </w:rPr>
      </w:pPr>
      <w:r w:rsidRPr="004E7835">
        <w:rPr>
          <w:sz w:val="19"/>
          <w:szCs w:val="20"/>
        </w:rPr>
        <w:t>(a)</w:t>
      </w:r>
      <w:r w:rsidRPr="004E7835">
        <w:rPr>
          <w:sz w:val="19"/>
          <w:szCs w:val="20"/>
        </w:rPr>
        <w:tab/>
        <w:t xml:space="preserve">поправку к пункту 139U сразу же после выпуска документа </w:t>
      </w:r>
      <w:r w:rsidRPr="004E7835">
        <w:rPr>
          <w:i/>
          <w:sz w:val="19"/>
          <w:szCs w:val="20"/>
        </w:rPr>
        <w:t>«Долгосрочные обязательства с ковенантами»</w:t>
      </w:r>
      <w:r w:rsidRPr="004E7835">
        <w:rPr>
          <w:sz w:val="19"/>
          <w:szCs w:val="20"/>
        </w:rPr>
        <w:t>;</w:t>
      </w:r>
    </w:p>
    <w:p w14:paraId="0F7EC62E" w14:textId="3B7811D9" w:rsidR="00FF69A3" w:rsidRPr="00C04312" w:rsidRDefault="004E7835" w:rsidP="004E7835">
      <w:pPr>
        <w:spacing w:before="100"/>
        <w:ind w:left="1564" w:hanging="782"/>
        <w:jc w:val="both"/>
      </w:pPr>
      <w:r w:rsidRPr="004E7835">
        <w:rPr>
          <w:sz w:val="19"/>
          <w:szCs w:val="20"/>
        </w:rPr>
        <w:t>(b)</w:t>
      </w:r>
      <w:r w:rsidRPr="004E7835">
        <w:rPr>
          <w:sz w:val="19"/>
          <w:szCs w:val="20"/>
        </w:rPr>
        <w:tab/>
        <w:t xml:space="preserve">все прочие поправки в отношении годовых отчетных периодов, начинающихся 1 января 2024 года или после этой даты, ретроспективно в соответствии с МСФО (IAS) 8. Допускается досрочное применение. Если организация применит данные поправки в отношении более раннего периода, она также должна применить поправки </w:t>
      </w:r>
      <w:r w:rsidRPr="004E7835">
        <w:rPr>
          <w:i/>
          <w:sz w:val="19"/>
          <w:szCs w:val="20"/>
        </w:rPr>
        <w:t>«Классификация обязательств как краткосрочных или долгосрочных»</w:t>
      </w:r>
      <w:r w:rsidRPr="004E7835">
        <w:rPr>
          <w:sz w:val="19"/>
          <w:szCs w:val="20"/>
        </w:rPr>
        <w:t xml:space="preserve"> в отношении данного периода. Если организация применит поправки </w:t>
      </w:r>
      <w:r w:rsidRPr="004E7835">
        <w:rPr>
          <w:i/>
          <w:sz w:val="19"/>
          <w:szCs w:val="20"/>
        </w:rPr>
        <w:t>«Долгосрочные обязательства с ковенантами»</w:t>
      </w:r>
      <w:r w:rsidRPr="004E7835">
        <w:rPr>
          <w:sz w:val="19"/>
          <w:szCs w:val="20"/>
        </w:rPr>
        <w:t xml:space="preserve"> в отношении более раннего периода, она должна раскрыть этот факт.</w:t>
      </w:r>
    </w:p>
    <w:sectPr w:rsidR="00FF69A3" w:rsidRPr="00C04312" w:rsidSect="00D03EA5">
      <w:headerReference w:type="default" r:id="rId10"/>
      <w:footerReference w:type="even" r:id="rId11"/>
      <w:footerReference w:type="default" r:id="rId12"/>
      <w:footerReference w:type="first" r:id="rId13"/>
      <w:pgSz w:w="11880" w:h="16820"/>
      <w:pgMar w:top="1111" w:right="1247" w:bottom="993" w:left="1440" w:header="964" w:footer="39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81AD3" w14:textId="77777777" w:rsidR="005C14F1" w:rsidRDefault="005C14F1">
      <w:r>
        <w:separator/>
      </w:r>
    </w:p>
  </w:endnote>
  <w:endnote w:type="continuationSeparator" w:id="0">
    <w:p w14:paraId="4E1EE1FD" w14:textId="77777777" w:rsidR="005C14F1" w:rsidRDefault="005C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2E7C5" w14:textId="104590D0" w:rsidR="001035CE" w:rsidRDefault="001035CE">
    <w:pPr>
      <w:pStyle w:val="a7"/>
    </w:pPr>
    <w:r>
      <w:fldChar w:fldCharType="begin"/>
    </w:r>
    <w:r>
      <w:instrText>PAGE</w:instrText>
    </w:r>
    <w:r>
      <w:fldChar w:fldCharType="separate"/>
    </w:r>
    <w:r w:rsidR="00D03EA5">
      <w:rPr>
        <w:noProof/>
      </w:rPr>
      <w:t>2</w:t>
    </w:r>
    <w:r>
      <w:fldChar w:fldCharType="end"/>
    </w:r>
    <w:r>
      <w:tab/>
      <w:t>© IFRS Foundation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D781C" w14:textId="34C27BCD" w:rsidR="003B47F2" w:rsidRDefault="004B49F0">
    <w:pPr>
      <w:pStyle w:val="a7"/>
      <w:jc w:val="right"/>
    </w:pPr>
    <w:r>
      <w:ptab w:relativeTo="margin" w:alignment="center" w:leader="none"/>
    </w:r>
  </w:p>
  <w:p w14:paraId="0F28F830" w14:textId="0BED19A4" w:rsidR="003A29AD" w:rsidRDefault="005C14F1">
    <w:pPr>
      <w:pStyle w:val="a7"/>
      <w:jc w:val="right"/>
    </w:pPr>
    <w:sdt>
      <w:sdtPr>
        <w:id w:val="822936697"/>
        <w:docPartObj>
          <w:docPartGallery w:val="Page Numbers (Bottom of Page)"/>
          <w:docPartUnique/>
        </w:docPartObj>
      </w:sdtPr>
      <w:sdtEndPr/>
      <w:sdtContent>
        <w:r w:rsidR="003A29AD">
          <w:fldChar w:fldCharType="begin"/>
        </w:r>
        <w:r w:rsidR="003A29AD">
          <w:instrText>PAGE   \* MERGEFORMAT</w:instrText>
        </w:r>
        <w:r w:rsidR="003A29AD">
          <w:fldChar w:fldCharType="separate"/>
        </w:r>
        <w:r w:rsidR="00D03EA5">
          <w:rPr>
            <w:noProof/>
          </w:rPr>
          <w:t>1</w:t>
        </w:r>
        <w:r w:rsidR="003A29AD">
          <w:fldChar w:fldCharType="end"/>
        </w:r>
      </w:sdtContent>
    </w:sdt>
  </w:p>
  <w:p w14:paraId="6744482F" w14:textId="77777777" w:rsidR="003B47F2" w:rsidRDefault="003B47F2" w:rsidP="003B47F2">
    <w:pPr>
      <w:pStyle w:val="a7"/>
      <w:jc w:val="center"/>
    </w:pPr>
    <w:r>
      <w:t>© IFRS Foundation</w:t>
    </w:r>
  </w:p>
  <w:p w14:paraId="29F304F2" w14:textId="427B4C40" w:rsidR="001035CE" w:rsidRDefault="001035C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936453"/>
      <w:docPartObj>
        <w:docPartGallery w:val="Page Numbers (Bottom of Page)"/>
        <w:docPartUnique/>
      </w:docPartObj>
    </w:sdtPr>
    <w:sdtEndPr/>
    <w:sdtContent>
      <w:p w14:paraId="482B297E" w14:textId="593AD44F" w:rsidR="003A29AD" w:rsidRDefault="003A29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D5E8505" w14:textId="522A9F39" w:rsidR="00075E69" w:rsidRDefault="00075E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CC415" w14:textId="77777777" w:rsidR="005C14F1" w:rsidRDefault="005C14F1">
      <w:r>
        <w:separator/>
      </w:r>
    </w:p>
  </w:footnote>
  <w:footnote w:type="continuationSeparator" w:id="0">
    <w:p w14:paraId="5E0628A4" w14:textId="77777777" w:rsidR="005C14F1" w:rsidRDefault="005C1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E18B4" w14:textId="3465AA32" w:rsidR="00C04312" w:rsidRDefault="00C04312">
    <w:pPr>
      <w:pStyle w:val="a5"/>
      <w:jc w:val="center"/>
    </w:pPr>
  </w:p>
  <w:p w14:paraId="280A885F" w14:textId="589849A5" w:rsidR="001035CE" w:rsidRDefault="001035C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040C"/>
    <w:multiLevelType w:val="hybridMultilevel"/>
    <w:tmpl w:val="5A24A33E"/>
    <w:lvl w:ilvl="0" w:tplc="04EC3B0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14769"/>
    <w:multiLevelType w:val="hybridMultilevel"/>
    <w:tmpl w:val="B55AE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28D"/>
    <w:multiLevelType w:val="hybridMultilevel"/>
    <w:tmpl w:val="FDB6F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C32A5"/>
    <w:multiLevelType w:val="hybridMultilevel"/>
    <w:tmpl w:val="5C4E8A68"/>
    <w:lvl w:ilvl="0" w:tplc="470C1676">
      <w:start w:val="1"/>
      <w:numFmt w:val="lowerLetter"/>
      <w:lvlText w:val="(%1)"/>
      <w:lvlJc w:val="left"/>
      <w:pPr>
        <w:ind w:left="1683" w:hanging="782"/>
      </w:pPr>
      <w:rPr>
        <w:rFonts w:ascii="Times New Roman" w:eastAsia="Times New Roman" w:hAnsi="Times New Roman" w:cs="Times New Roman" w:hint="default"/>
        <w:spacing w:val="-1"/>
        <w:w w:val="99"/>
        <w:sz w:val="19"/>
        <w:szCs w:val="19"/>
        <w:lang w:val="ru-RU" w:eastAsia="en-US" w:bidi="ar-SA"/>
      </w:rPr>
    </w:lvl>
    <w:lvl w:ilvl="1" w:tplc="179AE686">
      <w:start w:val="1"/>
      <w:numFmt w:val="lowerRoman"/>
      <w:lvlText w:val="(%2)"/>
      <w:lvlJc w:val="left"/>
      <w:pPr>
        <w:ind w:left="2467" w:hanging="783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2" w:tplc="4112B1C0">
      <w:numFmt w:val="bullet"/>
      <w:lvlText w:val="•"/>
      <w:lvlJc w:val="left"/>
      <w:pPr>
        <w:ind w:left="3215" w:hanging="783"/>
      </w:pPr>
      <w:rPr>
        <w:rFonts w:hint="default"/>
        <w:lang w:val="ru-RU" w:eastAsia="en-US" w:bidi="ar-SA"/>
      </w:rPr>
    </w:lvl>
    <w:lvl w:ilvl="3" w:tplc="AD4CB680">
      <w:numFmt w:val="bullet"/>
      <w:lvlText w:val="•"/>
      <w:lvlJc w:val="left"/>
      <w:pPr>
        <w:ind w:left="3971" w:hanging="783"/>
      </w:pPr>
      <w:rPr>
        <w:rFonts w:hint="default"/>
        <w:lang w:val="ru-RU" w:eastAsia="en-US" w:bidi="ar-SA"/>
      </w:rPr>
    </w:lvl>
    <w:lvl w:ilvl="4" w:tplc="D64CCC36">
      <w:numFmt w:val="bullet"/>
      <w:lvlText w:val="•"/>
      <w:lvlJc w:val="left"/>
      <w:pPr>
        <w:ind w:left="4726" w:hanging="783"/>
      </w:pPr>
      <w:rPr>
        <w:rFonts w:hint="default"/>
        <w:lang w:val="ru-RU" w:eastAsia="en-US" w:bidi="ar-SA"/>
      </w:rPr>
    </w:lvl>
    <w:lvl w:ilvl="5" w:tplc="CBDA08E4">
      <w:numFmt w:val="bullet"/>
      <w:lvlText w:val="•"/>
      <w:lvlJc w:val="left"/>
      <w:pPr>
        <w:ind w:left="5482" w:hanging="783"/>
      </w:pPr>
      <w:rPr>
        <w:rFonts w:hint="default"/>
        <w:lang w:val="ru-RU" w:eastAsia="en-US" w:bidi="ar-SA"/>
      </w:rPr>
    </w:lvl>
    <w:lvl w:ilvl="6" w:tplc="71CC30BE">
      <w:numFmt w:val="bullet"/>
      <w:lvlText w:val="•"/>
      <w:lvlJc w:val="left"/>
      <w:pPr>
        <w:ind w:left="6237" w:hanging="783"/>
      </w:pPr>
      <w:rPr>
        <w:rFonts w:hint="default"/>
        <w:lang w:val="ru-RU" w:eastAsia="en-US" w:bidi="ar-SA"/>
      </w:rPr>
    </w:lvl>
    <w:lvl w:ilvl="7" w:tplc="7538580C">
      <w:numFmt w:val="bullet"/>
      <w:lvlText w:val="•"/>
      <w:lvlJc w:val="left"/>
      <w:pPr>
        <w:ind w:left="6993" w:hanging="783"/>
      </w:pPr>
      <w:rPr>
        <w:rFonts w:hint="default"/>
        <w:lang w:val="ru-RU" w:eastAsia="en-US" w:bidi="ar-SA"/>
      </w:rPr>
    </w:lvl>
    <w:lvl w:ilvl="8" w:tplc="3664EAD0">
      <w:numFmt w:val="bullet"/>
      <w:lvlText w:val="•"/>
      <w:lvlJc w:val="left"/>
      <w:pPr>
        <w:ind w:left="7748" w:hanging="783"/>
      </w:pPr>
      <w:rPr>
        <w:rFonts w:hint="default"/>
        <w:lang w:val="ru-RU" w:eastAsia="en-US" w:bidi="ar-SA"/>
      </w:rPr>
    </w:lvl>
  </w:abstractNum>
  <w:abstractNum w:abstractNumId="4" w15:restartNumberingAfterBreak="0">
    <w:nsid w:val="6A36779C"/>
    <w:multiLevelType w:val="hybridMultilevel"/>
    <w:tmpl w:val="E78C7110"/>
    <w:lvl w:ilvl="0" w:tplc="EB7ECB22">
      <w:start w:val="1"/>
      <w:numFmt w:val="lowerLetter"/>
      <w:lvlText w:val="(%1)"/>
      <w:lvlJc w:val="left"/>
      <w:pPr>
        <w:ind w:left="1705" w:hanging="783"/>
      </w:pPr>
      <w:rPr>
        <w:rFonts w:ascii="Times New Roman" w:eastAsia="Times New Roman" w:hAnsi="Times New Roman" w:cs="Times New Roman" w:hint="default"/>
        <w:spacing w:val="-1"/>
        <w:w w:val="99"/>
        <w:sz w:val="19"/>
        <w:szCs w:val="19"/>
        <w:lang w:val="ru-RU" w:eastAsia="en-US" w:bidi="ar-SA"/>
      </w:rPr>
    </w:lvl>
    <w:lvl w:ilvl="1" w:tplc="833AEFA0">
      <w:numFmt w:val="bullet"/>
      <w:lvlText w:val="•"/>
      <w:lvlJc w:val="left"/>
      <w:pPr>
        <w:ind w:left="2458" w:hanging="783"/>
      </w:pPr>
      <w:rPr>
        <w:rFonts w:hint="default"/>
        <w:lang w:val="ru-RU" w:eastAsia="en-US" w:bidi="ar-SA"/>
      </w:rPr>
    </w:lvl>
    <w:lvl w:ilvl="2" w:tplc="5DD89A96">
      <w:numFmt w:val="bullet"/>
      <w:lvlText w:val="•"/>
      <w:lvlJc w:val="left"/>
      <w:pPr>
        <w:ind w:left="3216" w:hanging="783"/>
      </w:pPr>
      <w:rPr>
        <w:rFonts w:hint="default"/>
        <w:lang w:val="ru-RU" w:eastAsia="en-US" w:bidi="ar-SA"/>
      </w:rPr>
    </w:lvl>
    <w:lvl w:ilvl="3" w:tplc="D60E67D8">
      <w:numFmt w:val="bullet"/>
      <w:lvlText w:val="•"/>
      <w:lvlJc w:val="left"/>
      <w:pPr>
        <w:ind w:left="3974" w:hanging="783"/>
      </w:pPr>
      <w:rPr>
        <w:rFonts w:hint="default"/>
        <w:lang w:val="ru-RU" w:eastAsia="en-US" w:bidi="ar-SA"/>
      </w:rPr>
    </w:lvl>
    <w:lvl w:ilvl="4" w:tplc="3E464CF0">
      <w:numFmt w:val="bullet"/>
      <w:lvlText w:val="•"/>
      <w:lvlJc w:val="left"/>
      <w:pPr>
        <w:ind w:left="4732" w:hanging="783"/>
      </w:pPr>
      <w:rPr>
        <w:rFonts w:hint="default"/>
        <w:lang w:val="ru-RU" w:eastAsia="en-US" w:bidi="ar-SA"/>
      </w:rPr>
    </w:lvl>
    <w:lvl w:ilvl="5" w:tplc="E334DA60">
      <w:numFmt w:val="bullet"/>
      <w:lvlText w:val="•"/>
      <w:lvlJc w:val="left"/>
      <w:pPr>
        <w:ind w:left="5490" w:hanging="783"/>
      </w:pPr>
      <w:rPr>
        <w:rFonts w:hint="default"/>
        <w:lang w:val="ru-RU" w:eastAsia="en-US" w:bidi="ar-SA"/>
      </w:rPr>
    </w:lvl>
    <w:lvl w:ilvl="6" w:tplc="1978813C">
      <w:numFmt w:val="bullet"/>
      <w:lvlText w:val="•"/>
      <w:lvlJc w:val="left"/>
      <w:pPr>
        <w:ind w:left="6248" w:hanging="783"/>
      </w:pPr>
      <w:rPr>
        <w:rFonts w:hint="default"/>
        <w:lang w:val="ru-RU" w:eastAsia="en-US" w:bidi="ar-SA"/>
      </w:rPr>
    </w:lvl>
    <w:lvl w:ilvl="7" w:tplc="483C811C">
      <w:numFmt w:val="bullet"/>
      <w:lvlText w:val="•"/>
      <w:lvlJc w:val="left"/>
      <w:pPr>
        <w:ind w:left="7006" w:hanging="783"/>
      </w:pPr>
      <w:rPr>
        <w:rFonts w:hint="default"/>
        <w:lang w:val="ru-RU" w:eastAsia="en-US" w:bidi="ar-SA"/>
      </w:rPr>
    </w:lvl>
    <w:lvl w:ilvl="8" w:tplc="9F7AAE32">
      <w:numFmt w:val="bullet"/>
      <w:lvlText w:val="•"/>
      <w:lvlJc w:val="left"/>
      <w:pPr>
        <w:ind w:left="7764" w:hanging="783"/>
      </w:pPr>
      <w:rPr>
        <w:rFonts w:hint="default"/>
        <w:lang w:val="ru-RU" w:eastAsia="en-US" w:bidi="ar-SA"/>
      </w:rPr>
    </w:lvl>
  </w:abstractNum>
  <w:abstractNum w:abstractNumId="5" w15:restartNumberingAfterBreak="0">
    <w:nsid w:val="754C3F6A"/>
    <w:multiLevelType w:val="hybridMultilevel"/>
    <w:tmpl w:val="EF3EADD6"/>
    <w:lvl w:ilvl="0" w:tplc="76FE8B3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056DB"/>
    <w:multiLevelType w:val="hybridMultilevel"/>
    <w:tmpl w:val="7D0E200E"/>
    <w:lvl w:ilvl="0" w:tplc="EBF2454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oNotTrackFormatting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A3"/>
    <w:rsid w:val="000136DC"/>
    <w:rsid w:val="00017A7D"/>
    <w:rsid w:val="0002640A"/>
    <w:rsid w:val="00027A18"/>
    <w:rsid w:val="0003635A"/>
    <w:rsid w:val="00055526"/>
    <w:rsid w:val="00075E69"/>
    <w:rsid w:val="00095F0E"/>
    <w:rsid w:val="000A35C9"/>
    <w:rsid w:val="000A7841"/>
    <w:rsid w:val="000B3A06"/>
    <w:rsid w:val="001035CE"/>
    <w:rsid w:val="001070D7"/>
    <w:rsid w:val="00134573"/>
    <w:rsid w:val="001620B4"/>
    <w:rsid w:val="00171950"/>
    <w:rsid w:val="001737EB"/>
    <w:rsid w:val="0017432E"/>
    <w:rsid w:val="00190169"/>
    <w:rsid w:val="001977F5"/>
    <w:rsid w:val="001A1607"/>
    <w:rsid w:val="001B5CA5"/>
    <w:rsid w:val="001C0565"/>
    <w:rsid w:val="001D3D9F"/>
    <w:rsid w:val="001E3713"/>
    <w:rsid w:val="002072F9"/>
    <w:rsid w:val="00252E40"/>
    <w:rsid w:val="002A027D"/>
    <w:rsid w:val="002A2288"/>
    <w:rsid w:val="002A2EF8"/>
    <w:rsid w:val="002B4ECD"/>
    <w:rsid w:val="002B525C"/>
    <w:rsid w:val="002E57F3"/>
    <w:rsid w:val="00305CF8"/>
    <w:rsid w:val="00313105"/>
    <w:rsid w:val="003318CD"/>
    <w:rsid w:val="0038467F"/>
    <w:rsid w:val="003939B1"/>
    <w:rsid w:val="00396DD9"/>
    <w:rsid w:val="003A29AD"/>
    <w:rsid w:val="003B40F1"/>
    <w:rsid w:val="003B47F2"/>
    <w:rsid w:val="003B6F93"/>
    <w:rsid w:val="003C09E9"/>
    <w:rsid w:val="003D4EC5"/>
    <w:rsid w:val="00437AD0"/>
    <w:rsid w:val="00454049"/>
    <w:rsid w:val="00454B9E"/>
    <w:rsid w:val="00460DC1"/>
    <w:rsid w:val="004735B0"/>
    <w:rsid w:val="004A65C9"/>
    <w:rsid w:val="004B1FB4"/>
    <w:rsid w:val="004B49F0"/>
    <w:rsid w:val="004B5742"/>
    <w:rsid w:val="004D0C75"/>
    <w:rsid w:val="004D4BCA"/>
    <w:rsid w:val="004E7835"/>
    <w:rsid w:val="005060A4"/>
    <w:rsid w:val="00544CFA"/>
    <w:rsid w:val="005C14F1"/>
    <w:rsid w:val="005F4FE5"/>
    <w:rsid w:val="00605068"/>
    <w:rsid w:val="00611825"/>
    <w:rsid w:val="00612C4F"/>
    <w:rsid w:val="00634DEB"/>
    <w:rsid w:val="0069392B"/>
    <w:rsid w:val="006A3CBE"/>
    <w:rsid w:val="006A4E60"/>
    <w:rsid w:val="006C3CAE"/>
    <w:rsid w:val="006C41C6"/>
    <w:rsid w:val="006E0C2B"/>
    <w:rsid w:val="006E2634"/>
    <w:rsid w:val="006E53FE"/>
    <w:rsid w:val="006F01D4"/>
    <w:rsid w:val="006F2BC4"/>
    <w:rsid w:val="00710FA4"/>
    <w:rsid w:val="00716D1D"/>
    <w:rsid w:val="0072008B"/>
    <w:rsid w:val="00750E4F"/>
    <w:rsid w:val="00753E88"/>
    <w:rsid w:val="00786274"/>
    <w:rsid w:val="007A5939"/>
    <w:rsid w:val="007F32E6"/>
    <w:rsid w:val="007F64E3"/>
    <w:rsid w:val="00802B59"/>
    <w:rsid w:val="00806B8B"/>
    <w:rsid w:val="00814FF4"/>
    <w:rsid w:val="00821E3B"/>
    <w:rsid w:val="00825631"/>
    <w:rsid w:val="00846D25"/>
    <w:rsid w:val="00877A50"/>
    <w:rsid w:val="0088183C"/>
    <w:rsid w:val="008856A5"/>
    <w:rsid w:val="00890255"/>
    <w:rsid w:val="008A63BA"/>
    <w:rsid w:val="008C3FF6"/>
    <w:rsid w:val="008D3829"/>
    <w:rsid w:val="008D5DE3"/>
    <w:rsid w:val="00940857"/>
    <w:rsid w:val="00953916"/>
    <w:rsid w:val="00963D31"/>
    <w:rsid w:val="009A6B40"/>
    <w:rsid w:val="009C3C6E"/>
    <w:rsid w:val="009E62C3"/>
    <w:rsid w:val="00A01278"/>
    <w:rsid w:val="00A22074"/>
    <w:rsid w:val="00A370DB"/>
    <w:rsid w:val="00A52C4B"/>
    <w:rsid w:val="00A9123B"/>
    <w:rsid w:val="00A96038"/>
    <w:rsid w:val="00AC6DED"/>
    <w:rsid w:val="00AC7B1A"/>
    <w:rsid w:val="00AD01DB"/>
    <w:rsid w:val="00B01D84"/>
    <w:rsid w:val="00B15199"/>
    <w:rsid w:val="00B405F2"/>
    <w:rsid w:val="00B46118"/>
    <w:rsid w:val="00B67BE1"/>
    <w:rsid w:val="00B70BD1"/>
    <w:rsid w:val="00B85175"/>
    <w:rsid w:val="00B9626B"/>
    <w:rsid w:val="00BB748D"/>
    <w:rsid w:val="00BE244D"/>
    <w:rsid w:val="00BF265E"/>
    <w:rsid w:val="00C04312"/>
    <w:rsid w:val="00C057E8"/>
    <w:rsid w:val="00C10578"/>
    <w:rsid w:val="00C14B48"/>
    <w:rsid w:val="00C771CC"/>
    <w:rsid w:val="00C85CE5"/>
    <w:rsid w:val="00C872CE"/>
    <w:rsid w:val="00C87A09"/>
    <w:rsid w:val="00CA4663"/>
    <w:rsid w:val="00CF097B"/>
    <w:rsid w:val="00D03EA5"/>
    <w:rsid w:val="00D11AAA"/>
    <w:rsid w:val="00D17EBB"/>
    <w:rsid w:val="00D20904"/>
    <w:rsid w:val="00D31C55"/>
    <w:rsid w:val="00D33473"/>
    <w:rsid w:val="00D5693F"/>
    <w:rsid w:val="00D63314"/>
    <w:rsid w:val="00D84787"/>
    <w:rsid w:val="00DB546D"/>
    <w:rsid w:val="00DF3276"/>
    <w:rsid w:val="00E154C4"/>
    <w:rsid w:val="00E201AC"/>
    <w:rsid w:val="00E22D58"/>
    <w:rsid w:val="00E25A70"/>
    <w:rsid w:val="00E36602"/>
    <w:rsid w:val="00E47B7D"/>
    <w:rsid w:val="00E64199"/>
    <w:rsid w:val="00E7291A"/>
    <w:rsid w:val="00E754F8"/>
    <w:rsid w:val="00EA3545"/>
    <w:rsid w:val="00EC002C"/>
    <w:rsid w:val="00EC5B15"/>
    <w:rsid w:val="00ED7CB7"/>
    <w:rsid w:val="00EE451F"/>
    <w:rsid w:val="00F0100F"/>
    <w:rsid w:val="00F11C28"/>
    <w:rsid w:val="00F3616A"/>
    <w:rsid w:val="00F40D03"/>
    <w:rsid w:val="00F50221"/>
    <w:rsid w:val="00F60900"/>
    <w:rsid w:val="00F60D42"/>
    <w:rsid w:val="00F7411C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EFE52"/>
  <w15:docId w15:val="{9D2E6F87-4B1A-4773-984D-9852211C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SBNormal">
    <w:name w:val="IASB Normal"/>
    <w:pPr>
      <w:tabs>
        <w:tab w:val="left" w:pos="4253"/>
      </w:tabs>
      <w:spacing w:before="100" w:after="100" w:line="240" w:lineRule="auto"/>
      <w:jc w:val="both"/>
    </w:pPr>
    <w:rPr>
      <w:sz w:val="19"/>
      <w:szCs w:val="20"/>
      <w:lang w:eastAsia="en-US"/>
    </w:rPr>
  </w:style>
  <w:style w:type="paragraph" w:customStyle="1" w:styleId="IASBNormalArial">
    <w:name w:val="IASB Normal Arial"/>
    <w:pPr>
      <w:tabs>
        <w:tab w:val="left" w:pos="4253"/>
      </w:tabs>
      <w:spacing w:before="100" w:after="100" w:line="240" w:lineRule="auto"/>
      <w:jc w:val="both"/>
    </w:pPr>
    <w:rPr>
      <w:rFonts w:ascii="Arial" w:hAnsi="Arial"/>
      <w:sz w:val="19"/>
      <w:szCs w:val="20"/>
      <w:lang w:eastAsia="en-US"/>
    </w:rPr>
  </w:style>
  <w:style w:type="paragraph" w:customStyle="1" w:styleId="IASBNormalnpara">
    <w:name w:val="IASB Normal npara"/>
    <w:basedOn w:val="IASBNormal"/>
    <w:pPr>
      <w:tabs>
        <w:tab w:val="clear" w:pos="4253"/>
      </w:tabs>
      <w:spacing w:after="0"/>
      <w:ind w:left="782" w:hanging="782"/>
    </w:pPr>
  </w:style>
  <w:style w:type="paragraph" w:customStyle="1" w:styleId="IASBSectionTitle1Ind">
    <w:name w:val="IASB Section Title 1 Ind"/>
    <w:basedOn w:val="a"/>
    <w:pPr>
      <w:keepNext/>
      <w:keepLines/>
      <w:pBdr>
        <w:bottom w:val="single" w:sz="4" w:space="0" w:color="auto"/>
      </w:pBdr>
      <w:spacing w:before="400" w:after="200"/>
      <w:ind w:left="782"/>
    </w:pPr>
    <w:rPr>
      <w:rFonts w:ascii="Arial" w:hAnsi="Arial" w:cs="Arial"/>
      <w:b/>
      <w:sz w:val="26"/>
      <w:szCs w:val="20"/>
    </w:rPr>
  </w:style>
  <w:style w:type="paragraph" w:customStyle="1" w:styleId="IASBSectionTitle1NonInd">
    <w:name w:val="IASB Section Title 1 NonInd"/>
    <w:basedOn w:val="a"/>
    <w:pPr>
      <w:keepNext/>
      <w:keepLines/>
      <w:pBdr>
        <w:bottom w:val="single" w:sz="4" w:space="0" w:color="auto"/>
      </w:pBdr>
      <w:spacing w:before="400" w:after="200"/>
    </w:pPr>
    <w:rPr>
      <w:rFonts w:ascii="Arial" w:hAnsi="Arial" w:cs="Arial"/>
      <w:b/>
      <w:sz w:val="26"/>
      <w:szCs w:val="20"/>
    </w:rPr>
  </w:style>
  <w:style w:type="paragraph" w:customStyle="1" w:styleId="IASBSectionTitle2NonInd">
    <w:name w:val="IASB Section Title 2 NonInd"/>
    <w:basedOn w:val="a"/>
    <w:pPr>
      <w:keepNext/>
      <w:keepLines/>
      <w:spacing w:before="300" w:after="200"/>
    </w:pPr>
    <w:rPr>
      <w:rFonts w:ascii="Arial" w:hAnsi="Arial" w:cs="Arial"/>
      <w:b/>
      <w:sz w:val="26"/>
      <w:szCs w:val="20"/>
    </w:rPr>
  </w:style>
  <w:style w:type="paragraph" w:customStyle="1" w:styleId="IASBSectionTitle2Ind">
    <w:name w:val="IASB Section Title 2 Ind"/>
    <w:basedOn w:val="IASBSectionTitle2NonInd"/>
    <w:pPr>
      <w:spacing w:before="240"/>
      <w:ind w:left="782"/>
    </w:pPr>
  </w:style>
  <w:style w:type="paragraph" w:customStyle="1" w:styleId="IASBSectionTitle3NonInd">
    <w:name w:val="IASB Section Title 3 NonInd"/>
    <w:basedOn w:val="a"/>
    <w:pPr>
      <w:keepNext/>
      <w:keepLines/>
      <w:spacing w:before="300" w:after="200"/>
    </w:pPr>
    <w:rPr>
      <w:rFonts w:ascii="Arial" w:hAnsi="Arial" w:cs="Arial"/>
      <w:b/>
      <w:sz w:val="22"/>
      <w:szCs w:val="20"/>
    </w:rPr>
  </w:style>
  <w:style w:type="paragraph" w:customStyle="1" w:styleId="IASBSectionTitle3Ind">
    <w:name w:val="IASB Section Title 3 Ind"/>
    <w:basedOn w:val="IASBSectionTitle3NonInd"/>
    <w:pPr>
      <w:spacing w:before="240"/>
      <w:ind w:left="782"/>
    </w:pPr>
  </w:style>
  <w:style w:type="paragraph" w:customStyle="1" w:styleId="IASBSectionTitle4NonInd">
    <w:name w:val="IASB Section Title 4 NonInd"/>
    <w:basedOn w:val="a"/>
    <w:pPr>
      <w:keepNext/>
      <w:keepLines/>
      <w:spacing w:before="300" w:after="200"/>
    </w:pPr>
    <w:rPr>
      <w:rFonts w:ascii="Arial" w:hAnsi="Arial" w:cs="Arial"/>
      <w:i/>
      <w:sz w:val="22"/>
      <w:szCs w:val="20"/>
    </w:rPr>
  </w:style>
  <w:style w:type="paragraph" w:customStyle="1" w:styleId="IASBSectionTitle4Ind">
    <w:name w:val="IASB Section Title 4 Ind"/>
    <w:basedOn w:val="IASBSectionTitle4NonInd"/>
    <w:pPr>
      <w:ind w:left="782"/>
    </w:pPr>
  </w:style>
  <w:style w:type="paragraph" w:customStyle="1" w:styleId="IASBSectionTitle5NonInd">
    <w:name w:val="IASB Section Title 5 NonInd"/>
    <w:basedOn w:val="a"/>
    <w:rsid w:val="00E20281"/>
    <w:pPr>
      <w:keepNext/>
      <w:keepLines/>
      <w:spacing w:before="300" w:after="200"/>
    </w:pPr>
    <w:rPr>
      <w:rFonts w:ascii="Arial" w:hAnsi="Arial" w:cs="Arial"/>
      <w:b/>
      <w:sz w:val="19"/>
      <w:szCs w:val="20"/>
    </w:rPr>
  </w:style>
  <w:style w:type="paragraph" w:customStyle="1" w:styleId="IASBSectionTitle5Ind">
    <w:name w:val="IASB Section Title 5 Ind"/>
    <w:basedOn w:val="IASBSectionTitle5NonInd"/>
    <w:rsid w:val="00E20281"/>
    <w:pPr>
      <w:ind w:left="782"/>
    </w:pPr>
  </w:style>
  <w:style w:type="paragraph" w:customStyle="1" w:styleId="IASBSectionTitle6NonInd">
    <w:name w:val="IASB Section Title 6 NonInd"/>
    <w:basedOn w:val="IASBSectionTitle5NonInd"/>
    <w:rPr>
      <w:b w:val="0"/>
      <w:i/>
    </w:rPr>
  </w:style>
  <w:style w:type="paragraph" w:customStyle="1" w:styleId="IASBSectionTitle6Ind">
    <w:name w:val="IASB Section Title 6 Ind"/>
    <w:basedOn w:val="IASBSectionTitle6NonInd"/>
    <w:pPr>
      <w:ind w:left="782"/>
    </w:pPr>
  </w:style>
  <w:style w:type="paragraph" w:customStyle="1" w:styleId="IASBTitle">
    <w:name w:val="IASB Title"/>
    <w:pPr>
      <w:keepNext/>
      <w:keepLines/>
      <w:spacing w:before="300" w:after="400" w:line="240" w:lineRule="auto"/>
    </w:pPr>
    <w:rPr>
      <w:rFonts w:cs="Arial"/>
      <w:sz w:val="36"/>
      <w:szCs w:val="20"/>
      <w:lang w:eastAsia="en-US"/>
    </w:rPr>
  </w:style>
  <w:style w:type="paragraph" w:customStyle="1" w:styleId="IASBNormalnparaL1">
    <w:name w:val="IASB Normal nparaL1"/>
    <w:basedOn w:val="IASBNormalnpara"/>
    <w:pPr>
      <w:ind w:left="1564"/>
    </w:pPr>
  </w:style>
  <w:style w:type="paragraph" w:customStyle="1" w:styleId="IASBNormalArialnparaL1">
    <w:name w:val="IASB Normal Arial nparaL1"/>
    <w:basedOn w:val="IASBNormalnpara"/>
    <w:pPr>
      <w:ind w:left="1564"/>
    </w:pPr>
    <w:rPr>
      <w:rFonts w:ascii="Arial" w:hAnsi="Arial"/>
    </w:rPr>
  </w:style>
  <w:style w:type="paragraph" w:customStyle="1" w:styleId="IASBNormalnparaP">
    <w:name w:val="IASB Normal nparaP"/>
    <w:basedOn w:val="IASBNormal"/>
    <w:pPr>
      <w:ind w:left="782"/>
    </w:pPr>
  </w:style>
  <w:style w:type="paragraph" w:customStyle="1" w:styleId="IASBIdentifier">
    <w:name w:val="IASB Identifier"/>
    <w:basedOn w:val="IASBTitle"/>
    <w:pPr>
      <w:spacing w:after="200"/>
    </w:pPr>
    <w:rPr>
      <w:rFonts w:ascii="Arial" w:hAnsi="Arial"/>
      <w:b/>
      <w:sz w:val="23"/>
    </w:rPr>
  </w:style>
  <w:style w:type="paragraph" w:customStyle="1" w:styleId="IASBTOCPrimaryPrimary">
    <w:name w:val="IASB TOC Primary Primary"/>
    <w:basedOn w:val="a"/>
    <w:pPr>
      <w:tabs>
        <w:tab w:val="right" w:pos="8647"/>
      </w:tabs>
      <w:spacing w:before="100" w:after="100"/>
    </w:pPr>
    <w:rPr>
      <w:rFonts w:ascii="Arial" w:hAnsi="Arial" w:cs="Arial"/>
      <w:b/>
      <w:caps/>
      <w:sz w:val="20"/>
      <w:szCs w:val="20"/>
    </w:rPr>
  </w:style>
  <w:style w:type="paragraph" w:customStyle="1" w:styleId="IASBTOCPrimary">
    <w:name w:val="IASB TOC Primary"/>
    <w:basedOn w:val="a"/>
    <w:pPr>
      <w:tabs>
        <w:tab w:val="right" w:pos="8647"/>
      </w:tabs>
      <w:spacing w:before="100" w:after="100"/>
    </w:pPr>
    <w:rPr>
      <w:rFonts w:ascii="Arial" w:hAnsi="Arial" w:cs="Arial"/>
      <w:b/>
      <w:caps/>
      <w:sz w:val="18"/>
      <w:szCs w:val="20"/>
    </w:rPr>
  </w:style>
  <w:style w:type="paragraph" w:customStyle="1" w:styleId="IASBTOCParagraph">
    <w:name w:val="IASB TOC Paragraph"/>
    <w:basedOn w:val="a"/>
    <w:pPr>
      <w:spacing w:before="30" w:after="30"/>
    </w:pPr>
    <w:rPr>
      <w:rFonts w:ascii="Arial" w:hAnsi="Arial" w:cs="Arial"/>
      <w:i/>
      <w:sz w:val="18"/>
      <w:szCs w:val="20"/>
    </w:rPr>
  </w:style>
  <w:style w:type="paragraph" w:customStyle="1" w:styleId="IASBTOCSecondary">
    <w:name w:val="IASB TOC Secondary"/>
    <w:basedOn w:val="a"/>
    <w:pPr>
      <w:tabs>
        <w:tab w:val="right" w:pos="8647"/>
      </w:tabs>
      <w:spacing w:before="30" w:after="30"/>
    </w:pPr>
    <w:rPr>
      <w:rFonts w:ascii="Arial" w:hAnsi="Arial" w:cs="Arial"/>
      <w:b/>
      <w:sz w:val="18"/>
      <w:szCs w:val="20"/>
    </w:rPr>
  </w:style>
  <w:style w:type="paragraph" w:customStyle="1" w:styleId="IASBTOCTertiary">
    <w:name w:val="IASB TOC Tertiary"/>
    <w:basedOn w:val="a"/>
    <w:pPr>
      <w:tabs>
        <w:tab w:val="right" w:pos="8647"/>
      </w:tabs>
      <w:spacing w:before="30" w:after="30"/>
      <w:ind w:left="390"/>
    </w:pPr>
    <w:rPr>
      <w:rFonts w:ascii="Arial" w:hAnsi="Arial" w:cs="Arial"/>
      <w:sz w:val="18"/>
      <w:szCs w:val="20"/>
    </w:rPr>
  </w:style>
  <w:style w:type="paragraph" w:customStyle="1" w:styleId="IASBTOCExternal">
    <w:name w:val="IASB TOC External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0" w:after="30"/>
    </w:pPr>
    <w:rPr>
      <w:rFonts w:ascii="Arial" w:hAnsi="Arial" w:cs="Arial"/>
      <w:b/>
      <w:sz w:val="18"/>
      <w:szCs w:val="20"/>
    </w:rPr>
  </w:style>
  <w:style w:type="paragraph" w:customStyle="1" w:styleId="IASBRubric">
    <w:name w:val="IASB Rubric"/>
    <w:basedOn w:val="IASBNormal"/>
    <w:pPr>
      <w:pBdr>
        <w:top w:val="single" w:sz="2" w:space="8" w:color="auto"/>
        <w:left w:val="single" w:sz="2" w:space="5" w:color="auto"/>
        <w:bottom w:val="single" w:sz="2" w:space="5" w:color="auto"/>
        <w:right w:val="single" w:sz="2" w:space="5" w:color="auto"/>
      </w:pBdr>
    </w:pPr>
  </w:style>
  <w:style w:type="paragraph" w:customStyle="1" w:styleId="IASBNote">
    <w:name w:val="IASB Note"/>
    <w:basedOn w:val="IASBNormal"/>
    <w:rsid w:val="00E9784B"/>
  </w:style>
  <w:style w:type="paragraph" w:customStyle="1" w:styleId="IASBBlockquote">
    <w:name w:val="IASB Blockquote"/>
    <w:basedOn w:val="IASBNormal"/>
    <w:pPr>
      <w:ind w:left="1565"/>
    </w:pPr>
    <w:rPr>
      <w:sz w:val="16"/>
    </w:rPr>
  </w:style>
  <w:style w:type="character" w:customStyle="1" w:styleId="IASBEduinsert">
    <w:name w:val="IASB Edu insert"/>
    <w:qFormat/>
  </w:style>
  <w:style w:type="character" w:styleId="a3">
    <w:name w:val="footnote reference"/>
    <w:basedOn w:val="a0"/>
    <w:uiPriority w:val="99"/>
    <w:semiHidden/>
    <w:unhideWhenUsed/>
    <w:rPr>
      <w:rFonts w:cs="Times New Roman"/>
      <w:vertAlign w:val="superscript"/>
    </w:rPr>
  </w:style>
  <w:style w:type="paragraph" w:styleId="a4">
    <w:name w:val="footnote text"/>
    <w:basedOn w:val="IASBSectionTitle2Ind"/>
    <w:next w:val="IASBBlockquote"/>
    <w:uiPriority w:val="99"/>
    <w:semiHidden/>
    <w:rsid w:val="00713675"/>
    <w:pPr>
      <w:keepNext w:val="0"/>
      <w:keepLines w:val="0"/>
      <w:spacing w:before="0" w:after="0"/>
      <w:ind w:hanging="782"/>
    </w:pPr>
    <w:rPr>
      <w:rFonts w:ascii="Times New Roman" w:hAnsi="Times New Roman" w:cs="Times New Roman"/>
      <w:b w:val="0"/>
      <w:sz w:val="16"/>
    </w:rPr>
  </w:style>
  <w:style w:type="paragraph" w:customStyle="1" w:styleId="edufootnotetext">
    <w:name w:val="edu footnote text"/>
    <w:basedOn w:val="IASBSectionTitle2Ind"/>
    <w:next w:val="IASBBlockquote"/>
    <w:link w:val="FootnoteTextChar"/>
    <w:uiPriority w:val="99"/>
    <w:semiHidden/>
    <w:rsid w:val="00713675"/>
    <w:pPr>
      <w:keepNext w:val="0"/>
      <w:keepLines w:val="0"/>
      <w:spacing w:before="0" w:after="0"/>
      <w:ind w:hanging="782"/>
    </w:pPr>
    <w:rPr>
      <w:sz w:val="16"/>
    </w:rPr>
  </w:style>
  <w:style w:type="character" w:customStyle="1" w:styleId="FootnoteTextChar">
    <w:name w:val="Footnote Text Char"/>
    <w:basedOn w:val="a0"/>
    <w:link w:val="edufootnotetext"/>
    <w:uiPriority w:val="99"/>
    <w:semiHidden/>
    <w:rPr>
      <w:sz w:val="20"/>
      <w:szCs w:val="20"/>
      <w:lang w:eastAsia="en-US"/>
    </w:rPr>
  </w:style>
  <w:style w:type="paragraph" w:customStyle="1" w:styleId="IASBNormalL1">
    <w:name w:val="IASB Normal L1"/>
    <w:basedOn w:val="IASBNormalnpara"/>
  </w:style>
  <w:style w:type="paragraph" w:customStyle="1" w:styleId="IASBNormalArialL1">
    <w:name w:val="IASB Normal Arial L1"/>
    <w:basedOn w:val="IASBNormalnpara"/>
    <w:rPr>
      <w:rFonts w:ascii="Arial" w:hAnsi="Arial"/>
    </w:r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4"/>
      <w:szCs w:val="24"/>
      <w:lang w:eastAsia="en-US"/>
    </w:rPr>
  </w:style>
  <w:style w:type="paragraph" w:customStyle="1" w:styleId="IASBRubricL1">
    <w:name w:val="IASB RubricL1"/>
    <w:basedOn w:val="IASBRubric"/>
    <w:pPr>
      <w:ind w:left="782" w:hanging="782"/>
      <w:jc w:val="left"/>
    </w:pPr>
    <w:rPr>
      <w:lang w:eastAsia="en-GB"/>
    </w:rPr>
  </w:style>
  <w:style w:type="paragraph" w:customStyle="1" w:styleId="IASBRubricL2">
    <w:name w:val="IASB RubricL2"/>
    <w:basedOn w:val="IASBRubricL1"/>
    <w:pPr>
      <w:tabs>
        <w:tab w:val="left" w:pos="782"/>
      </w:tabs>
      <w:ind w:left="1565" w:hanging="1565"/>
    </w:pPr>
  </w:style>
  <w:style w:type="paragraph" w:customStyle="1" w:styleId="IASBRubricL3">
    <w:name w:val="IASB RubricL3"/>
    <w:basedOn w:val="IASBRubricL2"/>
    <w:pPr>
      <w:tabs>
        <w:tab w:val="clear" w:pos="782"/>
        <w:tab w:val="left" w:pos="1565"/>
      </w:tabs>
      <w:ind w:left="2347" w:hanging="2347"/>
    </w:pPr>
  </w:style>
  <w:style w:type="paragraph" w:customStyle="1" w:styleId="IASBNormalnparaL2">
    <w:name w:val="IASB Normal nparaL2"/>
    <w:basedOn w:val="IASBNormalnparaL1"/>
    <w:pPr>
      <w:ind w:left="2347"/>
    </w:pPr>
  </w:style>
  <w:style w:type="paragraph" w:customStyle="1" w:styleId="IASBNormalnparaL3">
    <w:name w:val="IASB Normal nparaL3"/>
    <w:basedOn w:val="IASBNormalnparaL2"/>
    <w:pPr>
      <w:ind w:left="3129"/>
    </w:pPr>
  </w:style>
  <w:style w:type="paragraph" w:customStyle="1" w:styleId="IASBNormalnparaL4">
    <w:name w:val="IASB Normal nparaL4"/>
    <w:basedOn w:val="IASBNormalnparaL3"/>
    <w:pPr>
      <w:ind w:left="3912"/>
    </w:pPr>
  </w:style>
  <w:style w:type="paragraph" w:customStyle="1" w:styleId="IASBNormalnparaL5">
    <w:name w:val="IASB Normal nparaL5"/>
    <w:basedOn w:val="IASBNormalnparaL4"/>
    <w:pPr>
      <w:ind w:left="4694"/>
    </w:pPr>
  </w:style>
  <w:style w:type="paragraph" w:customStyle="1" w:styleId="IASBNormalArialnparaL2">
    <w:name w:val="IASB Normal Arial nparaL2"/>
    <w:basedOn w:val="IASBNormalnparaL1"/>
    <w:pPr>
      <w:ind w:left="2347"/>
    </w:pPr>
    <w:rPr>
      <w:rFonts w:ascii="Arial" w:hAnsi="Arial"/>
    </w:rPr>
  </w:style>
  <w:style w:type="paragraph" w:customStyle="1" w:styleId="IASBNormalArialnparaL3">
    <w:name w:val="IASB Normal Arial nparaL3"/>
    <w:basedOn w:val="IASBNormalnparaL2"/>
    <w:pPr>
      <w:ind w:left="3129"/>
    </w:pPr>
    <w:rPr>
      <w:rFonts w:ascii="Arial" w:hAnsi="Arial"/>
    </w:rPr>
  </w:style>
  <w:style w:type="paragraph" w:customStyle="1" w:styleId="IASBNormalArialnparaL4">
    <w:name w:val="IASB Normal Arial nparaL4"/>
    <w:basedOn w:val="IASBNormalnparaL3"/>
    <w:pPr>
      <w:ind w:left="3912"/>
    </w:pPr>
    <w:rPr>
      <w:rFonts w:ascii="Arial" w:hAnsi="Arial"/>
    </w:rPr>
  </w:style>
  <w:style w:type="paragraph" w:customStyle="1" w:styleId="IASBNormalArialnparaL5">
    <w:name w:val="IASB Normal Arial nparaL5"/>
    <w:basedOn w:val="IASBNormalnparaL4"/>
    <w:pPr>
      <w:ind w:left="4694"/>
    </w:pPr>
    <w:rPr>
      <w:rFonts w:ascii="Arial" w:hAnsi="Arial"/>
    </w:rPr>
  </w:style>
  <w:style w:type="paragraph" w:customStyle="1" w:styleId="IASBNormalnparaL1P">
    <w:name w:val="IASB Normal nparaL1P"/>
    <w:basedOn w:val="IASBNormalnparaL2"/>
    <w:pPr>
      <w:ind w:left="1565" w:firstLine="0"/>
    </w:pPr>
  </w:style>
  <w:style w:type="paragraph" w:customStyle="1" w:styleId="IASBNormalnparaL2P">
    <w:name w:val="IASB Normal nparaL2P"/>
    <w:basedOn w:val="IASBNormalnparaL1P"/>
    <w:pPr>
      <w:ind w:left="2347"/>
    </w:pPr>
  </w:style>
  <w:style w:type="paragraph" w:customStyle="1" w:styleId="IASBNormalnparaL3P">
    <w:name w:val="IASB Normal nparaL3P"/>
    <w:basedOn w:val="IASBNormalnparaL2P"/>
    <w:pPr>
      <w:ind w:left="3130"/>
    </w:pPr>
  </w:style>
  <w:style w:type="paragraph" w:customStyle="1" w:styleId="IASBNormalnparaL4P">
    <w:name w:val="IASB Normal nparaL4P"/>
    <w:basedOn w:val="IASBNormalnparaL3P"/>
    <w:pPr>
      <w:ind w:left="3912"/>
    </w:pPr>
  </w:style>
  <w:style w:type="paragraph" w:customStyle="1" w:styleId="IASBNormalnparaL5P">
    <w:name w:val="IASB Normal nparaL5P"/>
    <w:basedOn w:val="IASBNormalnparaL4P"/>
    <w:pPr>
      <w:ind w:left="4751"/>
    </w:pPr>
  </w:style>
  <w:style w:type="paragraph" w:customStyle="1" w:styleId="IASBBlockquoteL1">
    <w:name w:val="IASB BlockquoteL1"/>
    <w:basedOn w:val="IASBBlockquote"/>
    <w:pPr>
      <w:ind w:left="2347" w:hanging="782"/>
    </w:pPr>
  </w:style>
  <w:style w:type="paragraph" w:customStyle="1" w:styleId="IASBBlockquoteL2">
    <w:name w:val="IASB BlockquoteL2"/>
    <w:basedOn w:val="IASBBlockquoteL1"/>
    <w:pPr>
      <w:ind w:left="3129"/>
    </w:pPr>
  </w:style>
  <w:style w:type="paragraph" w:customStyle="1" w:styleId="IASBNormalL2">
    <w:name w:val="IASB Normal L2"/>
    <w:basedOn w:val="IASBNormalL1"/>
    <w:pPr>
      <w:ind w:left="1564"/>
    </w:pPr>
  </w:style>
  <w:style w:type="paragraph" w:customStyle="1" w:styleId="IASBNormalArialL2">
    <w:name w:val="IASB Normal Arial L2"/>
    <w:basedOn w:val="IASBNormalL1"/>
    <w:pPr>
      <w:ind w:left="1564"/>
    </w:pPr>
    <w:rPr>
      <w:rFonts w:ascii="Arial" w:hAnsi="Arial"/>
    </w:rPr>
  </w:style>
  <w:style w:type="paragraph" w:customStyle="1" w:styleId="IASBTOCQuartery">
    <w:name w:val="IASB TOC Quartery"/>
    <w:basedOn w:val="IASBTOCTertiary"/>
    <w:pPr>
      <w:ind w:left="851"/>
    </w:pPr>
  </w:style>
  <w:style w:type="paragraph" w:customStyle="1" w:styleId="IASBNoteTitle">
    <w:name w:val="IASB Note Title"/>
    <w:basedOn w:val="IASBTOCPrimary"/>
    <w:pPr>
      <w:jc w:val="center"/>
    </w:pPr>
    <w:rPr>
      <w:b w:val="0"/>
      <w:caps w:val="0"/>
      <w:sz w:val="24"/>
    </w:rPr>
  </w:style>
  <w:style w:type="paragraph" w:customStyle="1" w:styleId="IASBNormalL1P">
    <w:name w:val="IASB Normal L1P"/>
    <w:basedOn w:val="IASBNormalL1"/>
    <w:qFormat/>
    <w:pPr>
      <w:ind w:firstLine="0"/>
    </w:pPr>
  </w:style>
  <w:style w:type="paragraph" w:customStyle="1" w:styleId="IASBNormalL2P">
    <w:name w:val="IASB Normal L2P"/>
    <w:basedOn w:val="IASBNormalL1P"/>
    <w:qFormat/>
    <w:pPr>
      <w:ind w:left="1565"/>
    </w:pPr>
  </w:style>
  <w:style w:type="paragraph" w:customStyle="1" w:styleId="IASBNormalnparaC">
    <w:name w:val="IASB Normal nparaC"/>
    <w:basedOn w:val="IASBNormalnpara"/>
    <w:qFormat/>
    <w:pPr>
      <w:spacing w:before="0"/>
    </w:pPr>
  </w:style>
  <w:style w:type="paragraph" w:customStyle="1" w:styleId="IASBEdupara">
    <w:name w:val="IASB Edu para"/>
    <w:basedOn w:val="IASBNormal"/>
    <w:qFormat/>
  </w:style>
  <w:style w:type="paragraph" w:customStyle="1" w:styleId="IASBTableBoldTNR">
    <w:name w:val="IASB Table Bold TNR"/>
    <w:basedOn w:val="a"/>
    <w:qFormat/>
    <w:pPr>
      <w:spacing w:before="120"/>
    </w:pPr>
    <w:rPr>
      <w:b/>
      <w:sz w:val="19"/>
      <w:szCs w:val="20"/>
      <w:lang w:eastAsia="en-GB"/>
    </w:rPr>
  </w:style>
  <w:style w:type="paragraph" w:customStyle="1" w:styleId="IASBTableHeaderTNR">
    <w:name w:val="IASB Table Header TNR"/>
    <w:basedOn w:val="a"/>
    <w:qFormat/>
    <w:pPr>
      <w:keepNext/>
      <w:spacing w:before="120" w:after="200" w:line="276" w:lineRule="auto"/>
    </w:pPr>
    <w:rPr>
      <w:sz w:val="19"/>
      <w:szCs w:val="20"/>
      <w:lang w:eastAsia="en-GB"/>
    </w:rPr>
  </w:style>
  <w:style w:type="paragraph" w:customStyle="1" w:styleId="IASBTableTNR">
    <w:name w:val="IASB Table TNR"/>
    <w:basedOn w:val="a"/>
    <w:qFormat/>
    <w:pPr>
      <w:spacing w:before="120"/>
    </w:pPr>
    <w:rPr>
      <w:sz w:val="19"/>
      <w:szCs w:val="20"/>
      <w:lang w:eastAsia="en-GB"/>
    </w:rPr>
  </w:style>
  <w:style w:type="paragraph" w:customStyle="1" w:styleId="IASBTableNormal">
    <w:name w:val="IASB Table Normal"/>
    <w:basedOn w:val="a"/>
    <w:pPr>
      <w:spacing w:before="80" w:after="60"/>
    </w:pPr>
    <w:rPr>
      <w:sz w:val="19"/>
      <w:szCs w:val="20"/>
      <w:lang w:eastAsia="en-GB"/>
    </w:rPr>
  </w:style>
  <w:style w:type="paragraph" w:customStyle="1" w:styleId="IASBTableArial">
    <w:name w:val="IASB Table Arial"/>
    <w:basedOn w:val="a"/>
    <w:pPr>
      <w:spacing w:before="120"/>
    </w:pPr>
    <w:rPr>
      <w:rFonts w:ascii="Arial" w:hAnsi="Arial"/>
      <w:sz w:val="18"/>
      <w:szCs w:val="20"/>
      <w:lang w:eastAsia="en-GB"/>
    </w:rPr>
  </w:style>
  <w:style w:type="paragraph" w:customStyle="1" w:styleId="IASBTableBoldArial">
    <w:name w:val="IASB Table Bold Arial"/>
    <w:basedOn w:val="IASBTableArial"/>
    <w:qFormat/>
    <w:pPr>
      <w:spacing w:after="60"/>
    </w:pPr>
    <w:rPr>
      <w:b/>
    </w:rPr>
  </w:style>
  <w:style w:type="paragraph" w:customStyle="1" w:styleId="IASBTableHeaderArial">
    <w:name w:val="IASB Table Header Arial"/>
    <w:basedOn w:val="IASBTableArial"/>
    <w:qFormat/>
    <w:pPr>
      <w:keepNext/>
      <w:spacing w:after="100"/>
    </w:pPr>
    <w:rPr>
      <w:b/>
    </w:rPr>
  </w:style>
  <w:style w:type="character" w:styleId="a9">
    <w:name w:val="endnote reference"/>
    <w:basedOn w:val="a0"/>
    <w:uiPriority w:val="99"/>
    <w:semiHidden/>
    <w:unhideWhenUsed/>
    <w:rsid w:val="004B3E7E"/>
    <w:rPr>
      <w:rFonts w:cs="Times New Roman"/>
      <w:vertAlign w:val="superscript"/>
    </w:rPr>
  </w:style>
  <w:style w:type="paragraph" w:customStyle="1" w:styleId="IASBNormalL3">
    <w:name w:val="IASB Normal L3"/>
    <w:basedOn w:val="IASBNormalL2"/>
    <w:qFormat/>
    <w:rsid w:val="0078108C"/>
    <w:pPr>
      <w:ind w:left="2268" w:hanging="708"/>
    </w:pPr>
  </w:style>
  <w:style w:type="paragraph" w:customStyle="1" w:styleId="IASBNormalArialL3">
    <w:name w:val="IASB Normal Arial L3"/>
    <w:basedOn w:val="IASBNormalL2"/>
    <w:qFormat/>
    <w:rsid w:val="0078108C"/>
    <w:pPr>
      <w:ind w:left="2268" w:hanging="708"/>
    </w:pPr>
    <w:rPr>
      <w:rFonts w:ascii="Arial" w:hAnsi="Arial"/>
    </w:rPr>
  </w:style>
  <w:style w:type="paragraph" w:customStyle="1" w:styleId="IASBNormalL3P">
    <w:name w:val="IASB Normal L3P"/>
    <w:basedOn w:val="IASBNormalL2P"/>
    <w:qFormat/>
    <w:rsid w:val="0078108C"/>
    <w:pPr>
      <w:ind w:left="2268"/>
    </w:pPr>
  </w:style>
  <w:style w:type="paragraph" w:customStyle="1" w:styleId="IASBNormalL4">
    <w:name w:val="IASB Normal L4"/>
    <w:basedOn w:val="IASBNormalL3"/>
    <w:qFormat/>
    <w:rsid w:val="0078108C"/>
    <w:pPr>
      <w:ind w:left="2977"/>
    </w:pPr>
  </w:style>
  <w:style w:type="paragraph" w:customStyle="1" w:styleId="IASBNormalArialL4">
    <w:name w:val="IASB Normal Arial L4"/>
    <w:basedOn w:val="IASBNormalL3"/>
    <w:qFormat/>
    <w:rsid w:val="0078108C"/>
    <w:pPr>
      <w:ind w:left="2977"/>
    </w:pPr>
    <w:rPr>
      <w:rFonts w:ascii="Arial" w:hAnsi="Arial"/>
    </w:rPr>
  </w:style>
  <w:style w:type="paragraph" w:customStyle="1" w:styleId="IASBNormalL4P">
    <w:name w:val="IASB Normal L4P"/>
    <w:basedOn w:val="IASBNormalL3P"/>
    <w:qFormat/>
    <w:rsid w:val="0078108C"/>
    <w:pPr>
      <w:ind w:left="2977"/>
    </w:pPr>
  </w:style>
  <w:style w:type="paragraph" w:styleId="aa">
    <w:name w:val="Balloon Text"/>
    <w:basedOn w:val="a"/>
    <w:link w:val="ab"/>
    <w:uiPriority w:val="99"/>
    <w:semiHidden/>
    <w:unhideWhenUsed/>
    <w:rsid w:val="0082563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5631"/>
    <w:rPr>
      <w:rFonts w:ascii="Segoe UI" w:hAnsi="Segoe UI" w:cs="Segoe UI"/>
      <w:sz w:val="18"/>
      <w:szCs w:val="18"/>
      <w:lang w:eastAsia="en-US"/>
    </w:rPr>
  </w:style>
  <w:style w:type="character" w:styleId="ac">
    <w:name w:val="annotation reference"/>
    <w:basedOn w:val="a0"/>
    <w:uiPriority w:val="99"/>
    <w:semiHidden/>
    <w:unhideWhenUsed/>
    <w:rsid w:val="00F40D0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F40D0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F40D03"/>
    <w:rPr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40D0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40D03"/>
    <w:rPr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C872CE"/>
    <w:pPr>
      <w:spacing w:after="0" w:line="240" w:lineRule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32"/>
    <w:rsid w:val="00C81332"/>
    <w:rsid w:val="00D0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ED137E8153547C99D72B03A7C20131C">
    <w:name w:val="7ED137E8153547C99D72B03A7C20131C"/>
    <w:rsid w:val="00C81332"/>
  </w:style>
  <w:style w:type="paragraph" w:customStyle="1" w:styleId="DC810105C5474BD68EE86907401066D1">
    <w:name w:val="DC810105C5474BD68EE86907401066D1"/>
    <w:rsid w:val="00C81332"/>
  </w:style>
  <w:style w:type="paragraph" w:customStyle="1" w:styleId="77F23A047E2542CF81EF644B77F3B8E1">
    <w:name w:val="77F23A047E2542CF81EF644B77F3B8E1"/>
    <w:rsid w:val="00C81332"/>
  </w:style>
  <w:style w:type="paragraph" w:customStyle="1" w:styleId="E2DAD8660C9E4448A68CABA3EC82C371">
    <w:name w:val="E2DAD8660C9E4448A68CABA3EC82C371"/>
    <w:rsid w:val="00C81332"/>
  </w:style>
  <w:style w:type="paragraph" w:customStyle="1" w:styleId="258012C38E484248922C6610232FEFF6">
    <w:name w:val="258012C38E484248922C6610232FEFF6"/>
    <w:rsid w:val="00C81332"/>
  </w:style>
  <w:style w:type="paragraph" w:customStyle="1" w:styleId="959660458BF444B5BCEED478DB60A9DE">
    <w:name w:val="959660458BF444B5BCEED478DB60A9DE"/>
    <w:rsid w:val="00C81332"/>
  </w:style>
  <w:style w:type="paragraph" w:customStyle="1" w:styleId="DB4B1F405952452EB731A1AFAA49B43D">
    <w:name w:val="DB4B1F405952452EB731A1AFAA49B43D"/>
    <w:rsid w:val="00C81332"/>
  </w:style>
  <w:style w:type="paragraph" w:customStyle="1" w:styleId="0468485F58F2450CBB7D8DBC26CB5FDD">
    <w:name w:val="0468485F58F2450CBB7D8DBC26CB5FDD"/>
    <w:rsid w:val="00C813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284443D39C047BFB7B26CC769F073" ma:contentTypeVersion="12" ma:contentTypeDescription="Create a new document." ma:contentTypeScope="" ma:versionID="14a725435a93184da95e080976ca60cd">
  <xsd:schema xmlns:xsd="http://www.w3.org/2001/XMLSchema" xmlns:xs="http://www.w3.org/2001/XMLSchema" xmlns:p="http://schemas.microsoft.com/office/2006/metadata/properties" xmlns:ns2="ec49eb38-6cb5-483f-a298-4a90bdd00051" xmlns:ns3="dd1af2b0-f65d-434c-8a17-aadcdb553b78" targetNamespace="http://schemas.microsoft.com/office/2006/metadata/properties" ma:root="true" ma:fieldsID="5ea2c8799ecb1b8d9c6bfc2ae75c52a6" ns2:_="" ns3:_="">
    <xsd:import namespace="ec49eb38-6cb5-483f-a298-4a90bdd00051"/>
    <xsd:import namespace="dd1af2b0-f65d-434c-8a17-aadcdb553b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9eb38-6cb5-483f-a298-4a90bdd00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af2b0-f65d-434c-8a17-aadcdb553b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412242-88F4-4540-AA78-3E246A836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9eb38-6cb5-483f-a298-4a90bdd00051"/>
    <ds:schemaRef ds:uri="dd1af2b0-f65d-434c-8a17-aadcdb553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2F925B-E6D4-4769-85A4-5C5357A5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E22FBF-5A8D-454E-90D7-94C3FAC7D8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lastModifiedBy>БАРИНОВА ГАЛИНА ВИКТОРОВНА</cp:lastModifiedBy>
  <cp:revision>9</cp:revision>
  <cp:lastPrinted>2021-11-16T16:59:00Z</cp:lastPrinted>
  <dcterms:created xsi:type="dcterms:W3CDTF">2024-01-23T07:06:00Z</dcterms:created>
  <dcterms:modified xsi:type="dcterms:W3CDTF">2024-01-23T07:59:00Z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0x01010083E284443D39C047BFB7B26CC769F073</vt:lpwstr>
  </property>
  <property fmtid="{D5CDD505-2E9C-101B-9397-08002B2CF9AE}" pid="3" name="Hash">
    <vt:lpwstr>09D7CCED5273E6BE6A31BB378FE0B610475BECA93E0A1D1F06F364624D8419AD</vt:lpwstr>
  </property>
  <property fmtid="{D5CDD505-2E9C-101B-9397-08002B2CF9AE}" pid="4" name="Hide date">
    <vt:lpwstr>4/12/2021 11:53:55 AM</vt:lpwstr>
  </property>
  <property fmtid="{D5CDD505-2E9C-101B-9397-08002B2CF9AE}" pid="5" name="Classification">
    <vt:lpwstr>Public</vt:lpwstr>
  </property>
</Properties>
</file>