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72" w:rsidRDefault="00C90C72" w:rsidP="00C90C72">
      <w:pPr>
        <w:pStyle w:val="1"/>
      </w:pPr>
      <w:r>
        <w:rPr>
          <w:bCs/>
          <w:lang w:val="ru-RU"/>
        </w:rPr>
        <w:t xml:space="preserve">ПРЕДИСЛОВИЕ К СБОРНИКУ МЕЖДУНАРОДНЫХ СТАНДАРТОВ </w:t>
      </w:r>
      <w:r w:rsidR="00B834DE">
        <w:rPr>
          <w:bCs/>
          <w:lang w:val="ru-RU"/>
        </w:rPr>
        <w:t>УПРАВЛЕНИЯ</w:t>
      </w:r>
      <w:r>
        <w:rPr>
          <w:bCs/>
          <w:lang w:val="ru-RU"/>
        </w:rPr>
        <w:t xml:space="preserve"> КАЧЕСТВ</w:t>
      </w:r>
      <w:r w:rsidR="00B834DE">
        <w:rPr>
          <w:bCs/>
          <w:lang w:val="ru-RU"/>
        </w:rPr>
        <w:t>ОМ</w:t>
      </w:r>
      <w:r>
        <w:rPr>
          <w:bCs/>
          <w:lang w:val="ru-RU"/>
        </w:rPr>
        <w:t>, АУДИТА И ОБЗОРНЫХ ПРОВЕРОК, ПРОЧИХ ЗАДАНИЙ, ОБЕСПЕЧИВАЮЩИХ УВЕРЕННОСТЬ, И ЗАДАНИЙ ПО ОКАЗАНИЮ СОПУТСТВУЮЩИХ УСЛУГ</w:t>
      </w:r>
    </w:p>
    <w:p w:rsidR="00C90C72" w:rsidRDefault="00C90C72" w:rsidP="00C90C72">
      <w:pPr>
        <w:pStyle w:val="Heading2ChapterHeading"/>
        <w:spacing w:before="0"/>
        <w:rPr>
          <w:lang w:val="ru-RU"/>
        </w:rPr>
      </w:pPr>
    </w:p>
    <w:p w:rsidR="00C90C72" w:rsidRDefault="00C90C72" w:rsidP="00C90C72">
      <w:pPr>
        <w:pStyle w:val="Heading2ChapterHeading"/>
        <w:spacing w:before="0"/>
      </w:pPr>
      <w:r>
        <w:rPr>
          <w:lang w:val="ru-RU"/>
        </w:rPr>
        <w:t>Введение</w:t>
      </w:r>
    </w:p>
    <w:p w:rsidR="00C90C72" w:rsidRPr="00225865" w:rsidRDefault="00C90C72" w:rsidP="00C90C72">
      <w:pPr>
        <w:pStyle w:val="IFACListStyle1"/>
        <w:ind w:left="734"/>
        <w:rPr>
          <w:lang w:val="ru-RU"/>
        </w:rPr>
      </w:pPr>
      <w:r>
        <w:rPr>
          <w:lang w:val="ru-RU"/>
        </w:rPr>
        <w:t xml:space="preserve">Данное предисловие к </w:t>
      </w:r>
      <w:r>
        <w:rPr>
          <w:i/>
          <w:iCs/>
          <w:lang w:val="ru-RU"/>
        </w:rPr>
        <w:t xml:space="preserve">Сборнику международных стандартов </w:t>
      </w:r>
      <w:r w:rsidR="00B834DE">
        <w:rPr>
          <w:i/>
          <w:iCs/>
          <w:lang w:val="ru-RU"/>
        </w:rPr>
        <w:t>управления</w:t>
      </w:r>
      <w:r>
        <w:rPr>
          <w:i/>
          <w:iCs/>
          <w:lang w:val="ru-RU"/>
        </w:rPr>
        <w:t xml:space="preserve"> </w:t>
      </w:r>
      <w:r w:rsidR="00B834DE">
        <w:rPr>
          <w:i/>
          <w:iCs/>
          <w:lang w:val="ru-RU"/>
        </w:rPr>
        <w:t>качеством</w:t>
      </w:r>
      <w:r>
        <w:rPr>
          <w:i/>
          <w:iCs/>
          <w:lang w:val="ru-RU"/>
        </w:rPr>
        <w:t>, аудита и обзорных проверок, прочих заданий, обеспечивающих уверенность, и заданий по оказанию сопутствующих услуг</w:t>
      </w:r>
      <w:r>
        <w:rPr>
          <w:lang w:val="ru-RU"/>
        </w:rPr>
        <w:t xml:space="preserve"> призвано способствовать пониманию области применения и сферы действия стандартов и документов, опубликованных Советом по международным стандартам аудита и заданий, обеспечивающих уверенность, как это изложено в Общих положениях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 xml:space="preserve">Целью Совета по международным стандартам аудита и заданий, обеспечивающих уверенность, является разработка системы международных стандартов и других документов, которая будет принята во всем мире. Члены Совета по международным стандартам аудита и заданий, обеспечивающих уверенность, действуют в интересах общества в целом и бухгалтерской профессии в мировом масштабе. В результате позиция членов Совета по международным стандартам аудита и заданий, обеспечивающих уверенность, по какому-либо вопросу может противоречить практике, принятой в их стране или организации, или позиции тех, кто выдвинул их кандидатуры на членство в Совете по международным стандартам аудита и заданий, обеспечивающих уверенность. </w:t>
      </w:r>
    </w:p>
    <w:p w:rsidR="00C90C72" w:rsidRDefault="00C90C72" w:rsidP="00C90C72">
      <w:pPr>
        <w:pStyle w:val="Heading2ChapterHeading"/>
      </w:pPr>
      <w:r>
        <w:rPr>
          <w:lang w:val="ru-RU"/>
        </w:rPr>
        <w:t>Предисловие к стандартам и документы Совета по международным стандартам аудита и заданий, обеспечивающих уверенность</w:t>
      </w:r>
    </w:p>
    <w:p w:rsidR="00C90C72" w:rsidRDefault="00C90C72" w:rsidP="00C90C72">
      <w:pPr>
        <w:pStyle w:val="Heading3Stacked"/>
        <w:rPr>
          <w:b w:val="0"/>
        </w:rPr>
      </w:pPr>
      <w:r>
        <w:rPr>
          <w:rStyle w:val="30"/>
          <w:b/>
          <w:bCs/>
          <w:lang w:val="ru-RU"/>
        </w:rPr>
        <w:t>Официальные стандарты и документы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Стандарты и документы Совета по международным стандартам аудита и заданий, обеспечивающих уверенность, регулируют аудит и обзорные проверки, прочие задания, обеспечивающие уверенность, и задания по оказанию сопутствующих услуг, выполняемые в соответствии с международными стандартами. Они не имеют приоритета над местными законами или нормативными актами, которые регулируют аудит финансовой отчетности за прошедшие периоды или задания, обеспечивающие уверенность в отношении прочей информации, в какой-либо определенной стране и которые необходимо соблюдать в соответствии с национальными стандартами этой страны. В случае если требования местного законодательства или регулирования отличаются от требований стандартов Совета по международным стандартам аудита и заданий, обеспечивающих уверенность, либо противоречат им в каком-либо вопросе, задание, выполняемое в соответствии с местными законами или нормативными актами, не будет автоматически соответствовать стандартам Совета по международным стандартам аудита и заданий, обеспечивающих уверенность. Профессиональный бухгалтер не должен заявлять о соответствии стандартам Совета по международным стандартам аудита и заданий, обеспечивающих уверенность, за исключением тех случаев, когда он полностью выполняет требования всех стандартов Совета по международным стандартам аудита и заданий, обеспечивающих уверенность, применимых к какому-либо конкретному заданию.</w:t>
      </w:r>
    </w:p>
    <w:p w:rsidR="00C90C72" w:rsidRPr="00225865" w:rsidRDefault="00C90C72" w:rsidP="00C90C72">
      <w:pPr>
        <w:pStyle w:val="IFACListStyle1"/>
        <w:ind w:left="734"/>
        <w:rPr>
          <w:lang w:val="ru-RU"/>
        </w:rPr>
      </w:pPr>
      <w:r>
        <w:rPr>
          <w:lang w:val="ru-RU"/>
        </w:rPr>
        <w:t xml:space="preserve">Официальные стандарты Совета по международным стандартам аудита и заданий, обеспечивающих уверенность – это международные стандарты, которые публикуются после завершения процедуры одобрения и выпуска стандартов, установленной Советом по международным стандартам аудита и заданий, обеспечивающих уверенность. </w:t>
      </w:r>
    </w:p>
    <w:p w:rsidR="00C90C72" w:rsidRDefault="00C90C72" w:rsidP="00C90C72">
      <w:pPr>
        <w:pStyle w:val="Heading2ChapterHeading"/>
      </w:pPr>
      <w:r>
        <w:rPr>
          <w:lang w:val="ru-RU"/>
        </w:rPr>
        <w:t>Область применения международных стандартов, опубликованных Советом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Международные стандарты аудита (МСА) должны применяться к аудиту финансовой информации прошедших периодов.</w:t>
      </w:r>
    </w:p>
    <w:p w:rsidR="00C90C72" w:rsidRPr="00225865" w:rsidRDefault="00C90C72" w:rsidP="00C90C72">
      <w:pPr>
        <w:pStyle w:val="IFACListStyle1"/>
        <w:ind w:left="734"/>
        <w:rPr>
          <w:lang w:val="ru-RU"/>
        </w:rPr>
      </w:pPr>
      <w:r>
        <w:rPr>
          <w:lang w:val="ru-RU"/>
        </w:rPr>
        <w:t xml:space="preserve">Международные стандарты обзорных проверок (МСОП) должны применяться к обзорным проверкам финансовой информации прошедших периодов. </w:t>
      </w:r>
    </w:p>
    <w:p w:rsidR="00C90C72" w:rsidRPr="00225865" w:rsidRDefault="00C90C72" w:rsidP="00C90C72">
      <w:pPr>
        <w:pStyle w:val="IFACListStyle1"/>
        <w:ind w:left="734"/>
        <w:rPr>
          <w:lang w:val="ru-RU"/>
        </w:rPr>
      </w:pPr>
      <w:r>
        <w:rPr>
          <w:lang w:val="ru-RU"/>
        </w:rPr>
        <w:t>Международные стандарты заданий, обеспечивающих уверенность (МСЗОУ), должны применяться к заданиям, обеспечивающим уверенность, за исключением аудита или обзорных проверок финансовой информации прошедших периодов.</w:t>
      </w:r>
    </w:p>
    <w:p w:rsidR="00C90C72" w:rsidRPr="00225865" w:rsidRDefault="00C90C72" w:rsidP="00C90C72">
      <w:pPr>
        <w:pStyle w:val="IFACListStyle1"/>
        <w:numPr>
          <w:ilvl w:val="0"/>
          <w:numId w:val="0"/>
        </w:numPr>
        <w:ind w:left="734" w:hanging="547"/>
        <w:rPr>
          <w:lang w:val="ru-RU"/>
        </w:rPr>
      </w:pPr>
    </w:p>
    <w:p w:rsidR="00C90C72" w:rsidRPr="00225865" w:rsidRDefault="00C90C72" w:rsidP="00B834DE">
      <w:pPr>
        <w:pStyle w:val="IFACListStyle1"/>
        <w:ind w:left="734"/>
        <w:rPr>
          <w:lang w:val="ru-RU"/>
        </w:rPr>
      </w:pPr>
      <w:r>
        <w:rPr>
          <w:lang w:val="ru-RU"/>
        </w:rPr>
        <w:t>Международные стандарты сопутствующих услуг (МССУ) должны применяться к заданиям по компиляции финансовой информации, заданиям по выполнению согласованных процедур и другим заданиям по оказанию сопутствующих услуг в соответствии с определениями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МСА, МСОП, МСЗОУ и МССУ в совокупности именуются стандартами выполнения заданий, обеспечивающих уверенность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 xml:space="preserve">Международные стандарты </w:t>
      </w:r>
      <w:r w:rsidR="00B834DE">
        <w:rPr>
          <w:lang w:val="ru-RU"/>
        </w:rPr>
        <w:t xml:space="preserve">управления </w:t>
      </w:r>
      <w:r>
        <w:rPr>
          <w:lang w:val="ru-RU"/>
        </w:rPr>
        <w:t>качеств</w:t>
      </w:r>
      <w:r w:rsidR="00B834DE">
        <w:rPr>
          <w:lang w:val="ru-RU"/>
        </w:rPr>
        <w:t>ом (МС</w:t>
      </w:r>
      <w:r>
        <w:rPr>
          <w:lang w:val="ru-RU"/>
        </w:rPr>
        <w:t>К) должны применяться в отношении всех услуг, на которые распространяется действие стандартов выполнения заданий Совета по международным стандартам аудита и заданий, обеспечивающих уверенность.</w:t>
      </w:r>
    </w:p>
    <w:p w:rsidR="00C90C72" w:rsidRDefault="00C90C72" w:rsidP="00C90C72">
      <w:pPr>
        <w:pStyle w:val="Heading3SectionHeadingsNormalStylePlus"/>
      </w:pPr>
      <w:r>
        <w:rPr>
          <w:lang w:val="ru-RU"/>
        </w:rPr>
        <w:t>Международные стандарты аудита</w:t>
      </w:r>
    </w:p>
    <w:p w:rsidR="00C90C72" w:rsidRDefault="00C90C72" w:rsidP="00C90C72">
      <w:pPr>
        <w:pStyle w:val="IFACListStyle1"/>
        <w:ind w:left="734"/>
      </w:pPr>
      <w:r>
        <w:rPr>
          <w:lang w:val="ru-RU"/>
        </w:rPr>
        <w:t xml:space="preserve">МСА предназначены для применения к аудиту финансовой отчетности, который проводится </w:t>
      </w:r>
      <w:r>
        <w:rPr>
          <w:vertAlign w:val="superscript"/>
        </w:rPr>
        <w:footnoteReference w:id="1"/>
      </w:r>
      <w:r>
        <w:rPr>
          <w:lang w:val="ru-RU"/>
        </w:rPr>
        <w:t>независимым аудитором. В тех случаях, когда они применяются в ходе аудита иной финансовой информации прошедших периодов, их следует рассматривать с учетом специфики, продиктованной обстоятельствами конкретного задания. Область применения МСА описана в МСА 200.</w:t>
      </w:r>
      <w:r>
        <w:rPr>
          <w:vertAlign w:val="superscript"/>
        </w:rPr>
        <w:footnoteReference w:id="2"/>
      </w:r>
    </w:p>
    <w:p w:rsidR="00C90C72" w:rsidRDefault="00C90C72" w:rsidP="00C90C72">
      <w:pPr>
        <w:pStyle w:val="Heading3SectionHeadingsNormalStylePlus"/>
      </w:pPr>
      <w:r>
        <w:rPr>
          <w:lang w:val="ru-RU"/>
        </w:rPr>
        <w:t xml:space="preserve">Международные стандарты </w:t>
      </w:r>
      <w:r w:rsidR="00B834DE">
        <w:rPr>
          <w:lang w:val="ru-RU"/>
        </w:rPr>
        <w:t>управления</w:t>
      </w:r>
      <w:r>
        <w:rPr>
          <w:lang w:val="ru-RU"/>
        </w:rPr>
        <w:t xml:space="preserve"> качеств</w:t>
      </w:r>
      <w:r w:rsidR="00B834DE">
        <w:rPr>
          <w:lang w:val="ru-RU"/>
        </w:rPr>
        <w:t>ом</w:t>
      </w:r>
      <w:r>
        <w:rPr>
          <w:lang w:val="ru-RU"/>
        </w:rPr>
        <w:t xml:space="preserve"> </w:t>
      </w:r>
    </w:p>
    <w:p w:rsidR="00C90C72" w:rsidRPr="00B834DE" w:rsidRDefault="00C90C72" w:rsidP="00C90C72">
      <w:pPr>
        <w:pStyle w:val="IFACListStyle1"/>
        <w:ind w:left="734"/>
        <w:rPr>
          <w:lang w:val="ru-RU"/>
        </w:rPr>
      </w:pPr>
      <w:r>
        <w:rPr>
          <w:lang w:val="ru-RU"/>
        </w:rPr>
        <w:t xml:space="preserve">Международные стандарты </w:t>
      </w:r>
      <w:r w:rsidR="00B834DE">
        <w:rPr>
          <w:lang w:val="ru-RU"/>
        </w:rPr>
        <w:t>управления качеством</w:t>
      </w:r>
      <w:r>
        <w:rPr>
          <w:lang w:val="ru-RU"/>
        </w:rPr>
        <w:t xml:space="preserve"> предназначены для применения аудиторскими организациями в отношении всех предоставляемых ими услуг, подпадающих под определение стандартов выполнения заданий Совета по международным стандартам аудита и заданий, обеспечивающих уве</w:t>
      </w:r>
      <w:r w:rsidR="00B834DE">
        <w:rPr>
          <w:lang w:val="ru-RU"/>
        </w:rPr>
        <w:t>ренность. Область применения МСК описана во введении к МС</w:t>
      </w:r>
      <w:r>
        <w:rPr>
          <w:lang w:val="ru-RU"/>
        </w:rPr>
        <w:t>К</w:t>
      </w:r>
      <w:r w:rsidR="00B834DE">
        <w:rPr>
          <w:rStyle w:val="a7"/>
          <w:lang w:val="ru-RU"/>
        </w:rPr>
        <w:footnoteReference w:id="3"/>
      </w:r>
      <w:r>
        <w:rPr>
          <w:lang w:val="ru-RU"/>
        </w:rPr>
        <w:t>.</w:t>
      </w:r>
    </w:p>
    <w:p w:rsidR="00C90C72" w:rsidRDefault="00C90C72" w:rsidP="00C90C72">
      <w:pPr>
        <w:pStyle w:val="Heading3SectionHeadingsNormalStylePlus"/>
      </w:pPr>
      <w:r>
        <w:rPr>
          <w:lang w:val="ru-RU"/>
        </w:rPr>
        <w:t>Другие международные стандарты</w:t>
      </w:r>
    </w:p>
    <w:p w:rsidR="00C90C72" w:rsidRPr="00225865" w:rsidRDefault="00C90C72" w:rsidP="00C90C72">
      <w:pPr>
        <w:pStyle w:val="IFACListStyle1"/>
        <w:ind w:left="734"/>
        <w:rPr>
          <w:lang w:val="ru-RU"/>
        </w:rPr>
      </w:pPr>
      <w:r>
        <w:rPr>
          <w:lang w:val="ru-RU"/>
        </w:rPr>
        <w:t>Некоторые международные стандарты, указанные в пунктах 6–8, содержат информацию о целях и требованиях, руководство по применению и прочие пояснительные материалы, а также вводные положения и определения. Эти термины должны толковаться аналогично тому, как они разъясняются в контексте Международных стандартов аудита при аудите финансовой отчетности в соответствии с МСА 200.</w:t>
      </w:r>
    </w:p>
    <w:p w:rsidR="00C90C72" w:rsidRPr="00225865" w:rsidRDefault="00C90C72" w:rsidP="00C90C72">
      <w:pPr>
        <w:pStyle w:val="IFACListStyle1"/>
        <w:ind w:left="734"/>
        <w:rPr>
          <w:lang w:val="ru-RU"/>
        </w:rPr>
      </w:pPr>
      <w:r>
        <w:rPr>
          <w:lang w:val="ru-RU"/>
        </w:rPr>
        <w:t>Другие международные стандарты, установленные в пунктах 6–8, содержат основные принципы и обязательные процедуры (выделенные в тексте полужирным шрифтом и обозначенные словами «следует», «должны»), а также соответствующие указания в форме пояснительных и иных материалов, включая приложения. Основные принципы и обязательные процедуры должны истолковываться и применяться в контексте пояснительных и иных материалов, которые содержат указания по их применению. Поэтому необходимо изучить весь текст стандарта, чтобы понять и применять основные принципы и обязательные процедуры.</w:t>
      </w:r>
    </w:p>
    <w:p w:rsidR="00C90C72" w:rsidRPr="00225865" w:rsidRDefault="00C90C72" w:rsidP="00C90C72">
      <w:pPr>
        <w:pStyle w:val="IFACListStyle1"/>
        <w:ind w:left="734"/>
        <w:rPr>
          <w:lang w:val="ru-RU"/>
        </w:rPr>
      </w:pPr>
      <w:r>
        <w:rPr>
          <w:lang w:val="ru-RU"/>
        </w:rPr>
        <w:t xml:space="preserve">Основные принципы и обязательные процедуры Стандарта должны применяться во всех случаях, когда они являются уместными в конкретных условиях задания. Однако в исключительных обстоятельствах профессиональный бухгалтер может счесть необходимым отступить от соответствующей обязательной процедуры, чтобы достичь цели такой процедуры. Когда возникает такая ситуация, профессиональный бухгалтер обязан задокументировать то, каким образом выполненные альтернативные процедуры достигают цели обязательной процедуры и причины такого отступления, если последние не являются очевидными. Необходимость отступления от соответствующей обязательной процедуры, с которой столкнулся профессиональный бухгалтер, может возникнуть лишь тогда, когда такая процедура оказалась бы неэффективной в конкретных обстоятельствах задания. </w:t>
      </w:r>
    </w:p>
    <w:p w:rsidR="00C90C72" w:rsidRPr="00225865" w:rsidRDefault="00C90C72" w:rsidP="00C90C72">
      <w:pPr>
        <w:pStyle w:val="IFACListStyle1"/>
        <w:ind w:left="734"/>
        <w:rPr>
          <w:lang w:val="ru-RU"/>
        </w:rPr>
      </w:pPr>
      <w:r>
        <w:rPr>
          <w:lang w:val="ru-RU"/>
        </w:rPr>
        <w:t>Приложения, которые составляют часть руководства по применению, являются неотъемлемой частью стандарта. Цель и назначение приложений объясняются в основной части соответствующего стандарта или в названии самого приложения и во введении к нему.</w:t>
      </w:r>
    </w:p>
    <w:p w:rsidR="00C90C72" w:rsidRDefault="00C90C72" w:rsidP="00C90C72">
      <w:pPr>
        <w:pStyle w:val="NumberedParagraph"/>
        <w:tabs>
          <w:tab w:val="clear" w:pos="312"/>
          <w:tab w:val="clear" w:pos="480"/>
          <w:tab w:val="left" w:pos="720"/>
        </w:tabs>
        <w:spacing w:before="180" w:line="240" w:lineRule="exact"/>
        <w:ind w:left="734" w:hanging="734"/>
        <w:jc w:val="left"/>
        <w:rPr>
          <w:b/>
          <w:sz w:val="20"/>
          <w:szCs w:val="20"/>
        </w:rPr>
      </w:pPr>
      <w:r>
        <w:rPr>
          <w:b/>
          <w:bCs/>
          <w:sz w:val="20"/>
          <w:szCs w:val="20"/>
          <w:lang w:val="ru-RU"/>
        </w:rPr>
        <w:lastRenderedPageBreak/>
        <w:t>Профессиональное суждение</w:t>
      </w:r>
    </w:p>
    <w:p w:rsidR="00C90C72" w:rsidRPr="00225865" w:rsidRDefault="00C90C72" w:rsidP="00C90C72">
      <w:pPr>
        <w:pStyle w:val="IFACListStyle1"/>
        <w:ind w:left="734"/>
        <w:rPr>
          <w:lang w:val="ru-RU"/>
        </w:rPr>
      </w:pPr>
      <w:r>
        <w:rPr>
          <w:lang w:val="ru-RU"/>
        </w:rPr>
        <w:t xml:space="preserve">Характер международных стандартов требует, чтобы профессиональный бухгалтер использовал профессиональное суждение при их применении. </w:t>
      </w:r>
    </w:p>
    <w:p w:rsidR="00C90C72" w:rsidRDefault="00C90C72" w:rsidP="00C90C72">
      <w:pPr>
        <w:pStyle w:val="NumberedParagraph"/>
        <w:tabs>
          <w:tab w:val="clear" w:pos="312"/>
          <w:tab w:val="clear" w:pos="480"/>
          <w:tab w:val="left" w:pos="720"/>
        </w:tabs>
        <w:spacing w:before="180" w:line="240" w:lineRule="exact"/>
        <w:ind w:left="734" w:hanging="734"/>
        <w:jc w:val="left"/>
        <w:rPr>
          <w:b/>
          <w:sz w:val="20"/>
          <w:szCs w:val="20"/>
        </w:rPr>
      </w:pPr>
      <w:r>
        <w:rPr>
          <w:b/>
          <w:bCs/>
          <w:sz w:val="20"/>
          <w:szCs w:val="20"/>
          <w:lang w:val="ru-RU"/>
        </w:rPr>
        <w:t>Область применения международных стандартов</w:t>
      </w:r>
    </w:p>
    <w:p w:rsidR="00C90C72" w:rsidRPr="00225865" w:rsidRDefault="00C90C72" w:rsidP="00C90C72">
      <w:pPr>
        <w:pStyle w:val="IFACListStyle1"/>
        <w:ind w:left="734"/>
        <w:rPr>
          <w:lang w:val="ru-RU"/>
        </w:rPr>
      </w:pPr>
      <w:r>
        <w:rPr>
          <w:lang w:val="ru-RU"/>
        </w:rPr>
        <w:t xml:space="preserve">Сфера применения, дата вступления в силу и любые ограничения в применении какого-либо международного стандарта четко установлены в тексте стандарта. Если международный стандарт не содержит иных указаний, профессиональному бухгалтеру разрешается применять международный стандарт до даты вступления в силу, указанной в стандарте. </w:t>
      </w:r>
    </w:p>
    <w:p w:rsidR="00C90C72" w:rsidRPr="00225865" w:rsidRDefault="00C90C72" w:rsidP="00C90C72">
      <w:pPr>
        <w:pStyle w:val="IFACListStyle1"/>
        <w:ind w:left="734"/>
        <w:rPr>
          <w:lang w:val="ru-RU"/>
        </w:rPr>
      </w:pPr>
      <w:r>
        <w:rPr>
          <w:lang w:val="ru-RU"/>
        </w:rPr>
        <w:t>Международные стандарты применяются к заданиям, выполняемым в государственном секторе. Дополнительные аспекты, характерные для организаций государственного сектора, в подобающих случаях включены в:</w:t>
      </w:r>
    </w:p>
    <w:p w:rsidR="00C90C72" w:rsidRPr="00225865" w:rsidRDefault="00C90C72" w:rsidP="00C90C72">
      <w:pPr>
        <w:pStyle w:val="IFACListStyle2"/>
        <w:ind w:left="1267"/>
        <w:rPr>
          <w:lang w:val="ru-RU"/>
        </w:rPr>
      </w:pPr>
      <w:r>
        <w:rPr>
          <w:lang w:val="ru-RU"/>
        </w:rPr>
        <w:t>текст международного стандарта в случае с МСА и МСКК;</w:t>
      </w:r>
    </w:p>
    <w:p w:rsidR="00C90C72" w:rsidRPr="00225865" w:rsidRDefault="00C90C72" w:rsidP="00C90C72">
      <w:pPr>
        <w:pStyle w:val="IFACListStyle2"/>
        <w:ind w:left="1267"/>
        <w:rPr>
          <w:lang w:val="ru-RU"/>
        </w:rPr>
      </w:pPr>
      <w:r>
        <w:rPr>
          <w:lang w:val="ru-RU"/>
        </w:rPr>
        <w:t>раздел, касающийся особенностей применения в государственном секторе, расположенный в конце других международных стандартов.</w:t>
      </w:r>
    </w:p>
    <w:p w:rsidR="00C90C72" w:rsidRDefault="00C90C72" w:rsidP="00C90C72">
      <w:pPr>
        <w:pStyle w:val="Heading2ChapterHeading"/>
      </w:pPr>
      <w:r>
        <w:rPr>
          <w:lang w:val="ru-RU"/>
        </w:rPr>
        <w:t>Неофициальные материалы</w:t>
      </w:r>
    </w:p>
    <w:p w:rsidR="00C90C72" w:rsidRPr="00225865" w:rsidRDefault="00C90C72" w:rsidP="00C90C72">
      <w:pPr>
        <w:pStyle w:val="IFACListStyle1"/>
        <w:ind w:left="734"/>
        <w:rPr>
          <w:lang w:val="ru-RU"/>
        </w:rPr>
      </w:pPr>
      <w:r>
        <w:rPr>
          <w:lang w:val="ru-RU"/>
        </w:rPr>
        <w:t>Неофициальные материалы включают Международные отчеты о практике применения, публикуемые Советом по международным стандартам аудита и заданий, обеспечивающих уверенность, и материалы, публикуемые сотрудниками этого совета. Неофициальные материалы не являются частью международных стандартов, публикуемых Советом по международным стандартам аудита и заданий, обеспечивающих уверенность.</w:t>
      </w:r>
    </w:p>
    <w:p w:rsidR="00C90C72" w:rsidRPr="00225865" w:rsidRDefault="00C90C72" w:rsidP="00C90C72">
      <w:pPr>
        <w:pStyle w:val="IFACListStyle1"/>
        <w:numPr>
          <w:ilvl w:val="0"/>
          <w:numId w:val="0"/>
        </w:numPr>
        <w:ind w:left="144"/>
        <w:rPr>
          <w:lang w:val="ru-RU"/>
        </w:rPr>
      </w:pPr>
    </w:p>
    <w:p w:rsidR="00C90C72" w:rsidRDefault="00C90C72" w:rsidP="00C90C72">
      <w:pPr>
        <w:pStyle w:val="Heading3SectionHeadingsNormalStylePlus"/>
      </w:pPr>
      <w:r>
        <w:rPr>
          <w:lang w:val="ru-RU"/>
        </w:rPr>
        <w:t>Международные отчеты о практике аудита</w:t>
      </w:r>
    </w:p>
    <w:p w:rsidR="00C90C72" w:rsidRPr="00225865" w:rsidRDefault="00C90C72" w:rsidP="00C90C72">
      <w:pPr>
        <w:pStyle w:val="IFACListStyle1"/>
        <w:keepNext/>
        <w:keepLines/>
        <w:ind w:left="734"/>
        <w:rPr>
          <w:lang w:val="ru-RU"/>
        </w:rPr>
      </w:pPr>
      <w:r>
        <w:rPr>
          <w:lang w:val="ru-RU"/>
        </w:rPr>
        <w:t xml:space="preserve">Международные отчеты о практике аудита не содержат дополнительных требований для аудиторов, помимо содержащихся в Международных стандартах аудита, и не влияют на обязанность аудитора соблюдать все Международные стандарты аудита, действие которых распространяется на данный аудит.  Международные отчеты о практике аудита предоставляют аудиторам практическую помощь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указаний. </w:t>
      </w:r>
    </w:p>
    <w:p w:rsidR="00C90C72" w:rsidRPr="00225865" w:rsidRDefault="00C90C72" w:rsidP="00C90C72">
      <w:pPr>
        <w:pStyle w:val="IFACListStyle1"/>
        <w:ind w:left="734"/>
        <w:rPr>
          <w:lang w:val="ru-RU" w:eastAsia="en-GB"/>
        </w:rPr>
      </w:pPr>
      <w:r>
        <w:rPr>
          <w:lang w:val="ru-RU" w:eastAsia="en-GB"/>
        </w:rPr>
        <w:t xml:space="preserve">В зависимости от характера рассматриваемых вопросов Международный отчет о практике применения Международных стандартов аудита может помочь аудитору: </w:t>
      </w:r>
    </w:p>
    <w:p w:rsidR="00C90C72" w:rsidRPr="00225865" w:rsidRDefault="00C90C72" w:rsidP="00C90C72">
      <w:pPr>
        <w:pStyle w:val="Bullet1Indented"/>
        <w:ind w:left="1267"/>
        <w:rPr>
          <w:lang w:val="ru-RU"/>
        </w:rPr>
      </w:pPr>
      <w:r>
        <w:rPr>
          <w:lang w:val="ru-RU"/>
        </w:rPr>
        <w:t xml:space="preserve">в получении понимания обстоятельств, в которых организация осуществляет деятельность, и формировании суждений в отношении выявления и оценки рисков существенного искажения; </w:t>
      </w:r>
    </w:p>
    <w:p w:rsidR="00C90C72" w:rsidRPr="00225865" w:rsidRDefault="00C90C72" w:rsidP="00C90C72">
      <w:pPr>
        <w:pStyle w:val="Bullet1Indented"/>
        <w:ind w:left="1267"/>
        <w:rPr>
          <w:lang w:val="ru-RU"/>
        </w:rPr>
      </w:pPr>
      <w:r>
        <w:rPr>
          <w:lang w:val="ru-RU"/>
        </w:rPr>
        <w:t xml:space="preserve">в формировании суждений относительно ответных мер на оцененные риски, включая суждения в отношении процедур, которые необходимо выполнить в сложившихся обстоятельствах; </w:t>
      </w:r>
    </w:p>
    <w:p w:rsidR="00C90C72" w:rsidRPr="00225865" w:rsidRDefault="00C90C72" w:rsidP="00C90C72">
      <w:pPr>
        <w:pStyle w:val="Bullet1Indented"/>
        <w:ind w:left="1267"/>
        <w:rPr>
          <w:lang w:val="ru-RU"/>
        </w:rPr>
      </w:pPr>
      <w:r>
        <w:rPr>
          <w:lang w:val="ru-RU"/>
        </w:rPr>
        <w:t>в рассмотрении вопросов, связанных с отчетностью, включая формирование аудиторского мнения о финансовой отчетности и информационное взаимодействие с лицами, отвечающими за корпоративное управление.</w:t>
      </w:r>
    </w:p>
    <w:p w:rsidR="00C90C72" w:rsidRDefault="00C90C72" w:rsidP="00C90C72">
      <w:pPr>
        <w:pStyle w:val="Heading3SectionHeadingsNormalStylePlus"/>
      </w:pPr>
      <w:r>
        <w:rPr>
          <w:lang w:val="ru-RU"/>
        </w:rPr>
        <w:t>Международные отчеты о практике применения других международных стандартов</w:t>
      </w:r>
    </w:p>
    <w:p w:rsidR="00C90C72" w:rsidRPr="00225865" w:rsidRDefault="00C90C72" w:rsidP="00C90C72">
      <w:pPr>
        <w:pStyle w:val="IFACListStyle1"/>
        <w:ind w:left="734"/>
        <w:rPr>
          <w:lang w:val="ru-RU"/>
        </w:rPr>
      </w:pPr>
      <w:r>
        <w:rPr>
          <w:lang w:val="ru-RU"/>
        </w:rPr>
        <w:t xml:space="preserve">Совет по международным стандартам аудита и заданий, обеспечивающих уверенность, также может выпустить Международные отчеты о практике применения Международных стандартов обзорных проверок, Международные отчеты о практике применения Международных стандартов заданий, обеспечивающих уверенность, и Международные отчеты о практике применения Международных стандартов сопутствующих услуг c той же целью для МСОП, МСЗОУ и МССУ соответственно. </w:t>
      </w:r>
    </w:p>
    <w:p w:rsidR="00C90C72" w:rsidRDefault="00C90C72" w:rsidP="00C90C72">
      <w:pPr>
        <w:pStyle w:val="Heading3SectionHeadingsNormalStylePlus"/>
      </w:pPr>
      <w:r>
        <w:rPr>
          <w:lang w:val="ru-RU"/>
        </w:rPr>
        <w:t xml:space="preserve">Публикации сотрудников Совета по международным стандартам аудита и заданий, обеспечивающих уверенность </w:t>
      </w:r>
    </w:p>
    <w:p w:rsidR="00C90C72" w:rsidRPr="00225865" w:rsidRDefault="00C90C72" w:rsidP="00C90C72">
      <w:pPr>
        <w:pStyle w:val="IFACListStyle1"/>
        <w:ind w:left="734"/>
        <w:rPr>
          <w:lang w:val="ru-RU" w:eastAsia="en-GB"/>
        </w:rPr>
      </w:pPr>
      <w:r>
        <w:rPr>
          <w:rFonts w:eastAsia="Calibri"/>
          <w:lang w:val="ru-RU"/>
        </w:rPr>
        <w:t xml:space="preserve">Публикации сотрудников Совета по международным стандартам аудита и заданий, обеспечивающих уверенность, помогают повысить осведомленность практикующих специалистов о существенных </w:t>
      </w:r>
      <w:r>
        <w:rPr>
          <w:rFonts w:eastAsia="Calibri"/>
          <w:lang w:val="ru-RU"/>
        </w:rPr>
        <w:lastRenderedPageBreak/>
        <w:t>новых или возникающих вопросах посредством ссылки на существующие требования и руководство по применению или путем привлечения внимания к соответствующим документам и стандартам, публикуемым Советом по международным стандартам аудита и заданий, обеспечивающих уверенность.</w:t>
      </w:r>
      <w:r>
        <w:rPr>
          <w:lang w:val="ru-RU" w:eastAsia="en-GB"/>
        </w:rPr>
        <w:t xml:space="preserve"> </w:t>
      </w:r>
    </w:p>
    <w:p w:rsidR="00C90C72" w:rsidRDefault="00C90C72" w:rsidP="00C90C72">
      <w:pPr>
        <w:pStyle w:val="Heading2ChapterHeading"/>
      </w:pPr>
      <w:r>
        <w:rPr>
          <w:lang w:val="ru-RU"/>
        </w:rPr>
        <w:t>Язык</w:t>
      </w:r>
    </w:p>
    <w:p w:rsidR="00C90C72" w:rsidRPr="00225865" w:rsidRDefault="00C90C72" w:rsidP="00C90C72">
      <w:pPr>
        <w:pStyle w:val="IFACListStyle1"/>
        <w:ind w:left="734"/>
        <w:rPr>
          <w:lang w:val="ru-RU"/>
        </w:rPr>
      </w:pPr>
      <w:r>
        <w:rPr>
          <w:lang w:val="ru-RU"/>
        </w:rPr>
        <w:t>Единственным официальным текстом любого международного стандарта, выпущенного Советом по международным стандартам аудита и заданий, обеспечивающих уверенность, международного отчета о практике применения, проекта, предлагаемого для обсуждения, или какого-либо другого издания считается текст, опубликованный Советом по международным стандартам аудита и заданий, обеспечивающих уверенность на английском языке.</w:t>
      </w:r>
    </w:p>
    <w:p w:rsidR="00A26B2F" w:rsidRDefault="00A26B2F"/>
    <w:sectPr w:rsidR="00A26B2F" w:rsidSect="00750BAA">
      <w:headerReference w:type="even" r:id="rId8"/>
      <w:headerReference w:type="default" r:id="rId9"/>
      <w:footerReference w:type="even" r:id="rId10"/>
      <w:footerReference w:type="default" r:id="rId11"/>
      <w:footerReference w:type="first" r:id="rId12"/>
      <w:pgSz w:w="11907" w:h="16839" w:code="9"/>
      <w:pgMar w:top="1134" w:right="851" w:bottom="1134" w:left="1058" w:header="360" w:footer="720" w:gutter="3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0B" w:rsidRDefault="0000730B" w:rsidP="00C90C72">
      <w:pPr>
        <w:spacing w:after="0" w:line="240" w:lineRule="auto"/>
      </w:pPr>
      <w:r>
        <w:separator/>
      </w:r>
    </w:p>
  </w:endnote>
  <w:endnote w:type="continuationSeparator" w:id="0">
    <w:p w:rsidR="0000730B" w:rsidRDefault="0000730B" w:rsidP="00C9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7" w:rsidRDefault="002F7B73" w:rsidP="00D173B7">
    <w:pPr>
      <w:pStyle w:val="a8"/>
      <w:jc w:val="center"/>
    </w:pPr>
    <w:r w:rsidRPr="00CC50D6">
      <w:rPr>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7" w:rsidRDefault="002F7B73" w:rsidP="00D173B7">
    <w:pPr>
      <w:pStyle w:val="a8"/>
      <w:jc w:val="center"/>
    </w:pPr>
    <w:r w:rsidRPr="00CC50D6">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72" w:rsidRDefault="00C90C72" w:rsidP="00C90C72">
    <w:pPr>
      <w:pStyle w:val="a8"/>
      <w:jc w:val="center"/>
    </w:pPr>
    <w:r w:rsidRPr="00CC50D6">
      <w:rPr>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0B" w:rsidRDefault="0000730B" w:rsidP="00C90C72">
      <w:pPr>
        <w:spacing w:after="0" w:line="240" w:lineRule="auto"/>
      </w:pPr>
      <w:r>
        <w:separator/>
      </w:r>
    </w:p>
  </w:footnote>
  <w:footnote w:type="continuationSeparator" w:id="0">
    <w:p w:rsidR="0000730B" w:rsidRDefault="0000730B" w:rsidP="00C90C72">
      <w:pPr>
        <w:spacing w:after="0" w:line="240" w:lineRule="auto"/>
      </w:pPr>
      <w:r>
        <w:continuationSeparator/>
      </w:r>
    </w:p>
  </w:footnote>
  <w:footnote w:id="1">
    <w:p w:rsidR="00C90C72" w:rsidRPr="00225865" w:rsidRDefault="00C90C72" w:rsidP="00C90C72">
      <w:pPr>
        <w:pStyle w:val="a5"/>
        <w:spacing w:after="60" w:line="200" w:lineRule="exact"/>
        <w:ind w:left="360" w:hanging="360"/>
        <w:rPr>
          <w:sz w:val="16"/>
          <w:szCs w:val="16"/>
          <w:lang w:val="ru-RU"/>
        </w:rPr>
      </w:pPr>
      <w:r>
        <w:rPr>
          <w:rStyle w:val="a7"/>
          <w:kern w:val="12"/>
          <w:sz w:val="16"/>
          <w:szCs w:val="16"/>
        </w:rPr>
        <w:footnoteRef/>
      </w:r>
      <w:r>
        <w:rPr>
          <w:sz w:val="16"/>
          <w:szCs w:val="16"/>
          <w:lang w:val="ru-RU"/>
        </w:rPr>
        <w:t xml:space="preserve"> </w:t>
      </w:r>
      <w:r>
        <w:rPr>
          <w:sz w:val="16"/>
          <w:szCs w:val="16"/>
          <w:lang w:val="ru-RU"/>
        </w:rPr>
        <w:tab/>
        <w:t>Если нет иных указаний, термин «финансовая отчетность» означает финансовую отчетность, содержащую финансовую информацию о прошедших периодах.</w:t>
      </w:r>
    </w:p>
  </w:footnote>
  <w:footnote w:id="2">
    <w:p w:rsidR="00C90C72" w:rsidRPr="00225865" w:rsidRDefault="00C90C72" w:rsidP="00C90C72">
      <w:pPr>
        <w:pStyle w:val="Numberedparagraph0"/>
        <w:tabs>
          <w:tab w:val="clear" w:pos="720"/>
          <w:tab w:val="left" w:pos="360"/>
        </w:tabs>
        <w:spacing w:before="0" w:after="60" w:line="200" w:lineRule="exact"/>
        <w:ind w:left="360" w:hanging="360"/>
        <w:rPr>
          <w:sz w:val="16"/>
          <w:szCs w:val="16"/>
          <w:lang w:val="ru-RU"/>
        </w:rPr>
      </w:pPr>
      <w:r>
        <w:rPr>
          <w:rStyle w:val="a7"/>
          <w:sz w:val="16"/>
          <w:szCs w:val="16"/>
        </w:rPr>
        <w:footnoteRef/>
      </w:r>
      <w:r>
        <w:rPr>
          <w:sz w:val="16"/>
          <w:szCs w:val="16"/>
          <w:lang w:val="ru-RU"/>
        </w:rPr>
        <w:t xml:space="preserve"> </w:t>
      </w:r>
      <w:r>
        <w:rPr>
          <w:sz w:val="16"/>
          <w:szCs w:val="16"/>
          <w:lang w:val="ru-RU"/>
        </w:rPr>
        <w:tab/>
        <w:t xml:space="preserve">МСА 200 </w:t>
      </w:r>
      <w:r>
        <w:rPr>
          <w:i/>
          <w:iCs/>
          <w:sz w:val="16"/>
          <w:szCs w:val="16"/>
          <w:lang w:val="ru-RU"/>
        </w:rPr>
        <w:t>«Основные цели независимого аудитора и проведение аудита в соответствии с Международными стандартами аудита</w:t>
      </w:r>
      <w:r>
        <w:rPr>
          <w:b/>
          <w:bCs/>
          <w:i/>
          <w:iCs/>
          <w:sz w:val="16"/>
          <w:szCs w:val="16"/>
          <w:lang w:val="ru-RU"/>
        </w:rPr>
        <w:t>»</w:t>
      </w:r>
      <w:r>
        <w:rPr>
          <w:sz w:val="16"/>
          <w:szCs w:val="16"/>
          <w:lang w:val="ru-RU"/>
        </w:rPr>
        <w:t>.</w:t>
      </w:r>
    </w:p>
  </w:footnote>
  <w:footnote w:id="3">
    <w:p w:rsidR="00B834DE" w:rsidRPr="00B834DE" w:rsidRDefault="00B834DE" w:rsidP="00B834DE">
      <w:pPr>
        <w:pStyle w:val="a5"/>
        <w:spacing w:after="60" w:line="200" w:lineRule="exact"/>
        <w:ind w:left="360" w:hanging="360"/>
        <w:rPr>
          <w:lang w:val="ru-RU"/>
        </w:rPr>
      </w:pPr>
      <w:r w:rsidRPr="00B834DE">
        <w:rPr>
          <w:sz w:val="16"/>
          <w:szCs w:val="16"/>
          <w:vertAlign w:val="superscript"/>
          <w:lang w:val="ru-RU"/>
        </w:rPr>
        <w:footnoteRef/>
      </w:r>
      <w:r w:rsidRPr="00B834DE">
        <w:rPr>
          <w:sz w:val="16"/>
          <w:szCs w:val="16"/>
          <w:lang w:val="ru-RU"/>
        </w:rPr>
        <w:t xml:space="preserve"> </w:t>
      </w:r>
      <w:r>
        <w:rPr>
          <w:sz w:val="16"/>
          <w:szCs w:val="16"/>
          <w:lang w:val="ru-RU"/>
        </w:rPr>
        <w:tab/>
      </w:r>
      <w:r w:rsidRPr="00B834DE">
        <w:rPr>
          <w:sz w:val="16"/>
          <w:szCs w:val="16"/>
          <w:lang w:val="ru-RU"/>
        </w:rPr>
        <w:t xml:space="preserve">МСК 1 «Управление качеством в аудиторских организациях, проводящих аудит или обзорные проверки финансовой отчетности, а также </w:t>
      </w:r>
      <w:r>
        <w:rPr>
          <w:sz w:val="16"/>
          <w:szCs w:val="16"/>
          <w:lang w:val="ru-RU"/>
        </w:rPr>
        <w:t xml:space="preserve">выполняющих прочие задания, обеспечивающие уверенность или задания по оказанию сопутствующих услуг», </w:t>
      </w:r>
      <w:r w:rsidRPr="00B834DE">
        <w:rPr>
          <w:sz w:val="16"/>
          <w:szCs w:val="16"/>
          <w:lang w:val="ru-RU"/>
        </w:rPr>
        <w:t xml:space="preserve">пункт 12 и </w:t>
      </w:r>
      <w:r>
        <w:rPr>
          <w:sz w:val="16"/>
          <w:szCs w:val="16"/>
          <w:lang w:val="ru-RU"/>
        </w:rPr>
        <w:t xml:space="preserve"> </w:t>
      </w:r>
      <w:r w:rsidRPr="00B834DE">
        <w:rPr>
          <w:sz w:val="16"/>
          <w:szCs w:val="16"/>
          <w:lang w:val="ru-RU"/>
        </w:rPr>
        <w:t>МСК 2 «Проверки качества выполнения заданий», пункт 10.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7" w:rsidRDefault="002F7B73">
    <w:pPr>
      <w:pStyle w:val="a3"/>
      <w:jc w:val="center"/>
    </w:pPr>
    <w:r>
      <w:fldChar w:fldCharType="begin"/>
    </w:r>
    <w:r>
      <w:instrText>PAGE   \* MERGEFORMAT</w:instrText>
    </w:r>
    <w:r>
      <w:fldChar w:fldCharType="separate"/>
    </w:r>
    <w:r w:rsidRPr="00D173B7">
      <w:rPr>
        <w:noProof/>
        <w:lang w:val="ru-RU"/>
      </w:rPr>
      <w:t>4</w:t>
    </w:r>
    <w:r>
      <w:fldChar w:fldCharType="end"/>
    </w:r>
  </w:p>
  <w:p w:rsidR="00D173B7" w:rsidRDefault="00007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7" w:rsidRPr="00750BAA" w:rsidRDefault="002F7B73">
    <w:pPr>
      <w:pStyle w:val="a3"/>
      <w:jc w:val="center"/>
      <w:rPr>
        <w:sz w:val="20"/>
        <w:szCs w:val="20"/>
      </w:rPr>
    </w:pPr>
    <w:r w:rsidRPr="00750BAA">
      <w:rPr>
        <w:sz w:val="20"/>
        <w:szCs w:val="20"/>
      </w:rPr>
      <w:fldChar w:fldCharType="begin"/>
    </w:r>
    <w:r w:rsidRPr="00750BAA">
      <w:rPr>
        <w:sz w:val="20"/>
        <w:szCs w:val="20"/>
      </w:rPr>
      <w:instrText>PAGE   \* MERGEFORMAT</w:instrText>
    </w:r>
    <w:r w:rsidRPr="00750BAA">
      <w:rPr>
        <w:sz w:val="20"/>
        <w:szCs w:val="20"/>
      </w:rPr>
      <w:fldChar w:fldCharType="separate"/>
    </w:r>
    <w:r w:rsidR="00B834DE" w:rsidRPr="00B834DE">
      <w:rPr>
        <w:noProof/>
        <w:sz w:val="20"/>
        <w:szCs w:val="20"/>
        <w:lang w:val="ru-RU"/>
      </w:rPr>
      <w:t>2</w:t>
    </w:r>
    <w:r w:rsidRPr="00750BAA">
      <w:rPr>
        <w:sz w:val="20"/>
        <w:szCs w:val="20"/>
      </w:rPr>
      <w:fldChar w:fldCharType="end"/>
    </w:r>
  </w:p>
  <w:p w:rsidR="00D173B7" w:rsidRDefault="000073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 w15:restartNumberingAfterBreak="0">
    <w:nsid w:val="6C6F3E75"/>
    <w:multiLevelType w:val="hybridMultilevel"/>
    <w:tmpl w:val="59BC14CC"/>
    <w:lvl w:ilvl="0" w:tplc="FFFFFFFF">
      <w:start w:val="1"/>
      <w:numFmt w:val="bullet"/>
      <w:pStyle w:val="Bullet1Indented"/>
      <w:lvlText w:val=""/>
      <w:lvlJc w:val="left"/>
      <w:pPr>
        <w:ind w:left="907"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B8"/>
    <w:rsid w:val="0000730B"/>
    <w:rsid w:val="002F7B73"/>
    <w:rsid w:val="006837D7"/>
    <w:rsid w:val="00750BAA"/>
    <w:rsid w:val="007A12B8"/>
    <w:rsid w:val="00A26B2F"/>
    <w:rsid w:val="00B834DE"/>
    <w:rsid w:val="00C9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9474"/>
  <w15:docId w15:val="{7FF3A129-4F10-4024-A8C2-6A333CF5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0C72"/>
    <w:pPr>
      <w:keepNext/>
      <w:keepLines/>
      <w:spacing w:before="120" w:after="120" w:line="240" w:lineRule="exact"/>
      <w:jc w:val="center"/>
      <w:outlineLvl w:val="0"/>
    </w:pPr>
    <w:rPr>
      <w:rFonts w:ascii="Times New Roman" w:eastAsia="Times New Roman" w:hAnsi="Times New Roman" w:cs="Times New Roman"/>
      <w:b/>
      <w:iCs/>
      <w:caps/>
      <w:kern w:val="20"/>
      <w:sz w:val="24"/>
      <w:szCs w:val="20"/>
      <w:lang w:val="x-none" w:eastAsia="x-none"/>
    </w:rPr>
  </w:style>
  <w:style w:type="paragraph" w:styleId="2">
    <w:name w:val="heading 2"/>
    <w:basedOn w:val="a"/>
    <w:next w:val="a"/>
    <w:link w:val="20"/>
    <w:uiPriority w:val="9"/>
    <w:semiHidden/>
    <w:unhideWhenUsed/>
    <w:qFormat/>
    <w:rsid w:val="00C90C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0C72"/>
    <w:pPr>
      <w:keepNext/>
      <w:keepLines/>
      <w:spacing w:before="120" w:after="0" w:line="240" w:lineRule="exact"/>
      <w:jc w:val="both"/>
      <w:outlineLvl w:val="2"/>
    </w:pPr>
    <w:rPr>
      <w:rFonts w:ascii="Times New Roman" w:eastAsia="Times New Roman" w:hAnsi="Times New Roman" w:cs="Times New Roman"/>
      <w:b/>
      <w:bCs/>
      <w:kern w:val="20"/>
      <w:sz w:val="2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C72"/>
    <w:rPr>
      <w:rFonts w:ascii="Times New Roman" w:eastAsia="Times New Roman" w:hAnsi="Times New Roman" w:cs="Times New Roman"/>
      <w:b/>
      <w:iCs/>
      <w:caps/>
      <w:kern w:val="20"/>
      <w:sz w:val="24"/>
      <w:szCs w:val="20"/>
      <w:lang w:val="x-none" w:eastAsia="x-none"/>
    </w:rPr>
  </w:style>
  <w:style w:type="character" w:customStyle="1" w:styleId="30">
    <w:name w:val="Заголовок 3 Знак"/>
    <w:basedOn w:val="a0"/>
    <w:link w:val="3"/>
    <w:rsid w:val="00C90C72"/>
    <w:rPr>
      <w:rFonts w:ascii="Times New Roman" w:eastAsia="Times New Roman" w:hAnsi="Times New Roman" w:cs="Times New Roman"/>
      <w:b/>
      <w:bCs/>
      <w:kern w:val="20"/>
      <w:sz w:val="20"/>
      <w:szCs w:val="26"/>
      <w:lang w:val="x-none" w:eastAsia="x-none"/>
    </w:rPr>
  </w:style>
  <w:style w:type="paragraph" w:styleId="a3">
    <w:name w:val="header"/>
    <w:aliases w:val="Left Header"/>
    <w:basedOn w:val="a"/>
    <w:link w:val="a4"/>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4">
    <w:name w:val="Верхний колонтитул Знак"/>
    <w:aliases w:val="Left Header Знак"/>
    <w:basedOn w:val="a0"/>
    <w:link w:val="a3"/>
    <w:uiPriority w:val="99"/>
    <w:rsid w:val="00C90C72"/>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rsid w:val="00C90C72"/>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styleId="a5">
    <w:name w:val="footnote text"/>
    <w:aliases w:val=" Cha,ARM footnote Text,Footnote New,Footnote Text Char,Footnote Text Char1,Footnote Text Char11,Footnote Text Char12,Footnote Text Char2,Footnote Text Char21,Footnote Text Char3,Footnote Text Char4,Footnote Text Char5,Footnote Text Char6"/>
    <w:basedOn w:val="a"/>
    <w:link w:val="a6"/>
    <w:uiPriority w:val="99"/>
    <w:rsid w:val="00C90C72"/>
    <w:pPr>
      <w:tabs>
        <w:tab w:val="left" w:pos="480"/>
      </w:tabs>
      <w:spacing w:after="0" w:line="240" w:lineRule="exact"/>
      <w:ind w:left="480" w:hanging="480"/>
      <w:jc w:val="both"/>
    </w:pPr>
    <w:rPr>
      <w:rFonts w:ascii="Times New Roman" w:eastAsia="Times New Roman" w:hAnsi="Times New Roman" w:cs="Times New Roman"/>
      <w:kern w:val="8"/>
      <w:sz w:val="20"/>
      <w:szCs w:val="20"/>
      <w:lang w:val="en-US" w:bidi="he-IL"/>
    </w:rPr>
  </w:style>
  <w:style w:type="character" w:customStyle="1" w:styleId="a6">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0"/>
    <w:link w:val="a5"/>
    <w:uiPriority w:val="99"/>
    <w:rsid w:val="00C90C72"/>
    <w:rPr>
      <w:rFonts w:ascii="Times New Roman" w:eastAsia="Times New Roman" w:hAnsi="Times New Roman" w:cs="Times New Roman"/>
      <w:kern w:val="8"/>
      <w:sz w:val="20"/>
      <w:szCs w:val="20"/>
      <w:lang w:val="en-US" w:bidi="he-IL"/>
    </w:rPr>
  </w:style>
  <w:style w:type="character" w:styleId="a7">
    <w:name w:val="footnote reference"/>
    <w:rsid w:val="00C90C72"/>
    <w:rPr>
      <w:vertAlign w:val="superscript"/>
    </w:rPr>
  </w:style>
  <w:style w:type="paragraph" w:styleId="a8">
    <w:name w:val="footer"/>
    <w:basedOn w:val="a"/>
    <w:link w:val="a9"/>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9">
    <w:name w:val="Нижний колонтитул Знак"/>
    <w:basedOn w:val="a0"/>
    <w:link w:val="a8"/>
    <w:uiPriority w:val="99"/>
    <w:rsid w:val="00C90C72"/>
    <w:rPr>
      <w:rFonts w:ascii="Times New Roman" w:eastAsia="Times New Roman" w:hAnsi="Times New Roman" w:cs="Times New Roman"/>
      <w:kern w:val="8"/>
      <w:sz w:val="24"/>
      <w:szCs w:val="24"/>
      <w:lang w:val="en-US" w:bidi="he-IL"/>
    </w:rPr>
  </w:style>
  <w:style w:type="paragraph" w:customStyle="1" w:styleId="Heading3SectionHeadingsNormalStylePlus">
    <w:name w:val="Heading 3 (Section Headings): Normal Style Plus:"/>
    <w:basedOn w:val="3"/>
    <w:rsid w:val="00C90C72"/>
    <w:pPr>
      <w:spacing w:before="180"/>
      <w:jc w:val="left"/>
    </w:pPr>
    <w:rPr>
      <w:szCs w:val="20"/>
    </w:rPr>
  </w:style>
  <w:style w:type="paragraph" w:customStyle="1" w:styleId="IFACListStyle1">
    <w:name w:val="IFAC ListStyle 1"/>
    <w:aliases w:val="ls1"/>
    <w:basedOn w:val="a"/>
    <w:qFormat/>
    <w:rsid w:val="00C90C72"/>
    <w:pPr>
      <w:numPr>
        <w:numId w:val="2"/>
      </w:numPr>
      <w:spacing w:before="120" w:after="0" w:line="240" w:lineRule="exact"/>
      <w:ind w:right="-14"/>
      <w:jc w:val="both"/>
    </w:pPr>
    <w:rPr>
      <w:rFonts w:ascii="Times New Roman" w:eastAsia="Times New Roman" w:hAnsi="Times New Roman" w:cs="Times New Roman"/>
      <w:kern w:val="8"/>
      <w:sz w:val="20"/>
      <w:szCs w:val="24"/>
      <w:lang w:val="en-US" w:bidi="he-IL"/>
    </w:rPr>
  </w:style>
  <w:style w:type="paragraph" w:customStyle="1" w:styleId="IFACListStyle2">
    <w:name w:val="IFAC ListStyle 2"/>
    <w:aliases w:val="ls2"/>
    <w:basedOn w:val="a"/>
    <w:qFormat/>
    <w:rsid w:val="00C90C72"/>
    <w:pPr>
      <w:numPr>
        <w:ilvl w:val="1"/>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3">
    <w:name w:val="IFAC ListStyle 3"/>
    <w:aliases w:val="ls3"/>
    <w:basedOn w:val="a"/>
    <w:qFormat/>
    <w:rsid w:val="00C90C72"/>
    <w:pPr>
      <w:numPr>
        <w:ilvl w:val="2"/>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4">
    <w:name w:val="IFAC ListStyle 4"/>
    <w:aliases w:val="ls4"/>
    <w:basedOn w:val="a"/>
    <w:qFormat/>
    <w:rsid w:val="00C90C72"/>
    <w:pPr>
      <w:numPr>
        <w:ilvl w:val="3"/>
        <w:numId w:val="2"/>
      </w:numPr>
      <w:tabs>
        <w:tab w:val="left" w:pos="2347"/>
      </w:tabs>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Heading2ChapterHeading">
    <w:name w:val="Heading 2 Chapter Heading"/>
    <w:aliases w:val="h2"/>
    <w:basedOn w:val="2"/>
    <w:rsid w:val="00C90C72"/>
    <w:pPr>
      <w:keepLines w:val="0"/>
      <w:spacing w:before="180" w:line="240" w:lineRule="exact"/>
    </w:pPr>
    <w:rPr>
      <w:rFonts w:ascii="Times New Roman" w:eastAsia="Times New Roman" w:hAnsi="Times New Roman" w:cs="Times New Roman"/>
      <w:color w:val="auto"/>
      <w:sz w:val="24"/>
      <w:szCs w:val="28"/>
      <w:lang w:val="x-none" w:eastAsia="x-none"/>
    </w:rPr>
  </w:style>
  <w:style w:type="paragraph" w:customStyle="1" w:styleId="Numberedparagraph0">
    <w:name w:val="Numbered paragraph"/>
    <w:basedOn w:val="a"/>
    <w:rsid w:val="00C90C72"/>
    <w:pPr>
      <w:tabs>
        <w:tab w:val="right" w:pos="360"/>
        <w:tab w:val="left" w:pos="720"/>
      </w:tabs>
      <w:spacing w:before="120" w:after="0" w:line="240" w:lineRule="exact"/>
      <w:ind w:left="720" w:hanging="720"/>
      <w:jc w:val="both"/>
    </w:pPr>
    <w:rPr>
      <w:rFonts w:ascii="Times New Roman" w:eastAsia="Times New Roman" w:hAnsi="Times New Roman" w:cs="Times New Roman"/>
      <w:sz w:val="20"/>
      <w:szCs w:val="20"/>
      <w:lang w:val="en-US"/>
    </w:rPr>
  </w:style>
  <w:style w:type="paragraph" w:customStyle="1" w:styleId="Bullet1Indented">
    <w:name w:val="Bullet 1 Indented"/>
    <w:basedOn w:val="a"/>
    <w:qFormat/>
    <w:rsid w:val="00C90C72"/>
    <w:pPr>
      <w:numPr>
        <w:numId w:val="1"/>
      </w:numPr>
      <w:tabs>
        <w:tab w:val="left" w:pos="1238"/>
      </w:tabs>
      <w:spacing w:before="120" w:after="0" w:line="240" w:lineRule="exact"/>
      <w:ind w:left="1238" w:hanging="547"/>
    </w:pPr>
    <w:rPr>
      <w:rFonts w:ascii="Times New Roman" w:eastAsia="Calibri" w:hAnsi="Times New Roman" w:cs="Times New Roman"/>
      <w:sz w:val="20"/>
      <w:lang w:val="en-US"/>
    </w:rPr>
  </w:style>
  <w:style w:type="paragraph" w:customStyle="1" w:styleId="Heading3Stacked">
    <w:name w:val="Heading 3 (Stacked)"/>
    <w:basedOn w:val="Heading3SectionHeadingsNormalStylePlus"/>
    <w:qFormat/>
    <w:rsid w:val="00C90C72"/>
    <w:pPr>
      <w:spacing w:before="120"/>
    </w:pPr>
  </w:style>
  <w:style w:type="character" w:customStyle="1" w:styleId="20">
    <w:name w:val="Заголовок 2 Знак"/>
    <w:basedOn w:val="a0"/>
    <w:link w:val="2"/>
    <w:uiPriority w:val="9"/>
    <w:semiHidden/>
    <w:rsid w:val="00C90C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8F42-2E74-4ADA-92A3-78138181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3</cp:revision>
  <dcterms:created xsi:type="dcterms:W3CDTF">2019-02-07T12:31:00Z</dcterms:created>
  <dcterms:modified xsi:type="dcterms:W3CDTF">2023-11-29T07:26:00Z</dcterms:modified>
</cp:coreProperties>
</file>