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9859" w14:textId="77777777" w:rsidR="00F50221" w:rsidRPr="00F50221" w:rsidRDefault="00F50221" w:rsidP="00F50221">
      <w:pPr>
        <w:jc w:val="center"/>
        <w:rPr>
          <w:rFonts w:eastAsia="Batang" w:cs="Arial"/>
          <w:b/>
          <w:sz w:val="36"/>
          <w:szCs w:val="36"/>
        </w:rPr>
      </w:pPr>
      <w:r w:rsidRPr="00F50221">
        <w:rPr>
          <w:rFonts w:eastAsia="Batang" w:cs="Arial"/>
          <w:b/>
          <w:sz w:val="36"/>
          <w:szCs w:val="36"/>
        </w:rPr>
        <w:t xml:space="preserve">Первоначальное применение МСФО (IFRS) 17 </w:t>
      </w:r>
      <w:r w:rsidRPr="00F50221">
        <w:rPr>
          <w:rFonts w:eastAsia="Batang" w:cs="Arial"/>
          <w:b/>
          <w:sz w:val="36"/>
          <w:szCs w:val="36"/>
        </w:rPr>
        <w:br/>
        <w:t>и МСФО (IFRS) 9 – Сравнительная информация</w:t>
      </w:r>
    </w:p>
    <w:p w14:paraId="67D74A1F" w14:textId="77777777" w:rsidR="00F50221" w:rsidRPr="00F50221" w:rsidRDefault="00F50221" w:rsidP="00F50221">
      <w:pPr>
        <w:jc w:val="center"/>
        <w:rPr>
          <w:rFonts w:eastAsia="Batang" w:cs="Arial"/>
          <w:b/>
          <w:sz w:val="28"/>
          <w:szCs w:val="28"/>
        </w:rPr>
      </w:pPr>
    </w:p>
    <w:p w14:paraId="49438585" w14:textId="77777777" w:rsidR="00F50221" w:rsidRPr="00F50221" w:rsidRDefault="00F50221" w:rsidP="00F50221">
      <w:pPr>
        <w:jc w:val="center"/>
        <w:rPr>
          <w:rFonts w:eastAsia="Batang" w:cs="Arial"/>
          <w:sz w:val="36"/>
          <w:szCs w:val="36"/>
        </w:rPr>
      </w:pPr>
      <w:r w:rsidRPr="00F50221">
        <w:rPr>
          <w:rFonts w:eastAsia="Batang" w:cs="Arial"/>
          <w:sz w:val="36"/>
          <w:szCs w:val="36"/>
        </w:rPr>
        <w:t>Поправка к МСФО (IFRS) 17</w:t>
      </w:r>
    </w:p>
    <w:p w14:paraId="3E660C45" w14:textId="77777777" w:rsidR="00F50221" w:rsidRPr="00F50221" w:rsidRDefault="00F50221" w:rsidP="00F50221">
      <w:pPr>
        <w:jc w:val="center"/>
        <w:rPr>
          <w:rFonts w:eastAsia="Batang" w:cs="Arial"/>
          <w:sz w:val="28"/>
          <w:szCs w:val="28"/>
        </w:rPr>
      </w:pPr>
    </w:p>
    <w:p w14:paraId="6BF17B72" w14:textId="77777777" w:rsidR="00F50221" w:rsidRPr="00F50221" w:rsidRDefault="00F50221" w:rsidP="00F50221">
      <w:pPr>
        <w:jc w:val="center"/>
        <w:rPr>
          <w:rFonts w:eastAsia="Batang" w:cs="Arial"/>
          <w:sz w:val="28"/>
          <w:szCs w:val="28"/>
        </w:rPr>
      </w:pPr>
    </w:p>
    <w:p w14:paraId="2A19B016" w14:textId="77777777" w:rsidR="00F50221" w:rsidRPr="00F50221" w:rsidRDefault="00F50221" w:rsidP="00F50221">
      <w:pPr>
        <w:jc w:val="center"/>
        <w:rPr>
          <w:rFonts w:eastAsia="Batang" w:cs="Arial"/>
          <w:b/>
          <w:i/>
          <w:sz w:val="28"/>
          <w:szCs w:val="28"/>
        </w:rPr>
      </w:pPr>
      <w:r w:rsidRPr="00F50221">
        <w:rPr>
          <w:rFonts w:eastAsia="Batang" w:cs="Arial"/>
          <w:b/>
          <w:sz w:val="28"/>
          <w:szCs w:val="28"/>
        </w:rPr>
        <w:t xml:space="preserve">Поправка к МСФО (IFRS) 17 </w:t>
      </w:r>
      <w:r w:rsidRPr="00F50221">
        <w:rPr>
          <w:rFonts w:eastAsia="Batang" w:cs="Arial"/>
          <w:b/>
          <w:i/>
          <w:sz w:val="28"/>
          <w:szCs w:val="28"/>
        </w:rPr>
        <w:t>«Договоры страхования»</w:t>
      </w:r>
    </w:p>
    <w:p w14:paraId="36851695" w14:textId="77777777" w:rsidR="00F50221" w:rsidRPr="00F50221" w:rsidRDefault="00F50221" w:rsidP="00F50221">
      <w:pPr>
        <w:jc w:val="center"/>
        <w:rPr>
          <w:rFonts w:eastAsia="Batang" w:cs="Arial"/>
          <w:b/>
          <w:i/>
          <w:sz w:val="28"/>
          <w:szCs w:val="28"/>
        </w:rPr>
      </w:pPr>
    </w:p>
    <w:p w14:paraId="2AC01CC2" w14:textId="77777777" w:rsidR="00F50221" w:rsidRPr="00F50221" w:rsidRDefault="00F50221" w:rsidP="00F50221">
      <w:pPr>
        <w:jc w:val="center"/>
        <w:rPr>
          <w:rFonts w:eastAsia="Batang" w:cs="Arial"/>
          <w:b/>
          <w:i/>
          <w:sz w:val="28"/>
          <w:szCs w:val="28"/>
        </w:rPr>
      </w:pPr>
    </w:p>
    <w:p w14:paraId="271C1505" w14:textId="77777777" w:rsidR="00F50221" w:rsidRPr="00F50221" w:rsidRDefault="00F50221" w:rsidP="00F50221">
      <w:pPr>
        <w:spacing w:before="100"/>
        <w:ind w:left="782" w:hanging="782"/>
        <w:jc w:val="both"/>
        <w:rPr>
          <w:sz w:val="19"/>
          <w:szCs w:val="20"/>
        </w:rPr>
      </w:pPr>
      <w:r w:rsidRPr="00F50221">
        <w:rPr>
          <w:sz w:val="19"/>
          <w:szCs w:val="20"/>
        </w:rPr>
        <w:t xml:space="preserve">В Приложение </w:t>
      </w:r>
      <w:r w:rsidRPr="00F50221">
        <w:rPr>
          <w:sz w:val="19"/>
          <w:szCs w:val="20"/>
          <w:lang w:val="en-US"/>
        </w:rPr>
        <w:t>C</w:t>
      </w:r>
      <w:r w:rsidRPr="00F50221">
        <w:rPr>
          <w:sz w:val="19"/>
          <w:szCs w:val="20"/>
        </w:rPr>
        <w:t>:</w:t>
      </w:r>
    </w:p>
    <w:p w14:paraId="7B5F32C9" w14:textId="77777777" w:rsidR="00F50221" w:rsidRPr="00F50221" w:rsidRDefault="00F50221" w:rsidP="00F50221">
      <w:pPr>
        <w:spacing w:before="100"/>
        <w:ind w:left="782" w:hanging="782"/>
        <w:jc w:val="both"/>
        <w:rPr>
          <w:rFonts w:eastAsia="Batang"/>
          <w:sz w:val="19"/>
          <w:szCs w:val="20"/>
        </w:rPr>
      </w:pPr>
      <w:r w:rsidRPr="00F50221">
        <w:rPr>
          <w:rFonts w:eastAsia="Batang"/>
          <w:sz w:val="19"/>
          <w:szCs w:val="20"/>
        </w:rPr>
        <w:t xml:space="preserve">После пункта </w:t>
      </w:r>
      <w:r w:rsidRPr="00F50221">
        <w:rPr>
          <w:sz w:val="19"/>
          <w:szCs w:val="22"/>
        </w:rPr>
        <w:t>C2</w:t>
      </w:r>
      <w:r w:rsidRPr="00F50221">
        <w:rPr>
          <w:rFonts w:eastAsia="Batang"/>
          <w:sz w:val="19"/>
          <w:szCs w:val="20"/>
        </w:rPr>
        <w:t xml:space="preserve"> включить пункт </w:t>
      </w:r>
      <w:r w:rsidRPr="00F50221">
        <w:rPr>
          <w:sz w:val="19"/>
          <w:szCs w:val="22"/>
        </w:rPr>
        <w:t>C2A</w:t>
      </w:r>
      <w:r w:rsidRPr="00F50221">
        <w:rPr>
          <w:rFonts w:eastAsia="Batang"/>
          <w:sz w:val="19"/>
          <w:szCs w:val="20"/>
        </w:rPr>
        <w:t xml:space="preserve"> следующего содержания:</w:t>
      </w:r>
    </w:p>
    <w:p w14:paraId="0E2C3E49" w14:textId="77777777" w:rsidR="00F50221" w:rsidRPr="00F50221" w:rsidRDefault="00F50221" w:rsidP="00F50221">
      <w:pPr>
        <w:widowControl w:val="0"/>
        <w:autoSpaceDE w:val="0"/>
        <w:autoSpaceDN w:val="0"/>
        <w:spacing w:before="99"/>
        <w:ind w:left="851" w:hanging="851"/>
        <w:jc w:val="both"/>
        <w:rPr>
          <w:sz w:val="19"/>
          <w:szCs w:val="22"/>
        </w:rPr>
      </w:pPr>
      <w:r w:rsidRPr="00F50221">
        <w:rPr>
          <w:sz w:val="19"/>
          <w:szCs w:val="22"/>
        </w:rPr>
        <w:t>C2A</w:t>
      </w:r>
      <w:r w:rsidRPr="00F50221">
        <w:rPr>
          <w:sz w:val="19"/>
          <w:szCs w:val="22"/>
        </w:rPr>
        <w:tab/>
        <w:t xml:space="preserve">Документом </w:t>
      </w:r>
      <w:r w:rsidRPr="00F50221">
        <w:rPr>
          <w:i/>
          <w:sz w:val="19"/>
          <w:szCs w:val="22"/>
        </w:rPr>
        <w:t>«Первоначальное применение МСФО (IFRS) 17 и МСФО (IFRS) 9 — Сравнительная</w:t>
      </w:r>
      <w:r w:rsidRPr="00F50221">
        <w:rPr>
          <w:i/>
          <w:spacing w:val="1"/>
          <w:sz w:val="19"/>
          <w:szCs w:val="22"/>
        </w:rPr>
        <w:t xml:space="preserve"> </w:t>
      </w:r>
      <w:r w:rsidRPr="00F50221">
        <w:rPr>
          <w:i/>
          <w:sz w:val="19"/>
          <w:szCs w:val="22"/>
        </w:rPr>
        <w:t>информация»</w:t>
      </w:r>
      <w:r w:rsidRPr="00F50221">
        <w:rPr>
          <w:sz w:val="19"/>
          <w:szCs w:val="22"/>
        </w:rPr>
        <w:t>, выпущенным в декабре 2021 года, добавлены заголовок, пункты C28A–C28E и пункт C33A.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Организация,</w:t>
      </w:r>
      <w:r w:rsidRPr="00F50221">
        <w:rPr>
          <w:spacing w:val="-10"/>
          <w:sz w:val="19"/>
          <w:szCs w:val="22"/>
        </w:rPr>
        <w:t xml:space="preserve"> </w:t>
      </w:r>
      <w:r w:rsidRPr="00F50221">
        <w:rPr>
          <w:sz w:val="19"/>
          <w:szCs w:val="22"/>
        </w:rPr>
        <w:t>которая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решит</w:t>
      </w:r>
      <w:r w:rsidRPr="00F50221">
        <w:rPr>
          <w:spacing w:val="-9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применять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пункты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C28A–C28E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и</w:t>
      </w:r>
      <w:r w:rsidRPr="00F50221">
        <w:rPr>
          <w:spacing w:val="-9"/>
          <w:sz w:val="19"/>
          <w:szCs w:val="22"/>
        </w:rPr>
        <w:t xml:space="preserve"> </w:t>
      </w:r>
      <w:r w:rsidRPr="00F50221">
        <w:rPr>
          <w:sz w:val="19"/>
          <w:szCs w:val="22"/>
        </w:rPr>
        <w:t>пункт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C33A,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должна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применять</w:t>
      </w:r>
      <w:r w:rsidRPr="00F50221">
        <w:rPr>
          <w:spacing w:val="-9"/>
          <w:sz w:val="19"/>
          <w:szCs w:val="22"/>
        </w:rPr>
        <w:t xml:space="preserve"> </w:t>
      </w:r>
      <w:r w:rsidRPr="00F50221">
        <w:rPr>
          <w:sz w:val="19"/>
          <w:szCs w:val="22"/>
        </w:rPr>
        <w:t>их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 первоначальном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применении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 (IFRS) 17.</w:t>
      </w:r>
    </w:p>
    <w:p w14:paraId="525E3456" w14:textId="77777777" w:rsidR="00F50221" w:rsidRPr="00F50221" w:rsidRDefault="00F50221" w:rsidP="00F50221">
      <w:pPr>
        <w:widowControl w:val="0"/>
        <w:autoSpaceDE w:val="0"/>
        <w:autoSpaceDN w:val="0"/>
        <w:rPr>
          <w:sz w:val="20"/>
          <w:szCs w:val="19"/>
        </w:rPr>
      </w:pPr>
    </w:p>
    <w:p w14:paraId="030A9B77" w14:textId="77777777" w:rsidR="00F50221" w:rsidRPr="00F50221" w:rsidRDefault="00F50221" w:rsidP="00F50221">
      <w:pPr>
        <w:spacing w:before="100"/>
        <w:ind w:left="782" w:hanging="782"/>
        <w:jc w:val="both"/>
        <w:rPr>
          <w:rFonts w:eastAsia="Batang"/>
          <w:sz w:val="19"/>
          <w:szCs w:val="19"/>
        </w:rPr>
      </w:pPr>
      <w:r w:rsidRPr="00F50221">
        <w:rPr>
          <w:rFonts w:eastAsia="Batang"/>
          <w:sz w:val="19"/>
          <w:szCs w:val="19"/>
        </w:rPr>
        <w:t xml:space="preserve">После пункта </w:t>
      </w:r>
      <w:r w:rsidRPr="00F50221">
        <w:rPr>
          <w:sz w:val="19"/>
          <w:szCs w:val="19"/>
        </w:rPr>
        <w:t>C28</w:t>
      </w:r>
      <w:r w:rsidRPr="00F50221">
        <w:rPr>
          <w:rFonts w:eastAsia="Batang"/>
          <w:sz w:val="19"/>
          <w:szCs w:val="19"/>
        </w:rPr>
        <w:t xml:space="preserve"> </w:t>
      </w:r>
      <w:r w:rsidRPr="00F50221">
        <w:rPr>
          <w:sz w:val="19"/>
          <w:szCs w:val="19"/>
        </w:rPr>
        <w:t xml:space="preserve">включить заголовок </w:t>
      </w:r>
      <w:r w:rsidRPr="00F50221">
        <w:rPr>
          <w:rFonts w:eastAsia="Batang"/>
          <w:sz w:val="19"/>
          <w:szCs w:val="19"/>
        </w:rPr>
        <w:t xml:space="preserve">и пункты </w:t>
      </w:r>
      <w:r w:rsidRPr="00F50221">
        <w:rPr>
          <w:sz w:val="19"/>
          <w:szCs w:val="19"/>
        </w:rPr>
        <w:t>C28A–C28E следующего</w:t>
      </w:r>
      <w:r w:rsidRPr="00F50221">
        <w:rPr>
          <w:rFonts w:eastAsia="Batang"/>
          <w:sz w:val="19"/>
          <w:szCs w:val="19"/>
        </w:rPr>
        <w:t xml:space="preserve"> содержания:</w:t>
      </w:r>
    </w:p>
    <w:p w14:paraId="48FADE00" w14:textId="77777777" w:rsidR="00F50221" w:rsidRPr="00F50221" w:rsidRDefault="00F50221" w:rsidP="00F50221">
      <w:pPr>
        <w:widowControl w:val="0"/>
        <w:autoSpaceDE w:val="0"/>
        <w:autoSpaceDN w:val="0"/>
        <w:rPr>
          <w:sz w:val="20"/>
          <w:szCs w:val="19"/>
        </w:rPr>
      </w:pPr>
    </w:p>
    <w:p w14:paraId="5B238190" w14:textId="77777777" w:rsidR="00F50221" w:rsidRPr="00F50221" w:rsidRDefault="00F50221" w:rsidP="00F50221">
      <w:pPr>
        <w:widowControl w:val="0"/>
        <w:autoSpaceDE w:val="0"/>
        <w:autoSpaceDN w:val="0"/>
        <w:ind w:left="902"/>
        <w:rPr>
          <w:rFonts w:ascii="Arial" w:hAnsi="Arial"/>
          <w:b/>
          <w:sz w:val="22"/>
          <w:szCs w:val="22"/>
        </w:rPr>
      </w:pPr>
      <w:r w:rsidRPr="00F50221">
        <w:rPr>
          <w:rFonts w:ascii="Arial" w:hAnsi="Arial"/>
          <w:b/>
          <w:sz w:val="22"/>
          <w:szCs w:val="22"/>
        </w:rPr>
        <w:t>Организации,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которые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впервые</w:t>
      </w:r>
      <w:r w:rsidRPr="00F50221">
        <w:rPr>
          <w:rFonts w:ascii="Arial" w:hAnsi="Arial"/>
          <w:b/>
          <w:spacing w:val="-4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применяют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МСФО</w:t>
      </w:r>
      <w:r w:rsidRPr="00F50221">
        <w:rPr>
          <w:rFonts w:ascii="Arial" w:hAnsi="Arial"/>
          <w:b/>
          <w:spacing w:val="-4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(IFRS)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17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и</w:t>
      </w:r>
      <w:r w:rsidRPr="00F5022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МСФО</w:t>
      </w:r>
      <w:r w:rsidRPr="00F50221">
        <w:rPr>
          <w:rFonts w:ascii="Arial" w:hAnsi="Arial"/>
          <w:b/>
          <w:spacing w:val="-58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(IFRS)</w:t>
      </w:r>
      <w:r w:rsidRPr="00F50221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F50221">
        <w:rPr>
          <w:rFonts w:ascii="Arial" w:hAnsi="Arial"/>
          <w:b/>
          <w:sz w:val="22"/>
          <w:szCs w:val="22"/>
        </w:rPr>
        <w:t>9 одновременно</w:t>
      </w:r>
    </w:p>
    <w:p w14:paraId="7C2E60CD" w14:textId="77777777" w:rsidR="00F50221" w:rsidRPr="00F50221" w:rsidRDefault="00F50221" w:rsidP="00F50221">
      <w:pPr>
        <w:widowControl w:val="0"/>
        <w:autoSpaceDE w:val="0"/>
        <w:autoSpaceDN w:val="0"/>
        <w:spacing w:before="201"/>
        <w:ind w:left="901" w:hanging="901"/>
        <w:jc w:val="both"/>
        <w:rPr>
          <w:sz w:val="19"/>
          <w:szCs w:val="19"/>
        </w:rPr>
      </w:pPr>
      <w:r w:rsidRPr="00F50221">
        <w:rPr>
          <w:sz w:val="19"/>
          <w:szCs w:val="19"/>
        </w:rPr>
        <w:t>C28A</w:t>
      </w:r>
      <w:r w:rsidRPr="00F50221">
        <w:rPr>
          <w:spacing w:val="1"/>
          <w:sz w:val="19"/>
          <w:szCs w:val="19"/>
        </w:rPr>
        <w:tab/>
      </w:r>
      <w:r w:rsidRPr="00F50221">
        <w:rPr>
          <w:sz w:val="19"/>
          <w:szCs w:val="19"/>
        </w:rPr>
        <w:t>Организации,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которая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впервые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применяет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(IFRS)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17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(IFRS)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9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одновременно,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разрешается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применить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пункты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C28B–C28E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классификационном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наложении)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целях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представления</w:t>
      </w:r>
      <w:r w:rsidRPr="00F50221">
        <w:rPr>
          <w:spacing w:val="-8"/>
          <w:sz w:val="19"/>
          <w:szCs w:val="19"/>
        </w:rPr>
        <w:t xml:space="preserve"> </w:t>
      </w:r>
      <w:r w:rsidRPr="00F50221">
        <w:rPr>
          <w:sz w:val="19"/>
          <w:szCs w:val="19"/>
        </w:rPr>
        <w:t>сравнительной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информации</w:t>
      </w:r>
      <w:r w:rsidRPr="00F50221">
        <w:rPr>
          <w:spacing w:val="-11"/>
          <w:sz w:val="19"/>
          <w:szCs w:val="19"/>
        </w:rPr>
        <w:t xml:space="preserve"> </w:t>
      </w:r>
      <w:r w:rsidRPr="00F50221">
        <w:rPr>
          <w:sz w:val="19"/>
          <w:szCs w:val="19"/>
        </w:rPr>
        <w:t>о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финансовом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активе,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если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сравнительная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информация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по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z w:val="19"/>
          <w:szCs w:val="19"/>
        </w:rPr>
        <w:t>этому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финансовому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не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была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пересчитана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для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целей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(IFRS)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9.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Сравнительная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информация по финансовому активу не будет пересчитываться для целей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 (IFRS) 9, если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организация примет решение не пересчитывать информацию за прошлые периоды (см. пункт 7.2.15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(IFRS)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9),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либо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если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организация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пересчитывает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информацию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за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прошлые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периоды,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но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признание данного финансового актива было прекращено в течение указанных прошлых периодов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(см. пункт 7.2.1 МСФО (IFRS) 9).</w:t>
      </w:r>
    </w:p>
    <w:p w14:paraId="1A44A378" w14:textId="77777777" w:rsidR="00F50221" w:rsidRPr="00F50221" w:rsidRDefault="00F50221" w:rsidP="00F50221">
      <w:pPr>
        <w:widowControl w:val="0"/>
        <w:autoSpaceDE w:val="0"/>
        <w:autoSpaceDN w:val="0"/>
        <w:spacing w:before="99"/>
        <w:ind w:left="902" w:hanging="902"/>
        <w:jc w:val="both"/>
        <w:rPr>
          <w:sz w:val="19"/>
          <w:szCs w:val="19"/>
        </w:rPr>
      </w:pPr>
      <w:r w:rsidRPr="00F50221">
        <w:rPr>
          <w:sz w:val="19"/>
          <w:szCs w:val="19"/>
        </w:rPr>
        <w:t>C28B</w:t>
      </w:r>
      <w:r w:rsidRPr="00F50221">
        <w:rPr>
          <w:spacing w:val="1"/>
          <w:sz w:val="19"/>
          <w:szCs w:val="19"/>
        </w:rPr>
        <w:tab/>
      </w:r>
      <w:r w:rsidRPr="00F50221">
        <w:rPr>
          <w:sz w:val="19"/>
          <w:szCs w:val="19"/>
        </w:rPr>
        <w:t>Организация,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применяющая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классификационное</w:t>
      </w:r>
      <w:r w:rsidRPr="00F50221">
        <w:rPr>
          <w:spacing w:val="47"/>
          <w:sz w:val="19"/>
          <w:szCs w:val="19"/>
        </w:rPr>
        <w:t xml:space="preserve"> </w:t>
      </w:r>
      <w:r w:rsidRPr="00F50221">
        <w:rPr>
          <w:sz w:val="19"/>
          <w:szCs w:val="19"/>
        </w:rPr>
        <w:t>наложение</w:t>
      </w:r>
      <w:r w:rsidRPr="00F50221">
        <w:rPr>
          <w:spacing w:val="48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47"/>
          <w:sz w:val="19"/>
          <w:szCs w:val="19"/>
        </w:rPr>
        <w:t xml:space="preserve"> </w:t>
      </w:r>
      <w:r w:rsidRPr="00F50221">
        <w:rPr>
          <w:sz w:val="19"/>
          <w:szCs w:val="19"/>
        </w:rPr>
        <w:t>отношении</w:t>
      </w:r>
      <w:r w:rsidRPr="00F50221">
        <w:rPr>
          <w:spacing w:val="48"/>
          <w:sz w:val="19"/>
          <w:szCs w:val="19"/>
        </w:rPr>
        <w:t xml:space="preserve"> </w:t>
      </w:r>
      <w:r w:rsidRPr="00F50221">
        <w:rPr>
          <w:sz w:val="19"/>
          <w:szCs w:val="19"/>
        </w:rPr>
        <w:t>финансового</w:t>
      </w:r>
      <w:r w:rsidRPr="00F50221">
        <w:rPr>
          <w:spacing w:val="47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актива,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должна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представить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сравнительную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информацию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так,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как</w:t>
      </w:r>
      <w:r w:rsidRPr="00F50221">
        <w:rPr>
          <w:spacing w:val="-6"/>
          <w:sz w:val="19"/>
          <w:szCs w:val="19"/>
        </w:rPr>
        <w:t xml:space="preserve"> </w:t>
      </w:r>
      <w:r w:rsidRPr="00F50221">
        <w:rPr>
          <w:sz w:val="19"/>
          <w:szCs w:val="19"/>
        </w:rPr>
        <w:t>если</w:t>
      </w:r>
      <w:r w:rsidRPr="00F50221">
        <w:rPr>
          <w:spacing w:val="-6"/>
          <w:sz w:val="19"/>
          <w:szCs w:val="19"/>
        </w:rPr>
        <w:t xml:space="preserve"> </w:t>
      </w:r>
      <w:r w:rsidRPr="00F50221">
        <w:rPr>
          <w:sz w:val="19"/>
          <w:szCs w:val="19"/>
        </w:rPr>
        <w:t>бы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к</w:t>
      </w:r>
      <w:r w:rsidRPr="00F50221">
        <w:rPr>
          <w:spacing w:val="-6"/>
          <w:sz w:val="19"/>
          <w:szCs w:val="19"/>
        </w:rPr>
        <w:t xml:space="preserve"> </w:t>
      </w:r>
      <w:r w:rsidRPr="00F50221">
        <w:rPr>
          <w:sz w:val="19"/>
          <w:szCs w:val="19"/>
        </w:rPr>
        <w:t>этому</w:t>
      </w:r>
      <w:r w:rsidRPr="00F50221">
        <w:rPr>
          <w:spacing w:val="-8"/>
          <w:sz w:val="19"/>
          <w:szCs w:val="19"/>
        </w:rPr>
        <w:t xml:space="preserve"> </w:t>
      </w:r>
      <w:r w:rsidRPr="00F50221">
        <w:rPr>
          <w:sz w:val="19"/>
          <w:szCs w:val="19"/>
        </w:rPr>
        <w:t>финансовому</w:t>
      </w:r>
      <w:r w:rsidRPr="00F50221">
        <w:rPr>
          <w:spacing w:val="-8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активу</w:t>
      </w:r>
      <w:r w:rsidRPr="00F50221">
        <w:rPr>
          <w:spacing w:val="-7"/>
          <w:sz w:val="19"/>
          <w:szCs w:val="19"/>
        </w:rPr>
        <w:t xml:space="preserve"> </w:t>
      </w:r>
      <w:r w:rsidRPr="00F50221">
        <w:rPr>
          <w:sz w:val="19"/>
          <w:szCs w:val="19"/>
        </w:rPr>
        <w:t>были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применены требования МСФО (IFRS) 9 в части классификации и оценки. Организация должна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использовать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обоснованную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и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подтверждаемую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информацию,</w:t>
      </w:r>
      <w:r w:rsidRPr="00F50221">
        <w:rPr>
          <w:spacing w:val="-8"/>
          <w:sz w:val="19"/>
          <w:szCs w:val="19"/>
        </w:rPr>
        <w:t xml:space="preserve"> </w:t>
      </w:r>
      <w:r w:rsidRPr="00F50221">
        <w:rPr>
          <w:sz w:val="19"/>
          <w:szCs w:val="19"/>
        </w:rPr>
        <w:t>доступную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на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дату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перехода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(см.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пункт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z w:val="19"/>
          <w:szCs w:val="19"/>
        </w:rPr>
        <w:t>C2(b)), чтобы определить, как, по её ожиданиям, этот финансовый актив был бы классифицирован и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z w:val="19"/>
          <w:szCs w:val="19"/>
        </w:rPr>
        <w:t>оценен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первоначальном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применении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 (IFRS) 9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(например,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организация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могла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бы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использовать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предварительные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оценки,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проведенные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подготовке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к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первоначальному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применению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 (IFRS) 9).</w:t>
      </w:r>
    </w:p>
    <w:p w14:paraId="563FE3F8" w14:textId="77777777" w:rsidR="00F50221" w:rsidRPr="00F50221" w:rsidRDefault="00F50221" w:rsidP="00F50221">
      <w:pPr>
        <w:widowControl w:val="0"/>
        <w:autoSpaceDE w:val="0"/>
        <w:autoSpaceDN w:val="0"/>
        <w:spacing w:before="101"/>
        <w:ind w:left="902" w:hanging="902"/>
        <w:jc w:val="both"/>
        <w:rPr>
          <w:sz w:val="19"/>
          <w:szCs w:val="22"/>
        </w:rPr>
      </w:pPr>
      <w:r w:rsidRPr="00F50221">
        <w:rPr>
          <w:sz w:val="19"/>
          <w:szCs w:val="19"/>
        </w:rPr>
        <w:t>C28C</w:t>
      </w:r>
      <w:r w:rsidRPr="00F50221">
        <w:rPr>
          <w:spacing w:val="1"/>
          <w:sz w:val="19"/>
          <w:szCs w:val="19"/>
        </w:rPr>
        <w:tab/>
      </w:r>
      <w:r w:rsidRPr="00F50221">
        <w:rPr>
          <w:sz w:val="19"/>
          <w:szCs w:val="19"/>
        </w:rPr>
        <w:t>При применении классификационного наложения к финансовому активу организация не обязана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применять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требования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Раздела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5.5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МСФО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(IFRS)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9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отношении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обесценения.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Если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исходя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из</w:t>
      </w:r>
      <w:r w:rsidRPr="00F50221">
        <w:rPr>
          <w:spacing w:val="-45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классификации,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определенной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в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соответствии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с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пунктом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C28B,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pacing w:val="-1"/>
          <w:sz w:val="19"/>
          <w:szCs w:val="19"/>
        </w:rPr>
        <w:t>финансовый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попадал</w:t>
      </w:r>
      <w:r w:rsidRPr="00F50221">
        <w:rPr>
          <w:spacing w:val="-10"/>
          <w:sz w:val="19"/>
          <w:szCs w:val="19"/>
        </w:rPr>
        <w:t xml:space="preserve"> </w:t>
      </w:r>
      <w:r w:rsidRPr="00F50221">
        <w:rPr>
          <w:sz w:val="19"/>
          <w:szCs w:val="19"/>
        </w:rPr>
        <w:t>бы</w:t>
      </w:r>
      <w:r w:rsidRPr="00F50221">
        <w:rPr>
          <w:spacing w:val="-11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-9"/>
          <w:sz w:val="19"/>
          <w:szCs w:val="19"/>
        </w:rPr>
        <w:t xml:space="preserve"> </w:t>
      </w:r>
      <w:r w:rsidRPr="00F50221">
        <w:rPr>
          <w:sz w:val="19"/>
          <w:szCs w:val="19"/>
        </w:rPr>
        <w:t>сферу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применения требований Раздела 5.5 МСФО (IFRS) 9 в отношении обесценения, но организация не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применяет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эти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требования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рамках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применения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классификационного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наложения,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организация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должна</w:t>
      </w:r>
      <w:r w:rsidRPr="00F50221">
        <w:rPr>
          <w:spacing w:val="37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продолжать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представлять</w:t>
      </w:r>
      <w:r w:rsidRPr="00F50221">
        <w:rPr>
          <w:spacing w:val="37"/>
          <w:sz w:val="19"/>
          <w:szCs w:val="19"/>
        </w:rPr>
        <w:t xml:space="preserve"> </w:t>
      </w:r>
      <w:r w:rsidRPr="00F50221">
        <w:rPr>
          <w:sz w:val="19"/>
          <w:szCs w:val="19"/>
        </w:rPr>
        <w:t>все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суммы,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признанные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отношении</w:t>
      </w:r>
      <w:r w:rsidRPr="00F50221">
        <w:rPr>
          <w:spacing w:val="39"/>
          <w:sz w:val="19"/>
          <w:szCs w:val="19"/>
        </w:rPr>
        <w:t xml:space="preserve"> </w:t>
      </w:r>
      <w:r w:rsidRPr="00F50221">
        <w:rPr>
          <w:sz w:val="19"/>
          <w:szCs w:val="19"/>
        </w:rPr>
        <w:t>обесценения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>в</w:t>
      </w:r>
      <w:r w:rsidRPr="00F50221">
        <w:rPr>
          <w:spacing w:val="38"/>
          <w:sz w:val="19"/>
          <w:szCs w:val="19"/>
        </w:rPr>
        <w:t xml:space="preserve"> </w:t>
      </w:r>
      <w:r w:rsidRPr="00F50221">
        <w:rPr>
          <w:sz w:val="19"/>
          <w:szCs w:val="19"/>
        </w:rPr>
        <w:t xml:space="preserve">прошлом </w:t>
      </w:r>
      <w:r w:rsidRPr="00F50221">
        <w:rPr>
          <w:sz w:val="19"/>
          <w:szCs w:val="22"/>
        </w:rPr>
        <w:t xml:space="preserve">периоде, в соответствии с МСФО (IAS) 39 </w:t>
      </w:r>
      <w:r w:rsidRPr="00F50221">
        <w:rPr>
          <w:i/>
          <w:sz w:val="19"/>
          <w:szCs w:val="22"/>
        </w:rPr>
        <w:t>«Финансовые инструменты: признание и оценка»</w:t>
      </w:r>
      <w:r w:rsidRPr="00F50221">
        <w:rPr>
          <w:sz w:val="19"/>
          <w:szCs w:val="22"/>
        </w:rPr>
        <w:t>. В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противном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случае все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эти суммы должны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быть восстановлены.</w:t>
      </w:r>
    </w:p>
    <w:p w14:paraId="6C1995D4" w14:textId="77777777" w:rsidR="00F50221" w:rsidRPr="00F50221" w:rsidRDefault="00F50221" w:rsidP="00F50221">
      <w:pPr>
        <w:widowControl w:val="0"/>
        <w:autoSpaceDE w:val="0"/>
        <w:autoSpaceDN w:val="0"/>
        <w:spacing w:before="99"/>
        <w:ind w:left="851" w:hanging="851"/>
        <w:jc w:val="both"/>
        <w:rPr>
          <w:sz w:val="19"/>
          <w:szCs w:val="19"/>
        </w:rPr>
      </w:pPr>
      <w:r w:rsidRPr="00F50221">
        <w:rPr>
          <w:sz w:val="19"/>
          <w:szCs w:val="19"/>
        </w:rPr>
        <w:t>C28D</w:t>
      </w:r>
      <w:r w:rsidRPr="00F50221">
        <w:rPr>
          <w:spacing w:val="1"/>
          <w:sz w:val="19"/>
          <w:szCs w:val="19"/>
        </w:rPr>
        <w:tab/>
      </w:r>
      <w:r w:rsidRPr="00F50221">
        <w:rPr>
          <w:sz w:val="19"/>
          <w:szCs w:val="19"/>
        </w:rPr>
        <w:t>Любая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разница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между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прежней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балансовой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стоимостью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финансового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актива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и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его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балансовой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стоимостью на дату перехода, определенной при применении пунктов C28B–C28C, должна быть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признана в составе вступительного сальдо нераспределенной прибыли (или другого компонента</w:t>
      </w:r>
      <w:r w:rsidRPr="00F50221">
        <w:rPr>
          <w:spacing w:val="1"/>
          <w:sz w:val="19"/>
          <w:szCs w:val="19"/>
        </w:rPr>
        <w:t xml:space="preserve"> </w:t>
      </w:r>
      <w:r w:rsidRPr="00F50221">
        <w:rPr>
          <w:sz w:val="19"/>
          <w:szCs w:val="19"/>
        </w:rPr>
        <w:t>собственного капитала в зависимости</w:t>
      </w:r>
      <w:r w:rsidRPr="00F50221">
        <w:rPr>
          <w:spacing w:val="-1"/>
          <w:sz w:val="19"/>
          <w:szCs w:val="19"/>
        </w:rPr>
        <w:t xml:space="preserve"> </w:t>
      </w:r>
      <w:r w:rsidRPr="00F50221">
        <w:rPr>
          <w:sz w:val="19"/>
          <w:szCs w:val="19"/>
        </w:rPr>
        <w:t>от ситуации)</w:t>
      </w:r>
      <w:r w:rsidRPr="00F50221">
        <w:rPr>
          <w:spacing w:val="-1"/>
          <w:sz w:val="19"/>
          <w:szCs w:val="19"/>
        </w:rPr>
        <w:t xml:space="preserve"> </w:t>
      </w:r>
      <w:r w:rsidRPr="00F50221">
        <w:rPr>
          <w:sz w:val="19"/>
          <w:szCs w:val="19"/>
        </w:rPr>
        <w:t>на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дату перехода.</w:t>
      </w:r>
    </w:p>
    <w:p w14:paraId="2C95E612" w14:textId="77777777" w:rsidR="00F50221" w:rsidRPr="00F50221" w:rsidRDefault="00F50221" w:rsidP="00F50221">
      <w:pPr>
        <w:widowControl w:val="0"/>
        <w:tabs>
          <w:tab w:val="left" w:pos="426"/>
          <w:tab w:val="left" w:pos="851"/>
        </w:tabs>
        <w:autoSpaceDE w:val="0"/>
        <w:autoSpaceDN w:val="0"/>
        <w:spacing w:before="100"/>
        <w:jc w:val="both"/>
        <w:rPr>
          <w:sz w:val="19"/>
          <w:szCs w:val="19"/>
        </w:rPr>
      </w:pPr>
      <w:r w:rsidRPr="00F50221">
        <w:rPr>
          <w:sz w:val="19"/>
          <w:szCs w:val="19"/>
        </w:rPr>
        <w:t>C28E</w:t>
      </w:r>
      <w:r w:rsidRPr="00F50221">
        <w:rPr>
          <w:spacing w:val="3"/>
          <w:sz w:val="19"/>
          <w:szCs w:val="19"/>
        </w:rPr>
        <w:tab/>
      </w:r>
      <w:r w:rsidRPr="00F50221">
        <w:rPr>
          <w:sz w:val="19"/>
          <w:szCs w:val="19"/>
        </w:rPr>
        <w:t>Организация,</w:t>
      </w:r>
      <w:r w:rsidRPr="00F50221">
        <w:rPr>
          <w:spacing w:val="-4"/>
          <w:sz w:val="19"/>
          <w:szCs w:val="19"/>
        </w:rPr>
        <w:t xml:space="preserve"> </w:t>
      </w:r>
      <w:r w:rsidRPr="00F50221">
        <w:rPr>
          <w:sz w:val="19"/>
          <w:szCs w:val="19"/>
        </w:rPr>
        <w:t>которая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применяет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пункты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C28B–C28D,</w:t>
      </w:r>
      <w:r w:rsidRPr="00F50221">
        <w:rPr>
          <w:spacing w:val="-1"/>
          <w:sz w:val="19"/>
          <w:szCs w:val="19"/>
        </w:rPr>
        <w:t xml:space="preserve"> </w:t>
      </w:r>
      <w:r w:rsidRPr="00F50221">
        <w:rPr>
          <w:sz w:val="19"/>
          <w:szCs w:val="19"/>
        </w:rPr>
        <w:t>должна:</w:t>
      </w:r>
    </w:p>
    <w:p w14:paraId="0DA8045A" w14:textId="77777777" w:rsidR="00F50221" w:rsidRPr="00F50221" w:rsidRDefault="00F50221" w:rsidP="00F50221">
      <w:pPr>
        <w:widowControl w:val="0"/>
        <w:numPr>
          <w:ilvl w:val="0"/>
          <w:numId w:val="6"/>
        </w:numPr>
        <w:tabs>
          <w:tab w:val="left" w:pos="1683"/>
          <w:tab w:val="left" w:pos="1684"/>
        </w:tabs>
        <w:autoSpaceDE w:val="0"/>
        <w:autoSpaceDN w:val="0"/>
        <w:spacing w:before="100"/>
        <w:jc w:val="both"/>
        <w:rPr>
          <w:sz w:val="19"/>
          <w:szCs w:val="22"/>
        </w:rPr>
      </w:pPr>
      <w:r w:rsidRPr="00F50221">
        <w:rPr>
          <w:sz w:val="19"/>
          <w:szCs w:val="22"/>
        </w:rPr>
        <w:t>раскрыть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качественную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информацию,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позволяющую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пользователям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финансовой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отчетности понять следующее:</w:t>
      </w:r>
    </w:p>
    <w:p w14:paraId="01BBB2F0" w14:textId="77777777" w:rsidR="00F50221" w:rsidRPr="00F50221" w:rsidRDefault="00F50221" w:rsidP="00F50221">
      <w:pPr>
        <w:widowControl w:val="0"/>
        <w:numPr>
          <w:ilvl w:val="1"/>
          <w:numId w:val="6"/>
        </w:numPr>
        <w:tabs>
          <w:tab w:val="left" w:pos="2467"/>
          <w:tab w:val="left" w:pos="2468"/>
        </w:tabs>
        <w:autoSpaceDE w:val="0"/>
        <w:autoSpaceDN w:val="0"/>
        <w:spacing w:before="100"/>
        <w:jc w:val="both"/>
        <w:rPr>
          <w:sz w:val="19"/>
          <w:szCs w:val="22"/>
        </w:rPr>
      </w:pPr>
      <w:r w:rsidRPr="00F50221">
        <w:rPr>
          <w:sz w:val="19"/>
          <w:szCs w:val="22"/>
        </w:rPr>
        <w:lastRenderedPageBreak/>
        <w:t>в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какой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мере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было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применено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классификационное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наложение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(например,</w:t>
      </w:r>
      <w:r w:rsidRPr="00F50221">
        <w:rPr>
          <w:spacing w:val="-45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применялось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ли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оно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ко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всем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финансовым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активам,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признание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которых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было</w:t>
      </w:r>
      <w:r w:rsidRPr="00F50221">
        <w:rPr>
          <w:spacing w:val="-45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прекращено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в сравнительном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периоде);</w:t>
      </w:r>
    </w:p>
    <w:p w14:paraId="18CC442F" w14:textId="77777777" w:rsidR="00F50221" w:rsidRPr="00F50221" w:rsidRDefault="00F50221" w:rsidP="00F50221">
      <w:pPr>
        <w:widowControl w:val="0"/>
        <w:numPr>
          <w:ilvl w:val="1"/>
          <w:numId w:val="6"/>
        </w:numPr>
        <w:tabs>
          <w:tab w:val="left" w:pos="2467"/>
          <w:tab w:val="left" w:pos="2468"/>
        </w:tabs>
        <w:autoSpaceDE w:val="0"/>
        <w:autoSpaceDN w:val="0"/>
        <w:spacing w:before="100"/>
        <w:ind w:hanging="784"/>
        <w:jc w:val="both"/>
        <w:rPr>
          <w:sz w:val="19"/>
          <w:szCs w:val="22"/>
        </w:rPr>
      </w:pPr>
      <w:r w:rsidRPr="00F50221">
        <w:rPr>
          <w:sz w:val="19"/>
          <w:szCs w:val="22"/>
        </w:rPr>
        <w:t>были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ли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применены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и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в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какой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мере</w:t>
      </w:r>
      <w:r w:rsidRPr="00F50221">
        <w:rPr>
          <w:spacing w:val="23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применены</w:t>
      </w:r>
      <w:r w:rsidRPr="00F50221">
        <w:rPr>
          <w:spacing w:val="21"/>
          <w:sz w:val="19"/>
          <w:szCs w:val="22"/>
        </w:rPr>
        <w:t xml:space="preserve"> </w:t>
      </w:r>
      <w:r w:rsidRPr="00F50221">
        <w:rPr>
          <w:sz w:val="19"/>
          <w:szCs w:val="22"/>
        </w:rPr>
        <w:t>требования</w:t>
      </w:r>
      <w:r w:rsidRPr="00F50221">
        <w:rPr>
          <w:spacing w:val="23"/>
          <w:sz w:val="19"/>
          <w:szCs w:val="22"/>
        </w:rPr>
        <w:t xml:space="preserve"> </w:t>
      </w:r>
      <w:r w:rsidRPr="00F50221">
        <w:rPr>
          <w:sz w:val="19"/>
          <w:szCs w:val="22"/>
        </w:rPr>
        <w:t>Раздела</w:t>
      </w:r>
      <w:r w:rsidRPr="00F50221">
        <w:rPr>
          <w:spacing w:val="23"/>
          <w:sz w:val="19"/>
          <w:szCs w:val="22"/>
        </w:rPr>
        <w:t xml:space="preserve"> </w:t>
      </w:r>
      <w:r w:rsidRPr="00F50221">
        <w:rPr>
          <w:sz w:val="19"/>
          <w:szCs w:val="22"/>
        </w:rPr>
        <w:t>5.5</w:t>
      </w:r>
      <w:r w:rsidRPr="00F50221">
        <w:rPr>
          <w:spacing w:val="22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</w:t>
      </w:r>
    </w:p>
    <w:p w14:paraId="6F606BE2" w14:textId="77777777" w:rsidR="00F50221" w:rsidRPr="00F50221" w:rsidRDefault="00F50221" w:rsidP="00F50221">
      <w:pPr>
        <w:widowControl w:val="0"/>
        <w:autoSpaceDE w:val="0"/>
        <w:autoSpaceDN w:val="0"/>
        <w:spacing w:before="1"/>
        <w:ind w:left="2467"/>
        <w:jc w:val="both"/>
        <w:rPr>
          <w:sz w:val="19"/>
          <w:szCs w:val="19"/>
        </w:rPr>
      </w:pPr>
      <w:r w:rsidRPr="00F50221">
        <w:rPr>
          <w:sz w:val="19"/>
          <w:szCs w:val="19"/>
        </w:rPr>
        <w:t>(IFRS)</w:t>
      </w:r>
      <w:r w:rsidRPr="00F50221">
        <w:rPr>
          <w:spacing w:val="-4"/>
          <w:sz w:val="19"/>
          <w:szCs w:val="19"/>
        </w:rPr>
        <w:t xml:space="preserve"> </w:t>
      </w:r>
      <w:r w:rsidRPr="00F50221">
        <w:rPr>
          <w:sz w:val="19"/>
          <w:szCs w:val="19"/>
        </w:rPr>
        <w:t>9,</w:t>
      </w:r>
      <w:r w:rsidRPr="00F50221">
        <w:rPr>
          <w:spacing w:val="-2"/>
          <w:sz w:val="19"/>
          <w:szCs w:val="19"/>
        </w:rPr>
        <w:t xml:space="preserve"> </w:t>
      </w:r>
      <w:r w:rsidRPr="00F50221">
        <w:rPr>
          <w:sz w:val="19"/>
          <w:szCs w:val="19"/>
        </w:rPr>
        <w:t>касающиеся</w:t>
      </w:r>
      <w:r w:rsidRPr="00F50221">
        <w:rPr>
          <w:spacing w:val="-4"/>
          <w:sz w:val="19"/>
          <w:szCs w:val="19"/>
        </w:rPr>
        <w:t xml:space="preserve"> </w:t>
      </w:r>
      <w:r w:rsidRPr="00F50221">
        <w:rPr>
          <w:sz w:val="19"/>
          <w:szCs w:val="19"/>
        </w:rPr>
        <w:t>обесценения</w:t>
      </w:r>
      <w:r w:rsidRPr="00F50221">
        <w:rPr>
          <w:spacing w:val="-3"/>
          <w:sz w:val="19"/>
          <w:szCs w:val="19"/>
        </w:rPr>
        <w:t xml:space="preserve"> </w:t>
      </w:r>
      <w:r w:rsidRPr="00F50221">
        <w:rPr>
          <w:sz w:val="19"/>
          <w:szCs w:val="19"/>
        </w:rPr>
        <w:t>(см.</w:t>
      </w:r>
      <w:r w:rsidRPr="00F50221">
        <w:rPr>
          <w:spacing w:val="-4"/>
          <w:sz w:val="19"/>
          <w:szCs w:val="19"/>
        </w:rPr>
        <w:t xml:space="preserve"> </w:t>
      </w:r>
      <w:r w:rsidRPr="00F50221">
        <w:rPr>
          <w:sz w:val="19"/>
          <w:szCs w:val="19"/>
        </w:rPr>
        <w:t>пункт</w:t>
      </w:r>
      <w:r w:rsidRPr="00F50221">
        <w:rPr>
          <w:spacing w:val="-4"/>
          <w:sz w:val="19"/>
          <w:szCs w:val="19"/>
        </w:rPr>
        <w:t xml:space="preserve"> </w:t>
      </w:r>
      <w:r w:rsidRPr="00F50221">
        <w:rPr>
          <w:sz w:val="19"/>
          <w:szCs w:val="19"/>
        </w:rPr>
        <w:t>C28C);</w:t>
      </w:r>
    </w:p>
    <w:p w14:paraId="61179F68" w14:textId="77777777" w:rsidR="00F50221" w:rsidRPr="00F50221" w:rsidRDefault="00F50221" w:rsidP="00F50221">
      <w:pPr>
        <w:widowControl w:val="0"/>
        <w:numPr>
          <w:ilvl w:val="0"/>
          <w:numId w:val="6"/>
        </w:numPr>
        <w:tabs>
          <w:tab w:val="left" w:pos="1683"/>
          <w:tab w:val="left" w:pos="1684"/>
        </w:tabs>
        <w:autoSpaceDE w:val="0"/>
        <w:autoSpaceDN w:val="0"/>
        <w:spacing w:before="99"/>
        <w:jc w:val="both"/>
        <w:rPr>
          <w:sz w:val="19"/>
          <w:szCs w:val="22"/>
        </w:rPr>
      </w:pPr>
      <w:r w:rsidRPr="00F50221">
        <w:rPr>
          <w:sz w:val="19"/>
          <w:szCs w:val="22"/>
        </w:rPr>
        <w:t>применить эти пункты только к сравнительной информации за отчетные периоды между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датой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перехода</w:t>
      </w:r>
      <w:r w:rsidRPr="00F50221">
        <w:rPr>
          <w:spacing w:val="-9"/>
          <w:sz w:val="19"/>
          <w:szCs w:val="22"/>
        </w:rPr>
        <w:t xml:space="preserve"> </w:t>
      </w:r>
      <w:r w:rsidRPr="00F50221">
        <w:rPr>
          <w:sz w:val="19"/>
          <w:szCs w:val="22"/>
        </w:rPr>
        <w:t>на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</w:t>
      </w:r>
      <w:r w:rsidRPr="00F50221">
        <w:rPr>
          <w:spacing w:val="-3"/>
          <w:sz w:val="19"/>
          <w:szCs w:val="22"/>
        </w:rPr>
        <w:t xml:space="preserve"> </w:t>
      </w:r>
      <w:r w:rsidRPr="00F50221">
        <w:rPr>
          <w:sz w:val="19"/>
          <w:szCs w:val="22"/>
        </w:rPr>
        <w:t>(IFRS)</w:t>
      </w:r>
      <w:r w:rsidRPr="00F50221">
        <w:rPr>
          <w:spacing w:val="-3"/>
          <w:sz w:val="19"/>
          <w:szCs w:val="22"/>
        </w:rPr>
        <w:t xml:space="preserve"> </w:t>
      </w:r>
      <w:r w:rsidRPr="00F50221">
        <w:rPr>
          <w:sz w:val="19"/>
          <w:szCs w:val="22"/>
        </w:rPr>
        <w:t>17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и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датой</w:t>
      </w:r>
      <w:r w:rsidRPr="00F50221">
        <w:rPr>
          <w:spacing w:val="-6"/>
          <w:sz w:val="19"/>
          <w:szCs w:val="22"/>
        </w:rPr>
        <w:t xml:space="preserve"> </w:t>
      </w:r>
      <w:r w:rsidRPr="00F50221">
        <w:rPr>
          <w:sz w:val="19"/>
          <w:szCs w:val="22"/>
        </w:rPr>
        <w:t>первоначального</w:t>
      </w:r>
      <w:r w:rsidRPr="00F50221">
        <w:rPr>
          <w:spacing w:val="-9"/>
          <w:sz w:val="19"/>
          <w:szCs w:val="22"/>
        </w:rPr>
        <w:t xml:space="preserve"> </w:t>
      </w:r>
      <w:r w:rsidRPr="00F50221">
        <w:rPr>
          <w:sz w:val="19"/>
          <w:szCs w:val="22"/>
        </w:rPr>
        <w:t>применения</w:t>
      </w:r>
      <w:r w:rsidRPr="00F50221">
        <w:rPr>
          <w:spacing w:val="-8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</w:t>
      </w:r>
      <w:r w:rsidRPr="00F50221">
        <w:rPr>
          <w:spacing w:val="-3"/>
          <w:sz w:val="19"/>
          <w:szCs w:val="22"/>
        </w:rPr>
        <w:t xml:space="preserve"> </w:t>
      </w:r>
      <w:r w:rsidRPr="00F50221">
        <w:rPr>
          <w:sz w:val="19"/>
          <w:szCs w:val="22"/>
        </w:rPr>
        <w:t>(IFRS)</w:t>
      </w:r>
      <w:r w:rsidRPr="00F50221">
        <w:rPr>
          <w:spacing w:val="-3"/>
          <w:sz w:val="19"/>
          <w:szCs w:val="22"/>
        </w:rPr>
        <w:t> </w:t>
      </w:r>
      <w:r w:rsidRPr="00F50221">
        <w:rPr>
          <w:sz w:val="19"/>
          <w:szCs w:val="22"/>
        </w:rPr>
        <w:t>17 (см. пункты C2 и C25); и</w:t>
      </w:r>
    </w:p>
    <w:p w14:paraId="624B3E9B" w14:textId="77777777" w:rsidR="00F50221" w:rsidRPr="00F50221" w:rsidRDefault="00F50221" w:rsidP="00F50221">
      <w:pPr>
        <w:widowControl w:val="0"/>
        <w:numPr>
          <w:ilvl w:val="0"/>
          <w:numId w:val="6"/>
        </w:numPr>
        <w:tabs>
          <w:tab w:val="left" w:pos="1683"/>
          <w:tab w:val="left" w:pos="1684"/>
        </w:tabs>
        <w:autoSpaceDE w:val="0"/>
        <w:autoSpaceDN w:val="0"/>
        <w:spacing w:before="100"/>
        <w:ind w:hanging="781"/>
        <w:jc w:val="both"/>
        <w:rPr>
          <w:sz w:val="19"/>
          <w:szCs w:val="22"/>
        </w:rPr>
      </w:pPr>
      <w:r w:rsidRPr="00F50221">
        <w:rPr>
          <w:sz w:val="19"/>
          <w:szCs w:val="22"/>
        </w:rPr>
        <w:t>на дату первоначального применения МСФО (IFRS) 9 применить переходные положения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(IFRS) 9 (см.</w:t>
      </w:r>
      <w:r w:rsidRPr="00F50221">
        <w:rPr>
          <w:spacing w:val="1"/>
          <w:sz w:val="19"/>
          <w:szCs w:val="22"/>
        </w:rPr>
        <w:t xml:space="preserve"> </w:t>
      </w:r>
      <w:r w:rsidRPr="00F50221">
        <w:rPr>
          <w:sz w:val="19"/>
          <w:szCs w:val="22"/>
        </w:rPr>
        <w:t>Раздел 7.2</w:t>
      </w:r>
      <w:r w:rsidRPr="00F50221">
        <w:rPr>
          <w:spacing w:val="-1"/>
          <w:sz w:val="19"/>
          <w:szCs w:val="22"/>
        </w:rPr>
        <w:t xml:space="preserve"> </w:t>
      </w:r>
      <w:r w:rsidRPr="00F50221">
        <w:rPr>
          <w:sz w:val="19"/>
          <w:szCs w:val="22"/>
        </w:rPr>
        <w:t>МСФО (IFRS) 9).</w:t>
      </w:r>
    </w:p>
    <w:p w14:paraId="7BADBABD" w14:textId="77777777" w:rsidR="00F50221" w:rsidRPr="00F50221" w:rsidRDefault="00F50221" w:rsidP="00F50221">
      <w:pPr>
        <w:widowControl w:val="0"/>
        <w:autoSpaceDE w:val="0"/>
        <w:autoSpaceDN w:val="0"/>
        <w:spacing w:before="100"/>
        <w:jc w:val="both"/>
        <w:rPr>
          <w:sz w:val="20"/>
          <w:szCs w:val="19"/>
        </w:rPr>
      </w:pPr>
      <w:r w:rsidRPr="00F50221">
        <w:rPr>
          <w:sz w:val="20"/>
          <w:szCs w:val="19"/>
        </w:rPr>
        <w:t>После пункта C33 включить пункт C33A следующего содержания:</w:t>
      </w:r>
    </w:p>
    <w:p w14:paraId="52E1DD38" w14:textId="77777777" w:rsidR="00F50221" w:rsidRPr="00F50221" w:rsidRDefault="00F50221" w:rsidP="00F50221">
      <w:pPr>
        <w:ind w:left="851" w:hanging="851"/>
        <w:jc w:val="both"/>
        <w:rPr>
          <w:rFonts w:eastAsia="Arial"/>
          <w:b/>
          <w:bCs/>
          <w:color w:val="808080"/>
          <w:sz w:val="19"/>
          <w:szCs w:val="19"/>
        </w:rPr>
      </w:pPr>
    </w:p>
    <w:p w14:paraId="3DF09139" w14:textId="77777777" w:rsidR="00F50221" w:rsidRPr="00F50221" w:rsidRDefault="00F50221" w:rsidP="00F50221">
      <w:pPr>
        <w:ind w:left="851" w:hanging="851"/>
        <w:jc w:val="both"/>
        <w:rPr>
          <w:rFonts w:eastAsia="Batang"/>
          <w:sz w:val="19"/>
          <w:szCs w:val="19"/>
        </w:rPr>
      </w:pPr>
      <w:r w:rsidRPr="00F50221">
        <w:rPr>
          <w:rFonts w:eastAsia="Batang"/>
          <w:sz w:val="19"/>
          <w:szCs w:val="19"/>
        </w:rPr>
        <w:t>C33A</w:t>
      </w:r>
      <w:r w:rsidRPr="00F50221">
        <w:rPr>
          <w:rFonts w:eastAsia="Batang"/>
          <w:sz w:val="19"/>
          <w:szCs w:val="19"/>
        </w:rPr>
        <w:tab/>
        <w:t>В отношении финансового актива, признание которого было прекращено между датой перехода и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датой первоначального применения МСФО (IFRS) 17, организация может применить пункты C28B–</w:t>
      </w:r>
      <w:r w:rsidRPr="00F50221">
        <w:rPr>
          <w:rFonts w:eastAsia="Batang"/>
          <w:spacing w:val="-45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C28E (о классификационном наложении) в целях представления сравнительной информации, как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если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бы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к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этому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активу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был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применен</w:t>
      </w:r>
      <w:r w:rsidRPr="00F50221">
        <w:rPr>
          <w:rFonts w:eastAsia="Batang"/>
          <w:spacing w:val="-8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пункт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C29.</w:t>
      </w:r>
      <w:r w:rsidRPr="00F50221">
        <w:rPr>
          <w:rFonts w:eastAsia="Batang"/>
          <w:spacing w:val="-8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Такая</w:t>
      </w:r>
      <w:r w:rsidRPr="00F50221">
        <w:rPr>
          <w:rFonts w:eastAsia="Batang"/>
          <w:spacing w:val="-8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организация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должна</w:t>
      </w:r>
      <w:r w:rsidRPr="00F50221">
        <w:rPr>
          <w:rFonts w:eastAsia="Batang"/>
          <w:spacing w:val="-8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адаптировать</w:t>
      </w:r>
      <w:r w:rsidRPr="00F50221">
        <w:rPr>
          <w:rFonts w:eastAsia="Batang"/>
          <w:spacing w:val="-9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требования</w:t>
      </w:r>
      <w:r w:rsidRPr="00F50221">
        <w:rPr>
          <w:rFonts w:eastAsia="Batang"/>
          <w:spacing w:val="-46"/>
          <w:sz w:val="19"/>
          <w:szCs w:val="19"/>
        </w:rPr>
        <w:t xml:space="preserve"> </w:t>
      </w:r>
      <w:r w:rsidRPr="00F50221">
        <w:rPr>
          <w:rFonts w:eastAsia="Batang"/>
          <w:spacing w:val="-1"/>
          <w:sz w:val="19"/>
          <w:szCs w:val="19"/>
        </w:rPr>
        <w:t>пунктов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C28B–C28E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таким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образом,</w:t>
      </w:r>
      <w:r w:rsidRPr="00F50221">
        <w:rPr>
          <w:rFonts w:eastAsia="Batang"/>
          <w:spacing w:val="-10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чтобы</w:t>
      </w:r>
      <w:r w:rsidRPr="00F50221">
        <w:rPr>
          <w:rFonts w:eastAsia="Batang"/>
          <w:spacing w:val="-10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классификационное</w:t>
      </w:r>
      <w:r w:rsidRPr="00F50221">
        <w:rPr>
          <w:rFonts w:eastAsia="Batang"/>
          <w:spacing w:val="-1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наложение</w:t>
      </w:r>
      <w:r w:rsidRPr="00F50221">
        <w:rPr>
          <w:rFonts w:eastAsia="Batang"/>
          <w:spacing w:val="-10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осуществлялось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исходя</w:t>
      </w:r>
      <w:r w:rsidRPr="00F50221">
        <w:rPr>
          <w:rFonts w:eastAsia="Batang"/>
          <w:spacing w:val="-1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из</w:t>
      </w:r>
      <w:r w:rsidRPr="00F50221">
        <w:rPr>
          <w:rFonts w:eastAsia="Batang"/>
          <w:spacing w:val="-45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предположений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организации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относительно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того,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как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этот</w:t>
      </w:r>
      <w:r w:rsidRPr="00F50221">
        <w:rPr>
          <w:rFonts w:eastAsia="Batang"/>
          <w:spacing w:val="3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финансовый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актив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был</w:t>
      </w:r>
      <w:r w:rsidRPr="00F50221">
        <w:rPr>
          <w:rFonts w:eastAsia="Batang"/>
          <w:spacing w:val="32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бы</w:t>
      </w:r>
      <w:r w:rsidRPr="00F50221">
        <w:rPr>
          <w:rFonts w:eastAsia="Batang"/>
          <w:spacing w:val="3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по</w:t>
      </w:r>
      <w:r w:rsidRPr="00F50221">
        <w:rPr>
          <w:rFonts w:eastAsia="Batang"/>
          <w:spacing w:val="33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ее усмотрению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классифицирован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с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применением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пункта C29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на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дату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первоначального</w:t>
      </w:r>
      <w:r w:rsidRPr="00F50221">
        <w:rPr>
          <w:rFonts w:eastAsia="Batang"/>
          <w:spacing w:val="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применения</w:t>
      </w:r>
      <w:r w:rsidRPr="00F50221">
        <w:rPr>
          <w:rFonts w:eastAsia="Batang"/>
          <w:spacing w:val="-45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МСФО</w:t>
      </w:r>
      <w:r w:rsidRPr="00F50221">
        <w:rPr>
          <w:rFonts w:eastAsia="Batang"/>
          <w:spacing w:val="-1"/>
          <w:sz w:val="19"/>
          <w:szCs w:val="19"/>
        </w:rPr>
        <w:t xml:space="preserve"> </w:t>
      </w:r>
      <w:r w:rsidRPr="00F50221">
        <w:rPr>
          <w:rFonts w:eastAsia="Batang"/>
          <w:sz w:val="19"/>
          <w:szCs w:val="19"/>
        </w:rPr>
        <w:t>(IFRS) 17.</w:t>
      </w:r>
    </w:p>
    <w:p w14:paraId="0F7EC62E" w14:textId="7D236046" w:rsidR="00FF69A3" w:rsidRPr="00C04312" w:rsidRDefault="00FF69A3" w:rsidP="00F50221">
      <w:pPr>
        <w:spacing w:after="160" w:line="259" w:lineRule="auto"/>
        <w:jc w:val="center"/>
      </w:pPr>
      <w:bookmarkStart w:id="0" w:name="_GoBack"/>
      <w:bookmarkEnd w:id="0"/>
    </w:p>
    <w:sectPr w:rsidR="00FF69A3" w:rsidRPr="00C04312" w:rsidSect="003A29AD">
      <w:headerReference w:type="default" r:id="rId10"/>
      <w:footerReference w:type="even" r:id="rId11"/>
      <w:footerReference w:type="default" r:id="rId12"/>
      <w:footerReference w:type="first" r:id="rId13"/>
      <w:pgSz w:w="11880" w:h="1682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09D5" w14:textId="77777777" w:rsidR="00522604" w:rsidRDefault="00522604">
      <w:r>
        <w:separator/>
      </w:r>
    </w:p>
  </w:endnote>
  <w:endnote w:type="continuationSeparator" w:id="0">
    <w:p w14:paraId="4D2EEBDC" w14:textId="77777777" w:rsidR="00522604" w:rsidRDefault="0052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7C5" w14:textId="713DB779" w:rsidR="001035CE" w:rsidRDefault="001035CE">
    <w:pPr>
      <w:pStyle w:val="a7"/>
    </w:pPr>
    <w:r>
      <w:fldChar w:fldCharType="begin"/>
    </w:r>
    <w:r>
      <w:instrText>PAGE</w:instrText>
    </w:r>
    <w:r>
      <w:fldChar w:fldCharType="separate"/>
    </w:r>
    <w:r w:rsidR="00F50221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271" w14:textId="77777777" w:rsidR="003A29AD" w:rsidRDefault="003A29AD" w:rsidP="003A29AD">
    <w:pPr>
      <w:pStyle w:val="a7"/>
      <w:jc w:val="center"/>
    </w:pPr>
    <w:r>
      <w:t>© IFRS Foundation</w:t>
    </w:r>
  </w:p>
  <w:sdt>
    <w:sdtPr>
      <w:id w:val="-1034814054"/>
      <w:docPartObj>
        <w:docPartGallery w:val="Page Numbers (Bottom of Page)"/>
        <w:docPartUnique/>
      </w:docPartObj>
    </w:sdtPr>
    <w:sdtEndPr/>
    <w:sdtContent>
      <w:p w14:paraId="0F28F830" w14:textId="2F9E9F41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21">
          <w:rPr>
            <w:noProof/>
          </w:rPr>
          <w:t>1</w:t>
        </w:r>
        <w:r>
          <w:fldChar w:fldCharType="end"/>
        </w:r>
      </w:p>
    </w:sdtContent>
  </w:sdt>
  <w:p w14:paraId="29F304F2" w14:textId="427B4C40" w:rsidR="001035CE" w:rsidRDefault="00103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80683"/>
      <w:docPartObj>
        <w:docPartGallery w:val="Page Numbers (Bottom of Page)"/>
        <w:docPartUnique/>
      </w:docPartObj>
    </w:sdtPr>
    <w:sdtEndPr/>
    <w:sdtContent>
      <w:p w14:paraId="482B297E" w14:textId="593AD44F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5E8505" w14:textId="522A9F39" w:rsidR="00075E69" w:rsidRDefault="00075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7D94" w14:textId="77777777" w:rsidR="00522604" w:rsidRDefault="00522604">
      <w:r>
        <w:separator/>
      </w:r>
    </w:p>
  </w:footnote>
  <w:footnote w:type="continuationSeparator" w:id="0">
    <w:p w14:paraId="57EC8E58" w14:textId="77777777" w:rsidR="00522604" w:rsidRDefault="0052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9907"/>
      <w:docPartObj>
        <w:docPartGallery w:val="Page Numbers (Top of Page)"/>
        <w:docPartUnique/>
      </w:docPartObj>
    </w:sdtPr>
    <w:sdtEndPr/>
    <w:sdtContent>
      <w:p w14:paraId="654E18B4" w14:textId="61E53C73" w:rsidR="00C04312" w:rsidRDefault="00522604">
        <w:pPr>
          <w:pStyle w:val="a5"/>
          <w:jc w:val="center"/>
        </w:pPr>
      </w:p>
    </w:sdtContent>
  </w:sdt>
  <w:p w14:paraId="280A885F" w14:textId="589849A5" w:rsidR="001035CE" w:rsidRDefault="00103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40C"/>
    <w:multiLevelType w:val="hybridMultilevel"/>
    <w:tmpl w:val="5A24A33E"/>
    <w:lvl w:ilvl="0" w:tplc="04EC3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69"/>
    <w:multiLevelType w:val="hybridMultilevel"/>
    <w:tmpl w:val="B55A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8D"/>
    <w:multiLevelType w:val="hybridMultilevel"/>
    <w:tmpl w:val="FDB6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2A5"/>
    <w:multiLevelType w:val="hybridMultilevel"/>
    <w:tmpl w:val="5C4E8A68"/>
    <w:lvl w:ilvl="0" w:tplc="470C1676">
      <w:start w:val="1"/>
      <w:numFmt w:val="lowerLetter"/>
      <w:lvlText w:val="(%1)"/>
      <w:lvlJc w:val="left"/>
      <w:pPr>
        <w:ind w:left="1683" w:hanging="7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179AE686">
      <w:start w:val="1"/>
      <w:numFmt w:val="lowerRoman"/>
      <w:lvlText w:val="(%2)"/>
      <w:lvlJc w:val="left"/>
      <w:pPr>
        <w:ind w:left="2467" w:hanging="78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112B1C0">
      <w:numFmt w:val="bullet"/>
      <w:lvlText w:val="•"/>
      <w:lvlJc w:val="left"/>
      <w:pPr>
        <w:ind w:left="3215" w:hanging="783"/>
      </w:pPr>
      <w:rPr>
        <w:rFonts w:hint="default"/>
        <w:lang w:val="ru-RU" w:eastAsia="en-US" w:bidi="ar-SA"/>
      </w:rPr>
    </w:lvl>
    <w:lvl w:ilvl="3" w:tplc="AD4CB680">
      <w:numFmt w:val="bullet"/>
      <w:lvlText w:val="•"/>
      <w:lvlJc w:val="left"/>
      <w:pPr>
        <w:ind w:left="3971" w:hanging="783"/>
      </w:pPr>
      <w:rPr>
        <w:rFonts w:hint="default"/>
        <w:lang w:val="ru-RU" w:eastAsia="en-US" w:bidi="ar-SA"/>
      </w:rPr>
    </w:lvl>
    <w:lvl w:ilvl="4" w:tplc="D64CCC36">
      <w:numFmt w:val="bullet"/>
      <w:lvlText w:val="•"/>
      <w:lvlJc w:val="left"/>
      <w:pPr>
        <w:ind w:left="4726" w:hanging="783"/>
      </w:pPr>
      <w:rPr>
        <w:rFonts w:hint="default"/>
        <w:lang w:val="ru-RU" w:eastAsia="en-US" w:bidi="ar-SA"/>
      </w:rPr>
    </w:lvl>
    <w:lvl w:ilvl="5" w:tplc="CBDA08E4">
      <w:numFmt w:val="bullet"/>
      <w:lvlText w:val="•"/>
      <w:lvlJc w:val="left"/>
      <w:pPr>
        <w:ind w:left="5482" w:hanging="783"/>
      </w:pPr>
      <w:rPr>
        <w:rFonts w:hint="default"/>
        <w:lang w:val="ru-RU" w:eastAsia="en-US" w:bidi="ar-SA"/>
      </w:rPr>
    </w:lvl>
    <w:lvl w:ilvl="6" w:tplc="71CC30BE">
      <w:numFmt w:val="bullet"/>
      <w:lvlText w:val="•"/>
      <w:lvlJc w:val="left"/>
      <w:pPr>
        <w:ind w:left="6237" w:hanging="783"/>
      </w:pPr>
      <w:rPr>
        <w:rFonts w:hint="default"/>
        <w:lang w:val="ru-RU" w:eastAsia="en-US" w:bidi="ar-SA"/>
      </w:rPr>
    </w:lvl>
    <w:lvl w:ilvl="7" w:tplc="7538580C">
      <w:numFmt w:val="bullet"/>
      <w:lvlText w:val="•"/>
      <w:lvlJc w:val="left"/>
      <w:pPr>
        <w:ind w:left="6993" w:hanging="783"/>
      </w:pPr>
      <w:rPr>
        <w:rFonts w:hint="default"/>
        <w:lang w:val="ru-RU" w:eastAsia="en-US" w:bidi="ar-SA"/>
      </w:rPr>
    </w:lvl>
    <w:lvl w:ilvl="8" w:tplc="3664EAD0">
      <w:numFmt w:val="bullet"/>
      <w:lvlText w:val="•"/>
      <w:lvlJc w:val="left"/>
      <w:pPr>
        <w:ind w:left="7748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754C3F6A"/>
    <w:multiLevelType w:val="hybridMultilevel"/>
    <w:tmpl w:val="EF3EADD6"/>
    <w:lvl w:ilvl="0" w:tplc="76FE8B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56DB"/>
    <w:multiLevelType w:val="hybridMultilevel"/>
    <w:tmpl w:val="7D0E200E"/>
    <w:lvl w:ilvl="0" w:tplc="EBF245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6DC"/>
    <w:rsid w:val="00017A7D"/>
    <w:rsid w:val="00027A18"/>
    <w:rsid w:val="0003635A"/>
    <w:rsid w:val="00055526"/>
    <w:rsid w:val="00075E69"/>
    <w:rsid w:val="00095F0E"/>
    <w:rsid w:val="000A35C9"/>
    <w:rsid w:val="000A7841"/>
    <w:rsid w:val="000B3A06"/>
    <w:rsid w:val="001035CE"/>
    <w:rsid w:val="00134573"/>
    <w:rsid w:val="001620B4"/>
    <w:rsid w:val="00171950"/>
    <w:rsid w:val="001737EB"/>
    <w:rsid w:val="0017432E"/>
    <w:rsid w:val="00190169"/>
    <w:rsid w:val="001977F5"/>
    <w:rsid w:val="001A1607"/>
    <w:rsid w:val="001C0565"/>
    <w:rsid w:val="001D3D9F"/>
    <w:rsid w:val="001E3713"/>
    <w:rsid w:val="002072F9"/>
    <w:rsid w:val="002A027D"/>
    <w:rsid w:val="002A2288"/>
    <w:rsid w:val="002B4ECD"/>
    <w:rsid w:val="002B525C"/>
    <w:rsid w:val="002E57F3"/>
    <w:rsid w:val="00305CF8"/>
    <w:rsid w:val="00313105"/>
    <w:rsid w:val="003318CD"/>
    <w:rsid w:val="0038467F"/>
    <w:rsid w:val="003939B1"/>
    <w:rsid w:val="00396DD9"/>
    <w:rsid w:val="003A29AD"/>
    <w:rsid w:val="003B40F1"/>
    <w:rsid w:val="003B6F93"/>
    <w:rsid w:val="003C09E9"/>
    <w:rsid w:val="00437AD0"/>
    <w:rsid w:val="00454049"/>
    <w:rsid w:val="00454B9E"/>
    <w:rsid w:val="00460DC1"/>
    <w:rsid w:val="004735B0"/>
    <w:rsid w:val="004A65C9"/>
    <w:rsid w:val="004B1FB4"/>
    <w:rsid w:val="004B5742"/>
    <w:rsid w:val="004D0C75"/>
    <w:rsid w:val="004D4BCA"/>
    <w:rsid w:val="005060A4"/>
    <w:rsid w:val="00522604"/>
    <w:rsid w:val="00544CFA"/>
    <w:rsid w:val="005F4FE5"/>
    <w:rsid w:val="00605068"/>
    <w:rsid w:val="00611825"/>
    <w:rsid w:val="00612C4F"/>
    <w:rsid w:val="00634DEB"/>
    <w:rsid w:val="0069392B"/>
    <w:rsid w:val="006A3CBE"/>
    <w:rsid w:val="006A4E60"/>
    <w:rsid w:val="006C3CAE"/>
    <w:rsid w:val="006C41C6"/>
    <w:rsid w:val="006E0C2B"/>
    <w:rsid w:val="006E2634"/>
    <w:rsid w:val="006E53FE"/>
    <w:rsid w:val="006F01D4"/>
    <w:rsid w:val="006F2BC4"/>
    <w:rsid w:val="00710FA4"/>
    <w:rsid w:val="0072008B"/>
    <w:rsid w:val="00750E4F"/>
    <w:rsid w:val="00753E88"/>
    <w:rsid w:val="00786274"/>
    <w:rsid w:val="007A5939"/>
    <w:rsid w:val="007F32E6"/>
    <w:rsid w:val="007F64E3"/>
    <w:rsid w:val="00802B59"/>
    <w:rsid w:val="00814FF4"/>
    <w:rsid w:val="00821E3B"/>
    <w:rsid w:val="00825631"/>
    <w:rsid w:val="00877A50"/>
    <w:rsid w:val="0088183C"/>
    <w:rsid w:val="00890255"/>
    <w:rsid w:val="008A63BA"/>
    <w:rsid w:val="008C3FF6"/>
    <w:rsid w:val="008D3829"/>
    <w:rsid w:val="008D5DE3"/>
    <w:rsid w:val="00940857"/>
    <w:rsid w:val="00953916"/>
    <w:rsid w:val="00963D31"/>
    <w:rsid w:val="009A6B40"/>
    <w:rsid w:val="009C3C6E"/>
    <w:rsid w:val="009E62C3"/>
    <w:rsid w:val="00A01278"/>
    <w:rsid w:val="00A22074"/>
    <w:rsid w:val="00A370DB"/>
    <w:rsid w:val="00A52C4B"/>
    <w:rsid w:val="00A9123B"/>
    <w:rsid w:val="00A96038"/>
    <w:rsid w:val="00AC6DED"/>
    <w:rsid w:val="00AC7B1A"/>
    <w:rsid w:val="00AD01DB"/>
    <w:rsid w:val="00B01D84"/>
    <w:rsid w:val="00B15199"/>
    <w:rsid w:val="00B46118"/>
    <w:rsid w:val="00B67BE1"/>
    <w:rsid w:val="00B70BD1"/>
    <w:rsid w:val="00B85175"/>
    <w:rsid w:val="00B9626B"/>
    <w:rsid w:val="00BB748D"/>
    <w:rsid w:val="00BE244D"/>
    <w:rsid w:val="00C04312"/>
    <w:rsid w:val="00C057E8"/>
    <w:rsid w:val="00C10578"/>
    <w:rsid w:val="00C14B48"/>
    <w:rsid w:val="00C771CC"/>
    <w:rsid w:val="00C85CE5"/>
    <w:rsid w:val="00C872CE"/>
    <w:rsid w:val="00C87A09"/>
    <w:rsid w:val="00CA4663"/>
    <w:rsid w:val="00CF097B"/>
    <w:rsid w:val="00D11AAA"/>
    <w:rsid w:val="00D17EBB"/>
    <w:rsid w:val="00D20904"/>
    <w:rsid w:val="00D31C55"/>
    <w:rsid w:val="00D33473"/>
    <w:rsid w:val="00D5693F"/>
    <w:rsid w:val="00D63314"/>
    <w:rsid w:val="00D84787"/>
    <w:rsid w:val="00DB546D"/>
    <w:rsid w:val="00DF3276"/>
    <w:rsid w:val="00E22D58"/>
    <w:rsid w:val="00E25A70"/>
    <w:rsid w:val="00E36602"/>
    <w:rsid w:val="00E47B7D"/>
    <w:rsid w:val="00E64199"/>
    <w:rsid w:val="00E7291A"/>
    <w:rsid w:val="00EA3545"/>
    <w:rsid w:val="00EC002C"/>
    <w:rsid w:val="00EC5B15"/>
    <w:rsid w:val="00ED7CB7"/>
    <w:rsid w:val="00EE451F"/>
    <w:rsid w:val="00F0100F"/>
    <w:rsid w:val="00F11C28"/>
    <w:rsid w:val="00F3616A"/>
    <w:rsid w:val="00F40D03"/>
    <w:rsid w:val="00F50221"/>
    <w:rsid w:val="00F60900"/>
    <w:rsid w:val="00F60D42"/>
    <w:rsid w:val="00F7411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FE52"/>
  <w15:docId w15:val="{9D2E6F87-4B1A-4773-984D-985221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a0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9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aa">
    <w:name w:val="Balloon Text"/>
    <w:basedOn w:val="a"/>
    <w:link w:val="ab"/>
    <w:uiPriority w:val="99"/>
    <w:semiHidden/>
    <w:unhideWhenUsed/>
    <w:rsid w:val="00825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631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F40D0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40D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40D0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D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0D03"/>
    <w:rPr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872C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22FBF-5A8D-454E-90D7-94C3FAC7D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F925B-E6D4-4769-85A4-5C5357A5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12242-88F4-4540-AA78-3E246A83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БАРИНОВА ГАЛИНА ВИКТОРОВНА</cp:lastModifiedBy>
  <cp:revision>2</cp:revision>
  <cp:lastPrinted>2021-11-16T16:59:00Z</cp:lastPrinted>
  <dcterms:created xsi:type="dcterms:W3CDTF">2023-11-28T08:30:00Z</dcterms:created>
  <dcterms:modified xsi:type="dcterms:W3CDTF">2023-11-28T08:30:00Z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Hash">
    <vt:lpwstr>09D7CCED5273E6BE6A31BB378FE0B610475BECA93E0A1D1F06F364624D8419AD</vt:lpwstr>
  </property>
  <property fmtid="{D5CDD505-2E9C-101B-9397-08002B2CF9AE}" pid="4" name="Hide date">
    <vt:lpwstr>4/12/2021 11:53:55 AM</vt:lpwstr>
  </property>
  <property fmtid="{D5CDD505-2E9C-101B-9397-08002B2CF9AE}" pid="5" name="Classification">
    <vt:lpwstr>Public</vt:lpwstr>
  </property>
</Properties>
</file>