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2A157" w14:textId="77777777" w:rsidR="001B5CA5" w:rsidRPr="001B5CA5" w:rsidRDefault="001B5CA5" w:rsidP="001B5CA5">
      <w:pPr>
        <w:widowControl w:val="0"/>
        <w:autoSpaceDE w:val="0"/>
        <w:autoSpaceDN w:val="0"/>
        <w:spacing w:before="85"/>
        <w:ind w:right="-72"/>
        <w:jc w:val="center"/>
        <w:rPr>
          <w:b/>
          <w:bCs/>
          <w:sz w:val="36"/>
          <w:szCs w:val="36"/>
        </w:rPr>
      </w:pPr>
      <w:r w:rsidRPr="001B5CA5">
        <w:rPr>
          <w:b/>
          <w:bCs/>
          <w:sz w:val="36"/>
          <w:szCs w:val="36"/>
        </w:rPr>
        <w:t>Определение</w:t>
      </w:r>
      <w:r w:rsidRPr="001B5CA5">
        <w:rPr>
          <w:b/>
          <w:bCs/>
          <w:spacing w:val="-3"/>
          <w:sz w:val="36"/>
          <w:szCs w:val="36"/>
        </w:rPr>
        <w:t xml:space="preserve"> </w:t>
      </w:r>
      <w:r w:rsidRPr="001B5CA5">
        <w:rPr>
          <w:b/>
          <w:bCs/>
          <w:sz w:val="36"/>
          <w:szCs w:val="36"/>
        </w:rPr>
        <w:t>бухгалтерских</w:t>
      </w:r>
      <w:r w:rsidRPr="001B5CA5">
        <w:rPr>
          <w:b/>
          <w:bCs/>
          <w:spacing w:val="-4"/>
          <w:sz w:val="36"/>
          <w:szCs w:val="36"/>
        </w:rPr>
        <w:t xml:space="preserve"> </w:t>
      </w:r>
      <w:r w:rsidRPr="001B5CA5">
        <w:rPr>
          <w:b/>
          <w:bCs/>
          <w:sz w:val="36"/>
          <w:szCs w:val="36"/>
        </w:rPr>
        <w:t>оценок</w:t>
      </w:r>
    </w:p>
    <w:p w14:paraId="6E9491BF" w14:textId="77777777" w:rsidR="001B5CA5" w:rsidRPr="001B5CA5" w:rsidRDefault="001B5CA5" w:rsidP="001B5CA5">
      <w:pPr>
        <w:jc w:val="center"/>
        <w:rPr>
          <w:rFonts w:eastAsia="Batang" w:cs="Arial"/>
          <w:b/>
          <w:sz w:val="28"/>
          <w:szCs w:val="28"/>
        </w:rPr>
      </w:pPr>
    </w:p>
    <w:p w14:paraId="54A83210" w14:textId="6F0EB46E" w:rsidR="001B5CA5" w:rsidRPr="001B5CA5" w:rsidRDefault="001B5CA5" w:rsidP="001B5CA5">
      <w:pPr>
        <w:ind w:right="69"/>
        <w:jc w:val="center"/>
        <w:rPr>
          <w:rFonts w:eastAsia="Batang"/>
          <w:sz w:val="36"/>
          <w:szCs w:val="36"/>
        </w:rPr>
      </w:pPr>
      <w:r w:rsidRPr="001B5CA5">
        <w:rPr>
          <w:rFonts w:eastAsia="Batang"/>
          <w:sz w:val="36"/>
          <w:szCs w:val="36"/>
        </w:rPr>
        <w:t>Поправки</w:t>
      </w:r>
      <w:r w:rsidRPr="001B5CA5">
        <w:rPr>
          <w:rFonts w:eastAsia="Batang"/>
          <w:spacing w:val="-2"/>
          <w:sz w:val="36"/>
          <w:szCs w:val="36"/>
        </w:rPr>
        <w:t xml:space="preserve"> </w:t>
      </w:r>
      <w:r w:rsidRPr="001B5CA5">
        <w:rPr>
          <w:rFonts w:eastAsia="Batang"/>
          <w:sz w:val="36"/>
          <w:szCs w:val="36"/>
        </w:rPr>
        <w:t>к</w:t>
      </w:r>
      <w:r w:rsidRPr="001B5CA5">
        <w:rPr>
          <w:rFonts w:eastAsia="Batang"/>
          <w:spacing w:val="-3"/>
          <w:sz w:val="36"/>
          <w:szCs w:val="36"/>
        </w:rPr>
        <w:t xml:space="preserve"> </w:t>
      </w:r>
      <w:r w:rsidRPr="001B5CA5">
        <w:rPr>
          <w:rFonts w:eastAsia="Batang"/>
          <w:sz w:val="36"/>
          <w:szCs w:val="36"/>
        </w:rPr>
        <w:t>МСФО</w:t>
      </w:r>
      <w:r w:rsidRPr="001B5CA5">
        <w:rPr>
          <w:rFonts w:eastAsia="Batang"/>
          <w:spacing w:val="1"/>
          <w:sz w:val="36"/>
          <w:szCs w:val="36"/>
        </w:rPr>
        <w:t xml:space="preserve"> </w:t>
      </w:r>
      <w:r w:rsidRPr="001B5CA5">
        <w:rPr>
          <w:rFonts w:eastAsia="Batang"/>
          <w:sz w:val="36"/>
          <w:szCs w:val="36"/>
        </w:rPr>
        <w:t>(IAS)</w:t>
      </w:r>
      <w:r w:rsidRPr="001B5CA5">
        <w:rPr>
          <w:rFonts w:eastAsia="Batang"/>
          <w:spacing w:val="-3"/>
          <w:sz w:val="36"/>
          <w:szCs w:val="36"/>
        </w:rPr>
        <w:t xml:space="preserve"> </w:t>
      </w:r>
      <w:r w:rsidRPr="001B5CA5">
        <w:rPr>
          <w:rFonts w:eastAsia="Batang"/>
          <w:sz w:val="36"/>
          <w:szCs w:val="36"/>
        </w:rPr>
        <w:t>8</w:t>
      </w:r>
      <w:r w:rsidRPr="001B5CA5">
        <w:rPr>
          <w:rFonts w:eastAsia="Batang"/>
          <w:spacing w:val="-3"/>
          <w:sz w:val="36"/>
          <w:szCs w:val="36"/>
        </w:rPr>
        <w:t xml:space="preserve"> </w:t>
      </w:r>
      <w:r w:rsidRPr="001B5CA5">
        <w:rPr>
          <w:rFonts w:eastAsia="Batang"/>
          <w:sz w:val="36"/>
          <w:szCs w:val="36"/>
        </w:rPr>
        <w:t>«Учетная</w:t>
      </w:r>
      <w:r w:rsidRPr="001B5CA5">
        <w:rPr>
          <w:rFonts w:eastAsia="Batang"/>
          <w:spacing w:val="-3"/>
          <w:sz w:val="36"/>
          <w:szCs w:val="36"/>
        </w:rPr>
        <w:t xml:space="preserve"> </w:t>
      </w:r>
      <w:r w:rsidRPr="001B5CA5">
        <w:rPr>
          <w:rFonts w:eastAsia="Batang"/>
          <w:sz w:val="36"/>
          <w:szCs w:val="36"/>
        </w:rPr>
        <w:t>политика,</w:t>
      </w:r>
      <w:r w:rsidRPr="001B5CA5">
        <w:rPr>
          <w:rFonts w:eastAsia="Batang"/>
          <w:spacing w:val="-3"/>
          <w:sz w:val="36"/>
          <w:szCs w:val="36"/>
        </w:rPr>
        <w:t xml:space="preserve"> </w:t>
      </w:r>
      <w:r w:rsidRPr="001B5CA5">
        <w:rPr>
          <w:rFonts w:eastAsia="Batang"/>
          <w:sz w:val="36"/>
          <w:szCs w:val="36"/>
        </w:rPr>
        <w:t>изменения</w:t>
      </w:r>
      <w:r w:rsidRPr="001B5CA5">
        <w:rPr>
          <w:rFonts w:eastAsia="Batang"/>
          <w:spacing w:val="-2"/>
          <w:sz w:val="36"/>
          <w:szCs w:val="36"/>
        </w:rPr>
        <w:t xml:space="preserve"> </w:t>
      </w:r>
      <w:r w:rsidRPr="001B5CA5">
        <w:rPr>
          <w:rFonts w:eastAsia="Batang"/>
          <w:sz w:val="36"/>
          <w:szCs w:val="36"/>
        </w:rPr>
        <w:t xml:space="preserve">в </w:t>
      </w:r>
      <w:r w:rsidR="008856A5">
        <w:rPr>
          <w:rFonts w:eastAsia="Batang"/>
          <w:sz w:val="36"/>
          <w:szCs w:val="36"/>
        </w:rPr>
        <w:t xml:space="preserve">бухгалтерских </w:t>
      </w:r>
      <w:r w:rsidRPr="001B5CA5">
        <w:rPr>
          <w:rFonts w:eastAsia="Batang"/>
          <w:sz w:val="36"/>
          <w:szCs w:val="36"/>
        </w:rPr>
        <w:t>оценках</w:t>
      </w:r>
      <w:r w:rsidRPr="001B5CA5">
        <w:rPr>
          <w:rFonts w:eastAsia="Batang"/>
          <w:spacing w:val="-1"/>
          <w:sz w:val="36"/>
          <w:szCs w:val="36"/>
        </w:rPr>
        <w:t xml:space="preserve"> </w:t>
      </w:r>
      <w:r w:rsidRPr="001B5CA5">
        <w:rPr>
          <w:rFonts w:eastAsia="Batang"/>
          <w:sz w:val="36"/>
          <w:szCs w:val="36"/>
        </w:rPr>
        <w:t>и ошибки»</w:t>
      </w:r>
    </w:p>
    <w:p w14:paraId="53957C62" w14:textId="77777777" w:rsidR="001B5CA5" w:rsidRPr="001B5CA5" w:rsidRDefault="001B5CA5" w:rsidP="001B5CA5">
      <w:pPr>
        <w:jc w:val="center"/>
        <w:rPr>
          <w:rFonts w:eastAsia="Batang" w:cs="Arial"/>
          <w:b/>
          <w:i/>
          <w:sz w:val="28"/>
          <w:szCs w:val="28"/>
        </w:rPr>
      </w:pPr>
    </w:p>
    <w:p w14:paraId="28D19D03" w14:textId="77777777" w:rsidR="001B5CA5" w:rsidRPr="001B5CA5" w:rsidRDefault="001B5CA5" w:rsidP="001B5CA5">
      <w:pPr>
        <w:jc w:val="center"/>
        <w:rPr>
          <w:rFonts w:eastAsia="Batang" w:cs="Arial"/>
          <w:b/>
          <w:i/>
          <w:sz w:val="28"/>
          <w:szCs w:val="28"/>
        </w:rPr>
      </w:pPr>
    </w:p>
    <w:p w14:paraId="0C8134AA" w14:textId="77777777" w:rsidR="001B5CA5" w:rsidRPr="001B5CA5" w:rsidRDefault="001B5CA5" w:rsidP="001B5CA5">
      <w:pPr>
        <w:widowControl w:val="0"/>
        <w:autoSpaceDE w:val="0"/>
        <w:autoSpaceDN w:val="0"/>
        <w:spacing w:before="99"/>
        <w:ind w:right="69"/>
        <w:jc w:val="both"/>
        <w:outlineLvl w:val="2"/>
        <w:rPr>
          <w:sz w:val="19"/>
          <w:szCs w:val="20"/>
        </w:rPr>
      </w:pPr>
      <w:r w:rsidRPr="001B5CA5">
        <w:rPr>
          <w:sz w:val="19"/>
          <w:szCs w:val="20"/>
        </w:rPr>
        <w:t>В пункте 5 вместо абзаца «</w:t>
      </w:r>
      <w:r w:rsidRPr="001B5CA5">
        <w:rPr>
          <w:b/>
          <w:bCs/>
          <w:i/>
          <w:sz w:val="19"/>
          <w:szCs w:val="19"/>
        </w:rPr>
        <w:t>Изменение</w:t>
      </w:r>
      <w:r w:rsidRPr="001B5CA5">
        <w:rPr>
          <w:b/>
          <w:bCs/>
          <w:i/>
          <w:spacing w:val="1"/>
          <w:sz w:val="19"/>
          <w:szCs w:val="19"/>
        </w:rPr>
        <w:t xml:space="preserve"> </w:t>
      </w:r>
      <w:r w:rsidRPr="001B5CA5">
        <w:rPr>
          <w:b/>
          <w:bCs/>
          <w:i/>
          <w:sz w:val="19"/>
          <w:szCs w:val="19"/>
        </w:rPr>
        <w:t>в</w:t>
      </w:r>
      <w:r w:rsidRPr="001B5CA5">
        <w:rPr>
          <w:b/>
          <w:bCs/>
          <w:i/>
          <w:spacing w:val="1"/>
          <w:sz w:val="19"/>
          <w:szCs w:val="19"/>
        </w:rPr>
        <w:t xml:space="preserve"> </w:t>
      </w:r>
      <w:r w:rsidRPr="001B5CA5">
        <w:rPr>
          <w:b/>
          <w:bCs/>
          <w:i/>
          <w:sz w:val="19"/>
          <w:szCs w:val="19"/>
        </w:rPr>
        <w:t>бухгалтерской</w:t>
      </w:r>
      <w:r w:rsidRPr="001B5CA5">
        <w:rPr>
          <w:b/>
          <w:bCs/>
          <w:i/>
          <w:spacing w:val="1"/>
          <w:sz w:val="19"/>
          <w:szCs w:val="19"/>
        </w:rPr>
        <w:t xml:space="preserve"> </w:t>
      </w:r>
      <w:r w:rsidRPr="001B5CA5">
        <w:rPr>
          <w:b/>
          <w:bCs/>
          <w:i/>
          <w:sz w:val="19"/>
          <w:szCs w:val="19"/>
        </w:rPr>
        <w:t>оценке</w:t>
      </w:r>
      <w:r w:rsidRPr="001B5CA5">
        <w:rPr>
          <w:b/>
          <w:bCs/>
          <w:i/>
          <w:spacing w:val="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–</w:t>
      </w:r>
      <w:r w:rsidRPr="001B5CA5">
        <w:rPr>
          <w:b/>
          <w:bCs/>
          <w:spacing w:val="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корректировка</w:t>
      </w:r>
      <w:r w:rsidRPr="001B5CA5">
        <w:rPr>
          <w:b/>
          <w:bCs/>
          <w:spacing w:val="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балансовой</w:t>
      </w:r>
      <w:r w:rsidRPr="001B5CA5">
        <w:rPr>
          <w:b/>
          <w:bCs/>
          <w:spacing w:val="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стоимости</w:t>
      </w:r>
      <w:r w:rsidRPr="001B5CA5">
        <w:rPr>
          <w:b/>
          <w:bCs/>
          <w:spacing w:val="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актива</w:t>
      </w:r>
      <w:r w:rsidRPr="001B5CA5">
        <w:rPr>
          <w:b/>
          <w:bCs/>
          <w:spacing w:val="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или</w:t>
      </w:r>
      <w:r w:rsidRPr="001B5CA5">
        <w:rPr>
          <w:b/>
          <w:bCs/>
          <w:spacing w:val="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обязат</w:t>
      </w:r>
      <w:bookmarkStart w:id="0" w:name="_GoBack"/>
      <w:bookmarkEnd w:id="0"/>
      <w:r w:rsidRPr="001B5CA5">
        <w:rPr>
          <w:b/>
          <w:bCs/>
          <w:sz w:val="19"/>
          <w:szCs w:val="19"/>
        </w:rPr>
        <w:t>ельства</w:t>
      </w:r>
      <w:r w:rsidRPr="001B5CA5">
        <w:rPr>
          <w:b/>
          <w:bCs/>
          <w:spacing w:val="-9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или</w:t>
      </w:r>
      <w:r w:rsidRPr="001B5CA5">
        <w:rPr>
          <w:b/>
          <w:bCs/>
          <w:spacing w:val="-9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величины,</w:t>
      </w:r>
      <w:r w:rsidRPr="001B5CA5">
        <w:rPr>
          <w:b/>
          <w:bCs/>
          <w:spacing w:val="-8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отражающей</w:t>
      </w:r>
      <w:r w:rsidRPr="001B5CA5">
        <w:rPr>
          <w:b/>
          <w:bCs/>
          <w:spacing w:val="-1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потребление</w:t>
      </w:r>
      <w:r w:rsidRPr="001B5CA5">
        <w:rPr>
          <w:b/>
          <w:bCs/>
          <w:spacing w:val="-9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актива</w:t>
      </w:r>
      <w:r w:rsidRPr="001B5CA5">
        <w:rPr>
          <w:b/>
          <w:bCs/>
          <w:spacing w:val="-9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в</w:t>
      </w:r>
      <w:r w:rsidRPr="001B5CA5">
        <w:rPr>
          <w:b/>
          <w:bCs/>
          <w:spacing w:val="-8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периоде,</w:t>
      </w:r>
      <w:r w:rsidRPr="001B5CA5">
        <w:rPr>
          <w:b/>
          <w:bCs/>
          <w:spacing w:val="-9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которая</w:t>
      </w:r>
      <w:r w:rsidRPr="001B5CA5">
        <w:rPr>
          <w:b/>
          <w:bCs/>
          <w:spacing w:val="-1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возникает</w:t>
      </w:r>
      <w:r w:rsidRPr="001B5CA5">
        <w:rPr>
          <w:b/>
          <w:bCs/>
          <w:spacing w:val="-1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в</w:t>
      </w:r>
      <w:r w:rsidRPr="001B5CA5">
        <w:rPr>
          <w:b/>
          <w:bCs/>
          <w:spacing w:val="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 xml:space="preserve">результате оценки текущего состояния активов и обязательств и ожидаемых будущих выгод и </w:t>
      </w:r>
      <w:r w:rsidRPr="001B5CA5">
        <w:rPr>
          <w:b/>
          <w:bCs/>
          <w:spacing w:val="-45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обязанностей, связанных с активами и обязательствами. Изменения в бухгалтерских оценках</w:t>
      </w:r>
      <w:r w:rsidRPr="001B5CA5">
        <w:rPr>
          <w:b/>
          <w:bCs/>
          <w:spacing w:val="1"/>
          <w:sz w:val="19"/>
          <w:szCs w:val="19"/>
        </w:rPr>
        <w:t xml:space="preserve"> </w:t>
      </w:r>
      <w:r w:rsidRPr="001B5CA5">
        <w:rPr>
          <w:b/>
          <w:bCs/>
          <w:spacing w:val="-1"/>
          <w:sz w:val="19"/>
          <w:szCs w:val="19"/>
        </w:rPr>
        <w:t>возникают</w:t>
      </w:r>
      <w:r w:rsidRPr="001B5CA5">
        <w:rPr>
          <w:b/>
          <w:bCs/>
          <w:spacing w:val="-11"/>
          <w:sz w:val="19"/>
          <w:szCs w:val="19"/>
        </w:rPr>
        <w:t xml:space="preserve"> </w:t>
      </w:r>
      <w:r w:rsidRPr="001B5CA5">
        <w:rPr>
          <w:b/>
          <w:bCs/>
          <w:spacing w:val="-1"/>
          <w:sz w:val="19"/>
          <w:szCs w:val="19"/>
        </w:rPr>
        <w:t>в</w:t>
      </w:r>
      <w:r w:rsidRPr="001B5CA5">
        <w:rPr>
          <w:b/>
          <w:bCs/>
          <w:spacing w:val="-8"/>
          <w:sz w:val="19"/>
          <w:szCs w:val="19"/>
        </w:rPr>
        <w:t xml:space="preserve"> </w:t>
      </w:r>
      <w:r w:rsidRPr="001B5CA5">
        <w:rPr>
          <w:b/>
          <w:bCs/>
          <w:spacing w:val="-1"/>
          <w:sz w:val="19"/>
          <w:szCs w:val="19"/>
        </w:rPr>
        <w:t>результате</w:t>
      </w:r>
      <w:r w:rsidRPr="001B5CA5">
        <w:rPr>
          <w:b/>
          <w:bCs/>
          <w:spacing w:val="-11"/>
          <w:sz w:val="19"/>
          <w:szCs w:val="19"/>
        </w:rPr>
        <w:t xml:space="preserve"> </w:t>
      </w:r>
      <w:r w:rsidRPr="001B5CA5">
        <w:rPr>
          <w:b/>
          <w:bCs/>
          <w:spacing w:val="-1"/>
          <w:sz w:val="19"/>
          <w:szCs w:val="19"/>
        </w:rPr>
        <w:t>появления</w:t>
      </w:r>
      <w:r w:rsidRPr="001B5CA5">
        <w:rPr>
          <w:b/>
          <w:bCs/>
          <w:spacing w:val="-10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новой</w:t>
      </w:r>
      <w:r w:rsidRPr="001B5CA5">
        <w:rPr>
          <w:b/>
          <w:bCs/>
          <w:spacing w:val="-9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информации</w:t>
      </w:r>
      <w:r w:rsidRPr="001B5CA5">
        <w:rPr>
          <w:b/>
          <w:bCs/>
          <w:spacing w:val="-1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или</w:t>
      </w:r>
      <w:r w:rsidRPr="001B5CA5">
        <w:rPr>
          <w:b/>
          <w:bCs/>
          <w:spacing w:val="-7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развития</w:t>
      </w:r>
      <w:r w:rsidRPr="001B5CA5">
        <w:rPr>
          <w:b/>
          <w:bCs/>
          <w:spacing w:val="-9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событий</w:t>
      </w:r>
      <w:r w:rsidRPr="001B5CA5">
        <w:rPr>
          <w:b/>
          <w:bCs/>
          <w:spacing w:val="-9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и,</w:t>
      </w:r>
      <w:r w:rsidRPr="001B5CA5">
        <w:rPr>
          <w:b/>
          <w:bCs/>
          <w:spacing w:val="-10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следовательно,</w:t>
      </w:r>
      <w:r w:rsidRPr="001B5CA5">
        <w:rPr>
          <w:b/>
          <w:bCs/>
          <w:spacing w:val="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не</w:t>
      </w:r>
      <w:r w:rsidRPr="001B5CA5">
        <w:rPr>
          <w:b/>
          <w:bCs/>
          <w:spacing w:val="-2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являются</w:t>
      </w:r>
      <w:r w:rsidRPr="001B5CA5">
        <w:rPr>
          <w:b/>
          <w:bCs/>
          <w:spacing w:val="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исправлениями</w:t>
      </w:r>
      <w:r w:rsidRPr="001B5CA5">
        <w:rPr>
          <w:b/>
          <w:bCs/>
          <w:spacing w:val="1"/>
          <w:sz w:val="19"/>
          <w:szCs w:val="19"/>
        </w:rPr>
        <w:t xml:space="preserve"> </w:t>
      </w:r>
      <w:r w:rsidRPr="001B5CA5">
        <w:rPr>
          <w:b/>
          <w:bCs/>
          <w:sz w:val="19"/>
          <w:szCs w:val="19"/>
        </w:rPr>
        <w:t>ошибок.»</w:t>
      </w:r>
      <w:r w:rsidRPr="001B5CA5">
        <w:rPr>
          <w:sz w:val="19"/>
          <w:szCs w:val="20"/>
        </w:rPr>
        <w:t xml:space="preserve"> включить абзац следующего содержания:</w:t>
      </w:r>
    </w:p>
    <w:p w14:paraId="53CE168D" w14:textId="77777777" w:rsidR="001B5CA5" w:rsidRPr="001B5CA5" w:rsidRDefault="001B5CA5" w:rsidP="001B5CA5">
      <w:pPr>
        <w:widowControl w:val="0"/>
        <w:autoSpaceDE w:val="0"/>
        <w:autoSpaceDN w:val="0"/>
        <w:spacing w:before="99"/>
        <w:ind w:right="69"/>
        <w:jc w:val="both"/>
        <w:outlineLvl w:val="2"/>
        <w:rPr>
          <w:sz w:val="19"/>
          <w:szCs w:val="20"/>
        </w:rPr>
      </w:pPr>
    </w:p>
    <w:p w14:paraId="2444134A" w14:textId="77777777" w:rsidR="001B5CA5" w:rsidRPr="001B5CA5" w:rsidRDefault="001B5CA5" w:rsidP="001B5CA5">
      <w:pPr>
        <w:widowControl w:val="0"/>
        <w:autoSpaceDE w:val="0"/>
        <w:autoSpaceDN w:val="0"/>
        <w:ind w:right="69"/>
        <w:jc w:val="both"/>
        <w:rPr>
          <w:rFonts w:ascii="Arial"/>
          <w:b/>
          <w:i/>
          <w:sz w:val="20"/>
          <w:szCs w:val="19"/>
        </w:rPr>
      </w:pPr>
      <w:r w:rsidRPr="001B5CA5">
        <w:rPr>
          <w:b/>
          <w:i/>
          <w:sz w:val="19"/>
          <w:szCs w:val="22"/>
        </w:rPr>
        <w:t>Бухгалтерские</w:t>
      </w:r>
      <w:r w:rsidRPr="001B5CA5">
        <w:rPr>
          <w:b/>
          <w:i/>
          <w:spacing w:val="25"/>
          <w:sz w:val="19"/>
          <w:szCs w:val="22"/>
        </w:rPr>
        <w:t xml:space="preserve"> </w:t>
      </w:r>
      <w:r w:rsidRPr="001B5CA5">
        <w:rPr>
          <w:b/>
          <w:i/>
          <w:sz w:val="19"/>
          <w:szCs w:val="22"/>
        </w:rPr>
        <w:t>оценки</w:t>
      </w:r>
      <w:r w:rsidRPr="001B5CA5">
        <w:rPr>
          <w:b/>
          <w:i/>
          <w:spacing w:val="31"/>
          <w:sz w:val="19"/>
          <w:szCs w:val="22"/>
        </w:rPr>
        <w:t xml:space="preserve"> </w:t>
      </w:r>
      <w:r w:rsidRPr="001B5CA5">
        <w:rPr>
          <w:b/>
          <w:sz w:val="19"/>
          <w:szCs w:val="22"/>
        </w:rPr>
        <w:t>–</w:t>
      </w:r>
      <w:r w:rsidRPr="001B5CA5">
        <w:rPr>
          <w:b/>
          <w:spacing w:val="27"/>
          <w:sz w:val="19"/>
          <w:szCs w:val="22"/>
        </w:rPr>
        <w:t xml:space="preserve"> </w:t>
      </w:r>
      <w:r w:rsidRPr="001B5CA5">
        <w:rPr>
          <w:b/>
          <w:sz w:val="19"/>
          <w:szCs w:val="22"/>
        </w:rPr>
        <w:t>это</w:t>
      </w:r>
      <w:r w:rsidRPr="001B5CA5">
        <w:rPr>
          <w:b/>
          <w:spacing w:val="29"/>
          <w:sz w:val="19"/>
          <w:szCs w:val="22"/>
        </w:rPr>
        <w:t xml:space="preserve"> </w:t>
      </w:r>
      <w:r w:rsidRPr="001B5CA5">
        <w:rPr>
          <w:b/>
          <w:sz w:val="19"/>
          <w:szCs w:val="22"/>
        </w:rPr>
        <w:t>денежные</w:t>
      </w:r>
      <w:r w:rsidRPr="001B5CA5">
        <w:rPr>
          <w:b/>
          <w:spacing w:val="28"/>
          <w:sz w:val="19"/>
          <w:szCs w:val="22"/>
        </w:rPr>
        <w:t xml:space="preserve"> </w:t>
      </w:r>
      <w:r w:rsidRPr="001B5CA5">
        <w:rPr>
          <w:b/>
          <w:sz w:val="19"/>
          <w:szCs w:val="22"/>
        </w:rPr>
        <w:t>суммы</w:t>
      </w:r>
      <w:r w:rsidRPr="001B5CA5">
        <w:rPr>
          <w:b/>
          <w:spacing w:val="26"/>
          <w:sz w:val="19"/>
          <w:szCs w:val="22"/>
        </w:rPr>
        <w:t xml:space="preserve"> </w:t>
      </w:r>
      <w:r w:rsidRPr="001B5CA5">
        <w:rPr>
          <w:b/>
          <w:sz w:val="19"/>
          <w:szCs w:val="22"/>
        </w:rPr>
        <w:t>в</w:t>
      </w:r>
      <w:r w:rsidRPr="001B5CA5">
        <w:rPr>
          <w:b/>
          <w:spacing w:val="29"/>
          <w:sz w:val="19"/>
          <w:szCs w:val="22"/>
        </w:rPr>
        <w:t xml:space="preserve"> </w:t>
      </w:r>
      <w:r w:rsidRPr="001B5CA5">
        <w:rPr>
          <w:b/>
          <w:sz w:val="19"/>
          <w:szCs w:val="22"/>
        </w:rPr>
        <w:t>финансовой</w:t>
      </w:r>
      <w:r w:rsidRPr="001B5CA5">
        <w:rPr>
          <w:b/>
          <w:spacing w:val="26"/>
          <w:sz w:val="19"/>
          <w:szCs w:val="22"/>
        </w:rPr>
        <w:t xml:space="preserve"> </w:t>
      </w:r>
      <w:r w:rsidRPr="001B5CA5">
        <w:rPr>
          <w:b/>
          <w:sz w:val="19"/>
          <w:szCs w:val="22"/>
        </w:rPr>
        <w:t>отчетности,</w:t>
      </w:r>
      <w:r w:rsidRPr="001B5CA5">
        <w:rPr>
          <w:b/>
          <w:spacing w:val="31"/>
          <w:sz w:val="19"/>
          <w:szCs w:val="22"/>
        </w:rPr>
        <w:t xml:space="preserve"> </w:t>
      </w:r>
      <w:r w:rsidRPr="001B5CA5">
        <w:rPr>
          <w:b/>
          <w:sz w:val="19"/>
          <w:szCs w:val="22"/>
        </w:rPr>
        <w:t>подверженные</w:t>
      </w:r>
      <w:r w:rsidRPr="001B5CA5">
        <w:rPr>
          <w:b/>
          <w:spacing w:val="-45"/>
          <w:sz w:val="19"/>
          <w:szCs w:val="22"/>
        </w:rPr>
        <w:t xml:space="preserve"> </w:t>
      </w:r>
      <w:r w:rsidRPr="001B5CA5">
        <w:rPr>
          <w:b/>
          <w:sz w:val="19"/>
          <w:szCs w:val="22"/>
        </w:rPr>
        <w:t>неопределенности оценки.</w:t>
      </w:r>
    </w:p>
    <w:p w14:paraId="62A4BF38" w14:textId="77777777" w:rsidR="001B5CA5" w:rsidRPr="001B5CA5" w:rsidRDefault="001B5CA5" w:rsidP="001B5CA5">
      <w:pPr>
        <w:widowControl w:val="0"/>
        <w:autoSpaceDE w:val="0"/>
        <w:autoSpaceDN w:val="0"/>
        <w:spacing w:before="100" w:after="240"/>
        <w:ind w:right="69"/>
        <w:jc w:val="both"/>
        <w:rPr>
          <w:sz w:val="20"/>
          <w:szCs w:val="19"/>
          <w:u w:color="000000"/>
        </w:rPr>
      </w:pPr>
      <w:r w:rsidRPr="001B5CA5">
        <w:rPr>
          <w:sz w:val="20"/>
          <w:szCs w:val="19"/>
          <w:u w:color="000000"/>
        </w:rPr>
        <w:t>После пункта 31 заголовок изложить в следующей редакции:</w:t>
      </w:r>
    </w:p>
    <w:p w14:paraId="6548B02B" w14:textId="77777777" w:rsidR="001B5CA5" w:rsidRPr="001B5CA5" w:rsidRDefault="001B5CA5" w:rsidP="001B5CA5">
      <w:pPr>
        <w:widowControl w:val="0"/>
        <w:tabs>
          <w:tab w:val="left" w:pos="9170"/>
        </w:tabs>
        <w:autoSpaceDE w:val="0"/>
        <w:autoSpaceDN w:val="0"/>
        <w:spacing w:before="240"/>
        <w:ind w:left="142" w:right="69" w:hanging="142"/>
        <w:jc w:val="both"/>
        <w:outlineLvl w:val="0"/>
        <w:rPr>
          <w:rFonts w:ascii="Arial" w:eastAsia="Arial" w:hAnsi="Arial" w:cs="Arial"/>
          <w:b/>
          <w:bCs/>
          <w:sz w:val="26"/>
          <w:szCs w:val="26"/>
          <w:u w:color="000000"/>
        </w:rPr>
      </w:pPr>
      <w:r w:rsidRPr="001B5CA5">
        <w:rPr>
          <w:rFonts w:ascii="Arial" w:eastAsia="Arial" w:hAnsi="Arial" w:cs="Arial"/>
          <w:b/>
          <w:bCs/>
          <w:sz w:val="26"/>
          <w:szCs w:val="26"/>
          <w:u w:val="single" w:color="000000"/>
        </w:rPr>
        <w:t>Бухгалтерские</w:t>
      </w:r>
      <w:r w:rsidRPr="001B5CA5">
        <w:rPr>
          <w:rFonts w:ascii="Arial" w:eastAsia="Arial" w:hAnsi="Arial" w:cs="Arial"/>
          <w:b/>
          <w:bCs/>
          <w:spacing w:val="-6"/>
          <w:sz w:val="26"/>
          <w:szCs w:val="26"/>
          <w:u w:val="single" w:color="000000"/>
        </w:rPr>
        <w:t xml:space="preserve"> </w:t>
      </w:r>
      <w:r w:rsidRPr="001B5CA5">
        <w:rPr>
          <w:rFonts w:ascii="Arial" w:eastAsia="Arial" w:hAnsi="Arial" w:cs="Arial"/>
          <w:b/>
          <w:bCs/>
          <w:sz w:val="26"/>
          <w:szCs w:val="26"/>
          <w:u w:val="single" w:color="000000"/>
        </w:rPr>
        <w:t>оценки</w:t>
      </w:r>
    </w:p>
    <w:p w14:paraId="309B3FE2" w14:textId="77777777" w:rsidR="001B5CA5" w:rsidRPr="001B5CA5" w:rsidRDefault="001B5CA5" w:rsidP="001B5CA5">
      <w:pPr>
        <w:widowControl w:val="0"/>
        <w:tabs>
          <w:tab w:val="left" w:pos="922"/>
        </w:tabs>
        <w:autoSpaceDE w:val="0"/>
        <w:autoSpaceDN w:val="0"/>
        <w:spacing w:before="92"/>
        <w:ind w:left="922" w:right="69" w:hanging="922"/>
        <w:jc w:val="both"/>
        <w:rPr>
          <w:sz w:val="19"/>
          <w:szCs w:val="19"/>
          <w:u w:color="000000"/>
        </w:rPr>
      </w:pPr>
      <w:r w:rsidRPr="001B5CA5">
        <w:rPr>
          <w:sz w:val="19"/>
          <w:szCs w:val="19"/>
          <w:u w:color="000000"/>
        </w:rPr>
        <w:t>Пункт 32 изложить в следующей редакции:</w:t>
      </w:r>
    </w:p>
    <w:p w14:paraId="4EEE87E9" w14:textId="77777777" w:rsidR="001B5CA5" w:rsidRPr="001B5CA5" w:rsidRDefault="001B5CA5" w:rsidP="001B5CA5">
      <w:pPr>
        <w:widowControl w:val="0"/>
        <w:tabs>
          <w:tab w:val="left" w:pos="922"/>
        </w:tabs>
        <w:autoSpaceDE w:val="0"/>
        <w:autoSpaceDN w:val="0"/>
        <w:spacing w:before="92"/>
        <w:ind w:left="922" w:right="69" w:hanging="783"/>
        <w:jc w:val="both"/>
        <w:rPr>
          <w:sz w:val="19"/>
          <w:szCs w:val="19"/>
        </w:rPr>
      </w:pPr>
      <w:r w:rsidRPr="001B5CA5">
        <w:rPr>
          <w:sz w:val="19"/>
          <w:szCs w:val="19"/>
          <w:u w:color="000000"/>
        </w:rPr>
        <w:t>32</w:t>
      </w:r>
      <w:r w:rsidRPr="001B5CA5">
        <w:rPr>
          <w:sz w:val="19"/>
          <w:szCs w:val="19"/>
          <w:u w:color="000000"/>
        </w:rPr>
        <w:tab/>
      </w:r>
      <w:r w:rsidRPr="001B5CA5">
        <w:rPr>
          <w:sz w:val="19"/>
          <w:szCs w:val="19"/>
        </w:rPr>
        <w:t>Учетная политика может содержать требования оценки статей финансовой отчетности способом,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предусматривающим неопределенность оценки, то есть учетная политика может требовать, чтобы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такие статьи оценивались в денежных суммах, которые не являются наблюдаемыми напрямую и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вместо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этого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должны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быть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определены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с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использованием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расчетной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оценки.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В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таком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случае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организация разрабатывает бухгалтерские оценки для достижения цели, предусмотренной учетной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политикой. Разработка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бухгалтерских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оценок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предполагает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использование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суждений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или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допущений,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основанных на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наиболее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актуальной</w:t>
      </w:r>
      <w:r w:rsidRPr="001B5CA5">
        <w:rPr>
          <w:spacing w:val="-45"/>
          <w:sz w:val="19"/>
          <w:szCs w:val="19"/>
        </w:rPr>
        <w:t xml:space="preserve"> </w:t>
      </w:r>
      <w:r w:rsidRPr="001B5CA5">
        <w:rPr>
          <w:sz w:val="19"/>
          <w:szCs w:val="19"/>
        </w:rPr>
        <w:t>доступной надежной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информации.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Примеры бухгалтерских оценок:</w:t>
      </w:r>
    </w:p>
    <w:p w14:paraId="2FE0C213" w14:textId="77777777" w:rsidR="001B5CA5" w:rsidRPr="001B5CA5" w:rsidRDefault="001B5CA5" w:rsidP="001B5CA5">
      <w:pPr>
        <w:widowControl w:val="0"/>
        <w:numPr>
          <w:ilvl w:val="0"/>
          <w:numId w:val="7"/>
        </w:numPr>
        <w:tabs>
          <w:tab w:val="left" w:pos="922"/>
          <w:tab w:val="left" w:pos="1705"/>
          <w:tab w:val="left" w:pos="1706"/>
        </w:tabs>
        <w:autoSpaceDE w:val="0"/>
        <w:autoSpaceDN w:val="0"/>
        <w:spacing w:before="100"/>
        <w:ind w:right="69" w:hanging="784"/>
        <w:jc w:val="both"/>
        <w:rPr>
          <w:sz w:val="19"/>
          <w:szCs w:val="22"/>
        </w:rPr>
      </w:pPr>
      <w:r w:rsidRPr="001B5CA5">
        <w:rPr>
          <w:sz w:val="19"/>
          <w:szCs w:val="22"/>
        </w:rPr>
        <w:t>оценочный</w:t>
      </w:r>
      <w:r w:rsidRPr="001B5CA5">
        <w:rPr>
          <w:spacing w:val="40"/>
          <w:sz w:val="19"/>
          <w:szCs w:val="22"/>
        </w:rPr>
        <w:t xml:space="preserve"> </w:t>
      </w:r>
      <w:r w:rsidRPr="001B5CA5">
        <w:rPr>
          <w:sz w:val="19"/>
          <w:szCs w:val="22"/>
        </w:rPr>
        <w:t>резерв</w:t>
      </w:r>
      <w:r w:rsidRPr="001B5CA5">
        <w:rPr>
          <w:spacing w:val="42"/>
          <w:sz w:val="19"/>
          <w:szCs w:val="22"/>
        </w:rPr>
        <w:t xml:space="preserve"> </w:t>
      </w:r>
      <w:r w:rsidRPr="001B5CA5">
        <w:rPr>
          <w:sz w:val="19"/>
          <w:szCs w:val="22"/>
        </w:rPr>
        <w:t>под</w:t>
      </w:r>
      <w:r w:rsidRPr="001B5CA5">
        <w:rPr>
          <w:spacing w:val="41"/>
          <w:sz w:val="19"/>
          <w:szCs w:val="22"/>
        </w:rPr>
        <w:t xml:space="preserve"> </w:t>
      </w:r>
      <w:r w:rsidRPr="001B5CA5">
        <w:rPr>
          <w:sz w:val="19"/>
          <w:szCs w:val="22"/>
        </w:rPr>
        <w:t>ожидаемые</w:t>
      </w:r>
      <w:r w:rsidRPr="001B5CA5">
        <w:rPr>
          <w:spacing w:val="40"/>
          <w:sz w:val="19"/>
          <w:szCs w:val="22"/>
        </w:rPr>
        <w:t xml:space="preserve"> </w:t>
      </w:r>
      <w:r w:rsidRPr="001B5CA5">
        <w:rPr>
          <w:sz w:val="19"/>
          <w:szCs w:val="22"/>
        </w:rPr>
        <w:t>кредитные</w:t>
      </w:r>
      <w:r w:rsidRPr="001B5CA5">
        <w:rPr>
          <w:spacing w:val="40"/>
          <w:sz w:val="19"/>
          <w:szCs w:val="22"/>
        </w:rPr>
        <w:t xml:space="preserve"> </w:t>
      </w:r>
      <w:r w:rsidRPr="001B5CA5">
        <w:rPr>
          <w:sz w:val="19"/>
          <w:szCs w:val="22"/>
        </w:rPr>
        <w:t>убытки</w:t>
      </w:r>
      <w:r w:rsidRPr="001B5CA5">
        <w:rPr>
          <w:spacing w:val="46"/>
          <w:sz w:val="19"/>
          <w:szCs w:val="22"/>
        </w:rPr>
        <w:t xml:space="preserve"> </w:t>
      </w:r>
      <w:r w:rsidRPr="001B5CA5">
        <w:rPr>
          <w:sz w:val="19"/>
          <w:szCs w:val="22"/>
        </w:rPr>
        <w:t>при</w:t>
      </w:r>
      <w:r w:rsidRPr="001B5CA5">
        <w:rPr>
          <w:spacing w:val="40"/>
          <w:sz w:val="19"/>
          <w:szCs w:val="22"/>
        </w:rPr>
        <w:t xml:space="preserve"> </w:t>
      </w:r>
      <w:r w:rsidRPr="001B5CA5">
        <w:rPr>
          <w:sz w:val="19"/>
          <w:szCs w:val="22"/>
        </w:rPr>
        <w:t>применении</w:t>
      </w:r>
      <w:r w:rsidRPr="001B5CA5">
        <w:rPr>
          <w:spacing w:val="41"/>
          <w:sz w:val="19"/>
          <w:szCs w:val="22"/>
        </w:rPr>
        <w:t xml:space="preserve"> </w:t>
      </w:r>
      <w:r w:rsidRPr="001B5CA5">
        <w:rPr>
          <w:sz w:val="19"/>
          <w:szCs w:val="22"/>
        </w:rPr>
        <w:t>МСФО</w:t>
      </w:r>
      <w:r w:rsidRPr="001B5CA5">
        <w:rPr>
          <w:spacing w:val="-1"/>
          <w:sz w:val="19"/>
          <w:szCs w:val="22"/>
        </w:rPr>
        <w:t xml:space="preserve"> </w:t>
      </w:r>
      <w:r w:rsidRPr="001B5CA5">
        <w:rPr>
          <w:sz w:val="19"/>
          <w:szCs w:val="22"/>
        </w:rPr>
        <w:t>(IFRS)</w:t>
      </w:r>
      <w:r w:rsidRPr="001B5CA5">
        <w:rPr>
          <w:sz w:val="19"/>
          <w:szCs w:val="22"/>
          <w:lang w:val="en-US"/>
        </w:rPr>
        <w:t> </w:t>
      </w:r>
      <w:r w:rsidRPr="001B5CA5">
        <w:rPr>
          <w:sz w:val="19"/>
          <w:szCs w:val="22"/>
        </w:rPr>
        <w:t>9</w:t>
      </w:r>
    </w:p>
    <w:p w14:paraId="5C8210DE" w14:textId="77777777" w:rsidR="001B5CA5" w:rsidRPr="001B5CA5" w:rsidRDefault="001B5CA5" w:rsidP="001B5CA5">
      <w:pPr>
        <w:widowControl w:val="0"/>
        <w:tabs>
          <w:tab w:val="left" w:pos="922"/>
        </w:tabs>
        <w:autoSpaceDE w:val="0"/>
        <w:autoSpaceDN w:val="0"/>
        <w:ind w:left="1705" w:right="69"/>
        <w:jc w:val="both"/>
        <w:rPr>
          <w:sz w:val="19"/>
          <w:szCs w:val="22"/>
        </w:rPr>
      </w:pPr>
      <w:r w:rsidRPr="001B5CA5">
        <w:rPr>
          <w:i/>
          <w:sz w:val="19"/>
          <w:szCs w:val="22"/>
        </w:rPr>
        <w:t>«Финансовые</w:t>
      </w:r>
      <w:r w:rsidRPr="001B5CA5">
        <w:rPr>
          <w:i/>
          <w:spacing w:val="-8"/>
          <w:sz w:val="19"/>
          <w:szCs w:val="22"/>
        </w:rPr>
        <w:t xml:space="preserve"> </w:t>
      </w:r>
      <w:r w:rsidRPr="001B5CA5">
        <w:rPr>
          <w:i/>
          <w:sz w:val="19"/>
          <w:szCs w:val="22"/>
        </w:rPr>
        <w:t>инструменты»</w:t>
      </w:r>
      <w:r w:rsidRPr="001B5CA5">
        <w:rPr>
          <w:sz w:val="19"/>
          <w:szCs w:val="22"/>
        </w:rPr>
        <w:t>;</w:t>
      </w:r>
    </w:p>
    <w:p w14:paraId="04CDF6CF" w14:textId="77777777" w:rsidR="001B5CA5" w:rsidRPr="001B5CA5" w:rsidRDefault="001B5CA5" w:rsidP="001B5CA5">
      <w:pPr>
        <w:widowControl w:val="0"/>
        <w:numPr>
          <w:ilvl w:val="0"/>
          <w:numId w:val="7"/>
        </w:numPr>
        <w:tabs>
          <w:tab w:val="left" w:pos="922"/>
          <w:tab w:val="left" w:pos="1705"/>
          <w:tab w:val="left" w:pos="1706"/>
        </w:tabs>
        <w:autoSpaceDE w:val="0"/>
        <w:autoSpaceDN w:val="0"/>
        <w:spacing w:before="101"/>
        <w:ind w:right="69" w:hanging="784"/>
        <w:jc w:val="both"/>
        <w:rPr>
          <w:sz w:val="19"/>
          <w:szCs w:val="22"/>
        </w:rPr>
      </w:pPr>
      <w:r w:rsidRPr="001B5CA5">
        <w:rPr>
          <w:sz w:val="19"/>
          <w:szCs w:val="22"/>
        </w:rPr>
        <w:t>чистая</w:t>
      </w:r>
      <w:r w:rsidRPr="001B5CA5">
        <w:rPr>
          <w:spacing w:val="41"/>
          <w:sz w:val="19"/>
          <w:szCs w:val="22"/>
        </w:rPr>
        <w:t xml:space="preserve"> </w:t>
      </w:r>
      <w:r w:rsidRPr="001B5CA5">
        <w:rPr>
          <w:sz w:val="19"/>
          <w:szCs w:val="22"/>
        </w:rPr>
        <w:t>возможная</w:t>
      </w:r>
      <w:r w:rsidRPr="001B5CA5">
        <w:rPr>
          <w:spacing w:val="90"/>
          <w:sz w:val="19"/>
          <w:szCs w:val="22"/>
        </w:rPr>
        <w:t xml:space="preserve"> </w:t>
      </w:r>
      <w:r w:rsidRPr="001B5CA5">
        <w:rPr>
          <w:sz w:val="19"/>
          <w:szCs w:val="22"/>
        </w:rPr>
        <w:t>цена</w:t>
      </w:r>
      <w:r w:rsidRPr="001B5CA5">
        <w:rPr>
          <w:spacing w:val="90"/>
          <w:sz w:val="19"/>
          <w:szCs w:val="22"/>
        </w:rPr>
        <w:t xml:space="preserve"> </w:t>
      </w:r>
      <w:r w:rsidRPr="001B5CA5">
        <w:rPr>
          <w:sz w:val="19"/>
          <w:szCs w:val="22"/>
        </w:rPr>
        <w:t>продажи</w:t>
      </w:r>
      <w:r w:rsidRPr="001B5CA5">
        <w:rPr>
          <w:spacing w:val="87"/>
          <w:sz w:val="19"/>
          <w:szCs w:val="22"/>
        </w:rPr>
        <w:t xml:space="preserve"> </w:t>
      </w:r>
      <w:r w:rsidRPr="001B5CA5">
        <w:rPr>
          <w:sz w:val="19"/>
          <w:szCs w:val="22"/>
        </w:rPr>
        <w:t>единицы</w:t>
      </w:r>
      <w:r w:rsidRPr="001B5CA5">
        <w:rPr>
          <w:spacing w:val="90"/>
          <w:sz w:val="19"/>
          <w:szCs w:val="22"/>
        </w:rPr>
        <w:t xml:space="preserve"> </w:t>
      </w:r>
      <w:r w:rsidRPr="001B5CA5">
        <w:rPr>
          <w:sz w:val="19"/>
          <w:szCs w:val="22"/>
        </w:rPr>
        <w:t>запасов</w:t>
      </w:r>
      <w:r w:rsidRPr="001B5CA5">
        <w:rPr>
          <w:spacing w:val="92"/>
          <w:sz w:val="19"/>
          <w:szCs w:val="22"/>
        </w:rPr>
        <w:t xml:space="preserve"> </w:t>
      </w:r>
      <w:r w:rsidRPr="001B5CA5">
        <w:rPr>
          <w:sz w:val="19"/>
          <w:szCs w:val="22"/>
        </w:rPr>
        <w:t>при</w:t>
      </w:r>
      <w:r w:rsidRPr="001B5CA5">
        <w:rPr>
          <w:spacing w:val="88"/>
          <w:sz w:val="19"/>
          <w:szCs w:val="22"/>
        </w:rPr>
        <w:t xml:space="preserve"> </w:t>
      </w:r>
      <w:r w:rsidRPr="001B5CA5">
        <w:rPr>
          <w:sz w:val="19"/>
          <w:szCs w:val="22"/>
        </w:rPr>
        <w:t>применении</w:t>
      </w:r>
      <w:r w:rsidRPr="001B5CA5">
        <w:rPr>
          <w:spacing w:val="88"/>
          <w:sz w:val="19"/>
          <w:szCs w:val="22"/>
        </w:rPr>
        <w:t xml:space="preserve"> </w:t>
      </w:r>
      <w:r w:rsidRPr="001B5CA5">
        <w:rPr>
          <w:sz w:val="19"/>
          <w:szCs w:val="22"/>
        </w:rPr>
        <w:t>МСФО</w:t>
      </w:r>
      <w:r w:rsidRPr="001B5CA5">
        <w:rPr>
          <w:spacing w:val="-1"/>
          <w:sz w:val="19"/>
          <w:szCs w:val="22"/>
        </w:rPr>
        <w:t xml:space="preserve"> </w:t>
      </w:r>
      <w:r w:rsidRPr="001B5CA5">
        <w:rPr>
          <w:sz w:val="19"/>
          <w:szCs w:val="22"/>
        </w:rPr>
        <w:t>(IAS)</w:t>
      </w:r>
      <w:r w:rsidRPr="001B5CA5">
        <w:rPr>
          <w:sz w:val="19"/>
          <w:szCs w:val="22"/>
          <w:lang w:val="en-US"/>
        </w:rPr>
        <w:t> </w:t>
      </w:r>
      <w:r w:rsidRPr="001B5CA5">
        <w:rPr>
          <w:sz w:val="19"/>
          <w:szCs w:val="22"/>
        </w:rPr>
        <w:t>2</w:t>
      </w:r>
    </w:p>
    <w:p w14:paraId="6C8214B9" w14:textId="77777777" w:rsidR="001B5CA5" w:rsidRPr="001B5CA5" w:rsidRDefault="001B5CA5" w:rsidP="001B5CA5">
      <w:pPr>
        <w:widowControl w:val="0"/>
        <w:tabs>
          <w:tab w:val="left" w:pos="922"/>
        </w:tabs>
        <w:autoSpaceDE w:val="0"/>
        <w:autoSpaceDN w:val="0"/>
        <w:ind w:left="1705" w:right="69"/>
        <w:jc w:val="both"/>
        <w:rPr>
          <w:sz w:val="19"/>
          <w:szCs w:val="22"/>
        </w:rPr>
      </w:pPr>
      <w:r w:rsidRPr="001B5CA5">
        <w:rPr>
          <w:i/>
          <w:sz w:val="19"/>
          <w:szCs w:val="22"/>
        </w:rPr>
        <w:t>«Запасы»</w:t>
      </w:r>
      <w:r w:rsidRPr="001B5CA5">
        <w:rPr>
          <w:sz w:val="19"/>
          <w:szCs w:val="22"/>
        </w:rPr>
        <w:t>;</w:t>
      </w:r>
    </w:p>
    <w:p w14:paraId="5561FFE2" w14:textId="77777777" w:rsidR="001B5CA5" w:rsidRPr="001B5CA5" w:rsidRDefault="001B5CA5" w:rsidP="001B5CA5">
      <w:pPr>
        <w:widowControl w:val="0"/>
        <w:numPr>
          <w:ilvl w:val="0"/>
          <w:numId w:val="7"/>
        </w:numPr>
        <w:tabs>
          <w:tab w:val="left" w:pos="922"/>
          <w:tab w:val="left" w:pos="1705"/>
          <w:tab w:val="left" w:pos="1706"/>
        </w:tabs>
        <w:autoSpaceDE w:val="0"/>
        <w:autoSpaceDN w:val="0"/>
        <w:spacing w:before="101"/>
        <w:ind w:right="69" w:hanging="784"/>
        <w:jc w:val="both"/>
        <w:rPr>
          <w:sz w:val="19"/>
          <w:szCs w:val="22"/>
        </w:rPr>
      </w:pPr>
      <w:r w:rsidRPr="001B5CA5">
        <w:rPr>
          <w:sz w:val="19"/>
          <w:szCs w:val="22"/>
        </w:rPr>
        <w:t>справедливая</w:t>
      </w:r>
      <w:r w:rsidRPr="001B5CA5">
        <w:rPr>
          <w:spacing w:val="70"/>
          <w:sz w:val="19"/>
          <w:szCs w:val="22"/>
        </w:rPr>
        <w:t xml:space="preserve"> </w:t>
      </w:r>
      <w:r w:rsidRPr="001B5CA5">
        <w:rPr>
          <w:sz w:val="19"/>
          <w:szCs w:val="22"/>
        </w:rPr>
        <w:t>стоимость</w:t>
      </w:r>
      <w:r w:rsidRPr="001B5CA5">
        <w:rPr>
          <w:spacing w:val="70"/>
          <w:sz w:val="19"/>
          <w:szCs w:val="22"/>
        </w:rPr>
        <w:t xml:space="preserve"> </w:t>
      </w:r>
      <w:r w:rsidRPr="001B5CA5">
        <w:rPr>
          <w:sz w:val="19"/>
          <w:szCs w:val="22"/>
        </w:rPr>
        <w:t>актива</w:t>
      </w:r>
      <w:r w:rsidRPr="001B5CA5">
        <w:rPr>
          <w:spacing w:val="70"/>
          <w:sz w:val="19"/>
          <w:szCs w:val="22"/>
        </w:rPr>
        <w:t xml:space="preserve"> </w:t>
      </w:r>
      <w:r w:rsidRPr="001B5CA5">
        <w:rPr>
          <w:sz w:val="19"/>
          <w:szCs w:val="22"/>
        </w:rPr>
        <w:t>или</w:t>
      </w:r>
      <w:r w:rsidRPr="001B5CA5">
        <w:rPr>
          <w:spacing w:val="70"/>
          <w:sz w:val="19"/>
          <w:szCs w:val="22"/>
        </w:rPr>
        <w:t xml:space="preserve"> </w:t>
      </w:r>
      <w:r w:rsidRPr="001B5CA5">
        <w:rPr>
          <w:sz w:val="19"/>
          <w:szCs w:val="22"/>
        </w:rPr>
        <w:t>обязательства</w:t>
      </w:r>
      <w:r w:rsidRPr="001B5CA5">
        <w:rPr>
          <w:spacing w:val="74"/>
          <w:sz w:val="19"/>
          <w:szCs w:val="22"/>
        </w:rPr>
        <w:t xml:space="preserve"> </w:t>
      </w:r>
      <w:r w:rsidRPr="001B5CA5">
        <w:rPr>
          <w:sz w:val="19"/>
          <w:szCs w:val="22"/>
        </w:rPr>
        <w:t>при</w:t>
      </w:r>
      <w:r w:rsidRPr="001B5CA5">
        <w:rPr>
          <w:spacing w:val="73"/>
          <w:sz w:val="19"/>
          <w:szCs w:val="22"/>
        </w:rPr>
        <w:t xml:space="preserve"> </w:t>
      </w:r>
      <w:r w:rsidRPr="001B5CA5">
        <w:rPr>
          <w:sz w:val="19"/>
          <w:szCs w:val="22"/>
        </w:rPr>
        <w:t>применении</w:t>
      </w:r>
      <w:r w:rsidRPr="001B5CA5">
        <w:rPr>
          <w:spacing w:val="72"/>
          <w:sz w:val="19"/>
          <w:szCs w:val="22"/>
        </w:rPr>
        <w:t xml:space="preserve"> </w:t>
      </w:r>
      <w:r w:rsidRPr="001B5CA5">
        <w:rPr>
          <w:sz w:val="19"/>
          <w:szCs w:val="22"/>
        </w:rPr>
        <w:t>МСФО</w:t>
      </w:r>
      <w:r w:rsidRPr="001B5CA5">
        <w:rPr>
          <w:spacing w:val="-2"/>
          <w:sz w:val="19"/>
          <w:szCs w:val="22"/>
        </w:rPr>
        <w:t xml:space="preserve"> </w:t>
      </w:r>
      <w:r w:rsidRPr="001B5CA5">
        <w:rPr>
          <w:sz w:val="19"/>
          <w:szCs w:val="22"/>
        </w:rPr>
        <w:t>(IFRS)</w:t>
      </w:r>
      <w:r w:rsidRPr="001B5CA5">
        <w:rPr>
          <w:sz w:val="19"/>
          <w:szCs w:val="22"/>
          <w:lang w:val="en-US"/>
        </w:rPr>
        <w:t> </w:t>
      </w:r>
      <w:r w:rsidRPr="001B5CA5">
        <w:rPr>
          <w:sz w:val="19"/>
          <w:szCs w:val="22"/>
        </w:rPr>
        <w:t>13</w:t>
      </w:r>
    </w:p>
    <w:p w14:paraId="2BA2528D" w14:textId="77777777" w:rsidR="001B5CA5" w:rsidRPr="001B5CA5" w:rsidRDefault="001B5CA5" w:rsidP="001B5CA5">
      <w:pPr>
        <w:widowControl w:val="0"/>
        <w:tabs>
          <w:tab w:val="left" w:pos="922"/>
        </w:tabs>
        <w:autoSpaceDE w:val="0"/>
        <w:autoSpaceDN w:val="0"/>
        <w:ind w:left="1705" w:right="69"/>
        <w:jc w:val="both"/>
        <w:rPr>
          <w:sz w:val="19"/>
          <w:szCs w:val="22"/>
        </w:rPr>
      </w:pPr>
      <w:r w:rsidRPr="001B5CA5">
        <w:rPr>
          <w:i/>
          <w:sz w:val="19"/>
          <w:szCs w:val="22"/>
        </w:rPr>
        <w:t>«Оценка</w:t>
      </w:r>
      <w:r w:rsidRPr="001B5CA5">
        <w:rPr>
          <w:i/>
          <w:spacing w:val="21"/>
          <w:sz w:val="19"/>
          <w:szCs w:val="22"/>
        </w:rPr>
        <w:t xml:space="preserve"> </w:t>
      </w:r>
      <w:r w:rsidRPr="001B5CA5">
        <w:rPr>
          <w:i/>
          <w:sz w:val="19"/>
          <w:szCs w:val="22"/>
        </w:rPr>
        <w:t>справедливой</w:t>
      </w:r>
      <w:r w:rsidRPr="001B5CA5">
        <w:rPr>
          <w:i/>
          <w:spacing w:val="21"/>
          <w:sz w:val="19"/>
          <w:szCs w:val="22"/>
        </w:rPr>
        <w:t xml:space="preserve"> </w:t>
      </w:r>
      <w:r w:rsidRPr="001B5CA5">
        <w:rPr>
          <w:i/>
          <w:sz w:val="19"/>
          <w:szCs w:val="22"/>
        </w:rPr>
        <w:t>стоимости»</w:t>
      </w:r>
      <w:r w:rsidRPr="001B5CA5">
        <w:rPr>
          <w:sz w:val="19"/>
          <w:szCs w:val="22"/>
        </w:rPr>
        <w:t>;</w:t>
      </w:r>
    </w:p>
    <w:p w14:paraId="0D45AFB6" w14:textId="77777777" w:rsidR="001B5CA5" w:rsidRPr="001B5CA5" w:rsidRDefault="001B5CA5" w:rsidP="001B5CA5">
      <w:pPr>
        <w:widowControl w:val="0"/>
        <w:numPr>
          <w:ilvl w:val="0"/>
          <w:numId w:val="7"/>
        </w:numPr>
        <w:tabs>
          <w:tab w:val="left" w:pos="922"/>
          <w:tab w:val="left" w:pos="1705"/>
          <w:tab w:val="left" w:pos="1706"/>
        </w:tabs>
        <w:autoSpaceDE w:val="0"/>
        <w:autoSpaceDN w:val="0"/>
        <w:spacing w:before="98"/>
        <w:ind w:right="69" w:hanging="784"/>
        <w:jc w:val="both"/>
        <w:rPr>
          <w:sz w:val="19"/>
          <w:szCs w:val="22"/>
        </w:rPr>
      </w:pPr>
      <w:r w:rsidRPr="001B5CA5">
        <w:rPr>
          <w:sz w:val="19"/>
          <w:szCs w:val="22"/>
        </w:rPr>
        <w:t>расход</w:t>
      </w:r>
      <w:r w:rsidRPr="001B5CA5">
        <w:rPr>
          <w:spacing w:val="28"/>
          <w:sz w:val="19"/>
          <w:szCs w:val="22"/>
        </w:rPr>
        <w:t xml:space="preserve"> </w:t>
      </w:r>
      <w:r w:rsidRPr="001B5CA5">
        <w:rPr>
          <w:sz w:val="19"/>
          <w:szCs w:val="22"/>
        </w:rPr>
        <w:t>по</w:t>
      </w:r>
      <w:r w:rsidRPr="001B5CA5">
        <w:rPr>
          <w:spacing w:val="76"/>
          <w:sz w:val="19"/>
          <w:szCs w:val="22"/>
        </w:rPr>
        <w:t xml:space="preserve"> </w:t>
      </w:r>
      <w:r w:rsidRPr="001B5CA5">
        <w:rPr>
          <w:sz w:val="19"/>
          <w:szCs w:val="22"/>
        </w:rPr>
        <w:t>амортизации</w:t>
      </w:r>
      <w:r w:rsidRPr="001B5CA5">
        <w:rPr>
          <w:spacing w:val="74"/>
          <w:sz w:val="19"/>
          <w:szCs w:val="22"/>
        </w:rPr>
        <w:t xml:space="preserve"> </w:t>
      </w:r>
      <w:r w:rsidRPr="001B5CA5">
        <w:rPr>
          <w:sz w:val="19"/>
          <w:szCs w:val="22"/>
        </w:rPr>
        <w:t>объекта</w:t>
      </w:r>
      <w:r w:rsidRPr="001B5CA5">
        <w:rPr>
          <w:spacing w:val="75"/>
          <w:sz w:val="19"/>
          <w:szCs w:val="22"/>
        </w:rPr>
        <w:t xml:space="preserve"> </w:t>
      </w:r>
      <w:r w:rsidRPr="001B5CA5">
        <w:rPr>
          <w:sz w:val="19"/>
          <w:szCs w:val="22"/>
        </w:rPr>
        <w:t>основных</w:t>
      </w:r>
      <w:r w:rsidRPr="001B5CA5">
        <w:rPr>
          <w:spacing w:val="77"/>
          <w:sz w:val="19"/>
          <w:szCs w:val="22"/>
        </w:rPr>
        <w:t xml:space="preserve"> </w:t>
      </w:r>
      <w:r w:rsidRPr="001B5CA5">
        <w:rPr>
          <w:sz w:val="19"/>
          <w:szCs w:val="22"/>
        </w:rPr>
        <w:t>средств</w:t>
      </w:r>
      <w:r w:rsidRPr="001B5CA5">
        <w:rPr>
          <w:spacing w:val="79"/>
          <w:sz w:val="19"/>
          <w:szCs w:val="22"/>
        </w:rPr>
        <w:t xml:space="preserve"> </w:t>
      </w:r>
      <w:r w:rsidRPr="001B5CA5">
        <w:rPr>
          <w:sz w:val="19"/>
          <w:szCs w:val="22"/>
        </w:rPr>
        <w:t>при</w:t>
      </w:r>
      <w:r w:rsidRPr="001B5CA5">
        <w:rPr>
          <w:spacing w:val="75"/>
          <w:sz w:val="19"/>
          <w:szCs w:val="22"/>
        </w:rPr>
        <w:t xml:space="preserve"> </w:t>
      </w:r>
      <w:r w:rsidRPr="001B5CA5">
        <w:rPr>
          <w:sz w:val="19"/>
          <w:szCs w:val="22"/>
        </w:rPr>
        <w:t>применении</w:t>
      </w:r>
      <w:r w:rsidRPr="001B5CA5">
        <w:rPr>
          <w:spacing w:val="75"/>
          <w:sz w:val="19"/>
          <w:szCs w:val="22"/>
        </w:rPr>
        <w:t xml:space="preserve"> </w:t>
      </w:r>
      <w:r w:rsidRPr="001B5CA5">
        <w:rPr>
          <w:sz w:val="19"/>
          <w:szCs w:val="22"/>
        </w:rPr>
        <w:t>МСФО</w:t>
      </w:r>
      <w:r w:rsidRPr="001B5CA5">
        <w:rPr>
          <w:spacing w:val="-1"/>
          <w:sz w:val="19"/>
          <w:szCs w:val="22"/>
        </w:rPr>
        <w:t xml:space="preserve"> </w:t>
      </w:r>
      <w:r w:rsidRPr="001B5CA5">
        <w:rPr>
          <w:sz w:val="19"/>
          <w:szCs w:val="22"/>
        </w:rPr>
        <w:t>(IAS)</w:t>
      </w:r>
      <w:r w:rsidRPr="001B5CA5">
        <w:rPr>
          <w:sz w:val="19"/>
          <w:szCs w:val="22"/>
          <w:lang w:val="en-US"/>
        </w:rPr>
        <w:t> </w:t>
      </w:r>
      <w:r w:rsidRPr="001B5CA5">
        <w:rPr>
          <w:sz w:val="19"/>
          <w:szCs w:val="22"/>
        </w:rPr>
        <w:t>16</w:t>
      </w:r>
    </w:p>
    <w:p w14:paraId="45728D58" w14:textId="77777777" w:rsidR="001B5CA5" w:rsidRPr="001B5CA5" w:rsidRDefault="001B5CA5" w:rsidP="001B5CA5">
      <w:pPr>
        <w:widowControl w:val="0"/>
        <w:tabs>
          <w:tab w:val="left" w:pos="922"/>
        </w:tabs>
        <w:autoSpaceDE w:val="0"/>
        <w:autoSpaceDN w:val="0"/>
        <w:ind w:left="1705" w:right="69"/>
        <w:jc w:val="both"/>
        <w:rPr>
          <w:sz w:val="19"/>
          <w:szCs w:val="19"/>
        </w:rPr>
      </w:pPr>
      <w:r w:rsidRPr="001B5CA5">
        <w:rPr>
          <w:i/>
          <w:sz w:val="19"/>
          <w:szCs w:val="19"/>
        </w:rPr>
        <w:t>«Основные</w:t>
      </w:r>
      <w:r w:rsidRPr="001B5CA5">
        <w:rPr>
          <w:i/>
          <w:spacing w:val="29"/>
          <w:sz w:val="19"/>
          <w:szCs w:val="19"/>
        </w:rPr>
        <w:t xml:space="preserve"> </w:t>
      </w:r>
      <w:r w:rsidRPr="001B5CA5">
        <w:rPr>
          <w:i/>
          <w:sz w:val="19"/>
          <w:szCs w:val="19"/>
        </w:rPr>
        <w:t>средства»</w:t>
      </w:r>
      <w:r w:rsidRPr="001B5CA5">
        <w:rPr>
          <w:sz w:val="19"/>
          <w:szCs w:val="19"/>
        </w:rPr>
        <w:t>;</w:t>
      </w:r>
      <w:r w:rsidRPr="001B5CA5">
        <w:rPr>
          <w:spacing w:val="-2"/>
          <w:sz w:val="19"/>
          <w:szCs w:val="19"/>
        </w:rPr>
        <w:t xml:space="preserve"> </w:t>
      </w:r>
      <w:r w:rsidRPr="001B5CA5">
        <w:rPr>
          <w:sz w:val="19"/>
          <w:szCs w:val="19"/>
        </w:rPr>
        <w:t>и</w:t>
      </w:r>
    </w:p>
    <w:p w14:paraId="56A53399" w14:textId="77777777" w:rsidR="001B5CA5" w:rsidRPr="001B5CA5" w:rsidRDefault="001B5CA5" w:rsidP="001B5CA5">
      <w:pPr>
        <w:widowControl w:val="0"/>
        <w:numPr>
          <w:ilvl w:val="0"/>
          <w:numId w:val="7"/>
        </w:numPr>
        <w:tabs>
          <w:tab w:val="left" w:pos="922"/>
          <w:tab w:val="left" w:pos="1705"/>
          <w:tab w:val="left" w:pos="1706"/>
        </w:tabs>
        <w:autoSpaceDE w:val="0"/>
        <w:autoSpaceDN w:val="0"/>
        <w:spacing w:before="101"/>
        <w:ind w:right="69"/>
        <w:jc w:val="both"/>
        <w:rPr>
          <w:sz w:val="19"/>
          <w:szCs w:val="22"/>
          <w:u w:color="000000"/>
        </w:rPr>
      </w:pPr>
      <w:r w:rsidRPr="001B5CA5">
        <w:rPr>
          <w:sz w:val="19"/>
          <w:szCs w:val="22"/>
        </w:rPr>
        <w:t>оценочное</w:t>
      </w:r>
      <w:r w:rsidRPr="001B5CA5">
        <w:rPr>
          <w:spacing w:val="3"/>
          <w:sz w:val="19"/>
          <w:szCs w:val="22"/>
        </w:rPr>
        <w:t xml:space="preserve"> </w:t>
      </w:r>
      <w:r w:rsidRPr="001B5CA5">
        <w:rPr>
          <w:sz w:val="19"/>
          <w:szCs w:val="22"/>
        </w:rPr>
        <w:t>обязательство</w:t>
      </w:r>
      <w:r w:rsidRPr="001B5CA5">
        <w:rPr>
          <w:spacing w:val="4"/>
          <w:sz w:val="19"/>
          <w:szCs w:val="22"/>
        </w:rPr>
        <w:t xml:space="preserve"> </w:t>
      </w:r>
      <w:r w:rsidRPr="001B5CA5">
        <w:rPr>
          <w:sz w:val="19"/>
          <w:szCs w:val="22"/>
        </w:rPr>
        <w:t>в</w:t>
      </w:r>
      <w:r w:rsidRPr="001B5CA5">
        <w:rPr>
          <w:spacing w:val="2"/>
          <w:sz w:val="19"/>
          <w:szCs w:val="22"/>
        </w:rPr>
        <w:t xml:space="preserve"> </w:t>
      </w:r>
      <w:r w:rsidRPr="001B5CA5">
        <w:rPr>
          <w:sz w:val="19"/>
          <w:szCs w:val="22"/>
        </w:rPr>
        <w:t>отношении</w:t>
      </w:r>
      <w:r w:rsidRPr="001B5CA5">
        <w:rPr>
          <w:spacing w:val="7"/>
          <w:sz w:val="19"/>
          <w:szCs w:val="22"/>
        </w:rPr>
        <w:t xml:space="preserve"> </w:t>
      </w:r>
      <w:r w:rsidRPr="001B5CA5">
        <w:rPr>
          <w:sz w:val="19"/>
          <w:szCs w:val="22"/>
        </w:rPr>
        <w:t>гарантийных</w:t>
      </w:r>
      <w:r w:rsidRPr="001B5CA5">
        <w:rPr>
          <w:spacing w:val="51"/>
          <w:sz w:val="19"/>
          <w:szCs w:val="22"/>
        </w:rPr>
        <w:t xml:space="preserve"> </w:t>
      </w:r>
      <w:r w:rsidRPr="001B5CA5">
        <w:rPr>
          <w:sz w:val="19"/>
          <w:szCs w:val="22"/>
        </w:rPr>
        <w:t>обязательств</w:t>
      </w:r>
      <w:r w:rsidRPr="001B5CA5">
        <w:rPr>
          <w:spacing w:val="51"/>
          <w:sz w:val="19"/>
          <w:szCs w:val="22"/>
        </w:rPr>
        <w:t xml:space="preserve"> </w:t>
      </w:r>
      <w:r w:rsidRPr="001B5CA5">
        <w:rPr>
          <w:sz w:val="19"/>
          <w:szCs w:val="22"/>
        </w:rPr>
        <w:t>при</w:t>
      </w:r>
      <w:r w:rsidRPr="001B5CA5">
        <w:rPr>
          <w:spacing w:val="50"/>
          <w:sz w:val="19"/>
          <w:szCs w:val="22"/>
        </w:rPr>
        <w:t xml:space="preserve"> </w:t>
      </w:r>
      <w:r w:rsidRPr="001B5CA5">
        <w:rPr>
          <w:sz w:val="19"/>
          <w:szCs w:val="22"/>
        </w:rPr>
        <w:t>применении</w:t>
      </w:r>
      <w:r w:rsidRPr="001B5CA5">
        <w:rPr>
          <w:spacing w:val="-45"/>
          <w:sz w:val="19"/>
          <w:szCs w:val="22"/>
        </w:rPr>
        <w:t xml:space="preserve"> </w:t>
      </w:r>
      <w:r w:rsidRPr="001B5CA5">
        <w:rPr>
          <w:spacing w:val="-1"/>
          <w:sz w:val="19"/>
          <w:szCs w:val="22"/>
        </w:rPr>
        <w:t>МСФО</w:t>
      </w:r>
      <w:r w:rsidRPr="001B5CA5">
        <w:rPr>
          <w:spacing w:val="-2"/>
          <w:sz w:val="19"/>
          <w:szCs w:val="22"/>
        </w:rPr>
        <w:t xml:space="preserve"> </w:t>
      </w:r>
      <w:r w:rsidRPr="001B5CA5">
        <w:rPr>
          <w:spacing w:val="-1"/>
          <w:sz w:val="19"/>
          <w:szCs w:val="22"/>
        </w:rPr>
        <w:t>(IAS) 37</w:t>
      </w:r>
      <w:r w:rsidRPr="001B5CA5">
        <w:rPr>
          <w:spacing w:val="-6"/>
          <w:sz w:val="19"/>
          <w:szCs w:val="22"/>
        </w:rPr>
        <w:t xml:space="preserve"> </w:t>
      </w:r>
      <w:r w:rsidRPr="001B5CA5">
        <w:rPr>
          <w:i/>
          <w:spacing w:val="-1"/>
          <w:sz w:val="19"/>
          <w:szCs w:val="22"/>
        </w:rPr>
        <w:t>«Оценочные</w:t>
      </w:r>
      <w:r w:rsidRPr="001B5CA5">
        <w:rPr>
          <w:i/>
          <w:spacing w:val="-11"/>
          <w:sz w:val="19"/>
          <w:szCs w:val="22"/>
        </w:rPr>
        <w:t xml:space="preserve"> </w:t>
      </w:r>
      <w:r w:rsidRPr="001B5CA5">
        <w:rPr>
          <w:i/>
          <w:spacing w:val="-1"/>
          <w:sz w:val="19"/>
          <w:szCs w:val="22"/>
        </w:rPr>
        <w:t>обязательства,</w:t>
      </w:r>
      <w:r w:rsidRPr="001B5CA5">
        <w:rPr>
          <w:i/>
          <w:spacing w:val="-8"/>
          <w:sz w:val="19"/>
          <w:szCs w:val="22"/>
        </w:rPr>
        <w:t xml:space="preserve"> </w:t>
      </w:r>
      <w:r w:rsidRPr="001B5CA5">
        <w:rPr>
          <w:i/>
          <w:sz w:val="19"/>
          <w:szCs w:val="22"/>
        </w:rPr>
        <w:t>условные</w:t>
      </w:r>
      <w:r w:rsidRPr="001B5CA5">
        <w:rPr>
          <w:i/>
          <w:spacing w:val="-8"/>
          <w:sz w:val="19"/>
          <w:szCs w:val="22"/>
        </w:rPr>
        <w:t xml:space="preserve"> </w:t>
      </w:r>
      <w:r w:rsidRPr="001B5CA5">
        <w:rPr>
          <w:i/>
          <w:sz w:val="19"/>
          <w:szCs w:val="22"/>
        </w:rPr>
        <w:t>обязательства</w:t>
      </w:r>
      <w:r w:rsidRPr="001B5CA5">
        <w:rPr>
          <w:i/>
          <w:spacing w:val="-7"/>
          <w:sz w:val="19"/>
          <w:szCs w:val="22"/>
        </w:rPr>
        <w:t xml:space="preserve"> </w:t>
      </w:r>
      <w:r w:rsidRPr="001B5CA5">
        <w:rPr>
          <w:i/>
          <w:sz w:val="19"/>
          <w:szCs w:val="22"/>
        </w:rPr>
        <w:t>и</w:t>
      </w:r>
      <w:r w:rsidRPr="001B5CA5">
        <w:rPr>
          <w:i/>
          <w:spacing w:val="-7"/>
          <w:sz w:val="19"/>
          <w:szCs w:val="22"/>
        </w:rPr>
        <w:t xml:space="preserve"> </w:t>
      </w:r>
      <w:r w:rsidRPr="001B5CA5">
        <w:rPr>
          <w:i/>
          <w:sz w:val="19"/>
          <w:szCs w:val="22"/>
        </w:rPr>
        <w:t>условные</w:t>
      </w:r>
      <w:r w:rsidRPr="001B5CA5">
        <w:rPr>
          <w:i/>
          <w:spacing w:val="-8"/>
          <w:sz w:val="19"/>
          <w:szCs w:val="22"/>
        </w:rPr>
        <w:t xml:space="preserve"> </w:t>
      </w:r>
      <w:r w:rsidRPr="001B5CA5">
        <w:rPr>
          <w:i/>
          <w:sz w:val="19"/>
          <w:szCs w:val="22"/>
        </w:rPr>
        <w:t>активы»</w:t>
      </w:r>
      <w:r w:rsidRPr="001B5CA5">
        <w:rPr>
          <w:sz w:val="19"/>
          <w:szCs w:val="22"/>
          <w:u w:color="000000"/>
        </w:rPr>
        <w:t>.</w:t>
      </w:r>
    </w:p>
    <w:p w14:paraId="1AB94B20" w14:textId="77777777" w:rsidR="001B5CA5" w:rsidRPr="001B5CA5" w:rsidRDefault="001B5CA5" w:rsidP="001B5CA5">
      <w:pPr>
        <w:tabs>
          <w:tab w:val="left" w:pos="922"/>
        </w:tabs>
        <w:spacing w:before="100"/>
        <w:ind w:left="782" w:right="69" w:hanging="782"/>
        <w:jc w:val="both"/>
        <w:rPr>
          <w:rFonts w:eastAsia="Batang"/>
          <w:sz w:val="19"/>
          <w:szCs w:val="19"/>
        </w:rPr>
      </w:pPr>
      <w:r w:rsidRPr="001B5CA5">
        <w:rPr>
          <w:rFonts w:eastAsia="Batang"/>
          <w:sz w:val="19"/>
          <w:szCs w:val="19"/>
        </w:rPr>
        <w:t xml:space="preserve">После пункта 32 </w:t>
      </w:r>
      <w:r w:rsidRPr="001B5CA5">
        <w:rPr>
          <w:sz w:val="19"/>
          <w:szCs w:val="19"/>
        </w:rPr>
        <w:t xml:space="preserve">включить </w:t>
      </w:r>
      <w:r w:rsidRPr="001B5CA5">
        <w:rPr>
          <w:rFonts w:eastAsia="Batang"/>
          <w:sz w:val="19"/>
          <w:szCs w:val="19"/>
        </w:rPr>
        <w:t>пункты 32А-32В следующего содержания:</w:t>
      </w:r>
    </w:p>
    <w:p w14:paraId="5183DC99" w14:textId="77777777" w:rsidR="001B5CA5" w:rsidRPr="001B5CA5" w:rsidRDefault="001B5CA5" w:rsidP="001B5CA5">
      <w:pPr>
        <w:widowControl w:val="0"/>
        <w:tabs>
          <w:tab w:val="left" w:pos="922"/>
        </w:tabs>
        <w:autoSpaceDE w:val="0"/>
        <w:autoSpaceDN w:val="0"/>
        <w:spacing w:before="100"/>
        <w:ind w:left="922" w:right="69" w:hanging="783"/>
        <w:jc w:val="both"/>
        <w:rPr>
          <w:sz w:val="19"/>
          <w:szCs w:val="19"/>
        </w:rPr>
      </w:pPr>
      <w:r w:rsidRPr="001B5CA5">
        <w:rPr>
          <w:sz w:val="19"/>
          <w:szCs w:val="19"/>
        </w:rPr>
        <w:t>32A</w:t>
      </w:r>
      <w:r w:rsidRPr="001B5CA5">
        <w:rPr>
          <w:sz w:val="19"/>
          <w:szCs w:val="19"/>
        </w:rPr>
        <w:tab/>
        <w:t>Организация использует методы оценки и исходные данные для разработки бухгалтерских оценок.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Методы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оценки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включают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методы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расчетной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оценки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(например,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методы,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используемые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для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определения</w:t>
      </w:r>
      <w:r w:rsidRPr="001B5CA5">
        <w:rPr>
          <w:spacing w:val="48"/>
          <w:sz w:val="19"/>
          <w:szCs w:val="19"/>
        </w:rPr>
        <w:t xml:space="preserve"> </w:t>
      </w:r>
      <w:r w:rsidRPr="001B5CA5">
        <w:rPr>
          <w:sz w:val="19"/>
          <w:szCs w:val="19"/>
        </w:rPr>
        <w:t>оценочного</w:t>
      </w:r>
      <w:r w:rsidRPr="001B5CA5">
        <w:rPr>
          <w:spacing w:val="48"/>
          <w:sz w:val="19"/>
          <w:szCs w:val="19"/>
        </w:rPr>
        <w:t xml:space="preserve"> </w:t>
      </w:r>
      <w:r w:rsidRPr="001B5CA5">
        <w:rPr>
          <w:sz w:val="19"/>
          <w:szCs w:val="19"/>
        </w:rPr>
        <w:t>резерва</w:t>
      </w:r>
      <w:r w:rsidRPr="001B5CA5">
        <w:rPr>
          <w:spacing w:val="48"/>
          <w:sz w:val="19"/>
          <w:szCs w:val="19"/>
        </w:rPr>
        <w:t xml:space="preserve"> </w:t>
      </w:r>
      <w:r w:rsidRPr="001B5CA5">
        <w:rPr>
          <w:sz w:val="19"/>
          <w:szCs w:val="19"/>
        </w:rPr>
        <w:t>под ожидаемые кредитные убытки в соответствии с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МСФО</w:t>
      </w:r>
      <w:r w:rsidRPr="001B5CA5">
        <w:rPr>
          <w:sz w:val="19"/>
          <w:szCs w:val="19"/>
          <w:lang w:val="en-US"/>
        </w:rPr>
        <w:t> </w:t>
      </w:r>
      <w:r w:rsidRPr="001B5CA5">
        <w:rPr>
          <w:sz w:val="19"/>
          <w:szCs w:val="19"/>
        </w:rPr>
        <w:t>(IFRS) 9) и методы оценки стоимости (например, методы, используемые для определения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справедливой</w:t>
      </w:r>
      <w:r w:rsidRPr="001B5CA5">
        <w:rPr>
          <w:spacing w:val="-2"/>
          <w:sz w:val="19"/>
          <w:szCs w:val="19"/>
        </w:rPr>
        <w:t xml:space="preserve"> </w:t>
      </w:r>
      <w:r w:rsidRPr="001B5CA5">
        <w:rPr>
          <w:sz w:val="19"/>
          <w:szCs w:val="19"/>
        </w:rPr>
        <w:t>стоимости</w:t>
      </w:r>
      <w:r w:rsidRPr="001B5CA5">
        <w:rPr>
          <w:spacing w:val="-2"/>
          <w:sz w:val="19"/>
          <w:szCs w:val="19"/>
        </w:rPr>
        <w:t xml:space="preserve"> </w:t>
      </w:r>
      <w:r w:rsidRPr="001B5CA5">
        <w:rPr>
          <w:sz w:val="19"/>
          <w:szCs w:val="19"/>
        </w:rPr>
        <w:t>актива</w:t>
      </w:r>
      <w:r w:rsidRPr="001B5CA5">
        <w:rPr>
          <w:spacing w:val="-2"/>
          <w:sz w:val="19"/>
          <w:szCs w:val="19"/>
        </w:rPr>
        <w:t xml:space="preserve"> </w:t>
      </w:r>
      <w:r w:rsidRPr="001B5CA5">
        <w:rPr>
          <w:sz w:val="19"/>
          <w:szCs w:val="19"/>
        </w:rPr>
        <w:t>или</w:t>
      </w:r>
      <w:r w:rsidRPr="001B5CA5">
        <w:rPr>
          <w:spacing w:val="-2"/>
          <w:sz w:val="19"/>
          <w:szCs w:val="19"/>
        </w:rPr>
        <w:t xml:space="preserve"> </w:t>
      </w:r>
      <w:r w:rsidRPr="001B5CA5">
        <w:rPr>
          <w:sz w:val="19"/>
          <w:szCs w:val="19"/>
        </w:rPr>
        <w:t>обязательства</w:t>
      </w:r>
      <w:r w:rsidRPr="001B5CA5">
        <w:rPr>
          <w:spacing w:val="3"/>
          <w:sz w:val="19"/>
          <w:szCs w:val="19"/>
        </w:rPr>
        <w:t xml:space="preserve"> </w:t>
      </w:r>
      <w:r w:rsidRPr="001B5CA5">
        <w:rPr>
          <w:sz w:val="19"/>
          <w:szCs w:val="19"/>
        </w:rPr>
        <w:t>в</w:t>
      </w:r>
      <w:r w:rsidRPr="001B5CA5">
        <w:rPr>
          <w:spacing w:val="-2"/>
          <w:sz w:val="19"/>
          <w:szCs w:val="19"/>
        </w:rPr>
        <w:t xml:space="preserve"> </w:t>
      </w:r>
      <w:r w:rsidRPr="001B5CA5">
        <w:rPr>
          <w:sz w:val="19"/>
          <w:szCs w:val="19"/>
        </w:rPr>
        <w:t>соответствии</w:t>
      </w:r>
      <w:r w:rsidRPr="001B5CA5">
        <w:rPr>
          <w:spacing w:val="-2"/>
          <w:sz w:val="19"/>
          <w:szCs w:val="19"/>
        </w:rPr>
        <w:t xml:space="preserve"> </w:t>
      </w:r>
      <w:r w:rsidRPr="001B5CA5">
        <w:rPr>
          <w:sz w:val="19"/>
          <w:szCs w:val="19"/>
        </w:rPr>
        <w:t>с МСФО</w:t>
      </w:r>
      <w:r w:rsidRPr="001B5CA5">
        <w:rPr>
          <w:spacing w:val="-1"/>
          <w:sz w:val="19"/>
          <w:szCs w:val="19"/>
        </w:rPr>
        <w:t xml:space="preserve"> </w:t>
      </w:r>
      <w:r w:rsidRPr="001B5CA5">
        <w:rPr>
          <w:sz w:val="19"/>
          <w:szCs w:val="19"/>
        </w:rPr>
        <w:t>(IFRS)</w:t>
      </w:r>
      <w:r w:rsidRPr="001B5CA5">
        <w:rPr>
          <w:spacing w:val="-1"/>
          <w:sz w:val="19"/>
          <w:szCs w:val="19"/>
        </w:rPr>
        <w:t xml:space="preserve"> </w:t>
      </w:r>
      <w:r w:rsidRPr="001B5CA5">
        <w:rPr>
          <w:sz w:val="19"/>
          <w:szCs w:val="19"/>
        </w:rPr>
        <w:t>13).</w:t>
      </w:r>
    </w:p>
    <w:p w14:paraId="4AB2A87B" w14:textId="77777777" w:rsidR="001B5CA5" w:rsidRPr="001B5CA5" w:rsidRDefault="001B5CA5" w:rsidP="001B5CA5">
      <w:pPr>
        <w:widowControl w:val="0"/>
        <w:autoSpaceDE w:val="0"/>
        <w:autoSpaceDN w:val="0"/>
        <w:spacing w:before="100"/>
        <w:ind w:left="922" w:right="69" w:hanging="783"/>
        <w:jc w:val="both"/>
        <w:rPr>
          <w:sz w:val="19"/>
          <w:szCs w:val="19"/>
        </w:rPr>
      </w:pPr>
      <w:r w:rsidRPr="001B5CA5">
        <w:rPr>
          <w:sz w:val="19"/>
          <w:szCs w:val="19"/>
        </w:rPr>
        <w:t>32</w:t>
      </w:r>
      <w:r w:rsidRPr="001B5CA5">
        <w:rPr>
          <w:sz w:val="19"/>
          <w:szCs w:val="19"/>
          <w:lang w:val="en-US"/>
        </w:rPr>
        <w:t>B</w:t>
      </w:r>
      <w:r w:rsidRPr="001B5CA5">
        <w:rPr>
          <w:sz w:val="19"/>
          <w:szCs w:val="19"/>
        </w:rPr>
        <w:tab/>
        <w:t>В МСФО термин «расчетная оценка» иногда относится к оценке, которая не является бухгалтерской оценкой согласно определению в настоящем стандарте. Например, иногда оценка относится к исходным данным, используемым при разработке бухгалтерских оценок.</w:t>
      </w:r>
    </w:p>
    <w:p w14:paraId="42F65ACA" w14:textId="77777777" w:rsidR="001B5CA5" w:rsidRPr="001B5CA5" w:rsidRDefault="001B5CA5" w:rsidP="001B5CA5">
      <w:pPr>
        <w:widowControl w:val="0"/>
        <w:autoSpaceDE w:val="0"/>
        <w:autoSpaceDN w:val="0"/>
        <w:spacing w:before="100" w:after="240"/>
        <w:ind w:right="69"/>
        <w:jc w:val="both"/>
        <w:rPr>
          <w:sz w:val="20"/>
          <w:szCs w:val="19"/>
          <w:u w:color="000000"/>
        </w:rPr>
      </w:pPr>
      <w:r w:rsidRPr="001B5CA5">
        <w:rPr>
          <w:sz w:val="20"/>
          <w:szCs w:val="19"/>
          <w:u w:color="000000"/>
        </w:rPr>
        <w:lastRenderedPageBreak/>
        <w:t xml:space="preserve">После пункта 33 включить новый заголовок следующего содержания: </w:t>
      </w:r>
    </w:p>
    <w:p w14:paraId="0005C4A3" w14:textId="77777777" w:rsidR="001B5CA5" w:rsidRPr="001B5CA5" w:rsidRDefault="001B5CA5" w:rsidP="001B5CA5">
      <w:pPr>
        <w:widowControl w:val="0"/>
        <w:autoSpaceDE w:val="0"/>
        <w:autoSpaceDN w:val="0"/>
        <w:ind w:left="922" w:right="69"/>
        <w:jc w:val="both"/>
        <w:outlineLvl w:val="0"/>
        <w:rPr>
          <w:sz w:val="20"/>
          <w:szCs w:val="19"/>
          <w:u w:color="000000"/>
        </w:rPr>
      </w:pPr>
      <w:r w:rsidRPr="001B5CA5">
        <w:rPr>
          <w:rFonts w:ascii="Arial" w:eastAsia="Arial" w:hAnsi="Arial" w:cs="Arial"/>
          <w:b/>
          <w:bCs/>
          <w:sz w:val="26"/>
          <w:szCs w:val="26"/>
          <w:u w:val="single"/>
        </w:rPr>
        <w:t>Изменения</w:t>
      </w:r>
      <w:r w:rsidRPr="001B5CA5">
        <w:rPr>
          <w:rFonts w:ascii="Arial" w:eastAsia="Arial" w:hAnsi="Arial" w:cs="Arial"/>
          <w:b/>
          <w:bCs/>
          <w:spacing w:val="-3"/>
          <w:sz w:val="26"/>
          <w:szCs w:val="26"/>
          <w:u w:val="single"/>
        </w:rPr>
        <w:t xml:space="preserve"> </w:t>
      </w:r>
      <w:r w:rsidRPr="001B5CA5">
        <w:rPr>
          <w:rFonts w:ascii="Arial" w:eastAsia="Arial" w:hAnsi="Arial" w:cs="Arial"/>
          <w:b/>
          <w:bCs/>
          <w:sz w:val="26"/>
          <w:szCs w:val="26"/>
          <w:u w:val="single"/>
        </w:rPr>
        <w:t>в</w:t>
      </w:r>
      <w:r w:rsidRPr="001B5CA5">
        <w:rPr>
          <w:rFonts w:ascii="Arial" w:eastAsia="Arial" w:hAnsi="Arial" w:cs="Arial"/>
          <w:b/>
          <w:bCs/>
          <w:spacing w:val="-6"/>
          <w:sz w:val="26"/>
          <w:szCs w:val="26"/>
          <w:u w:val="single"/>
        </w:rPr>
        <w:t xml:space="preserve"> </w:t>
      </w:r>
      <w:r w:rsidRPr="001B5CA5">
        <w:rPr>
          <w:rFonts w:ascii="Arial" w:eastAsia="Arial" w:hAnsi="Arial" w:cs="Arial"/>
          <w:b/>
          <w:bCs/>
          <w:sz w:val="26"/>
          <w:szCs w:val="26"/>
          <w:u w:val="single"/>
        </w:rPr>
        <w:t>бухгалтерских</w:t>
      </w:r>
      <w:r w:rsidRPr="001B5CA5">
        <w:rPr>
          <w:rFonts w:ascii="Arial" w:eastAsia="Arial" w:hAnsi="Arial" w:cs="Arial"/>
          <w:b/>
          <w:bCs/>
          <w:spacing w:val="-4"/>
          <w:sz w:val="26"/>
          <w:szCs w:val="26"/>
          <w:u w:val="single"/>
        </w:rPr>
        <w:t xml:space="preserve"> </w:t>
      </w:r>
      <w:r w:rsidRPr="001B5CA5">
        <w:rPr>
          <w:rFonts w:ascii="Arial" w:eastAsia="Arial" w:hAnsi="Arial" w:cs="Arial"/>
          <w:b/>
          <w:bCs/>
          <w:sz w:val="26"/>
          <w:szCs w:val="26"/>
          <w:u w:val="single"/>
        </w:rPr>
        <w:t>оценках</w:t>
      </w:r>
      <w:r w:rsidRPr="001B5CA5">
        <w:rPr>
          <w:sz w:val="20"/>
          <w:szCs w:val="19"/>
          <w:u w:color="000000"/>
        </w:rPr>
        <w:t xml:space="preserve"> </w:t>
      </w:r>
    </w:p>
    <w:p w14:paraId="78555F1A" w14:textId="77777777" w:rsidR="001B5CA5" w:rsidRPr="001B5CA5" w:rsidRDefault="001B5CA5" w:rsidP="001B5CA5">
      <w:pPr>
        <w:widowControl w:val="0"/>
        <w:autoSpaceDE w:val="0"/>
        <w:autoSpaceDN w:val="0"/>
        <w:ind w:left="922" w:right="69"/>
        <w:jc w:val="both"/>
        <w:outlineLvl w:val="0"/>
        <w:rPr>
          <w:sz w:val="20"/>
          <w:szCs w:val="19"/>
          <w:u w:color="000000"/>
        </w:rPr>
      </w:pPr>
    </w:p>
    <w:p w14:paraId="7E2E69FF" w14:textId="77777777" w:rsidR="001B5CA5" w:rsidRPr="001B5CA5" w:rsidRDefault="001B5CA5" w:rsidP="001B5CA5">
      <w:pPr>
        <w:widowControl w:val="0"/>
        <w:autoSpaceDE w:val="0"/>
        <w:autoSpaceDN w:val="0"/>
        <w:ind w:right="69"/>
        <w:jc w:val="both"/>
        <w:outlineLvl w:val="0"/>
        <w:rPr>
          <w:rFonts w:ascii="Arial" w:eastAsia="Arial" w:hAnsi="Arial" w:cs="Arial"/>
          <w:b/>
          <w:bCs/>
          <w:sz w:val="26"/>
          <w:szCs w:val="26"/>
          <w:u w:val="single"/>
        </w:rPr>
      </w:pPr>
      <w:r w:rsidRPr="001B5CA5">
        <w:rPr>
          <w:sz w:val="20"/>
          <w:szCs w:val="19"/>
          <w:u w:color="000000"/>
        </w:rPr>
        <w:t>Пункт 34 изложить в следующей редакции:</w:t>
      </w:r>
    </w:p>
    <w:p w14:paraId="55A54582" w14:textId="77777777" w:rsidR="001B5CA5" w:rsidRPr="001B5CA5" w:rsidRDefault="001B5CA5" w:rsidP="001B5CA5">
      <w:pPr>
        <w:widowControl w:val="0"/>
        <w:tabs>
          <w:tab w:val="left" w:pos="993"/>
        </w:tabs>
        <w:autoSpaceDE w:val="0"/>
        <w:autoSpaceDN w:val="0"/>
        <w:spacing w:before="200"/>
        <w:ind w:left="993" w:right="69" w:hanging="854"/>
        <w:jc w:val="both"/>
        <w:rPr>
          <w:sz w:val="19"/>
          <w:szCs w:val="19"/>
        </w:rPr>
      </w:pPr>
      <w:r w:rsidRPr="001B5CA5">
        <w:rPr>
          <w:sz w:val="19"/>
          <w:szCs w:val="19"/>
          <w:u w:color="000000"/>
        </w:rPr>
        <w:t>34</w:t>
      </w:r>
      <w:r w:rsidRPr="001B5CA5">
        <w:rPr>
          <w:sz w:val="19"/>
          <w:szCs w:val="19"/>
          <w:u w:color="000000"/>
        </w:rPr>
        <w:tab/>
      </w:r>
      <w:r w:rsidRPr="001B5CA5">
        <w:rPr>
          <w:sz w:val="19"/>
          <w:szCs w:val="19"/>
        </w:rPr>
        <w:t>Организации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может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потребоваться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изменить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бухгалтерскую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оценку,</w:t>
      </w:r>
      <w:r w:rsidRPr="001B5CA5">
        <w:rPr>
          <w:spacing w:val="-10"/>
          <w:sz w:val="19"/>
          <w:szCs w:val="19"/>
        </w:rPr>
        <w:t xml:space="preserve"> </w:t>
      </w:r>
      <w:r w:rsidRPr="001B5CA5">
        <w:rPr>
          <w:sz w:val="19"/>
          <w:szCs w:val="19"/>
        </w:rPr>
        <w:t>если</w:t>
      </w:r>
      <w:r w:rsidRPr="001B5CA5">
        <w:rPr>
          <w:spacing w:val="-11"/>
          <w:sz w:val="19"/>
          <w:szCs w:val="19"/>
        </w:rPr>
        <w:t xml:space="preserve"> </w:t>
      </w:r>
      <w:r w:rsidRPr="001B5CA5">
        <w:rPr>
          <w:sz w:val="19"/>
          <w:szCs w:val="19"/>
        </w:rPr>
        <w:t>меняются</w:t>
      </w:r>
      <w:r w:rsidRPr="001B5CA5">
        <w:rPr>
          <w:spacing w:val="-11"/>
          <w:sz w:val="19"/>
          <w:szCs w:val="19"/>
        </w:rPr>
        <w:t xml:space="preserve"> </w:t>
      </w:r>
      <w:r w:rsidRPr="001B5CA5">
        <w:rPr>
          <w:sz w:val="19"/>
          <w:szCs w:val="19"/>
        </w:rPr>
        <w:t>обстоятельства,</w:t>
      </w:r>
      <w:r w:rsidRPr="001B5CA5">
        <w:rPr>
          <w:spacing w:val="-11"/>
          <w:sz w:val="19"/>
          <w:szCs w:val="19"/>
        </w:rPr>
        <w:t xml:space="preserve"> </w:t>
      </w:r>
      <w:r w:rsidRPr="001B5CA5">
        <w:rPr>
          <w:sz w:val="19"/>
          <w:szCs w:val="19"/>
        </w:rPr>
        <w:t>на</w:t>
      </w:r>
      <w:r w:rsidRPr="001B5CA5">
        <w:rPr>
          <w:spacing w:val="-10"/>
          <w:sz w:val="19"/>
          <w:szCs w:val="19"/>
        </w:rPr>
        <w:t xml:space="preserve"> </w:t>
      </w:r>
      <w:r w:rsidRPr="001B5CA5">
        <w:rPr>
          <w:sz w:val="19"/>
          <w:szCs w:val="19"/>
        </w:rPr>
        <w:t>которых</w:t>
      </w:r>
      <w:r w:rsidRPr="001B5CA5">
        <w:rPr>
          <w:spacing w:val="-9"/>
          <w:sz w:val="19"/>
          <w:szCs w:val="19"/>
        </w:rPr>
        <w:t xml:space="preserve"> </w:t>
      </w:r>
      <w:r w:rsidRPr="001B5CA5">
        <w:rPr>
          <w:sz w:val="19"/>
          <w:szCs w:val="19"/>
        </w:rPr>
        <w:t>она</w:t>
      </w:r>
      <w:r w:rsidRPr="001B5CA5">
        <w:rPr>
          <w:spacing w:val="-11"/>
          <w:sz w:val="19"/>
          <w:szCs w:val="19"/>
        </w:rPr>
        <w:t xml:space="preserve"> </w:t>
      </w:r>
      <w:r w:rsidRPr="001B5CA5">
        <w:rPr>
          <w:sz w:val="19"/>
          <w:szCs w:val="19"/>
        </w:rPr>
        <w:t>основывалась,</w:t>
      </w:r>
      <w:r w:rsidRPr="001B5CA5">
        <w:rPr>
          <w:spacing w:val="-10"/>
          <w:sz w:val="19"/>
          <w:szCs w:val="19"/>
        </w:rPr>
        <w:t xml:space="preserve"> </w:t>
      </w:r>
      <w:r w:rsidRPr="001B5CA5">
        <w:rPr>
          <w:sz w:val="19"/>
          <w:szCs w:val="19"/>
        </w:rPr>
        <w:t>или</w:t>
      </w:r>
      <w:r w:rsidRPr="001B5CA5">
        <w:rPr>
          <w:spacing w:val="-11"/>
          <w:sz w:val="19"/>
          <w:szCs w:val="19"/>
        </w:rPr>
        <w:t xml:space="preserve"> </w:t>
      </w:r>
      <w:r w:rsidRPr="001B5CA5">
        <w:rPr>
          <w:sz w:val="19"/>
          <w:szCs w:val="19"/>
        </w:rPr>
        <w:t>в</w:t>
      </w:r>
      <w:r w:rsidRPr="001B5CA5">
        <w:rPr>
          <w:spacing w:val="-11"/>
          <w:sz w:val="19"/>
          <w:szCs w:val="19"/>
        </w:rPr>
        <w:t xml:space="preserve"> </w:t>
      </w:r>
      <w:r w:rsidRPr="001B5CA5">
        <w:rPr>
          <w:sz w:val="19"/>
          <w:szCs w:val="19"/>
        </w:rPr>
        <w:t>результате</w:t>
      </w:r>
      <w:r w:rsidRPr="001B5CA5">
        <w:rPr>
          <w:spacing w:val="-45"/>
          <w:sz w:val="19"/>
          <w:szCs w:val="19"/>
        </w:rPr>
        <w:t xml:space="preserve">  </w:t>
      </w:r>
      <w:r w:rsidRPr="001B5CA5">
        <w:rPr>
          <w:sz w:val="19"/>
          <w:szCs w:val="19"/>
        </w:rPr>
        <w:t>появления новой информации, новых событий или накопления опыта. По своей сути изменение бухгалтерской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оценки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не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имеет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отношения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к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предыдущим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периодам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не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является</w:t>
      </w:r>
      <w:r w:rsidRPr="001B5CA5">
        <w:rPr>
          <w:spacing w:val="-2"/>
          <w:sz w:val="19"/>
          <w:szCs w:val="19"/>
        </w:rPr>
        <w:t xml:space="preserve"> </w:t>
      </w:r>
      <w:r w:rsidRPr="001B5CA5">
        <w:rPr>
          <w:sz w:val="19"/>
          <w:szCs w:val="19"/>
        </w:rPr>
        <w:t>исправлением</w:t>
      </w:r>
      <w:r w:rsidRPr="001B5CA5">
        <w:rPr>
          <w:spacing w:val="-1"/>
          <w:sz w:val="19"/>
          <w:szCs w:val="19"/>
        </w:rPr>
        <w:t xml:space="preserve"> </w:t>
      </w:r>
      <w:r w:rsidRPr="001B5CA5">
        <w:rPr>
          <w:sz w:val="19"/>
          <w:szCs w:val="19"/>
        </w:rPr>
        <w:t>ошибки.</w:t>
      </w:r>
    </w:p>
    <w:p w14:paraId="40687F64" w14:textId="77777777" w:rsidR="001B5CA5" w:rsidRPr="001B5CA5" w:rsidRDefault="001B5CA5" w:rsidP="001B5CA5">
      <w:pPr>
        <w:spacing w:before="100"/>
        <w:ind w:left="782" w:right="69" w:hanging="782"/>
        <w:jc w:val="both"/>
        <w:rPr>
          <w:rFonts w:eastAsia="Batang"/>
          <w:sz w:val="19"/>
          <w:szCs w:val="19"/>
        </w:rPr>
      </w:pPr>
      <w:r w:rsidRPr="001B5CA5">
        <w:rPr>
          <w:rFonts w:eastAsia="Batang"/>
          <w:sz w:val="19"/>
          <w:szCs w:val="19"/>
        </w:rPr>
        <w:t xml:space="preserve">После пункта 34 </w:t>
      </w:r>
      <w:r w:rsidRPr="001B5CA5">
        <w:rPr>
          <w:sz w:val="19"/>
          <w:szCs w:val="19"/>
        </w:rPr>
        <w:t xml:space="preserve">включить </w:t>
      </w:r>
      <w:r w:rsidRPr="001B5CA5">
        <w:rPr>
          <w:rFonts w:eastAsia="Batang"/>
          <w:sz w:val="19"/>
          <w:szCs w:val="19"/>
        </w:rPr>
        <w:t>пункт 34А следующего содержания:</w:t>
      </w:r>
    </w:p>
    <w:p w14:paraId="03EC0024" w14:textId="77777777" w:rsidR="001B5CA5" w:rsidRPr="001B5CA5" w:rsidRDefault="001B5CA5" w:rsidP="001B5CA5">
      <w:pPr>
        <w:spacing w:before="100"/>
        <w:ind w:left="993" w:right="69" w:hanging="851"/>
        <w:jc w:val="both"/>
        <w:rPr>
          <w:rFonts w:eastAsia="Batang"/>
          <w:sz w:val="19"/>
          <w:szCs w:val="19"/>
        </w:rPr>
      </w:pPr>
      <w:r w:rsidRPr="001B5CA5">
        <w:rPr>
          <w:rFonts w:eastAsia="Batang"/>
          <w:sz w:val="19"/>
          <w:szCs w:val="19"/>
        </w:rPr>
        <w:t>34</w:t>
      </w:r>
      <w:r w:rsidRPr="001B5CA5">
        <w:rPr>
          <w:rFonts w:eastAsia="Batang"/>
          <w:sz w:val="19"/>
          <w:szCs w:val="19"/>
          <w:lang w:val="en-US"/>
        </w:rPr>
        <w:t>A</w:t>
      </w:r>
      <w:r w:rsidRPr="001B5CA5">
        <w:rPr>
          <w:rFonts w:eastAsia="Batang"/>
          <w:sz w:val="19"/>
          <w:szCs w:val="19"/>
        </w:rPr>
        <w:tab/>
        <w:t>Влияние изменений исходных данных или метода оценки на величину бухгалтерской оценки является изменением в бухгалтерских оценках, кроме случаев, когда такие изменения возникают вследствие исправления ошибок предыдущих периодов.</w:t>
      </w:r>
    </w:p>
    <w:p w14:paraId="0FCE0C45" w14:textId="77777777" w:rsidR="001B5CA5" w:rsidRPr="001B5CA5" w:rsidRDefault="001B5CA5" w:rsidP="001B5CA5">
      <w:pPr>
        <w:widowControl w:val="0"/>
        <w:autoSpaceDE w:val="0"/>
        <w:autoSpaceDN w:val="0"/>
        <w:spacing w:before="100" w:after="240"/>
        <w:ind w:right="69"/>
        <w:jc w:val="both"/>
        <w:rPr>
          <w:sz w:val="20"/>
          <w:szCs w:val="19"/>
          <w:u w:color="000000"/>
        </w:rPr>
      </w:pPr>
      <w:r w:rsidRPr="001B5CA5">
        <w:rPr>
          <w:sz w:val="20"/>
          <w:szCs w:val="19"/>
          <w:u w:color="000000"/>
        </w:rPr>
        <w:t>После пункта 35 включить новый заголовок следующего содержания:</w:t>
      </w:r>
    </w:p>
    <w:p w14:paraId="6EB96677" w14:textId="77777777" w:rsidR="001B5CA5" w:rsidRPr="001B5CA5" w:rsidRDefault="001B5CA5" w:rsidP="001B5CA5">
      <w:pPr>
        <w:widowControl w:val="0"/>
        <w:autoSpaceDE w:val="0"/>
        <w:autoSpaceDN w:val="0"/>
        <w:spacing w:before="1"/>
        <w:ind w:left="985" w:right="69"/>
        <w:jc w:val="both"/>
        <w:outlineLvl w:val="1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1B5CA5">
        <w:rPr>
          <w:rFonts w:ascii="Arial" w:eastAsia="Arial" w:hAnsi="Arial" w:cs="Arial"/>
          <w:b/>
          <w:bCs/>
          <w:sz w:val="22"/>
          <w:szCs w:val="22"/>
          <w:u w:val="single"/>
        </w:rPr>
        <w:t>Применение</w:t>
      </w:r>
      <w:r w:rsidRPr="001B5CA5">
        <w:rPr>
          <w:rFonts w:ascii="Arial" w:eastAsia="Arial" w:hAnsi="Arial" w:cs="Arial"/>
          <w:b/>
          <w:bCs/>
          <w:spacing w:val="-7"/>
          <w:sz w:val="22"/>
          <w:szCs w:val="22"/>
          <w:u w:val="single"/>
        </w:rPr>
        <w:t xml:space="preserve"> </w:t>
      </w:r>
      <w:r w:rsidRPr="001B5CA5">
        <w:rPr>
          <w:rFonts w:ascii="Arial" w:eastAsia="Arial" w:hAnsi="Arial" w:cs="Arial"/>
          <w:b/>
          <w:bCs/>
          <w:sz w:val="22"/>
          <w:szCs w:val="22"/>
          <w:u w:val="single"/>
        </w:rPr>
        <w:t>изменений</w:t>
      </w:r>
      <w:r w:rsidRPr="001B5CA5">
        <w:rPr>
          <w:rFonts w:ascii="Arial" w:eastAsia="Arial" w:hAnsi="Arial" w:cs="Arial"/>
          <w:b/>
          <w:bCs/>
          <w:spacing w:val="-5"/>
          <w:sz w:val="22"/>
          <w:szCs w:val="22"/>
          <w:u w:val="single"/>
        </w:rPr>
        <w:t xml:space="preserve"> </w:t>
      </w:r>
      <w:r w:rsidRPr="001B5CA5">
        <w:rPr>
          <w:rFonts w:ascii="Arial" w:eastAsia="Arial" w:hAnsi="Arial" w:cs="Arial"/>
          <w:b/>
          <w:bCs/>
          <w:sz w:val="22"/>
          <w:szCs w:val="22"/>
          <w:u w:val="single"/>
        </w:rPr>
        <w:t>в</w:t>
      </w:r>
      <w:r w:rsidRPr="001B5CA5">
        <w:rPr>
          <w:rFonts w:ascii="Arial" w:eastAsia="Arial" w:hAnsi="Arial" w:cs="Arial"/>
          <w:b/>
          <w:bCs/>
          <w:spacing w:val="-4"/>
          <w:sz w:val="22"/>
          <w:szCs w:val="22"/>
          <w:u w:val="single"/>
        </w:rPr>
        <w:t xml:space="preserve"> </w:t>
      </w:r>
      <w:r w:rsidRPr="001B5CA5">
        <w:rPr>
          <w:rFonts w:ascii="Arial" w:eastAsia="Arial" w:hAnsi="Arial" w:cs="Arial"/>
          <w:b/>
          <w:bCs/>
          <w:sz w:val="22"/>
          <w:szCs w:val="22"/>
          <w:u w:val="single"/>
        </w:rPr>
        <w:t>бухгалтерских</w:t>
      </w:r>
      <w:r w:rsidRPr="001B5CA5">
        <w:rPr>
          <w:rFonts w:ascii="Arial" w:eastAsia="Arial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1B5CA5">
        <w:rPr>
          <w:rFonts w:ascii="Arial" w:eastAsia="Arial" w:hAnsi="Arial" w:cs="Arial"/>
          <w:b/>
          <w:bCs/>
          <w:sz w:val="22"/>
          <w:szCs w:val="22"/>
          <w:u w:val="single"/>
        </w:rPr>
        <w:t>оценках</w:t>
      </w:r>
    </w:p>
    <w:p w14:paraId="599CD44C" w14:textId="77777777" w:rsidR="001B5CA5" w:rsidRPr="001B5CA5" w:rsidRDefault="001B5CA5" w:rsidP="001B5CA5">
      <w:pPr>
        <w:widowControl w:val="0"/>
        <w:autoSpaceDE w:val="0"/>
        <w:autoSpaceDN w:val="0"/>
        <w:spacing w:before="198"/>
        <w:ind w:right="69"/>
        <w:jc w:val="both"/>
        <w:rPr>
          <w:sz w:val="19"/>
          <w:szCs w:val="19"/>
          <w:u w:color="000000"/>
        </w:rPr>
      </w:pPr>
      <w:r w:rsidRPr="001B5CA5">
        <w:rPr>
          <w:sz w:val="19"/>
          <w:szCs w:val="19"/>
          <w:u w:color="000000"/>
        </w:rPr>
        <w:t>Пункт 38 изложить в следующей редакции:</w:t>
      </w:r>
    </w:p>
    <w:p w14:paraId="70894531" w14:textId="77777777" w:rsidR="001B5CA5" w:rsidRPr="001B5CA5" w:rsidRDefault="001B5CA5" w:rsidP="001B5CA5">
      <w:pPr>
        <w:widowControl w:val="0"/>
        <w:tabs>
          <w:tab w:val="left" w:pos="993"/>
        </w:tabs>
        <w:autoSpaceDE w:val="0"/>
        <w:autoSpaceDN w:val="0"/>
        <w:spacing w:before="101"/>
        <w:ind w:left="993" w:right="135" w:hanging="851"/>
        <w:jc w:val="both"/>
        <w:rPr>
          <w:sz w:val="19"/>
          <w:szCs w:val="19"/>
          <w:u w:color="000000"/>
        </w:rPr>
      </w:pPr>
      <w:r w:rsidRPr="001B5CA5">
        <w:rPr>
          <w:sz w:val="19"/>
          <w:szCs w:val="19"/>
          <w:u w:color="000000"/>
        </w:rPr>
        <w:t>38</w:t>
      </w:r>
      <w:r w:rsidRPr="001B5CA5">
        <w:rPr>
          <w:rFonts w:eastAsia="Batang"/>
          <w:sz w:val="19"/>
          <w:szCs w:val="19"/>
        </w:rPr>
        <w:tab/>
      </w:r>
      <w:r w:rsidRPr="001B5CA5">
        <w:rPr>
          <w:sz w:val="19"/>
          <w:szCs w:val="19"/>
          <w:u w:color="000000"/>
        </w:rPr>
        <w:t>Перспективное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признание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влияния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изменения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в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бухгалтерской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оценке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означает,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что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данное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изменение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применяется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к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операциям,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прочим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событиям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и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</w:rPr>
        <w:t>условиям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с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даты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этого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изменения.</w:t>
      </w:r>
      <w:r w:rsidRPr="001B5CA5">
        <w:rPr>
          <w:spacing w:val="-11"/>
          <w:sz w:val="19"/>
          <w:szCs w:val="19"/>
        </w:rPr>
        <w:t xml:space="preserve"> </w:t>
      </w:r>
      <w:r w:rsidRPr="001B5CA5">
        <w:rPr>
          <w:sz w:val="19"/>
          <w:szCs w:val="19"/>
        </w:rPr>
        <w:t>Изменение</w:t>
      </w:r>
      <w:r w:rsidRPr="001B5CA5">
        <w:rPr>
          <w:spacing w:val="-8"/>
          <w:sz w:val="19"/>
          <w:szCs w:val="19"/>
        </w:rPr>
        <w:t xml:space="preserve"> </w:t>
      </w:r>
      <w:r w:rsidRPr="001B5CA5">
        <w:rPr>
          <w:sz w:val="19"/>
          <w:szCs w:val="19"/>
        </w:rPr>
        <w:t>в</w:t>
      </w:r>
      <w:r w:rsidRPr="001B5CA5">
        <w:rPr>
          <w:spacing w:val="-11"/>
          <w:sz w:val="19"/>
          <w:szCs w:val="19"/>
        </w:rPr>
        <w:t xml:space="preserve"> </w:t>
      </w:r>
      <w:r w:rsidRPr="001B5CA5">
        <w:rPr>
          <w:sz w:val="19"/>
          <w:szCs w:val="19"/>
        </w:rPr>
        <w:t>бухгалтерской</w:t>
      </w:r>
      <w:r w:rsidRPr="001B5CA5">
        <w:rPr>
          <w:spacing w:val="-11"/>
          <w:sz w:val="19"/>
          <w:szCs w:val="19"/>
        </w:rPr>
        <w:t xml:space="preserve"> </w:t>
      </w:r>
      <w:r w:rsidRPr="001B5CA5">
        <w:rPr>
          <w:sz w:val="19"/>
          <w:szCs w:val="19"/>
        </w:rPr>
        <w:t>оценке</w:t>
      </w:r>
      <w:r w:rsidRPr="001B5CA5">
        <w:rPr>
          <w:spacing w:val="-10"/>
          <w:sz w:val="19"/>
          <w:szCs w:val="19"/>
        </w:rPr>
        <w:t xml:space="preserve"> </w:t>
      </w:r>
      <w:r w:rsidRPr="001B5CA5">
        <w:rPr>
          <w:sz w:val="19"/>
          <w:szCs w:val="19"/>
        </w:rPr>
        <w:t>может</w:t>
      </w:r>
      <w:r w:rsidRPr="001B5CA5">
        <w:rPr>
          <w:spacing w:val="-9"/>
          <w:sz w:val="19"/>
          <w:szCs w:val="19"/>
        </w:rPr>
        <w:t xml:space="preserve"> </w:t>
      </w:r>
      <w:r w:rsidRPr="001B5CA5">
        <w:rPr>
          <w:sz w:val="19"/>
          <w:szCs w:val="19"/>
        </w:rPr>
        <w:t>повлиять</w:t>
      </w:r>
      <w:r w:rsidRPr="001B5CA5">
        <w:rPr>
          <w:spacing w:val="-10"/>
          <w:sz w:val="19"/>
          <w:szCs w:val="19"/>
        </w:rPr>
        <w:t xml:space="preserve"> </w:t>
      </w:r>
      <w:r w:rsidRPr="001B5CA5">
        <w:rPr>
          <w:sz w:val="19"/>
          <w:szCs w:val="19"/>
        </w:rPr>
        <w:t>только</w:t>
      </w:r>
      <w:r w:rsidRPr="001B5CA5">
        <w:rPr>
          <w:spacing w:val="-9"/>
          <w:sz w:val="19"/>
          <w:szCs w:val="19"/>
        </w:rPr>
        <w:t xml:space="preserve"> </w:t>
      </w:r>
      <w:r w:rsidRPr="001B5CA5">
        <w:rPr>
          <w:sz w:val="19"/>
          <w:szCs w:val="19"/>
        </w:rPr>
        <w:t>на</w:t>
      </w:r>
      <w:r w:rsidRPr="001B5CA5">
        <w:rPr>
          <w:spacing w:val="-8"/>
          <w:sz w:val="19"/>
          <w:szCs w:val="19"/>
        </w:rPr>
        <w:t xml:space="preserve"> </w:t>
      </w:r>
      <w:r w:rsidRPr="001B5CA5">
        <w:rPr>
          <w:sz w:val="19"/>
          <w:szCs w:val="19"/>
        </w:rPr>
        <w:t>прибыль</w:t>
      </w:r>
      <w:r w:rsidRPr="001B5CA5">
        <w:rPr>
          <w:spacing w:val="-4"/>
          <w:sz w:val="19"/>
          <w:szCs w:val="19"/>
        </w:rPr>
        <w:t xml:space="preserve"> </w:t>
      </w:r>
      <w:r w:rsidRPr="001B5CA5">
        <w:rPr>
          <w:sz w:val="19"/>
          <w:szCs w:val="19"/>
        </w:rPr>
        <w:t>или</w:t>
      </w:r>
      <w:r w:rsidRPr="001B5CA5">
        <w:rPr>
          <w:spacing w:val="-11"/>
          <w:sz w:val="19"/>
          <w:szCs w:val="19"/>
        </w:rPr>
        <w:t xml:space="preserve"> </w:t>
      </w:r>
      <w:r w:rsidRPr="001B5CA5">
        <w:rPr>
          <w:sz w:val="19"/>
          <w:szCs w:val="19"/>
        </w:rPr>
        <w:t>убыток текущего периода или на прибыль или убыток текущего и будущих периодов. Например, изменение оценочного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резерва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под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ожидаемые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кредитные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убытки влияет только на прибыль или убыток текущего периода и поэтому признается в текущем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периоде.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Однако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изменение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расчетного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срока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полезного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использования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или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предполагаемых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особенностей потребления будущих экономических выгод, заключенных в амортизируемом активе,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влияет на расходы по амортизации в текущем периоде и в каждом будущем периоде в течение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оставшегося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срока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полезного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использования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актива.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В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обоих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случаях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влияние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изменения,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относящееся к текущему периоду, признается как</w:t>
      </w:r>
      <w:r w:rsidRPr="001B5CA5">
        <w:rPr>
          <w:sz w:val="19"/>
          <w:szCs w:val="19"/>
          <w:u w:color="000000"/>
        </w:rPr>
        <w:t xml:space="preserve"> доход или расход в текущем периоде. Влияние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изменения на будущие периоды, при его наличии, признается как доход или расход в этих будущих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периодах.</w:t>
      </w:r>
    </w:p>
    <w:p w14:paraId="5D3063FB" w14:textId="77777777" w:rsidR="001B5CA5" w:rsidRPr="001B5CA5" w:rsidRDefault="001B5CA5" w:rsidP="001B5CA5">
      <w:pPr>
        <w:widowControl w:val="0"/>
        <w:autoSpaceDE w:val="0"/>
        <w:autoSpaceDN w:val="0"/>
        <w:spacing w:before="10"/>
        <w:rPr>
          <w:sz w:val="20"/>
          <w:szCs w:val="19"/>
          <w:u w:color="000000"/>
        </w:rPr>
      </w:pPr>
    </w:p>
    <w:p w14:paraId="247885B4" w14:textId="77777777" w:rsidR="001B5CA5" w:rsidRPr="001B5CA5" w:rsidRDefault="001B5CA5" w:rsidP="001B5CA5">
      <w:pPr>
        <w:widowControl w:val="0"/>
        <w:autoSpaceDE w:val="0"/>
        <w:autoSpaceDN w:val="0"/>
        <w:spacing w:before="100" w:after="240"/>
        <w:ind w:right="68"/>
        <w:jc w:val="both"/>
        <w:rPr>
          <w:sz w:val="19"/>
          <w:szCs w:val="19"/>
          <w:u w:color="000000"/>
        </w:rPr>
      </w:pPr>
      <w:r w:rsidRPr="001B5CA5">
        <w:rPr>
          <w:sz w:val="19"/>
          <w:szCs w:val="19"/>
          <w:u w:color="000000"/>
        </w:rPr>
        <w:t>Заголовок «Раскрытие информации» перед пунктом 39 считать подзаголовком к заголовку, включенному после пункта 33.</w:t>
      </w:r>
    </w:p>
    <w:p w14:paraId="3EAE04FC" w14:textId="77777777" w:rsidR="001B5CA5" w:rsidRPr="001B5CA5" w:rsidRDefault="001B5CA5" w:rsidP="001B5CA5">
      <w:pPr>
        <w:widowControl w:val="0"/>
        <w:autoSpaceDE w:val="0"/>
        <w:autoSpaceDN w:val="0"/>
        <w:spacing w:line="20" w:lineRule="exact"/>
        <w:ind w:left="111" w:right="69"/>
        <w:jc w:val="both"/>
        <w:rPr>
          <w:rFonts w:ascii="Arial"/>
          <w:sz w:val="2"/>
          <w:szCs w:val="19"/>
          <w:u w:color="000000"/>
        </w:rPr>
      </w:pPr>
    </w:p>
    <w:p w14:paraId="35021309" w14:textId="77777777" w:rsidR="001B5CA5" w:rsidRPr="001B5CA5" w:rsidRDefault="001B5CA5" w:rsidP="001B5CA5">
      <w:pPr>
        <w:widowControl w:val="0"/>
        <w:autoSpaceDE w:val="0"/>
        <w:autoSpaceDN w:val="0"/>
        <w:spacing w:before="100" w:after="240"/>
        <w:ind w:right="69"/>
        <w:jc w:val="both"/>
        <w:rPr>
          <w:sz w:val="20"/>
          <w:szCs w:val="19"/>
          <w:u w:color="000000"/>
        </w:rPr>
      </w:pPr>
      <w:r w:rsidRPr="001B5CA5">
        <w:rPr>
          <w:sz w:val="20"/>
          <w:szCs w:val="19"/>
          <w:u w:color="000000"/>
        </w:rPr>
        <w:t>Пункт 48 изложить в следующей редакции:</w:t>
      </w:r>
    </w:p>
    <w:p w14:paraId="2BA111CB" w14:textId="77777777" w:rsidR="001B5CA5" w:rsidRPr="001B5CA5" w:rsidRDefault="001B5CA5" w:rsidP="001B5CA5">
      <w:pPr>
        <w:widowControl w:val="0"/>
        <w:tabs>
          <w:tab w:val="left" w:pos="993"/>
        </w:tabs>
        <w:autoSpaceDE w:val="0"/>
        <w:autoSpaceDN w:val="0"/>
        <w:spacing w:before="101"/>
        <w:ind w:left="922" w:right="69" w:hanging="783"/>
        <w:jc w:val="both"/>
        <w:rPr>
          <w:sz w:val="19"/>
          <w:szCs w:val="19"/>
          <w:u w:color="000000"/>
        </w:rPr>
      </w:pPr>
      <w:r w:rsidRPr="001B5CA5">
        <w:rPr>
          <w:sz w:val="19"/>
          <w:szCs w:val="19"/>
          <w:u w:color="000000"/>
        </w:rPr>
        <w:t>48</w:t>
      </w:r>
      <w:r w:rsidRPr="001B5CA5">
        <w:rPr>
          <w:sz w:val="19"/>
          <w:szCs w:val="19"/>
          <w:u w:color="000000"/>
        </w:rPr>
        <w:tab/>
        <w:t>Исправления ошибок отличаются от изменений в бухгалтерских оценках. Бухгалтерские оценки по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 xml:space="preserve">своей сути являются приближенными значениями, </w:t>
      </w:r>
      <w:r w:rsidRPr="001B5CA5">
        <w:rPr>
          <w:sz w:val="19"/>
          <w:szCs w:val="19"/>
        </w:rPr>
        <w:t>которые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может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потребоваться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изменить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при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поступлении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дополнительной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информации. Например, прибыль или убыток, признанные в результате исхода условного факта</w:t>
      </w:r>
      <w:r w:rsidRPr="001B5CA5">
        <w:rPr>
          <w:spacing w:val="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хозяйственной</w:t>
      </w:r>
      <w:r w:rsidRPr="001B5CA5">
        <w:rPr>
          <w:spacing w:val="-2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жизни, не</w:t>
      </w:r>
      <w:r w:rsidRPr="001B5CA5">
        <w:rPr>
          <w:spacing w:val="-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являются</w:t>
      </w:r>
      <w:r w:rsidRPr="001B5CA5">
        <w:rPr>
          <w:spacing w:val="-1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исправлением</w:t>
      </w:r>
      <w:r w:rsidRPr="001B5CA5">
        <w:rPr>
          <w:spacing w:val="-2"/>
          <w:sz w:val="19"/>
          <w:szCs w:val="19"/>
          <w:u w:color="000000"/>
        </w:rPr>
        <w:t xml:space="preserve"> </w:t>
      </w:r>
      <w:r w:rsidRPr="001B5CA5">
        <w:rPr>
          <w:sz w:val="19"/>
          <w:szCs w:val="19"/>
          <w:u w:color="000000"/>
        </w:rPr>
        <w:t>ошибки.</w:t>
      </w:r>
    </w:p>
    <w:p w14:paraId="5D346433" w14:textId="77777777" w:rsidR="001B5CA5" w:rsidRPr="001B5CA5" w:rsidRDefault="001B5CA5" w:rsidP="001B5CA5">
      <w:pPr>
        <w:tabs>
          <w:tab w:val="left" w:pos="993"/>
        </w:tabs>
        <w:spacing w:before="100"/>
        <w:ind w:left="782" w:right="69" w:hanging="782"/>
        <w:jc w:val="both"/>
        <w:rPr>
          <w:rFonts w:eastAsia="Batang"/>
          <w:sz w:val="19"/>
          <w:szCs w:val="19"/>
        </w:rPr>
      </w:pPr>
      <w:r w:rsidRPr="001B5CA5">
        <w:rPr>
          <w:rFonts w:eastAsia="Batang"/>
          <w:sz w:val="19"/>
          <w:szCs w:val="19"/>
        </w:rPr>
        <w:t>После пункта 54</w:t>
      </w:r>
      <w:r w:rsidRPr="001B5CA5">
        <w:rPr>
          <w:rFonts w:eastAsia="Batang"/>
          <w:sz w:val="19"/>
          <w:szCs w:val="19"/>
          <w:lang w:val="en-US"/>
        </w:rPr>
        <w:t>H</w:t>
      </w:r>
      <w:r w:rsidRPr="001B5CA5">
        <w:rPr>
          <w:rFonts w:eastAsia="Batang"/>
          <w:sz w:val="19"/>
          <w:szCs w:val="19"/>
        </w:rPr>
        <w:t xml:space="preserve"> </w:t>
      </w:r>
      <w:r w:rsidRPr="001B5CA5">
        <w:rPr>
          <w:sz w:val="19"/>
          <w:szCs w:val="19"/>
        </w:rPr>
        <w:t xml:space="preserve">включить </w:t>
      </w:r>
      <w:r w:rsidRPr="001B5CA5">
        <w:rPr>
          <w:rFonts w:eastAsia="Batang"/>
          <w:sz w:val="19"/>
          <w:szCs w:val="19"/>
        </w:rPr>
        <w:t xml:space="preserve">пункт </w:t>
      </w:r>
      <w:r w:rsidRPr="001B5CA5">
        <w:rPr>
          <w:sz w:val="19"/>
          <w:szCs w:val="19"/>
        </w:rPr>
        <w:t>54I</w:t>
      </w:r>
      <w:r w:rsidRPr="001B5CA5">
        <w:rPr>
          <w:rFonts w:eastAsia="Batang"/>
          <w:sz w:val="19"/>
          <w:szCs w:val="19"/>
        </w:rPr>
        <w:t xml:space="preserve"> следующего содержания:</w:t>
      </w:r>
    </w:p>
    <w:p w14:paraId="3DF4CEFF" w14:textId="77777777" w:rsidR="001B5CA5" w:rsidRPr="001B5CA5" w:rsidRDefault="001B5CA5" w:rsidP="001B5CA5">
      <w:pPr>
        <w:widowControl w:val="0"/>
        <w:tabs>
          <w:tab w:val="left" w:pos="993"/>
        </w:tabs>
        <w:autoSpaceDE w:val="0"/>
        <w:autoSpaceDN w:val="0"/>
        <w:spacing w:before="98"/>
        <w:ind w:left="922" w:right="69" w:hanging="783"/>
        <w:jc w:val="both"/>
        <w:rPr>
          <w:sz w:val="19"/>
          <w:szCs w:val="19"/>
        </w:rPr>
      </w:pPr>
      <w:r w:rsidRPr="001B5CA5">
        <w:rPr>
          <w:sz w:val="19"/>
          <w:szCs w:val="19"/>
        </w:rPr>
        <w:t>54I</w:t>
      </w:r>
      <w:r w:rsidRPr="001B5CA5">
        <w:rPr>
          <w:sz w:val="19"/>
          <w:szCs w:val="19"/>
        </w:rPr>
        <w:tab/>
        <w:t>Документом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i/>
          <w:sz w:val="19"/>
          <w:szCs w:val="19"/>
        </w:rPr>
        <w:t>«Определение</w:t>
      </w:r>
      <w:r w:rsidRPr="001B5CA5">
        <w:rPr>
          <w:i/>
          <w:spacing w:val="1"/>
          <w:sz w:val="19"/>
          <w:szCs w:val="19"/>
        </w:rPr>
        <w:t xml:space="preserve"> </w:t>
      </w:r>
      <w:r w:rsidRPr="001B5CA5">
        <w:rPr>
          <w:i/>
          <w:sz w:val="19"/>
          <w:szCs w:val="19"/>
        </w:rPr>
        <w:t>бухгалтерских</w:t>
      </w:r>
      <w:r w:rsidRPr="001B5CA5">
        <w:rPr>
          <w:i/>
          <w:spacing w:val="1"/>
          <w:sz w:val="19"/>
          <w:szCs w:val="19"/>
        </w:rPr>
        <w:t xml:space="preserve"> </w:t>
      </w:r>
      <w:r w:rsidRPr="001B5CA5">
        <w:rPr>
          <w:i/>
          <w:sz w:val="19"/>
          <w:szCs w:val="19"/>
        </w:rPr>
        <w:t>оценок»</w:t>
      </w:r>
      <w:r w:rsidRPr="001B5CA5">
        <w:rPr>
          <w:sz w:val="19"/>
          <w:szCs w:val="19"/>
        </w:rPr>
        <w:t>,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выпущенным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в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феврале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2021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года,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внесены</w:t>
      </w:r>
      <w:r w:rsidRPr="001B5CA5">
        <w:rPr>
          <w:spacing w:val="-45"/>
          <w:sz w:val="19"/>
          <w:szCs w:val="19"/>
        </w:rPr>
        <w:t xml:space="preserve"> </w:t>
      </w:r>
      <w:r w:rsidRPr="001B5CA5">
        <w:rPr>
          <w:sz w:val="19"/>
          <w:szCs w:val="19"/>
        </w:rPr>
        <w:t>изменения в пункты 5, 32, 34, 38 и 48 и добавлены пункты 32A, 32B и 34A. Организация должна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применять данные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поправки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в отношении годовых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отчетных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периодов, начинающихся 1</w:t>
      </w:r>
      <w:r w:rsidRPr="001B5CA5">
        <w:rPr>
          <w:spacing w:val="47"/>
          <w:sz w:val="19"/>
          <w:szCs w:val="19"/>
        </w:rPr>
        <w:t xml:space="preserve"> </w:t>
      </w:r>
      <w:r w:rsidRPr="001B5CA5">
        <w:rPr>
          <w:sz w:val="19"/>
          <w:szCs w:val="19"/>
        </w:rPr>
        <w:t>января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2023</w:t>
      </w:r>
      <w:r w:rsidRPr="001B5CA5">
        <w:rPr>
          <w:spacing w:val="-2"/>
          <w:sz w:val="19"/>
          <w:szCs w:val="19"/>
        </w:rPr>
        <w:t xml:space="preserve"> </w:t>
      </w:r>
      <w:r w:rsidRPr="001B5CA5">
        <w:rPr>
          <w:sz w:val="19"/>
          <w:szCs w:val="19"/>
        </w:rPr>
        <w:t>года</w:t>
      </w:r>
      <w:r w:rsidRPr="001B5CA5">
        <w:rPr>
          <w:spacing w:val="-4"/>
          <w:sz w:val="19"/>
          <w:szCs w:val="19"/>
        </w:rPr>
        <w:t xml:space="preserve"> </w:t>
      </w:r>
      <w:r w:rsidRPr="001B5CA5">
        <w:rPr>
          <w:sz w:val="19"/>
          <w:szCs w:val="19"/>
        </w:rPr>
        <w:t>или</w:t>
      </w:r>
      <w:r w:rsidRPr="001B5CA5">
        <w:rPr>
          <w:spacing w:val="-4"/>
          <w:sz w:val="19"/>
          <w:szCs w:val="19"/>
        </w:rPr>
        <w:t xml:space="preserve"> </w:t>
      </w:r>
      <w:r w:rsidRPr="001B5CA5">
        <w:rPr>
          <w:sz w:val="19"/>
          <w:szCs w:val="19"/>
        </w:rPr>
        <w:t>после</w:t>
      </w:r>
      <w:r w:rsidRPr="001B5CA5">
        <w:rPr>
          <w:spacing w:val="-4"/>
          <w:sz w:val="19"/>
          <w:szCs w:val="19"/>
        </w:rPr>
        <w:t xml:space="preserve"> </w:t>
      </w:r>
      <w:r w:rsidRPr="001B5CA5">
        <w:rPr>
          <w:sz w:val="19"/>
          <w:szCs w:val="19"/>
        </w:rPr>
        <w:t>этой</w:t>
      </w:r>
      <w:r w:rsidRPr="001B5CA5">
        <w:rPr>
          <w:spacing w:val="-4"/>
          <w:sz w:val="19"/>
          <w:szCs w:val="19"/>
        </w:rPr>
        <w:t xml:space="preserve"> </w:t>
      </w:r>
      <w:r w:rsidRPr="001B5CA5">
        <w:rPr>
          <w:sz w:val="19"/>
          <w:szCs w:val="19"/>
        </w:rPr>
        <w:t>даты.</w:t>
      </w:r>
      <w:r w:rsidRPr="001B5CA5">
        <w:rPr>
          <w:spacing w:val="-3"/>
          <w:sz w:val="19"/>
          <w:szCs w:val="19"/>
        </w:rPr>
        <w:t xml:space="preserve"> </w:t>
      </w:r>
      <w:r w:rsidRPr="001B5CA5">
        <w:rPr>
          <w:sz w:val="19"/>
          <w:szCs w:val="19"/>
        </w:rPr>
        <w:t>Допускается</w:t>
      </w:r>
      <w:r w:rsidRPr="001B5CA5">
        <w:rPr>
          <w:spacing w:val="-4"/>
          <w:sz w:val="19"/>
          <w:szCs w:val="19"/>
        </w:rPr>
        <w:t xml:space="preserve"> </w:t>
      </w:r>
      <w:r w:rsidRPr="001B5CA5">
        <w:rPr>
          <w:sz w:val="19"/>
          <w:szCs w:val="19"/>
        </w:rPr>
        <w:t>досрочное</w:t>
      </w:r>
      <w:r w:rsidRPr="001B5CA5">
        <w:rPr>
          <w:spacing w:val="-4"/>
          <w:sz w:val="19"/>
          <w:szCs w:val="19"/>
        </w:rPr>
        <w:t xml:space="preserve"> </w:t>
      </w:r>
      <w:r w:rsidRPr="001B5CA5">
        <w:rPr>
          <w:sz w:val="19"/>
          <w:szCs w:val="19"/>
        </w:rPr>
        <w:t>применение.</w:t>
      </w:r>
      <w:r w:rsidRPr="001B5CA5">
        <w:rPr>
          <w:spacing w:val="-3"/>
          <w:sz w:val="19"/>
          <w:szCs w:val="19"/>
        </w:rPr>
        <w:t xml:space="preserve"> </w:t>
      </w:r>
      <w:r w:rsidRPr="001B5CA5">
        <w:rPr>
          <w:sz w:val="19"/>
          <w:szCs w:val="19"/>
        </w:rPr>
        <w:t>Организация</w:t>
      </w:r>
      <w:r w:rsidRPr="001B5CA5">
        <w:rPr>
          <w:spacing w:val="-4"/>
          <w:sz w:val="19"/>
          <w:szCs w:val="19"/>
        </w:rPr>
        <w:t xml:space="preserve"> </w:t>
      </w:r>
      <w:r w:rsidRPr="001B5CA5">
        <w:rPr>
          <w:sz w:val="19"/>
          <w:szCs w:val="19"/>
        </w:rPr>
        <w:t>должна</w:t>
      </w:r>
      <w:r w:rsidRPr="001B5CA5">
        <w:rPr>
          <w:spacing w:val="-4"/>
          <w:sz w:val="19"/>
          <w:szCs w:val="19"/>
        </w:rPr>
        <w:t xml:space="preserve"> </w:t>
      </w:r>
      <w:r w:rsidRPr="001B5CA5">
        <w:rPr>
          <w:sz w:val="19"/>
          <w:szCs w:val="19"/>
        </w:rPr>
        <w:t xml:space="preserve">применять данные поправки к изменениям в бухгалтерских оценках и изменениям в учетной политике, которые </w:t>
      </w:r>
      <w:r w:rsidRPr="001B5CA5">
        <w:rPr>
          <w:spacing w:val="-46"/>
          <w:sz w:val="19"/>
          <w:szCs w:val="19"/>
        </w:rPr>
        <w:t xml:space="preserve"> </w:t>
      </w:r>
      <w:r w:rsidRPr="001B5CA5">
        <w:rPr>
          <w:sz w:val="19"/>
          <w:szCs w:val="19"/>
        </w:rPr>
        <w:t>происходят на дату начала первого годового отчетного периода, в котором организация впервые</w:t>
      </w:r>
      <w:r w:rsidRPr="001B5CA5">
        <w:rPr>
          <w:spacing w:val="1"/>
          <w:sz w:val="19"/>
          <w:szCs w:val="19"/>
        </w:rPr>
        <w:t xml:space="preserve"> </w:t>
      </w:r>
      <w:r w:rsidRPr="001B5CA5">
        <w:rPr>
          <w:sz w:val="19"/>
          <w:szCs w:val="19"/>
        </w:rPr>
        <w:t>применяет данные</w:t>
      </w:r>
      <w:r w:rsidRPr="001B5CA5">
        <w:rPr>
          <w:spacing w:val="2"/>
          <w:sz w:val="19"/>
          <w:szCs w:val="19"/>
        </w:rPr>
        <w:t xml:space="preserve"> </w:t>
      </w:r>
      <w:r w:rsidRPr="001B5CA5">
        <w:rPr>
          <w:sz w:val="19"/>
          <w:szCs w:val="19"/>
        </w:rPr>
        <w:t>поправки,</w:t>
      </w:r>
      <w:r w:rsidRPr="001B5CA5">
        <w:rPr>
          <w:spacing w:val="3"/>
          <w:sz w:val="19"/>
          <w:szCs w:val="19"/>
        </w:rPr>
        <w:t xml:space="preserve"> </w:t>
      </w:r>
      <w:r w:rsidRPr="001B5CA5">
        <w:rPr>
          <w:sz w:val="19"/>
          <w:szCs w:val="19"/>
        </w:rPr>
        <w:t>или</w:t>
      </w:r>
      <w:r w:rsidRPr="001B5CA5">
        <w:rPr>
          <w:spacing w:val="-1"/>
          <w:sz w:val="19"/>
          <w:szCs w:val="19"/>
        </w:rPr>
        <w:t xml:space="preserve"> </w:t>
      </w:r>
      <w:r w:rsidRPr="001B5CA5">
        <w:rPr>
          <w:sz w:val="19"/>
          <w:szCs w:val="19"/>
        </w:rPr>
        <w:t>после</w:t>
      </w:r>
      <w:r w:rsidRPr="001B5CA5">
        <w:rPr>
          <w:spacing w:val="-2"/>
          <w:sz w:val="19"/>
          <w:szCs w:val="19"/>
        </w:rPr>
        <w:t xml:space="preserve"> </w:t>
      </w:r>
      <w:r w:rsidRPr="001B5CA5">
        <w:rPr>
          <w:sz w:val="19"/>
          <w:szCs w:val="19"/>
        </w:rPr>
        <w:t>этой</w:t>
      </w:r>
      <w:r w:rsidRPr="001B5CA5">
        <w:rPr>
          <w:spacing w:val="-1"/>
          <w:sz w:val="19"/>
          <w:szCs w:val="19"/>
        </w:rPr>
        <w:t xml:space="preserve"> </w:t>
      </w:r>
      <w:r w:rsidRPr="001B5CA5">
        <w:rPr>
          <w:sz w:val="19"/>
          <w:szCs w:val="19"/>
        </w:rPr>
        <w:t>даты.</w:t>
      </w:r>
    </w:p>
    <w:p w14:paraId="0F7EC62E" w14:textId="7D236046" w:rsidR="00FF69A3" w:rsidRPr="00C04312" w:rsidRDefault="00FF69A3" w:rsidP="001B5CA5">
      <w:pPr>
        <w:jc w:val="center"/>
      </w:pPr>
    </w:p>
    <w:sectPr w:rsidR="00FF69A3" w:rsidRPr="00C04312" w:rsidSect="003A29AD">
      <w:headerReference w:type="default" r:id="rId10"/>
      <w:footerReference w:type="even" r:id="rId11"/>
      <w:footerReference w:type="default" r:id="rId12"/>
      <w:footerReference w:type="first" r:id="rId13"/>
      <w:pgSz w:w="11880" w:h="1682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E5E27" w14:textId="77777777" w:rsidR="001070D7" w:rsidRDefault="001070D7">
      <w:r>
        <w:separator/>
      </w:r>
    </w:p>
  </w:endnote>
  <w:endnote w:type="continuationSeparator" w:id="0">
    <w:p w14:paraId="5E522354" w14:textId="77777777" w:rsidR="001070D7" w:rsidRDefault="0010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E7C5" w14:textId="104CBDA1" w:rsidR="001035CE" w:rsidRDefault="001035CE">
    <w:pPr>
      <w:pStyle w:val="a7"/>
    </w:pPr>
    <w:r>
      <w:fldChar w:fldCharType="begin"/>
    </w:r>
    <w:r>
      <w:instrText>PAGE</w:instrText>
    </w:r>
    <w:r>
      <w:fldChar w:fldCharType="separate"/>
    </w:r>
    <w:r w:rsidR="008856A5">
      <w:rPr>
        <w:noProof/>
      </w:rPr>
      <w:t>2</w: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B271" w14:textId="77777777" w:rsidR="003A29AD" w:rsidRDefault="003A29AD" w:rsidP="003A29AD">
    <w:pPr>
      <w:pStyle w:val="a7"/>
      <w:jc w:val="center"/>
    </w:pPr>
    <w:r>
      <w:t>© IFRS Foundation</w:t>
    </w:r>
  </w:p>
  <w:sdt>
    <w:sdtPr>
      <w:id w:val="-1034814054"/>
      <w:docPartObj>
        <w:docPartGallery w:val="Page Numbers (Bottom of Page)"/>
        <w:docPartUnique/>
      </w:docPartObj>
    </w:sdtPr>
    <w:sdtEndPr/>
    <w:sdtContent>
      <w:p w14:paraId="0F28F830" w14:textId="7C2E1AC3" w:rsidR="003A29AD" w:rsidRDefault="003A2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6A5">
          <w:rPr>
            <w:noProof/>
          </w:rPr>
          <w:t>1</w:t>
        </w:r>
        <w:r>
          <w:fldChar w:fldCharType="end"/>
        </w:r>
      </w:p>
    </w:sdtContent>
  </w:sdt>
  <w:p w14:paraId="29F304F2" w14:textId="427B4C40" w:rsidR="001035CE" w:rsidRDefault="001035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80683"/>
      <w:docPartObj>
        <w:docPartGallery w:val="Page Numbers (Bottom of Page)"/>
        <w:docPartUnique/>
      </w:docPartObj>
    </w:sdtPr>
    <w:sdtEndPr/>
    <w:sdtContent>
      <w:p w14:paraId="482B297E" w14:textId="593AD44F" w:rsidR="003A29AD" w:rsidRDefault="003A2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5E8505" w14:textId="522A9F39" w:rsidR="00075E69" w:rsidRDefault="00075E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B62F" w14:textId="77777777" w:rsidR="001070D7" w:rsidRDefault="001070D7">
      <w:r>
        <w:separator/>
      </w:r>
    </w:p>
  </w:footnote>
  <w:footnote w:type="continuationSeparator" w:id="0">
    <w:p w14:paraId="395AC2F6" w14:textId="77777777" w:rsidR="001070D7" w:rsidRDefault="0010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979907"/>
      <w:docPartObj>
        <w:docPartGallery w:val="Page Numbers (Top of Page)"/>
        <w:docPartUnique/>
      </w:docPartObj>
    </w:sdtPr>
    <w:sdtEndPr/>
    <w:sdtContent>
      <w:p w14:paraId="654E18B4" w14:textId="61E53C73" w:rsidR="00C04312" w:rsidRDefault="001070D7">
        <w:pPr>
          <w:pStyle w:val="a5"/>
          <w:jc w:val="center"/>
        </w:pPr>
      </w:p>
    </w:sdtContent>
  </w:sdt>
  <w:p w14:paraId="280A885F" w14:textId="589849A5" w:rsidR="001035CE" w:rsidRDefault="001035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40C"/>
    <w:multiLevelType w:val="hybridMultilevel"/>
    <w:tmpl w:val="5A24A33E"/>
    <w:lvl w:ilvl="0" w:tplc="04EC3B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769"/>
    <w:multiLevelType w:val="hybridMultilevel"/>
    <w:tmpl w:val="B55A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28D"/>
    <w:multiLevelType w:val="hybridMultilevel"/>
    <w:tmpl w:val="FDB6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32A5"/>
    <w:multiLevelType w:val="hybridMultilevel"/>
    <w:tmpl w:val="5C4E8A68"/>
    <w:lvl w:ilvl="0" w:tplc="470C1676">
      <w:start w:val="1"/>
      <w:numFmt w:val="lowerLetter"/>
      <w:lvlText w:val="(%1)"/>
      <w:lvlJc w:val="left"/>
      <w:pPr>
        <w:ind w:left="1683" w:hanging="78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ru-RU" w:eastAsia="en-US" w:bidi="ar-SA"/>
      </w:rPr>
    </w:lvl>
    <w:lvl w:ilvl="1" w:tplc="179AE686">
      <w:start w:val="1"/>
      <w:numFmt w:val="lowerRoman"/>
      <w:lvlText w:val="(%2)"/>
      <w:lvlJc w:val="left"/>
      <w:pPr>
        <w:ind w:left="2467" w:hanging="78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4112B1C0">
      <w:numFmt w:val="bullet"/>
      <w:lvlText w:val="•"/>
      <w:lvlJc w:val="left"/>
      <w:pPr>
        <w:ind w:left="3215" w:hanging="783"/>
      </w:pPr>
      <w:rPr>
        <w:rFonts w:hint="default"/>
        <w:lang w:val="ru-RU" w:eastAsia="en-US" w:bidi="ar-SA"/>
      </w:rPr>
    </w:lvl>
    <w:lvl w:ilvl="3" w:tplc="AD4CB680">
      <w:numFmt w:val="bullet"/>
      <w:lvlText w:val="•"/>
      <w:lvlJc w:val="left"/>
      <w:pPr>
        <w:ind w:left="3971" w:hanging="783"/>
      </w:pPr>
      <w:rPr>
        <w:rFonts w:hint="default"/>
        <w:lang w:val="ru-RU" w:eastAsia="en-US" w:bidi="ar-SA"/>
      </w:rPr>
    </w:lvl>
    <w:lvl w:ilvl="4" w:tplc="D64CCC36">
      <w:numFmt w:val="bullet"/>
      <w:lvlText w:val="•"/>
      <w:lvlJc w:val="left"/>
      <w:pPr>
        <w:ind w:left="4726" w:hanging="783"/>
      </w:pPr>
      <w:rPr>
        <w:rFonts w:hint="default"/>
        <w:lang w:val="ru-RU" w:eastAsia="en-US" w:bidi="ar-SA"/>
      </w:rPr>
    </w:lvl>
    <w:lvl w:ilvl="5" w:tplc="CBDA08E4">
      <w:numFmt w:val="bullet"/>
      <w:lvlText w:val="•"/>
      <w:lvlJc w:val="left"/>
      <w:pPr>
        <w:ind w:left="5482" w:hanging="783"/>
      </w:pPr>
      <w:rPr>
        <w:rFonts w:hint="default"/>
        <w:lang w:val="ru-RU" w:eastAsia="en-US" w:bidi="ar-SA"/>
      </w:rPr>
    </w:lvl>
    <w:lvl w:ilvl="6" w:tplc="71CC30BE">
      <w:numFmt w:val="bullet"/>
      <w:lvlText w:val="•"/>
      <w:lvlJc w:val="left"/>
      <w:pPr>
        <w:ind w:left="6237" w:hanging="783"/>
      </w:pPr>
      <w:rPr>
        <w:rFonts w:hint="default"/>
        <w:lang w:val="ru-RU" w:eastAsia="en-US" w:bidi="ar-SA"/>
      </w:rPr>
    </w:lvl>
    <w:lvl w:ilvl="7" w:tplc="7538580C">
      <w:numFmt w:val="bullet"/>
      <w:lvlText w:val="•"/>
      <w:lvlJc w:val="left"/>
      <w:pPr>
        <w:ind w:left="6993" w:hanging="783"/>
      </w:pPr>
      <w:rPr>
        <w:rFonts w:hint="default"/>
        <w:lang w:val="ru-RU" w:eastAsia="en-US" w:bidi="ar-SA"/>
      </w:rPr>
    </w:lvl>
    <w:lvl w:ilvl="8" w:tplc="3664EAD0">
      <w:numFmt w:val="bullet"/>
      <w:lvlText w:val="•"/>
      <w:lvlJc w:val="left"/>
      <w:pPr>
        <w:ind w:left="7748" w:hanging="783"/>
      </w:pPr>
      <w:rPr>
        <w:rFonts w:hint="default"/>
        <w:lang w:val="ru-RU" w:eastAsia="en-US" w:bidi="ar-SA"/>
      </w:rPr>
    </w:lvl>
  </w:abstractNum>
  <w:abstractNum w:abstractNumId="4" w15:restartNumberingAfterBreak="0">
    <w:nsid w:val="6A36779C"/>
    <w:multiLevelType w:val="hybridMultilevel"/>
    <w:tmpl w:val="E78C7110"/>
    <w:lvl w:ilvl="0" w:tplc="EB7ECB22">
      <w:start w:val="1"/>
      <w:numFmt w:val="lowerLetter"/>
      <w:lvlText w:val="(%1)"/>
      <w:lvlJc w:val="left"/>
      <w:pPr>
        <w:ind w:left="1705" w:hanging="78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ru-RU" w:eastAsia="en-US" w:bidi="ar-SA"/>
      </w:rPr>
    </w:lvl>
    <w:lvl w:ilvl="1" w:tplc="833AEFA0">
      <w:numFmt w:val="bullet"/>
      <w:lvlText w:val="•"/>
      <w:lvlJc w:val="left"/>
      <w:pPr>
        <w:ind w:left="2458" w:hanging="783"/>
      </w:pPr>
      <w:rPr>
        <w:rFonts w:hint="default"/>
        <w:lang w:val="ru-RU" w:eastAsia="en-US" w:bidi="ar-SA"/>
      </w:rPr>
    </w:lvl>
    <w:lvl w:ilvl="2" w:tplc="5DD89A96">
      <w:numFmt w:val="bullet"/>
      <w:lvlText w:val="•"/>
      <w:lvlJc w:val="left"/>
      <w:pPr>
        <w:ind w:left="3216" w:hanging="783"/>
      </w:pPr>
      <w:rPr>
        <w:rFonts w:hint="default"/>
        <w:lang w:val="ru-RU" w:eastAsia="en-US" w:bidi="ar-SA"/>
      </w:rPr>
    </w:lvl>
    <w:lvl w:ilvl="3" w:tplc="D60E67D8">
      <w:numFmt w:val="bullet"/>
      <w:lvlText w:val="•"/>
      <w:lvlJc w:val="left"/>
      <w:pPr>
        <w:ind w:left="3974" w:hanging="783"/>
      </w:pPr>
      <w:rPr>
        <w:rFonts w:hint="default"/>
        <w:lang w:val="ru-RU" w:eastAsia="en-US" w:bidi="ar-SA"/>
      </w:rPr>
    </w:lvl>
    <w:lvl w:ilvl="4" w:tplc="3E464CF0">
      <w:numFmt w:val="bullet"/>
      <w:lvlText w:val="•"/>
      <w:lvlJc w:val="left"/>
      <w:pPr>
        <w:ind w:left="4732" w:hanging="783"/>
      </w:pPr>
      <w:rPr>
        <w:rFonts w:hint="default"/>
        <w:lang w:val="ru-RU" w:eastAsia="en-US" w:bidi="ar-SA"/>
      </w:rPr>
    </w:lvl>
    <w:lvl w:ilvl="5" w:tplc="E334DA60">
      <w:numFmt w:val="bullet"/>
      <w:lvlText w:val="•"/>
      <w:lvlJc w:val="left"/>
      <w:pPr>
        <w:ind w:left="5490" w:hanging="783"/>
      </w:pPr>
      <w:rPr>
        <w:rFonts w:hint="default"/>
        <w:lang w:val="ru-RU" w:eastAsia="en-US" w:bidi="ar-SA"/>
      </w:rPr>
    </w:lvl>
    <w:lvl w:ilvl="6" w:tplc="1978813C">
      <w:numFmt w:val="bullet"/>
      <w:lvlText w:val="•"/>
      <w:lvlJc w:val="left"/>
      <w:pPr>
        <w:ind w:left="6248" w:hanging="783"/>
      </w:pPr>
      <w:rPr>
        <w:rFonts w:hint="default"/>
        <w:lang w:val="ru-RU" w:eastAsia="en-US" w:bidi="ar-SA"/>
      </w:rPr>
    </w:lvl>
    <w:lvl w:ilvl="7" w:tplc="483C811C">
      <w:numFmt w:val="bullet"/>
      <w:lvlText w:val="•"/>
      <w:lvlJc w:val="left"/>
      <w:pPr>
        <w:ind w:left="7006" w:hanging="783"/>
      </w:pPr>
      <w:rPr>
        <w:rFonts w:hint="default"/>
        <w:lang w:val="ru-RU" w:eastAsia="en-US" w:bidi="ar-SA"/>
      </w:rPr>
    </w:lvl>
    <w:lvl w:ilvl="8" w:tplc="9F7AAE32">
      <w:numFmt w:val="bullet"/>
      <w:lvlText w:val="•"/>
      <w:lvlJc w:val="left"/>
      <w:pPr>
        <w:ind w:left="7764" w:hanging="783"/>
      </w:pPr>
      <w:rPr>
        <w:rFonts w:hint="default"/>
        <w:lang w:val="ru-RU" w:eastAsia="en-US" w:bidi="ar-SA"/>
      </w:rPr>
    </w:lvl>
  </w:abstractNum>
  <w:abstractNum w:abstractNumId="5" w15:restartNumberingAfterBreak="0">
    <w:nsid w:val="754C3F6A"/>
    <w:multiLevelType w:val="hybridMultilevel"/>
    <w:tmpl w:val="EF3EADD6"/>
    <w:lvl w:ilvl="0" w:tplc="76FE8B3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56DB"/>
    <w:multiLevelType w:val="hybridMultilevel"/>
    <w:tmpl w:val="7D0E200E"/>
    <w:lvl w:ilvl="0" w:tplc="EBF2454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3"/>
    <w:rsid w:val="000136DC"/>
    <w:rsid w:val="00017A7D"/>
    <w:rsid w:val="00027A18"/>
    <w:rsid w:val="0003635A"/>
    <w:rsid w:val="00055526"/>
    <w:rsid w:val="00075E69"/>
    <w:rsid w:val="00095F0E"/>
    <w:rsid w:val="000A35C9"/>
    <w:rsid w:val="000A7841"/>
    <w:rsid w:val="000B3A06"/>
    <w:rsid w:val="001035CE"/>
    <w:rsid w:val="001070D7"/>
    <w:rsid w:val="00134573"/>
    <w:rsid w:val="001620B4"/>
    <w:rsid w:val="00171950"/>
    <w:rsid w:val="001737EB"/>
    <w:rsid w:val="0017432E"/>
    <w:rsid w:val="00190169"/>
    <w:rsid w:val="001977F5"/>
    <w:rsid w:val="001A1607"/>
    <w:rsid w:val="001B5CA5"/>
    <w:rsid w:val="001C0565"/>
    <w:rsid w:val="001D3D9F"/>
    <w:rsid w:val="001E3713"/>
    <w:rsid w:val="002072F9"/>
    <w:rsid w:val="002A027D"/>
    <w:rsid w:val="002A2288"/>
    <w:rsid w:val="002B4ECD"/>
    <w:rsid w:val="002B525C"/>
    <w:rsid w:val="002E57F3"/>
    <w:rsid w:val="00305CF8"/>
    <w:rsid w:val="00313105"/>
    <w:rsid w:val="003318CD"/>
    <w:rsid w:val="0038467F"/>
    <w:rsid w:val="003939B1"/>
    <w:rsid w:val="00396DD9"/>
    <w:rsid w:val="003A29AD"/>
    <w:rsid w:val="003B40F1"/>
    <w:rsid w:val="003B6F93"/>
    <w:rsid w:val="003C09E9"/>
    <w:rsid w:val="00437AD0"/>
    <w:rsid w:val="00454049"/>
    <w:rsid w:val="00454B9E"/>
    <w:rsid w:val="00460DC1"/>
    <w:rsid w:val="004735B0"/>
    <w:rsid w:val="004A65C9"/>
    <w:rsid w:val="004B1FB4"/>
    <w:rsid w:val="004B5742"/>
    <w:rsid w:val="004D0C75"/>
    <w:rsid w:val="004D4BCA"/>
    <w:rsid w:val="005060A4"/>
    <w:rsid w:val="00544CFA"/>
    <w:rsid w:val="005F4FE5"/>
    <w:rsid w:val="00605068"/>
    <w:rsid w:val="00611825"/>
    <w:rsid w:val="00612C4F"/>
    <w:rsid w:val="00634DEB"/>
    <w:rsid w:val="0069392B"/>
    <w:rsid w:val="006A3CBE"/>
    <w:rsid w:val="006A4E60"/>
    <w:rsid w:val="006C3CAE"/>
    <w:rsid w:val="006C41C6"/>
    <w:rsid w:val="006E0C2B"/>
    <w:rsid w:val="006E2634"/>
    <w:rsid w:val="006E53FE"/>
    <w:rsid w:val="006F01D4"/>
    <w:rsid w:val="006F2BC4"/>
    <w:rsid w:val="00710FA4"/>
    <w:rsid w:val="00716D1D"/>
    <w:rsid w:val="0072008B"/>
    <w:rsid w:val="00750E4F"/>
    <w:rsid w:val="00753E88"/>
    <w:rsid w:val="00786274"/>
    <w:rsid w:val="007A5939"/>
    <w:rsid w:val="007F32E6"/>
    <w:rsid w:val="007F64E3"/>
    <w:rsid w:val="00802B59"/>
    <w:rsid w:val="00806B8B"/>
    <w:rsid w:val="00814FF4"/>
    <w:rsid w:val="00821E3B"/>
    <w:rsid w:val="00825631"/>
    <w:rsid w:val="00846D25"/>
    <w:rsid w:val="00877A50"/>
    <w:rsid w:val="0088183C"/>
    <w:rsid w:val="008856A5"/>
    <w:rsid w:val="00890255"/>
    <w:rsid w:val="008A63BA"/>
    <w:rsid w:val="008C3FF6"/>
    <w:rsid w:val="008D3829"/>
    <w:rsid w:val="008D5DE3"/>
    <w:rsid w:val="00940857"/>
    <w:rsid w:val="00953916"/>
    <w:rsid w:val="00963D31"/>
    <w:rsid w:val="009A6B40"/>
    <w:rsid w:val="009C3C6E"/>
    <w:rsid w:val="009E62C3"/>
    <w:rsid w:val="00A01278"/>
    <w:rsid w:val="00A22074"/>
    <w:rsid w:val="00A370DB"/>
    <w:rsid w:val="00A52C4B"/>
    <w:rsid w:val="00A9123B"/>
    <w:rsid w:val="00A96038"/>
    <w:rsid w:val="00AC6DED"/>
    <w:rsid w:val="00AC7B1A"/>
    <w:rsid w:val="00AD01DB"/>
    <w:rsid w:val="00B01D84"/>
    <w:rsid w:val="00B15199"/>
    <w:rsid w:val="00B46118"/>
    <w:rsid w:val="00B67BE1"/>
    <w:rsid w:val="00B70BD1"/>
    <w:rsid w:val="00B85175"/>
    <w:rsid w:val="00B9626B"/>
    <w:rsid w:val="00BB748D"/>
    <w:rsid w:val="00BE244D"/>
    <w:rsid w:val="00C04312"/>
    <w:rsid w:val="00C057E8"/>
    <w:rsid w:val="00C10578"/>
    <w:rsid w:val="00C14B48"/>
    <w:rsid w:val="00C771CC"/>
    <w:rsid w:val="00C85CE5"/>
    <w:rsid w:val="00C872CE"/>
    <w:rsid w:val="00C87A09"/>
    <w:rsid w:val="00CA4663"/>
    <w:rsid w:val="00CF097B"/>
    <w:rsid w:val="00D11AAA"/>
    <w:rsid w:val="00D17EBB"/>
    <w:rsid w:val="00D20904"/>
    <w:rsid w:val="00D31C55"/>
    <w:rsid w:val="00D33473"/>
    <w:rsid w:val="00D5693F"/>
    <w:rsid w:val="00D63314"/>
    <w:rsid w:val="00D84787"/>
    <w:rsid w:val="00DB546D"/>
    <w:rsid w:val="00DF3276"/>
    <w:rsid w:val="00E154C4"/>
    <w:rsid w:val="00E201AC"/>
    <w:rsid w:val="00E22D58"/>
    <w:rsid w:val="00E25A70"/>
    <w:rsid w:val="00E36602"/>
    <w:rsid w:val="00E47B7D"/>
    <w:rsid w:val="00E64199"/>
    <w:rsid w:val="00E7291A"/>
    <w:rsid w:val="00EA3545"/>
    <w:rsid w:val="00EC002C"/>
    <w:rsid w:val="00EC5B15"/>
    <w:rsid w:val="00ED7CB7"/>
    <w:rsid w:val="00EE451F"/>
    <w:rsid w:val="00F0100F"/>
    <w:rsid w:val="00F11C28"/>
    <w:rsid w:val="00F3616A"/>
    <w:rsid w:val="00F40D03"/>
    <w:rsid w:val="00F50221"/>
    <w:rsid w:val="00F60900"/>
    <w:rsid w:val="00F60D42"/>
    <w:rsid w:val="00F7411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EFE52"/>
  <w15:docId w15:val="{9D2E6F87-4B1A-4773-984D-9852211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a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a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a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a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a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</w:rPr>
  </w:style>
  <w:style w:type="paragraph" w:customStyle="1" w:styleId="IASBTOCPrimary">
    <w:name w:val="IASB TOC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a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a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a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a3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a4">
    <w:name w:val="footnote text"/>
    <w:basedOn w:val="IASBSectionTitle2Ind"/>
    <w:next w:val="IASBBlockquote"/>
    <w:uiPriority w:val="99"/>
    <w:semiHidden/>
    <w:rsid w:val="00713675"/>
    <w:pPr>
      <w:keepNext w:val="0"/>
      <w:keepLines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paragraph" w:customStyle="1" w:styleId="edufootnotetext">
    <w:name w:val="edu 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sz w:val="16"/>
    </w:rPr>
  </w:style>
  <w:style w:type="character" w:customStyle="1" w:styleId="FootnoteTextChar">
    <w:name w:val="Footnote Text Char"/>
    <w:basedOn w:val="a0"/>
    <w:link w:val="edu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a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a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a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a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a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a9">
    <w:name w:val="endnote reference"/>
    <w:basedOn w:val="a0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paragraph" w:styleId="aa">
    <w:name w:val="Balloon Text"/>
    <w:basedOn w:val="a"/>
    <w:link w:val="ab"/>
    <w:uiPriority w:val="99"/>
    <w:semiHidden/>
    <w:unhideWhenUsed/>
    <w:rsid w:val="008256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631"/>
    <w:rPr>
      <w:rFonts w:ascii="Segoe UI" w:hAnsi="Segoe UI" w:cs="Segoe UI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F40D0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40D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40D03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0D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0D03"/>
    <w:rPr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C872CE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2" ma:contentTypeDescription="Create a new document." ma:contentTypeScope="" ma:versionID="14a725435a93184da95e080976ca60cd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5ea2c8799ecb1b8d9c6bfc2ae75c52a6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12242-88F4-4540-AA78-3E246A836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9eb38-6cb5-483f-a298-4a90bdd00051"/>
    <ds:schemaRef ds:uri="dd1af2b0-f65d-434c-8a17-aadcdb553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F925B-E6D4-4769-85A4-5C5357A5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22FBF-5A8D-454E-90D7-94C3FAC7D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БАРИНОВА ГАЛИНА ВИКТОРОВНА</cp:lastModifiedBy>
  <cp:revision>5</cp:revision>
  <cp:lastPrinted>2021-11-16T16:59:00Z</cp:lastPrinted>
  <dcterms:created xsi:type="dcterms:W3CDTF">2023-11-28T08:36:00Z</dcterms:created>
  <dcterms:modified xsi:type="dcterms:W3CDTF">2023-11-28T11:12:00Z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0x01010083E284443D39C047BFB7B26CC769F073</vt:lpwstr>
  </property>
  <property fmtid="{D5CDD505-2E9C-101B-9397-08002B2CF9AE}" pid="3" name="Hash">
    <vt:lpwstr>09D7CCED5273E6BE6A31BB378FE0B610475BECA93E0A1D1F06F364624D8419AD</vt:lpwstr>
  </property>
  <property fmtid="{D5CDD505-2E9C-101B-9397-08002B2CF9AE}" pid="4" name="Hide date">
    <vt:lpwstr>4/12/2021 11:53:55 AM</vt:lpwstr>
  </property>
  <property fmtid="{D5CDD505-2E9C-101B-9397-08002B2CF9AE}" pid="5" name="Classification">
    <vt:lpwstr>Public</vt:lpwstr>
  </property>
</Properties>
</file>