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11" w:rsidRDefault="00FD1D20" w:rsidP="00661811">
      <w:pPr>
        <w:pStyle w:val="a3"/>
        <w:ind w:right="-2"/>
        <w:jc w:val="center"/>
        <w:rPr>
          <w:b/>
          <w:kern w:val="16"/>
          <w:sz w:val="22"/>
          <w:szCs w:val="22"/>
        </w:rPr>
      </w:pPr>
      <w:r w:rsidRPr="00FD1D20">
        <w:rPr>
          <w:b/>
          <w:kern w:val="16"/>
          <w:sz w:val="22"/>
          <w:szCs w:val="22"/>
        </w:rPr>
        <w:t xml:space="preserve">Особое мнение </w:t>
      </w:r>
      <w:r w:rsidR="00661811">
        <w:rPr>
          <w:b/>
          <w:kern w:val="16"/>
          <w:sz w:val="22"/>
          <w:szCs w:val="22"/>
        </w:rPr>
        <w:t xml:space="preserve">Калинина А.С. </w:t>
      </w:r>
      <w:r w:rsidR="00661811">
        <w:rPr>
          <w:b/>
          <w:kern w:val="16"/>
          <w:sz w:val="22"/>
          <w:szCs w:val="22"/>
        </w:rPr>
        <w:t>(Общероссийская общественная организация</w:t>
      </w:r>
      <w:r w:rsidR="00661811" w:rsidRPr="00FD1D20">
        <w:rPr>
          <w:b/>
          <w:kern w:val="16"/>
          <w:sz w:val="22"/>
          <w:szCs w:val="22"/>
        </w:rPr>
        <w:t xml:space="preserve"> малого и среднего предпринимательства «ОПОРА РОСССИИ»</w:t>
      </w:r>
      <w:r w:rsidR="00661811">
        <w:rPr>
          <w:b/>
          <w:kern w:val="16"/>
          <w:sz w:val="22"/>
          <w:szCs w:val="22"/>
        </w:rPr>
        <w:t>)</w:t>
      </w:r>
      <w:r w:rsidR="00661811">
        <w:rPr>
          <w:b/>
          <w:kern w:val="16"/>
          <w:sz w:val="22"/>
          <w:szCs w:val="22"/>
        </w:rPr>
        <w:t xml:space="preserve"> </w:t>
      </w:r>
      <w:r w:rsidR="00661811">
        <w:rPr>
          <w:b/>
          <w:kern w:val="16"/>
          <w:sz w:val="22"/>
          <w:szCs w:val="22"/>
        </w:rPr>
        <w:br/>
      </w:r>
      <w:r w:rsidR="00661811" w:rsidRPr="00D451EF">
        <w:rPr>
          <w:b/>
          <w:kern w:val="16"/>
          <w:sz w:val="22"/>
          <w:szCs w:val="22"/>
        </w:rPr>
        <w:t xml:space="preserve">по проекту Основных направлений бюджетной, налоговой и таможенно-тарифной политики на 2024 год и на плановый период 2025 и 2026 годов (далее – </w:t>
      </w:r>
      <w:proofErr w:type="spellStart"/>
      <w:r w:rsidR="00661811" w:rsidRPr="00D451EF">
        <w:rPr>
          <w:b/>
          <w:kern w:val="16"/>
          <w:sz w:val="22"/>
          <w:szCs w:val="22"/>
        </w:rPr>
        <w:t>ОНБНиТТП</w:t>
      </w:r>
      <w:proofErr w:type="spellEnd"/>
      <w:r w:rsidR="00661811" w:rsidRPr="00D451EF">
        <w:rPr>
          <w:b/>
          <w:kern w:val="16"/>
          <w:sz w:val="22"/>
          <w:szCs w:val="22"/>
        </w:rPr>
        <w:t>)</w:t>
      </w:r>
      <w:r w:rsidR="00661811">
        <w:rPr>
          <w:b/>
          <w:kern w:val="16"/>
          <w:sz w:val="22"/>
          <w:szCs w:val="22"/>
        </w:rPr>
        <w:t xml:space="preserve"> </w:t>
      </w:r>
    </w:p>
    <w:p w:rsidR="00CD4993" w:rsidRPr="00D451EF" w:rsidRDefault="00CD4993" w:rsidP="00CD4993">
      <w:pPr>
        <w:pStyle w:val="a3"/>
        <w:ind w:right="-2"/>
        <w:rPr>
          <w:kern w:val="16"/>
          <w:sz w:val="22"/>
          <w:szCs w:val="22"/>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45"/>
        <w:gridCol w:w="8256"/>
      </w:tblGrid>
      <w:tr w:rsidR="00D451EF" w:rsidRPr="00D451EF" w:rsidTr="00050FF0">
        <w:trPr>
          <w:trHeight w:val="611"/>
          <w:tblHeader/>
        </w:trPr>
        <w:tc>
          <w:tcPr>
            <w:tcW w:w="534" w:type="dxa"/>
            <w:tcMar>
              <w:left w:w="28" w:type="dxa"/>
              <w:right w:w="28" w:type="dxa"/>
            </w:tcMar>
            <w:vAlign w:val="center"/>
          </w:tcPr>
          <w:p w:rsidR="00D451EF" w:rsidRPr="00D451EF" w:rsidRDefault="00D451EF" w:rsidP="007D1A53">
            <w:pPr>
              <w:pStyle w:val="a3"/>
              <w:ind w:right="-2"/>
              <w:jc w:val="center"/>
              <w:rPr>
                <w:b/>
                <w:spacing w:val="-12"/>
                <w:kern w:val="16"/>
                <w:sz w:val="22"/>
                <w:szCs w:val="22"/>
              </w:rPr>
            </w:pPr>
            <w:r w:rsidRPr="00D451EF">
              <w:rPr>
                <w:b/>
                <w:spacing w:val="-12"/>
                <w:kern w:val="16"/>
                <w:sz w:val="22"/>
                <w:szCs w:val="22"/>
              </w:rPr>
              <w:t>№ п/п</w:t>
            </w:r>
          </w:p>
        </w:tc>
        <w:tc>
          <w:tcPr>
            <w:tcW w:w="6945" w:type="dxa"/>
            <w:tcMar>
              <w:left w:w="28" w:type="dxa"/>
              <w:right w:w="28" w:type="dxa"/>
            </w:tcMar>
            <w:vAlign w:val="center"/>
          </w:tcPr>
          <w:p w:rsidR="00D451EF" w:rsidRPr="00D451EF" w:rsidRDefault="00050FF0" w:rsidP="00050FF0">
            <w:pPr>
              <w:pStyle w:val="a3"/>
              <w:ind w:right="-2"/>
              <w:jc w:val="center"/>
              <w:rPr>
                <w:b/>
                <w:spacing w:val="-12"/>
                <w:kern w:val="16"/>
                <w:sz w:val="22"/>
                <w:szCs w:val="22"/>
              </w:rPr>
            </w:pPr>
            <w:r w:rsidRPr="00050FF0">
              <w:rPr>
                <w:b/>
                <w:spacing w:val="-12"/>
                <w:kern w:val="16"/>
                <w:sz w:val="22"/>
                <w:szCs w:val="22"/>
              </w:rPr>
              <w:t>Особое мнение Общероссийской общественной организации малого и среднего предпринимательства «ОПОРА РОСССИИ»</w:t>
            </w:r>
          </w:p>
        </w:tc>
        <w:tc>
          <w:tcPr>
            <w:tcW w:w="8256" w:type="dxa"/>
            <w:vAlign w:val="center"/>
          </w:tcPr>
          <w:p w:rsidR="00D451EF" w:rsidRPr="00D451EF" w:rsidRDefault="00D451EF" w:rsidP="00050FF0">
            <w:pPr>
              <w:pStyle w:val="a3"/>
              <w:ind w:right="-2"/>
              <w:jc w:val="center"/>
              <w:rPr>
                <w:b/>
                <w:spacing w:val="-12"/>
                <w:kern w:val="16"/>
                <w:sz w:val="22"/>
                <w:szCs w:val="22"/>
              </w:rPr>
            </w:pPr>
            <w:r w:rsidRPr="00D451EF">
              <w:rPr>
                <w:b/>
                <w:spacing w:val="-12"/>
                <w:kern w:val="16"/>
                <w:sz w:val="22"/>
                <w:szCs w:val="22"/>
              </w:rPr>
              <w:t xml:space="preserve">Позиция </w:t>
            </w:r>
            <w:r>
              <w:rPr>
                <w:b/>
                <w:spacing w:val="-12"/>
                <w:kern w:val="16"/>
                <w:sz w:val="22"/>
                <w:szCs w:val="22"/>
              </w:rPr>
              <w:t>Минфина России</w:t>
            </w:r>
          </w:p>
        </w:tc>
      </w:tr>
      <w:tr w:rsidR="00D451EF" w:rsidRPr="00D451EF" w:rsidTr="00D451EF">
        <w:trPr>
          <w:trHeight w:val="411"/>
        </w:trPr>
        <w:tc>
          <w:tcPr>
            <w:tcW w:w="534" w:type="dxa"/>
          </w:tcPr>
          <w:p w:rsidR="00D451EF" w:rsidRPr="00D451EF" w:rsidRDefault="00D451EF" w:rsidP="007D1A53">
            <w:pPr>
              <w:pStyle w:val="a3"/>
              <w:numPr>
                <w:ilvl w:val="0"/>
                <w:numId w:val="1"/>
              </w:numPr>
              <w:ind w:left="0" w:firstLine="0"/>
              <w:jc w:val="center"/>
              <w:rPr>
                <w:kern w:val="16"/>
                <w:sz w:val="22"/>
                <w:szCs w:val="22"/>
              </w:rPr>
            </w:pPr>
          </w:p>
        </w:tc>
        <w:tc>
          <w:tcPr>
            <w:tcW w:w="6945" w:type="dxa"/>
          </w:tcPr>
          <w:p w:rsidR="00050FF0" w:rsidRPr="00050FF0" w:rsidRDefault="00050FF0" w:rsidP="00050FF0">
            <w:pPr>
              <w:pStyle w:val="a3"/>
              <w:ind w:right="-2" w:firstLine="467"/>
              <w:jc w:val="both"/>
              <w:rPr>
                <w:kern w:val="16"/>
                <w:sz w:val="22"/>
                <w:szCs w:val="22"/>
              </w:rPr>
            </w:pPr>
            <w:r>
              <w:rPr>
                <w:kern w:val="16"/>
                <w:sz w:val="22"/>
                <w:szCs w:val="22"/>
              </w:rPr>
              <w:t>С</w:t>
            </w:r>
            <w:r w:rsidRPr="00050FF0">
              <w:rPr>
                <w:kern w:val="16"/>
                <w:sz w:val="22"/>
                <w:szCs w:val="22"/>
              </w:rPr>
              <w:t>тоит отметить, что в текущем году при подготовке Основных направлений бюджетной, налоговой и таможенно-тарифной политики на 2024 год и на плановый период 2025 и 2026 годов не запрашивалось мнение представителей общественных бизнес-объединений.</w:t>
            </w:r>
          </w:p>
          <w:p w:rsidR="00050FF0" w:rsidRPr="00050FF0" w:rsidRDefault="00050FF0" w:rsidP="00050FF0">
            <w:pPr>
              <w:pStyle w:val="a3"/>
              <w:ind w:right="-2" w:firstLine="467"/>
              <w:jc w:val="both"/>
              <w:rPr>
                <w:kern w:val="16"/>
                <w:sz w:val="22"/>
                <w:szCs w:val="22"/>
              </w:rPr>
            </w:pPr>
            <w:r w:rsidRPr="00050FF0">
              <w:rPr>
                <w:kern w:val="16"/>
                <w:sz w:val="22"/>
                <w:szCs w:val="22"/>
              </w:rPr>
              <w:t>Проект основных направлений налоговой политики содержит в себе перечень мероприятий, которые планируется провести в ближайший год, а также на 2 последующих года. Минфин России обычно заранее публикует на своем сайте налоговую политику, но в текущем году проект налоговой политики на 2024-2026 годы был размещен на сайте Минфина РФ только 28.09.2023г.</w:t>
            </w:r>
          </w:p>
          <w:p w:rsidR="00050FF0" w:rsidRPr="00050FF0" w:rsidRDefault="00050FF0" w:rsidP="00050FF0">
            <w:pPr>
              <w:pStyle w:val="a3"/>
              <w:ind w:right="-2" w:firstLine="467"/>
              <w:jc w:val="both"/>
              <w:rPr>
                <w:kern w:val="16"/>
                <w:sz w:val="22"/>
                <w:szCs w:val="22"/>
              </w:rPr>
            </w:pPr>
            <w:r w:rsidRPr="00050FF0">
              <w:rPr>
                <w:kern w:val="16"/>
                <w:sz w:val="22"/>
                <w:szCs w:val="22"/>
              </w:rPr>
              <w:t>В связи с высокой важностью данного документа, считаем необходимым запрашивать предложения у общественных бизнес-объединений для включения в проект основных направлений бюджетной, налоговой и таможенно-тарифной политики на 2025 год и на плановый период 2026 и 2027 годов и начать проработку данного документа в конце I квартала 2024 года.</w:t>
            </w:r>
          </w:p>
          <w:p w:rsidR="00D451EF" w:rsidRPr="00050FF0" w:rsidRDefault="00D451EF" w:rsidP="00050FF0">
            <w:pPr>
              <w:pStyle w:val="a3"/>
              <w:ind w:right="-2" w:firstLine="467"/>
              <w:jc w:val="both"/>
              <w:rPr>
                <w:kern w:val="16"/>
                <w:sz w:val="22"/>
                <w:szCs w:val="22"/>
              </w:rPr>
            </w:pPr>
          </w:p>
        </w:tc>
        <w:tc>
          <w:tcPr>
            <w:tcW w:w="8256" w:type="dxa"/>
          </w:tcPr>
          <w:p w:rsidR="00D451EF" w:rsidRDefault="008D6427" w:rsidP="00403ADB">
            <w:pPr>
              <w:pStyle w:val="a3"/>
              <w:ind w:right="-2" w:firstLine="467"/>
              <w:jc w:val="both"/>
              <w:rPr>
                <w:kern w:val="16"/>
                <w:sz w:val="22"/>
                <w:szCs w:val="22"/>
              </w:rPr>
            </w:pPr>
            <w:r>
              <w:rPr>
                <w:kern w:val="16"/>
                <w:sz w:val="22"/>
                <w:szCs w:val="22"/>
              </w:rPr>
              <w:t xml:space="preserve">Разработка </w:t>
            </w:r>
            <w:proofErr w:type="spellStart"/>
            <w:r w:rsidR="0082202E">
              <w:rPr>
                <w:kern w:val="16"/>
                <w:sz w:val="22"/>
                <w:szCs w:val="22"/>
              </w:rPr>
              <w:t>ОНБНиТТП</w:t>
            </w:r>
            <w:proofErr w:type="spellEnd"/>
            <w:r w:rsidR="0082202E">
              <w:rPr>
                <w:kern w:val="16"/>
                <w:sz w:val="22"/>
                <w:szCs w:val="22"/>
              </w:rPr>
              <w:t xml:space="preserve"> </w:t>
            </w:r>
            <w:r>
              <w:rPr>
                <w:kern w:val="16"/>
                <w:sz w:val="22"/>
                <w:szCs w:val="22"/>
              </w:rPr>
              <w:t xml:space="preserve">осуществляется в сроки, установленные </w:t>
            </w:r>
            <w:r w:rsidRPr="008D6427">
              <w:rPr>
                <w:kern w:val="16"/>
                <w:sz w:val="22"/>
                <w:szCs w:val="22"/>
              </w:rPr>
              <w:t>Правил</w:t>
            </w:r>
            <w:r>
              <w:rPr>
                <w:kern w:val="16"/>
                <w:sz w:val="22"/>
                <w:szCs w:val="22"/>
              </w:rPr>
              <w:t>ами</w:t>
            </w:r>
            <w:r w:rsidRPr="008D6427">
              <w:rPr>
                <w:kern w:val="16"/>
                <w:sz w:val="22"/>
                <w:szCs w:val="22"/>
              </w:rP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Pr>
                <w:kern w:val="16"/>
                <w:sz w:val="22"/>
                <w:szCs w:val="22"/>
              </w:rPr>
              <w:t xml:space="preserve">, утвержденными постановление Правительства Российской Федерации от 24 марта 2018 г. № 326, а также </w:t>
            </w:r>
            <w:r w:rsidRPr="008D6427">
              <w:rPr>
                <w:kern w:val="16"/>
                <w:sz w:val="22"/>
                <w:szCs w:val="22"/>
              </w:rPr>
              <w:t>график</w:t>
            </w:r>
            <w:r>
              <w:rPr>
                <w:kern w:val="16"/>
                <w:sz w:val="22"/>
                <w:szCs w:val="22"/>
              </w:rPr>
              <w:t>ом</w:t>
            </w:r>
            <w:r w:rsidRPr="008D6427">
              <w:rPr>
                <w:kern w:val="16"/>
                <w:sz w:val="22"/>
                <w:szCs w:val="22"/>
              </w:rPr>
              <w:t xml:space="preserve"> подготовки и рассмотрения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Pr>
                <w:kern w:val="16"/>
                <w:sz w:val="22"/>
                <w:szCs w:val="22"/>
              </w:rPr>
              <w:t>.</w:t>
            </w:r>
          </w:p>
          <w:p w:rsidR="00196332" w:rsidRDefault="00196332" w:rsidP="00196332">
            <w:pPr>
              <w:pStyle w:val="a3"/>
              <w:ind w:right="-2" w:firstLine="467"/>
              <w:jc w:val="both"/>
              <w:rPr>
                <w:kern w:val="16"/>
                <w:sz w:val="22"/>
                <w:szCs w:val="22"/>
              </w:rPr>
            </w:pPr>
            <w:r>
              <w:rPr>
                <w:kern w:val="16"/>
                <w:sz w:val="22"/>
                <w:szCs w:val="22"/>
              </w:rPr>
              <w:t>Мнения общественны</w:t>
            </w:r>
            <w:r w:rsidR="00C10C8D">
              <w:rPr>
                <w:kern w:val="16"/>
                <w:sz w:val="22"/>
                <w:szCs w:val="22"/>
              </w:rPr>
              <w:t>х организаций и</w:t>
            </w:r>
            <w:r>
              <w:rPr>
                <w:kern w:val="16"/>
                <w:sz w:val="22"/>
                <w:szCs w:val="22"/>
              </w:rPr>
              <w:t xml:space="preserve"> бизнес-объединени</w:t>
            </w:r>
            <w:r w:rsidR="00C10C8D">
              <w:rPr>
                <w:kern w:val="16"/>
                <w:sz w:val="22"/>
                <w:szCs w:val="22"/>
              </w:rPr>
              <w:t>й</w:t>
            </w:r>
            <w:r>
              <w:rPr>
                <w:kern w:val="16"/>
                <w:sz w:val="22"/>
                <w:szCs w:val="22"/>
              </w:rPr>
              <w:t xml:space="preserve"> в части предложений по мер</w:t>
            </w:r>
            <w:r w:rsidR="00C10C8D">
              <w:rPr>
                <w:kern w:val="16"/>
                <w:sz w:val="22"/>
                <w:szCs w:val="22"/>
              </w:rPr>
              <w:t>ам</w:t>
            </w:r>
            <w:r>
              <w:rPr>
                <w:kern w:val="16"/>
                <w:sz w:val="22"/>
                <w:szCs w:val="22"/>
              </w:rPr>
              <w:t xml:space="preserve"> бюджетной, налоговой и таможенно-тарифной политики могут быть</w:t>
            </w:r>
            <w:r w:rsidR="00BB192C">
              <w:rPr>
                <w:kern w:val="16"/>
                <w:sz w:val="22"/>
                <w:szCs w:val="22"/>
              </w:rPr>
              <w:t xml:space="preserve"> направлены на любом этапе бюджетного планирования и рассмотрены на предмет возможности учета при реализации бюджетной и налоговой политики на очередной финансовый год и плановый период, а также отражения в </w:t>
            </w:r>
            <w:proofErr w:type="spellStart"/>
            <w:r>
              <w:rPr>
                <w:kern w:val="16"/>
                <w:sz w:val="22"/>
                <w:szCs w:val="22"/>
              </w:rPr>
              <w:t>ОНБНиТТП</w:t>
            </w:r>
            <w:proofErr w:type="spellEnd"/>
            <w:r w:rsidR="00BB192C">
              <w:rPr>
                <w:kern w:val="16"/>
                <w:sz w:val="22"/>
                <w:szCs w:val="22"/>
              </w:rPr>
              <w:t xml:space="preserve"> с учетом необходимой проработки и обоснования их целесообразности.</w:t>
            </w:r>
          </w:p>
          <w:p w:rsidR="00A97994" w:rsidRPr="00D451EF" w:rsidRDefault="00196332" w:rsidP="00196332">
            <w:pPr>
              <w:pStyle w:val="a3"/>
              <w:ind w:right="-2" w:firstLine="467"/>
              <w:jc w:val="both"/>
              <w:rPr>
                <w:kern w:val="16"/>
                <w:sz w:val="22"/>
                <w:szCs w:val="22"/>
              </w:rPr>
            </w:pPr>
            <w:r>
              <w:rPr>
                <w:kern w:val="16"/>
                <w:sz w:val="22"/>
                <w:szCs w:val="22"/>
              </w:rPr>
              <w:t>Обращаем внимание, что в</w:t>
            </w:r>
            <w:r w:rsidR="00F20D06">
              <w:rPr>
                <w:kern w:val="16"/>
                <w:sz w:val="22"/>
                <w:szCs w:val="22"/>
              </w:rPr>
              <w:t xml:space="preserve"> настоящий момент отсутствует отдельный документ «Основные направления налоговой политики», в связи с чем основные направления налоговой политики включены в </w:t>
            </w:r>
            <w:proofErr w:type="spellStart"/>
            <w:r w:rsidR="00F20D06">
              <w:rPr>
                <w:kern w:val="16"/>
                <w:sz w:val="22"/>
                <w:szCs w:val="22"/>
              </w:rPr>
              <w:t>ОНБНиТТП</w:t>
            </w:r>
            <w:proofErr w:type="spellEnd"/>
            <w:r w:rsidR="00F20D06">
              <w:rPr>
                <w:kern w:val="16"/>
                <w:sz w:val="22"/>
                <w:szCs w:val="22"/>
              </w:rPr>
              <w:t xml:space="preserve"> и вносятся в Государственную Думу в составе материалов к </w:t>
            </w:r>
            <w:r w:rsidR="00F20D06" w:rsidRPr="00F20D06">
              <w:rPr>
                <w:kern w:val="16"/>
                <w:sz w:val="22"/>
                <w:szCs w:val="22"/>
              </w:rPr>
              <w:t>проекту федерального закона о федеральном бюджете на очередной финансовый год и плановый период в соответствии с пунктом 4 статьи 192 Бюджетного кодекса Российской Федерации.</w:t>
            </w:r>
          </w:p>
        </w:tc>
      </w:tr>
    </w:tbl>
    <w:p w:rsidR="00BC55CD" w:rsidRDefault="00661811">
      <w:pPr>
        <w:rPr>
          <w:sz w:val="22"/>
          <w:szCs w:val="22"/>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Default="004D1379" w:rsidP="004D1379">
      <w:pPr>
        <w:jc w:val="right"/>
        <w:rPr>
          <w:rFonts w:eastAsiaTheme="minorHAnsi"/>
          <w:b/>
          <w:sz w:val="22"/>
          <w:szCs w:val="22"/>
          <w:lang w:eastAsia="en-US"/>
        </w:rPr>
      </w:pPr>
    </w:p>
    <w:p w:rsidR="004D1379" w:rsidRPr="004D1379" w:rsidRDefault="004D1379" w:rsidP="004D1379">
      <w:pPr>
        <w:jc w:val="right"/>
        <w:rPr>
          <w:rFonts w:eastAsiaTheme="minorHAnsi"/>
          <w:b/>
          <w:sz w:val="22"/>
          <w:szCs w:val="22"/>
          <w:lang w:eastAsia="en-US"/>
        </w:rPr>
      </w:pPr>
    </w:p>
    <w:p w:rsidR="004D1379" w:rsidRPr="004D1379" w:rsidRDefault="00661811" w:rsidP="004D1379">
      <w:pPr>
        <w:jc w:val="center"/>
        <w:rPr>
          <w:rFonts w:eastAsiaTheme="minorHAnsi"/>
          <w:b/>
          <w:sz w:val="22"/>
          <w:szCs w:val="22"/>
          <w:lang w:eastAsia="en-US"/>
        </w:rPr>
      </w:pPr>
      <w:r>
        <w:rPr>
          <w:rFonts w:eastAsiaTheme="minorHAnsi"/>
          <w:b/>
          <w:sz w:val="22"/>
          <w:szCs w:val="22"/>
          <w:lang w:eastAsia="en-US"/>
        </w:rPr>
        <w:lastRenderedPageBreak/>
        <w:t xml:space="preserve">Особое мнение </w:t>
      </w:r>
      <w:proofErr w:type="spellStart"/>
      <w:r>
        <w:rPr>
          <w:rFonts w:eastAsiaTheme="minorHAnsi"/>
          <w:b/>
          <w:sz w:val="22"/>
          <w:szCs w:val="22"/>
          <w:lang w:eastAsia="en-US"/>
        </w:rPr>
        <w:t>Мурычева</w:t>
      </w:r>
      <w:proofErr w:type="spellEnd"/>
      <w:r>
        <w:rPr>
          <w:rFonts w:eastAsiaTheme="minorHAnsi"/>
          <w:b/>
          <w:sz w:val="22"/>
          <w:szCs w:val="22"/>
          <w:lang w:eastAsia="en-US"/>
        </w:rPr>
        <w:t xml:space="preserve"> А.В. по</w:t>
      </w:r>
      <w:r w:rsidR="004D1379" w:rsidRPr="004D1379">
        <w:rPr>
          <w:rFonts w:eastAsiaTheme="minorHAnsi"/>
          <w:b/>
          <w:sz w:val="22"/>
          <w:szCs w:val="22"/>
          <w:lang w:eastAsia="en-US"/>
        </w:rPr>
        <w:t xml:space="preserve"> проект</w:t>
      </w:r>
      <w:r>
        <w:rPr>
          <w:rFonts w:eastAsiaTheme="minorHAnsi"/>
          <w:b/>
          <w:sz w:val="22"/>
          <w:szCs w:val="22"/>
          <w:lang w:eastAsia="en-US"/>
        </w:rPr>
        <w:t>у</w:t>
      </w:r>
      <w:r w:rsidR="004D1379" w:rsidRPr="004D1379">
        <w:rPr>
          <w:rFonts w:eastAsiaTheme="minorHAnsi"/>
          <w:b/>
          <w:sz w:val="22"/>
          <w:szCs w:val="22"/>
          <w:lang w:eastAsia="en-US"/>
        </w:rPr>
        <w:t xml:space="preserve"> Основных направлений бюджетной, налоговой и таможенно-тарифной политики Российской Федерации на 2024 год и на пл</w:t>
      </w:r>
      <w:r>
        <w:rPr>
          <w:rFonts w:eastAsiaTheme="minorHAnsi"/>
          <w:b/>
          <w:sz w:val="22"/>
          <w:szCs w:val="22"/>
          <w:lang w:eastAsia="en-US"/>
        </w:rPr>
        <w:t>ановый период 2025 и 2026 годов</w:t>
      </w:r>
    </w:p>
    <w:p w:rsidR="004D1379" w:rsidRPr="004D1379" w:rsidRDefault="004D1379" w:rsidP="004D1379">
      <w:pPr>
        <w:rPr>
          <w:rFonts w:asciiTheme="minorHAnsi" w:eastAsiaTheme="minorHAnsi" w:hAnsiTheme="minorHAnsi" w:cstheme="minorBidi"/>
          <w:sz w:val="22"/>
          <w:szCs w:val="22"/>
          <w:lang w:eastAsia="en-U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123"/>
        <w:gridCol w:w="2540"/>
        <w:gridCol w:w="2682"/>
        <w:gridCol w:w="3458"/>
        <w:gridCol w:w="4111"/>
      </w:tblGrid>
      <w:tr w:rsidR="004D1379" w:rsidRPr="004D1379" w:rsidTr="004D1379">
        <w:trPr>
          <w:trHeight w:val="733"/>
          <w:tblHeader/>
          <w:jc w:val="center"/>
        </w:trPr>
        <w:tc>
          <w:tcPr>
            <w:tcW w:w="532" w:type="dxa"/>
            <w:shd w:val="clear" w:color="auto" w:fill="auto"/>
            <w:vAlign w:val="center"/>
            <w:hideMark/>
          </w:tcPr>
          <w:p w:rsidR="004D1379" w:rsidRPr="004D1379" w:rsidRDefault="004D1379" w:rsidP="004D1379">
            <w:pPr>
              <w:jc w:val="center"/>
              <w:rPr>
                <w:b/>
                <w:bCs/>
                <w:color w:val="000000"/>
                <w:sz w:val="22"/>
                <w:szCs w:val="22"/>
              </w:rPr>
            </w:pPr>
            <w:r w:rsidRPr="004D1379">
              <w:rPr>
                <w:b/>
                <w:bCs/>
                <w:color w:val="000000"/>
                <w:sz w:val="22"/>
                <w:szCs w:val="22"/>
              </w:rPr>
              <w:t>№ п/п</w:t>
            </w:r>
          </w:p>
        </w:tc>
        <w:tc>
          <w:tcPr>
            <w:tcW w:w="2123" w:type="dxa"/>
            <w:shd w:val="clear" w:color="auto" w:fill="auto"/>
            <w:vAlign w:val="center"/>
            <w:hideMark/>
          </w:tcPr>
          <w:p w:rsidR="004D1379" w:rsidRPr="004D1379" w:rsidRDefault="004D1379" w:rsidP="004D1379">
            <w:pPr>
              <w:jc w:val="center"/>
              <w:rPr>
                <w:b/>
                <w:bCs/>
                <w:color w:val="000000"/>
                <w:sz w:val="22"/>
                <w:szCs w:val="22"/>
              </w:rPr>
            </w:pPr>
            <w:r w:rsidRPr="004D1379">
              <w:rPr>
                <w:b/>
                <w:bCs/>
                <w:color w:val="000000"/>
                <w:sz w:val="22"/>
                <w:szCs w:val="22"/>
              </w:rPr>
              <w:t>Пункт проекта Основных направлений</w:t>
            </w:r>
          </w:p>
        </w:tc>
        <w:tc>
          <w:tcPr>
            <w:tcW w:w="2540" w:type="dxa"/>
            <w:shd w:val="clear" w:color="auto" w:fill="auto"/>
            <w:vAlign w:val="center"/>
            <w:hideMark/>
          </w:tcPr>
          <w:p w:rsidR="004D1379" w:rsidRPr="004D1379" w:rsidRDefault="004D1379" w:rsidP="004D1379">
            <w:pPr>
              <w:jc w:val="center"/>
              <w:rPr>
                <w:b/>
                <w:bCs/>
                <w:color w:val="000000"/>
                <w:sz w:val="22"/>
                <w:szCs w:val="22"/>
              </w:rPr>
            </w:pPr>
            <w:r w:rsidRPr="004D1379">
              <w:rPr>
                <w:b/>
                <w:bCs/>
                <w:color w:val="000000"/>
                <w:sz w:val="22"/>
                <w:szCs w:val="22"/>
              </w:rPr>
              <w:t>Текущая редакция Основных направлений</w:t>
            </w:r>
          </w:p>
        </w:tc>
        <w:tc>
          <w:tcPr>
            <w:tcW w:w="2682" w:type="dxa"/>
            <w:shd w:val="clear" w:color="auto" w:fill="auto"/>
            <w:vAlign w:val="center"/>
            <w:hideMark/>
          </w:tcPr>
          <w:p w:rsidR="004D1379" w:rsidRPr="004D1379" w:rsidRDefault="004D1379" w:rsidP="004D1379">
            <w:pPr>
              <w:jc w:val="center"/>
              <w:rPr>
                <w:b/>
                <w:bCs/>
                <w:color w:val="000000"/>
                <w:sz w:val="22"/>
                <w:szCs w:val="22"/>
              </w:rPr>
            </w:pPr>
            <w:r w:rsidRPr="004D1379">
              <w:rPr>
                <w:b/>
                <w:bCs/>
                <w:color w:val="000000"/>
                <w:sz w:val="22"/>
                <w:szCs w:val="22"/>
              </w:rPr>
              <w:t>Предложения в Основные направления</w:t>
            </w:r>
          </w:p>
        </w:tc>
        <w:tc>
          <w:tcPr>
            <w:tcW w:w="3458" w:type="dxa"/>
            <w:shd w:val="clear" w:color="auto" w:fill="auto"/>
            <w:vAlign w:val="center"/>
            <w:hideMark/>
          </w:tcPr>
          <w:p w:rsidR="004D1379" w:rsidRPr="004D1379" w:rsidRDefault="004D1379" w:rsidP="004D1379">
            <w:pPr>
              <w:jc w:val="center"/>
              <w:rPr>
                <w:b/>
                <w:bCs/>
                <w:color w:val="000000"/>
                <w:sz w:val="22"/>
                <w:szCs w:val="22"/>
              </w:rPr>
            </w:pPr>
            <w:r w:rsidRPr="004D1379">
              <w:rPr>
                <w:b/>
                <w:bCs/>
                <w:color w:val="000000"/>
                <w:sz w:val="22"/>
                <w:szCs w:val="22"/>
              </w:rPr>
              <w:t>Комментарий</w:t>
            </w:r>
          </w:p>
        </w:tc>
        <w:tc>
          <w:tcPr>
            <w:tcW w:w="4111" w:type="dxa"/>
            <w:vAlign w:val="center"/>
          </w:tcPr>
          <w:p w:rsidR="004D1379" w:rsidRPr="004D1379" w:rsidRDefault="004D1379" w:rsidP="004D1379">
            <w:pPr>
              <w:jc w:val="center"/>
              <w:rPr>
                <w:b/>
                <w:bCs/>
                <w:color w:val="000000"/>
                <w:sz w:val="22"/>
                <w:szCs w:val="22"/>
              </w:rPr>
            </w:pPr>
            <w:r>
              <w:rPr>
                <w:b/>
                <w:bCs/>
                <w:color w:val="000000"/>
                <w:sz w:val="22"/>
                <w:szCs w:val="22"/>
              </w:rPr>
              <w:t>Позиция</w:t>
            </w:r>
          </w:p>
          <w:p w:rsidR="004D1379" w:rsidRPr="004D1379" w:rsidRDefault="004D1379" w:rsidP="004D1379">
            <w:pPr>
              <w:jc w:val="center"/>
              <w:rPr>
                <w:b/>
                <w:bCs/>
                <w:color w:val="000000"/>
                <w:sz w:val="22"/>
                <w:szCs w:val="22"/>
              </w:rPr>
            </w:pPr>
            <w:r w:rsidRPr="004D1379">
              <w:rPr>
                <w:b/>
                <w:bCs/>
                <w:color w:val="000000"/>
                <w:sz w:val="22"/>
                <w:szCs w:val="22"/>
              </w:rPr>
              <w:t>Минфина России</w:t>
            </w:r>
          </w:p>
        </w:tc>
      </w:tr>
      <w:tr w:rsidR="004D1379" w:rsidRPr="004D1379" w:rsidTr="009C6571">
        <w:trPr>
          <w:trHeight w:val="1387"/>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Раздел 3 </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пункт 3</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подпункт 3.1 </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«Структурные меры налоговой политики» </w:t>
            </w:r>
          </w:p>
          <w:p w:rsidR="004D1379" w:rsidRPr="004D1379" w:rsidRDefault="004D1379" w:rsidP="004D1379">
            <w:pPr>
              <w:rPr>
                <w:rFonts w:eastAsiaTheme="minorHAnsi"/>
                <w:sz w:val="22"/>
                <w:szCs w:val="22"/>
                <w:lang w:eastAsia="en-US"/>
              </w:rPr>
            </w:pP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Абз.4 стр. 36</w:t>
            </w:r>
          </w:p>
          <w:p w:rsidR="004D1379" w:rsidRPr="004D1379" w:rsidRDefault="004D1379" w:rsidP="004D1379">
            <w:pPr>
              <w:rPr>
                <w:rFonts w:eastAsiaTheme="minorHAnsi"/>
                <w:color w:val="FF0000"/>
                <w:sz w:val="22"/>
                <w:szCs w:val="22"/>
                <w:lang w:eastAsia="en-US"/>
              </w:rPr>
            </w:pPr>
          </w:p>
        </w:tc>
        <w:tc>
          <w:tcPr>
            <w:tcW w:w="2540"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w:t>
            </w:r>
            <w:r w:rsidRPr="004D1379">
              <w:rPr>
                <w:rFonts w:eastAsiaTheme="minorHAnsi"/>
                <w:i/>
                <w:sz w:val="22"/>
                <w:szCs w:val="22"/>
                <w:lang w:eastAsia="en-US"/>
              </w:rPr>
              <w:t xml:space="preserve">в целях смягчения влияния курсовых колебаний на ценовые условия на внутреннем рынке с 1 октября 2023 года временно (до 2025 года) </w:t>
            </w:r>
            <w:r w:rsidRPr="004D1379">
              <w:rPr>
                <w:rFonts w:eastAsiaTheme="minorHAnsi"/>
                <w:b/>
                <w:i/>
                <w:sz w:val="22"/>
                <w:szCs w:val="22"/>
                <w:lang w:eastAsia="en-US"/>
              </w:rPr>
              <w:t xml:space="preserve">вводится прогрессивная шкала ставок экспортных пошлин на товары </w:t>
            </w:r>
            <w:proofErr w:type="spellStart"/>
            <w:r w:rsidRPr="004D1379">
              <w:rPr>
                <w:rFonts w:eastAsiaTheme="minorHAnsi"/>
                <w:b/>
                <w:i/>
                <w:sz w:val="22"/>
                <w:szCs w:val="22"/>
                <w:lang w:eastAsia="en-US"/>
              </w:rPr>
              <w:t>ненефтегазового</w:t>
            </w:r>
            <w:proofErr w:type="spellEnd"/>
            <w:r w:rsidRPr="004D1379">
              <w:rPr>
                <w:rFonts w:eastAsiaTheme="minorHAnsi"/>
                <w:b/>
                <w:i/>
                <w:sz w:val="22"/>
                <w:szCs w:val="22"/>
                <w:lang w:eastAsia="en-US"/>
              </w:rPr>
              <w:t xml:space="preserve"> экспорта</w:t>
            </w:r>
            <w:r w:rsidRPr="004D1379">
              <w:rPr>
                <w:rFonts w:eastAsiaTheme="minorHAnsi"/>
                <w:i/>
                <w:sz w:val="22"/>
                <w:szCs w:val="22"/>
                <w:lang w:eastAsia="en-US"/>
              </w:rPr>
              <w:t xml:space="preserve"> (кроме </w:t>
            </w:r>
            <w:proofErr w:type="spellStart"/>
            <w:r w:rsidRPr="004D1379">
              <w:rPr>
                <w:rFonts w:eastAsiaTheme="minorHAnsi"/>
                <w:i/>
                <w:sz w:val="22"/>
                <w:szCs w:val="22"/>
                <w:lang w:eastAsia="en-US"/>
              </w:rPr>
              <w:t>машинотехнической</w:t>
            </w:r>
            <w:proofErr w:type="spellEnd"/>
            <w:r w:rsidRPr="004D1379">
              <w:rPr>
                <w:rFonts w:eastAsiaTheme="minorHAnsi"/>
                <w:i/>
                <w:sz w:val="22"/>
                <w:szCs w:val="22"/>
                <w:lang w:eastAsia="en-US"/>
              </w:rPr>
              <w:t xml:space="preserve"> продукции и товаров с высокой импортной составляющей) </w:t>
            </w:r>
            <w:r w:rsidRPr="004D1379">
              <w:rPr>
                <w:rFonts w:eastAsiaTheme="minorHAnsi"/>
                <w:b/>
                <w:i/>
                <w:sz w:val="22"/>
                <w:szCs w:val="22"/>
                <w:lang w:eastAsia="en-US"/>
              </w:rPr>
              <w:t>в зависимости от уровня валютного курса (4% при курсе $/рубля 80-85, 5% при курсе 85-90, 5,5% при курсе 90-95 и 7% при курсе выше 95).</w:t>
            </w:r>
            <w:r w:rsidRPr="004D1379">
              <w:rPr>
                <w:rFonts w:eastAsiaTheme="minorHAnsi"/>
                <w:i/>
                <w:sz w:val="22"/>
                <w:szCs w:val="22"/>
                <w:lang w:eastAsia="en-US"/>
              </w:rPr>
              <w:t xml:space="preserve"> При этом в структуре экспорта данных товаров порядка 80% приходится на продукцию отраслей ГМК, где сохраняется высокий потенциал повышения справедливости </w:t>
            </w:r>
            <w:r w:rsidRPr="004D1379">
              <w:rPr>
                <w:rFonts w:eastAsiaTheme="minorHAnsi"/>
                <w:i/>
                <w:sz w:val="22"/>
                <w:szCs w:val="22"/>
                <w:lang w:eastAsia="en-US"/>
              </w:rPr>
              <w:lastRenderedPageBreak/>
              <w:t>распределения рентных доходов</w:t>
            </w:r>
            <w:r w:rsidRPr="004D1379">
              <w:rPr>
                <w:rFonts w:eastAsiaTheme="minorHAnsi"/>
                <w:sz w:val="22"/>
                <w:szCs w:val="22"/>
                <w:lang w:eastAsia="en-US"/>
              </w:rPr>
              <w:t>»</w:t>
            </w:r>
          </w:p>
        </w:tc>
        <w:tc>
          <w:tcPr>
            <w:tcW w:w="2682"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Отказаться от реализации данной меры с 2024 г. (наиболее предпочтительный вариант)</w:t>
            </w:r>
          </w:p>
          <w:p w:rsidR="004D1379" w:rsidRPr="004D1379" w:rsidRDefault="004D1379" w:rsidP="004D1379">
            <w:pPr>
              <w:jc w:val="both"/>
              <w:rPr>
                <w:rFonts w:eastAsiaTheme="minorHAnsi"/>
                <w:sz w:val="22"/>
                <w:szCs w:val="22"/>
                <w:lang w:eastAsia="en-US"/>
              </w:rPr>
            </w:pP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Фактически вводится механизм уплаты экспортных пошлин, в рамках которого государству выгодно держать низкий курс рубля к доллару, что будет создавать дополнительную нагрузку на предприятия.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Не соблюдается принцип экономической обоснованности налогообложения: отсутствует экономическое обоснование изменения ставки экспортной пошлины в зависимости от одинакового шага.</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Кроме того, указанная мера приводит к финансовой нестабильности работы компаний, в связи со сложностью прогнозирования размера пошлины из-за нестабильности валютного курса.</w:t>
            </w:r>
          </w:p>
        </w:tc>
        <w:tc>
          <w:tcPr>
            <w:tcW w:w="4111" w:type="dxa"/>
          </w:tcPr>
          <w:p w:rsidR="004D1379" w:rsidRPr="004D1379" w:rsidRDefault="004D1379" w:rsidP="004D1379">
            <w:pPr>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Принятие постановления Правительства Российской Федерации от 21 сентября 2023 г. № 1538 «О ставках вывозных таможенных пошлин на товары, вывозимые из Российской Федерации за пределы таможенной территории Евразийского экономического союза, и о внесении изменений в ставки вывозных таможенных пошлин на товары, вывозимые из Российской Федерации за пределы таможенной территории Евразийского экономического союза» (далее – Постановление № 1538) продиктовано целью стабилизации предложения товаров на внутреннем рынке Российской Федерации по приемлемым ценам в условиях ослабления курса рубля, значительно повышающего доходность экспорта.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 настоящее время, указанная тенденция на российском валютном рынке пока сохраняется.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Доходы от уплаты вывозных таможенных пошлин, ставки которых предусмотрены в Постановлении № 1538, учтены в проекте федерального бюджета на 2024 г. и плановый период 2025-2026 гг., который в соответствии с постановлением Государственной Думы Российской Федерации от 26 октября 2023 года № 4957-8 ГД принят в 1 чтении. </w:t>
            </w:r>
            <w:r w:rsidRPr="004D1379">
              <w:rPr>
                <w:rFonts w:eastAsiaTheme="minorHAnsi"/>
                <w:sz w:val="22"/>
                <w:szCs w:val="22"/>
                <w:lang w:eastAsia="en-US"/>
              </w:rPr>
              <w:lastRenderedPageBreak/>
              <w:t xml:space="preserve">В связи с чем предложение РСПП «отказаться от реализации данной меры с 2024 г.» приведет к </w:t>
            </w:r>
            <w:proofErr w:type="spellStart"/>
            <w:r w:rsidRPr="004D1379">
              <w:rPr>
                <w:rFonts w:eastAsiaTheme="minorHAnsi"/>
                <w:sz w:val="22"/>
                <w:szCs w:val="22"/>
                <w:lang w:eastAsia="en-US"/>
              </w:rPr>
              <w:t>недополучению</w:t>
            </w:r>
            <w:proofErr w:type="spellEnd"/>
            <w:r w:rsidRPr="004D1379">
              <w:rPr>
                <w:rFonts w:eastAsiaTheme="minorHAnsi"/>
                <w:sz w:val="22"/>
                <w:szCs w:val="22"/>
                <w:lang w:eastAsia="en-US"/>
              </w:rPr>
              <w:t xml:space="preserve"> в доходную часть федерального бюджета запланированных денежных средств.</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Тезис РСПП, согласно которому введение экспортных пошлин «будет создавать дополнительную нагрузку на предприятия» представляется малообоснованным, поскольку ослабление курса рубля, в том числе, сверх прогнозных значений в 2023 году привело к еще большему росту доходности экспортных операций как по сравнению с предыдущими периодами времени (с более «сильным» рублем), так и по сравнению с предложением товаров на внутреннем рынке.</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 связи с этим, частичное изъятие непредвиденных доходов экспортеров, формируемых в условиях текущего курса </w:t>
            </w:r>
            <w:proofErr w:type="gramStart"/>
            <w:r w:rsidRPr="004D1379">
              <w:rPr>
                <w:rFonts w:eastAsiaTheme="minorHAnsi"/>
                <w:sz w:val="22"/>
                <w:szCs w:val="22"/>
                <w:lang w:eastAsia="en-US"/>
              </w:rPr>
              <w:t>рубля ,</w:t>
            </w:r>
            <w:proofErr w:type="gramEnd"/>
            <w:r w:rsidRPr="004D1379">
              <w:rPr>
                <w:rFonts w:eastAsiaTheme="minorHAnsi"/>
                <w:sz w:val="22"/>
                <w:szCs w:val="22"/>
                <w:lang w:eastAsia="en-US"/>
              </w:rPr>
              <w:t xml:space="preserve"> не окажет негативного влияния на инвестиционную активность и операционную деятельность экспортно-ориентированных предприятий.</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Утверждение, согласно которому механизм введения экспортных пошлин в рамках Постановления № 1538 делает выгодным для государства «держать низкий курс рубля к доллару» представляется </w:t>
            </w:r>
            <w:proofErr w:type="gramStart"/>
            <w:r w:rsidRPr="004D1379">
              <w:rPr>
                <w:rFonts w:eastAsiaTheme="minorHAnsi"/>
                <w:sz w:val="22"/>
                <w:szCs w:val="22"/>
                <w:lang w:eastAsia="en-US"/>
              </w:rPr>
              <w:t>необоснованным,  поскольку</w:t>
            </w:r>
            <w:proofErr w:type="gramEnd"/>
            <w:r w:rsidRPr="004D1379">
              <w:rPr>
                <w:rFonts w:eastAsiaTheme="minorHAnsi"/>
                <w:sz w:val="22"/>
                <w:szCs w:val="22"/>
                <w:lang w:eastAsia="en-US"/>
              </w:rPr>
              <w:t xml:space="preserve"> курс национальной валюты определяется на биржевом валютном рынке по итогам проведения биржевых операций по купле-продаже иностранной </w:t>
            </w:r>
            <w:r w:rsidRPr="004D1379">
              <w:rPr>
                <w:rFonts w:eastAsiaTheme="minorHAnsi"/>
                <w:sz w:val="22"/>
                <w:szCs w:val="22"/>
                <w:lang w:eastAsia="en-US"/>
              </w:rPr>
              <w:lastRenderedPageBreak/>
              <w:t>валюты, в том числе, вырученной экспортерами от продажи своих товаров на внешнем рынке, а не директивными государственными предписаниями.</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Утверждение РСПП, согласно которому «не соблюдается принцип экономической обоснованности налогообложения: отсутствует экономическое обоснование изменения ставки экспортной пошлины в зависимости от одинакового шага» не может быть принято, поскольку  динамика обменного курса национальной валюты прямо влияет на </w:t>
            </w:r>
            <w:proofErr w:type="spellStart"/>
            <w:r w:rsidRPr="004D1379">
              <w:rPr>
                <w:rFonts w:eastAsiaTheme="minorHAnsi"/>
                <w:sz w:val="22"/>
                <w:szCs w:val="22"/>
                <w:lang w:eastAsia="en-US"/>
              </w:rPr>
              <w:t>маржинальность</w:t>
            </w:r>
            <w:proofErr w:type="spellEnd"/>
            <w:r w:rsidRPr="004D1379">
              <w:rPr>
                <w:rFonts w:eastAsiaTheme="minorHAnsi"/>
                <w:sz w:val="22"/>
                <w:szCs w:val="22"/>
                <w:lang w:eastAsia="en-US"/>
              </w:rPr>
              <w:t xml:space="preserve"> (доходность) экспортных операций и величину выручки, исчисленной в российских рублях по обменному курсу рубля к основным иностранным валютам, используемым при ценообразовании на экспортируемые российские товары, получаемой экспортерами от их продажи за рубеж.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Введение вывозных таможенных пошлин позволяет обеспечить экономический стимул к предложению товаров на внутреннем рынке по приемлемым ценам в условиях повышения доходности экспорта.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Касательно «изменения ставки вывозной пошлины в зависимости от одинакового шага», то с учетом аргументов, приводившихся ранее заявителями при постановке вопросов о выведении из-под вывозных таможенных пошлин отдельных категорий товаров, речь по-</w:t>
            </w:r>
            <w:r w:rsidRPr="004D1379">
              <w:rPr>
                <w:rFonts w:eastAsiaTheme="minorHAnsi"/>
                <w:sz w:val="22"/>
                <w:szCs w:val="22"/>
                <w:lang w:eastAsia="en-US"/>
              </w:rPr>
              <w:lastRenderedPageBreak/>
              <w:t xml:space="preserve">видимому идет о том, что ставка вывозной таможенной пошлины должна была бы зависеть не от обменного курса рубля, а от иных факторов, определяемых, в том числе, используемыми моделями исчисления затрат на изготовление товаров, а также от модели договорных отношений между сторонами сделки при продаже товаров за рубеж.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В связи с этим, необходимо отметить, что принятый в Постановлении № 1538 механизм носит сбалансированный характер, поскольку, с одной стороны, учитывает при обложении товаров вывозными таможенными пошлинами колебание доходности экспортных операций по ним, определяемое обменным курсом рубля, а с другой, - не дает способов недобросовестным лицам, манипулируя теми или иными факторами, «оптимизировать» подлежащие уплате суммы вывозных таможенных пошлин.</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Относительно тезиса, согласно которому рассматриваемая мера «приводит к финансовой нестабильности работы компаний, в связи со сложностью прогнозирования размера пошлины из-за нестабильности валютного курса» необходимо отметить, что пунктами 4-6 Постановления № 1538 предусмотрен механизм размещения Минэкономразвития России на своем официальном сайте в информационно-</w:t>
            </w:r>
            <w:r w:rsidRPr="004D1379">
              <w:rPr>
                <w:rFonts w:eastAsiaTheme="minorHAnsi"/>
                <w:sz w:val="22"/>
                <w:szCs w:val="22"/>
                <w:lang w:eastAsia="en-US"/>
              </w:rPr>
              <w:lastRenderedPageBreak/>
              <w:t xml:space="preserve">телекоммуникационной сети «Интернет» ставок вывозных таможенных пошлин, предстоящих к применению по итогам периодического мониторинга, осуществляемого Минэкономразвития России в соответствии с указанными пунктами, что делает данную меру предсказуемой для экспортеров и позволяет им планировать свою деятельность с учетом данного изменения налогообложения.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Кроме того, как представляется, прогноз динамики обменного курса рубля проводится и в настоящее время компаниями-экспортерами, в том числе, в рамках оценки обоснованности проводимой ими ценовой политики в отношении товаров, поставляемых за рубеж, в связи с чем не ясны сложности в использовании результатов такого планирования и для прогнозирования затрат на уплату в федеральный бюджет вывозных таможенных пошлин.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Также необходимо отметить, что принятый механизм уплаты экспортной пошлины носит временный характер (до 2025 года).</w:t>
            </w:r>
          </w:p>
        </w:tc>
      </w:tr>
      <w:tr w:rsidR="004D1379" w:rsidRPr="004D1379" w:rsidTr="009C6571">
        <w:trPr>
          <w:trHeight w:val="1387"/>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color w:val="FF0000"/>
                <w:sz w:val="22"/>
                <w:szCs w:val="22"/>
              </w:rPr>
            </w:pPr>
            <w:r w:rsidRPr="004D1379">
              <w:rPr>
                <w:color w:val="000000"/>
                <w:sz w:val="22"/>
                <w:szCs w:val="22"/>
              </w:rPr>
              <w:t>Приложение № 2 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rPr>
                <w:rFonts w:eastAsiaTheme="minorHAnsi"/>
                <w:color w:val="FF0000"/>
                <w:sz w:val="22"/>
                <w:szCs w:val="22"/>
                <w:lang w:eastAsia="en-US"/>
              </w:rPr>
            </w:pPr>
            <w:r w:rsidRPr="004D1379">
              <w:rPr>
                <w:color w:val="000000"/>
                <w:sz w:val="22"/>
                <w:szCs w:val="22"/>
              </w:rPr>
              <w:t>Налог на прибыль организаций</w:t>
            </w:r>
            <w:r w:rsidRPr="004D1379">
              <w:rPr>
                <w:rFonts w:eastAsiaTheme="minorHAnsi"/>
                <w:sz w:val="22"/>
                <w:szCs w:val="22"/>
                <w:lang w:eastAsia="en-US"/>
              </w:rPr>
              <w:t xml:space="preserve"> </w:t>
            </w:r>
          </w:p>
        </w:tc>
        <w:tc>
          <w:tcPr>
            <w:tcW w:w="2540"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autoSpaceDE w:val="0"/>
              <w:autoSpaceDN w:val="0"/>
              <w:adjustRightInd w:val="0"/>
              <w:rPr>
                <w:rFonts w:eastAsiaTheme="minorHAnsi"/>
                <w:sz w:val="22"/>
                <w:szCs w:val="22"/>
                <w:lang w:eastAsia="en-US"/>
              </w:rPr>
            </w:pPr>
            <w:r w:rsidRPr="004D1379">
              <w:rPr>
                <w:rFonts w:eastAsiaTheme="minorHAnsi"/>
                <w:sz w:val="22"/>
                <w:szCs w:val="22"/>
                <w:lang w:eastAsia="en-US"/>
              </w:rPr>
              <w:t xml:space="preserve">Дополнить новым пунктом: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«Сделать бессрочным действие инвестиционного налогового вычета (ИНВ), распространив его на все </w:t>
            </w:r>
            <w:r w:rsidRPr="004D1379">
              <w:rPr>
                <w:rFonts w:eastAsiaTheme="minorHAnsi"/>
                <w:sz w:val="22"/>
                <w:szCs w:val="22"/>
                <w:lang w:eastAsia="en-US"/>
              </w:rPr>
              <w:lastRenderedPageBreak/>
              <w:t>регионы РФ и все сферы экономики.»</w:t>
            </w:r>
            <w:r w:rsidRPr="004D1379">
              <w:rPr>
                <w:rFonts w:eastAsiaTheme="minorHAnsi"/>
                <w:i/>
                <w:color w:val="0000FF"/>
                <w:sz w:val="22"/>
                <w:szCs w:val="22"/>
                <w:lang w:eastAsia="en-US"/>
              </w:rPr>
              <w:t xml:space="preserve"> </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Предлагается исключить ограничение в периоде применения ИНВ (в настоящее время применение данного механизма ограничено периодом до конца 2027 года). Принимая во внимание, что речь идет о дорогостоящих и долгосрочных </w:t>
            </w:r>
            <w:r w:rsidRPr="004D1379">
              <w:rPr>
                <w:rFonts w:eastAsiaTheme="minorHAnsi"/>
                <w:sz w:val="22"/>
                <w:szCs w:val="22"/>
                <w:lang w:eastAsia="en-US"/>
              </w:rPr>
              <w:lastRenderedPageBreak/>
              <w:t xml:space="preserve">инвестициях в основные средства, эта льгота уже сейчас перестает рассматриваться в новых инвестиционных проектах. Без продления срока её действия она уже утрачивает роль мощного долгосрочного стимула инвестиций. Кроме того, положительный опыт этой меры в отношении товаропроизводителей отдельных регионов было бы уместно перенести на все регионы РФ и на все сферы экономики: транспортную инфраструктуру, промышленные услуги и тому подобное. Сейчас в каждом регионе свои правила по ИНВ, в некоторых регионах его нет вообще, что является проблемой для </w:t>
            </w:r>
            <w:proofErr w:type="spellStart"/>
            <w:r w:rsidRPr="004D1379">
              <w:rPr>
                <w:rFonts w:eastAsiaTheme="minorHAnsi"/>
                <w:sz w:val="22"/>
                <w:szCs w:val="22"/>
                <w:lang w:eastAsia="en-US"/>
              </w:rPr>
              <w:t>инвестпроектов</w:t>
            </w:r>
            <w:proofErr w:type="spellEnd"/>
            <w:r w:rsidRPr="004D1379">
              <w:rPr>
                <w:rFonts w:eastAsiaTheme="minorHAnsi"/>
                <w:sz w:val="22"/>
                <w:szCs w:val="22"/>
                <w:lang w:eastAsia="en-US"/>
              </w:rPr>
              <w:t xml:space="preserve"> общероссийского масштаба. </w:t>
            </w:r>
          </w:p>
        </w:tc>
        <w:tc>
          <w:tcPr>
            <w:tcW w:w="4111" w:type="dxa"/>
          </w:tcPr>
          <w:p w:rsid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lastRenderedPageBreak/>
              <w:t>Не поддерживается</w:t>
            </w:r>
            <w:r>
              <w:rPr>
                <w:rFonts w:eastAsiaTheme="minorHAnsi"/>
                <w:b/>
                <w:sz w:val="22"/>
                <w:szCs w:val="22"/>
                <w:lang w:eastAsia="en-US"/>
              </w:rPr>
              <w:t>.</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Касательно предложения сделать применение ИНВ единым для всех регионов, то данное предложение не поддерживается, так как ИНВ, является для органов власти субъектов основным инструментом по налоговому стимулированию инвестиционной </w:t>
            </w:r>
            <w:r w:rsidRPr="004D1379">
              <w:rPr>
                <w:rFonts w:eastAsiaTheme="minorHAnsi"/>
                <w:sz w:val="22"/>
                <w:szCs w:val="22"/>
                <w:lang w:eastAsia="en-US"/>
              </w:rPr>
              <w:lastRenderedPageBreak/>
              <w:t>активности в регионах. Таким образом, все права, которые сегодня предоставлены субъектам РФ в части регулирования ИНВ должны быть сохранены в соответствии с принципом самостоятельности бюджетной и налоговой политики, установленным бюджетным законодательством.</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Вопрос о продлении ИНВ будет обсуждаться на уровне Правительства Российской Федерации, и в случае принятия решения Минфин России готов подготовить соответствующий законопроект.</w:t>
            </w:r>
          </w:p>
          <w:p w:rsidR="004D1379" w:rsidRPr="004D1379" w:rsidRDefault="004D1379" w:rsidP="004D1379">
            <w:pPr>
              <w:ind w:firstLine="180"/>
              <w:jc w:val="both"/>
              <w:rPr>
                <w:rFonts w:eastAsiaTheme="minorHAnsi"/>
                <w:sz w:val="22"/>
                <w:szCs w:val="22"/>
                <w:lang w:eastAsia="en-US"/>
              </w:rPr>
            </w:pP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Приложение 2</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Меры налоговой политики по видам налогов</w:t>
            </w:r>
          </w:p>
          <w:p w:rsidR="004D1379" w:rsidRPr="004D1379" w:rsidRDefault="004D1379" w:rsidP="004D1379">
            <w:pPr>
              <w:rPr>
                <w:color w:val="000000" w:themeColor="text1"/>
                <w:sz w:val="22"/>
                <w:szCs w:val="22"/>
              </w:rPr>
            </w:pPr>
            <w:r w:rsidRPr="004D1379">
              <w:rPr>
                <w:color w:val="000000" w:themeColor="text1"/>
                <w:sz w:val="22"/>
                <w:szCs w:val="22"/>
              </w:rPr>
              <w:t>Совершенствование налогового администрирования</w:t>
            </w:r>
          </w:p>
          <w:p w:rsidR="004D1379" w:rsidRPr="004D1379" w:rsidRDefault="004D1379" w:rsidP="004D1379">
            <w:pPr>
              <w:rPr>
                <w:color w:val="000000" w:themeColor="text1"/>
                <w:sz w:val="22"/>
                <w:szCs w:val="22"/>
              </w:rPr>
            </w:pPr>
          </w:p>
          <w:p w:rsidR="004D1379" w:rsidRPr="004D1379" w:rsidRDefault="004D1379" w:rsidP="004D1379">
            <w:pPr>
              <w:rPr>
                <w:color w:val="FF0000"/>
                <w:sz w:val="22"/>
                <w:szCs w:val="22"/>
              </w:rPr>
            </w:pPr>
            <w:r w:rsidRPr="004D1379">
              <w:rPr>
                <w:color w:val="000000" w:themeColor="text1"/>
                <w:sz w:val="22"/>
                <w:szCs w:val="22"/>
              </w:rPr>
              <w:t>П.6</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color w:val="000000"/>
                <w:sz w:val="22"/>
                <w:szCs w:val="22"/>
              </w:rPr>
            </w:pPr>
            <w:r w:rsidRPr="004D1379">
              <w:rPr>
                <w:rFonts w:eastAsiaTheme="minorHAnsi"/>
                <w:sz w:val="22"/>
                <w:szCs w:val="22"/>
                <w:lang w:eastAsia="en-US"/>
              </w:rPr>
              <w:t xml:space="preserve">6. В целях исключения дальнейшего разночтения состава перечня дополнительных мероприятий налогового контроля, которые могут проводиться на этапе рассмотрения материалов налоговой проверки, предлагается уточнить, что к таким мероприятиям также </w:t>
            </w:r>
            <w:r w:rsidRPr="004D1379">
              <w:rPr>
                <w:rFonts w:eastAsiaTheme="minorHAnsi"/>
                <w:sz w:val="22"/>
                <w:szCs w:val="22"/>
                <w:lang w:eastAsia="en-US"/>
              </w:rPr>
              <w:lastRenderedPageBreak/>
              <w:t>относится выемка документов.</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color w:val="000000"/>
                <w:sz w:val="22"/>
                <w:szCs w:val="22"/>
              </w:rPr>
            </w:pPr>
            <w:r w:rsidRPr="004D1379">
              <w:rPr>
                <w:rFonts w:eastAsiaTheme="minorHAnsi"/>
                <w:sz w:val="22"/>
                <w:szCs w:val="22"/>
                <w:lang w:eastAsia="en-US"/>
              </w:rPr>
              <w:lastRenderedPageBreak/>
              <w:t>Предлагаем исключить</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Данная мера создает неопределенность в деятельности налогоплательщика, а также увеличивает риск давления на налогоплательщика со стороны контролирующих органов с целью ущемления прав по оспариванию результатов проверки.</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Текущая редакция НК РФ предусматривает достаточный и понятный состав мероприятий налогового контроля.</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Включение в состав дополнительных мероприятий </w:t>
            </w:r>
            <w:r w:rsidRPr="004D1379">
              <w:rPr>
                <w:rFonts w:eastAsiaTheme="minorHAnsi"/>
                <w:sz w:val="22"/>
                <w:szCs w:val="22"/>
                <w:lang w:eastAsia="en-US"/>
              </w:rPr>
              <w:lastRenderedPageBreak/>
              <w:t xml:space="preserve">налогового контроля на этапе рассмотрения материалов налоговой проверки выемки документов увеличит административную нагрузку на налогоплательщика, а также, может потенциально увеличить время проведения указанного этапа проверки. </w:t>
            </w:r>
          </w:p>
          <w:p w:rsidR="004D1379" w:rsidRPr="004D1379" w:rsidRDefault="004D1379" w:rsidP="004D1379">
            <w:pPr>
              <w:jc w:val="both"/>
              <w:rPr>
                <w:color w:val="000000"/>
                <w:sz w:val="22"/>
                <w:szCs w:val="22"/>
              </w:rPr>
            </w:pPr>
            <w:r w:rsidRPr="004D1379">
              <w:rPr>
                <w:rFonts w:eastAsiaTheme="minorHAnsi"/>
                <w:sz w:val="22"/>
                <w:szCs w:val="22"/>
                <w:lang w:eastAsia="en-US"/>
              </w:rPr>
              <w:t>Кроме того, выемка документов не соответствует правому назначению дополнительных мероприятий налогового контроля, которые, согласно ст. 101 НК РФ, направлены на получения дополнительных доказательств для подтверждения факта совершения нарушения (отсутствия таковых), отраженного в акте.</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204"/>
              <w:jc w:val="both"/>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204"/>
              <w:jc w:val="both"/>
              <w:rPr>
                <w:rFonts w:eastAsiaTheme="minorHAnsi"/>
                <w:sz w:val="22"/>
                <w:szCs w:val="22"/>
                <w:lang w:eastAsia="en-US"/>
              </w:rPr>
            </w:pPr>
            <w:r w:rsidRPr="004D1379">
              <w:rPr>
                <w:rFonts w:eastAsiaTheme="minorHAnsi"/>
                <w:sz w:val="22"/>
                <w:szCs w:val="22"/>
                <w:lang w:eastAsia="en-US"/>
              </w:rPr>
              <w:t>Данная мера необходима в целях исключения дальнейшего разночтения состава перечня дополнительных мероприятий налогового контроля.</w:t>
            </w:r>
          </w:p>
          <w:p w:rsidR="004D1379" w:rsidRPr="004D1379" w:rsidRDefault="004D1379" w:rsidP="004D1379">
            <w:pPr>
              <w:ind w:firstLine="204"/>
              <w:jc w:val="both"/>
              <w:rPr>
                <w:rFonts w:eastAsiaTheme="minorHAnsi"/>
                <w:sz w:val="22"/>
                <w:szCs w:val="22"/>
                <w:lang w:eastAsia="en-US"/>
              </w:rPr>
            </w:pPr>
            <w:r w:rsidRPr="004D1379">
              <w:rPr>
                <w:rFonts w:eastAsiaTheme="minorHAnsi"/>
                <w:sz w:val="22"/>
                <w:szCs w:val="22"/>
                <w:lang w:eastAsia="en-US"/>
              </w:rPr>
              <w:t>Её реализация не приведёт к увеличению административной нагрузки на налогоплательщиков, поскольку она уже применяется на практике.</w:t>
            </w:r>
          </w:p>
          <w:p w:rsidR="004D1379" w:rsidRPr="004D1379" w:rsidRDefault="004D1379" w:rsidP="004D1379">
            <w:pPr>
              <w:ind w:firstLine="204"/>
              <w:jc w:val="both"/>
              <w:rPr>
                <w:rFonts w:eastAsiaTheme="minorHAnsi"/>
                <w:sz w:val="22"/>
                <w:szCs w:val="22"/>
                <w:lang w:eastAsia="en-US"/>
              </w:rPr>
            </w:pPr>
            <w:r w:rsidRPr="004D1379">
              <w:rPr>
                <w:rFonts w:eastAsiaTheme="minorHAnsi"/>
                <w:sz w:val="22"/>
                <w:szCs w:val="22"/>
                <w:lang w:eastAsia="en-US"/>
              </w:rPr>
              <w:t>В рамках дополнительных мероприятий налогового контроля может проводиться истребование документов, которые в соответствии с действующим законодательством могут быть изъяты.</w:t>
            </w:r>
          </w:p>
          <w:p w:rsidR="004D1379" w:rsidRPr="004D1379" w:rsidRDefault="004D1379" w:rsidP="004D1379">
            <w:pPr>
              <w:ind w:firstLine="204"/>
              <w:jc w:val="both"/>
              <w:rPr>
                <w:rFonts w:eastAsiaTheme="minorHAnsi"/>
                <w:sz w:val="22"/>
                <w:szCs w:val="22"/>
                <w:lang w:eastAsia="en-US"/>
              </w:rPr>
            </w:pPr>
            <w:r w:rsidRPr="004D1379">
              <w:rPr>
                <w:rFonts w:eastAsiaTheme="minorHAnsi"/>
                <w:sz w:val="22"/>
                <w:szCs w:val="22"/>
                <w:lang w:eastAsia="en-US"/>
              </w:rPr>
              <w:lastRenderedPageBreak/>
              <w:t>Учитывая наличие разночтения законодательства в рассматриваемой части, возникают судебные тяжбы между налогоплательщиками и налоговым органом, по итогам которых суд встаёт на сторону последнего.</w:t>
            </w: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Приложение 2 </w:t>
            </w:r>
          </w:p>
          <w:p w:rsidR="004D1379" w:rsidRPr="004D1379" w:rsidRDefault="004D1379" w:rsidP="004D1379">
            <w:pPr>
              <w:rPr>
                <w:rFonts w:eastAsiaTheme="minorHAnsi"/>
                <w:sz w:val="22"/>
                <w:szCs w:val="22"/>
                <w:lang w:eastAsia="en-US"/>
              </w:rPr>
            </w:pP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Меры налоговой политики по видам налогов </w:t>
            </w:r>
          </w:p>
          <w:p w:rsidR="004D1379" w:rsidRPr="004D1379" w:rsidRDefault="004D1379" w:rsidP="004D1379">
            <w:pPr>
              <w:rPr>
                <w:rFonts w:eastAsiaTheme="minorHAnsi"/>
                <w:sz w:val="22"/>
                <w:szCs w:val="22"/>
                <w:lang w:eastAsia="en-US"/>
              </w:rPr>
            </w:pPr>
          </w:p>
          <w:p w:rsidR="004D1379" w:rsidRPr="004D1379" w:rsidRDefault="004D1379" w:rsidP="004D1379">
            <w:pPr>
              <w:rPr>
                <w:color w:val="FF0000"/>
                <w:sz w:val="22"/>
                <w:szCs w:val="22"/>
              </w:rPr>
            </w:pPr>
            <w:r w:rsidRPr="004D1379">
              <w:rPr>
                <w:rFonts w:eastAsiaTheme="minorHAnsi"/>
                <w:sz w:val="22"/>
                <w:szCs w:val="22"/>
                <w:lang w:eastAsia="en-US"/>
              </w:rPr>
              <w:t>Трансфертное ценообразование, п.1</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Предлагается предусмотреть возможность использования медианного значения интервала рыночных цен (интервала рентабельности) при определении для целей налогообложения доходов (прибыли, выручки) в сделках между взаимозависимыми лицами. Введение такой </w:t>
            </w:r>
            <w:r w:rsidRPr="004D1379">
              <w:rPr>
                <w:rFonts w:eastAsiaTheme="minorHAnsi"/>
                <w:sz w:val="22"/>
                <w:szCs w:val="22"/>
                <w:lang w:eastAsia="en-US"/>
              </w:rPr>
              <w:lastRenderedPageBreak/>
              <w:t>возможности обеспечит справедливое определение цен в сделках между взаимозависимыми лицами для целей налогообложения, а также расширит возможности для достижения взаимного соглашения между федеральным органом исполнительной власти, уполномоченным по контролю и надзору в области налогов и сборов, и уполномоченным органом исполнительной власти иностранного государства, при заключении соглашения о ценообразовании для целей налогообложения.</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Исключить</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Использование медианного значения существенно повышает для налогоплательщиков риск признания фактической цены сделки несоответствующей медианному значению, т.к. </w:t>
            </w:r>
          </w:p>
          <w:p w:rsidR="004D1379" w:rsidRPr="004D1379" w:rsidRDefault="004D1379" w:rsidP="004D1379">
            <w:pPr>
              <w:spacing w:before="120" w:after="120" w:line="259" w:lineRule="auto"/>
              <w:jc w:val="both"/>
              <w:rPr>
                <w:rFonts w:eastAsiaTheme="minorHAnsi"/>
                <w:sz w:val="22"/>
                <w:szCs w:val="22"/>
                <w:lang w:eastAsia="en-US"/>
              </w:rPr>
            </w:pPr>
            <w:r w:rsidRPr="004D1379">
              <w:rPr>
                <w:rFonts w:eastAsiaTheme="minorHAnsi"/>
                <w:sz w:val="22"/>
                <w:szCs w:val="22"/>
                <w:lang w:eastAsia="en-US"/>
              </w:rPr>
              <w:t>1. Использование исключительно медианного значения интервала рыночных цен (интервала рентабельности) при определении для целей налогообложения доходов (прибыли, выручки) противоречит подходу в Разделе V.1 Главы 25 НК РФ;</w:t>
            </w:r>
          </w:p>
          <w:p w:rsidR="004D1379" w:rsidRPr="004D1379" w:rsidRDefault="004D1379" w:rsidP="004D1379">
            <w:pPr>
              <w:spacing w:before="120" w:after="120" w:line="259" w:lineRule="auto"/>
              <w:jc w:val="both"/>
              <w:rPr>
                <w:rFonts w:eastAsiaTheme="minorHAnsi"/>
                <w:sz w:val="22"/>
                <w:szCs w:val="22"/>
                <w:lang w:eastAsia="en-US"/>
              </w:rPr>
            </w:pPr>
            <w:r w:rsidRPr="004D1379">
              <w:rPr>
                <w:rFonts w:eastAsiaTheme="minorHAnsi"/>
                <w:sz w:val="22"/>
                <w:szCs w:val="22"/>
                <w:lang w:eastAsia="en-US"/>
              </w:rPr>
              <w:lastRenderedPageBreak/>
              <w:t>2. Данное предложение не соответствует принятой в других странах практики ТЦО.</w:t>
            </w:r>
          </w:p>
          <w:p w:rsidR="004D1379" w:rsidRPr="004D1379" w:rsidRDefault="004D1379" w:rsidP="004D1379">
            <w:pPr>
              <w:spacing w:before="120" w:after="120" w:line="259" w:lineRule="auto"/>
              <w:jc w:val="both"/>
              <w:rPr>
                <w:rFonts w:eastAsiaTheme="minorHAnsi"/>
                <w:sz w:val="22"/>
                <w:szCs w:val="22"/>
                <w:lang w:eastAsia="en-US"/>
              </w:rPr>
            </w:pPr>
            <w:r w:rsidRPr="004D1379">
              <w:rPr>
                <w:rFonts w:eastAsiaTheme="minorHAnsi"/>
                <w:sz w:val="22"/>
                <w:szCs w:val="22"/>
                <w:lang w:eastAsia="en-US"/>
              </w:rPr>
              <w:t xml:space="preserve">В связи со сложившейся геополитической ситуацией и вводимыми санкциями бизнес перестраивает существующие модели бизнеса и цепочки поставки, в этой связи возникает большое количество сложностей в части обоснования цены соответствующей рыночному интервалу, исходя из множества вынужденных «корректировок», что может привести к необоснованным начислениям налогов.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Учитывая изложенное, такая позиция в том числе приведет к увеличению числа судебных разбирательств по вопросу необоснованного начисления налогов.</w:t>
            </w:r>
            <w:r w:rsidRPr="004D1379">
              <w:rPr>
                <w:rFonts w:asciiTheme="minorHAnsi" w:eastAsiaTheme="minorHAnsi" w:hAnsiTheme="minorHAnsi" w:cstheme="minorBidi"/>
                <w:sz w:val="22"/>
                <w:szCs w:val="22"/>
                <w:lang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Предлагаемая мера предусматривает использование медианного значения (вместо максимального или минимального) интервала рыночных цен (рыночного интервала рентабельности) для определения соответствия примененной в сделке цены (рентабельности) рыночному уровню.</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Аналогичная практика широко применяется в зарубежных странах (Китае, Индии, Германии, Австрии, Португалии, Словении, Израиле, Албании, Эквадоре, США и др.), так как способствует определению наиболее </w:t>
            </w:r>
            <w:r w:rsidRPr="004D1379">
              <w:rPr>
                <w:rFonts w:eastAsiaTheme="minorHAnsi"/>
                <w:sz w:val="22"/>
                <w:szCs w:val="22"/>
                <w:lang w:eastAsia="en-US"/>
              </w:rPr>
              <w:lastRenderedPageBreak/>
              <w:t>справедливого значения интервала рыночных цен, снижает вероятность разногласий между налоговым органом и налогоплательщиками, упрощает налоговое администрирование.</w:t>
            </w:r>
          </w:p>
        </w:tc>
      </w:tr>
      <w:tr w:rsidR="004D1379" w:rsidRPr="004D1379" w:rsidTr="009C6571">
        <w:trPr>
          <w:trHeight w:val="638"/>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Раздел 3 </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пункт 3</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подпункт 3.1 </w:t>
            </w:r>
          </w:p>
          <w:p w:rsidR="004D1379" w:rsidRPr="004D1379" w:rsidRDefault="004D1379" w:rsidP="004D1379">
            <w:pPr>
              <w:rPr>
                <w:rFonts w:eastAsiaTheme="minorHAnsi"/>
                <w:sz w:val="22"/>
                <w:szCs w:val="22"/>
                <w:lang w:eastAsia="en-US"/>
              </w:rPr>
            </w:pP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«Структурные меры налоговой политики» </w:t>
            </w:r>
          </w:p>
          <w:p w:rsidR="004D1379" w:rsidRPr="004D1379" w:rsidRDefault="004D1379" w:rsidP="004D1379">
            <w:pPr>
              <w:rPr>
                <w:color w:val="FF0000"/>
                <w:sz w:val="22"/>
                <w:szCs w:val="22"/>
              </w:rPr>
            </w:pPr>
          </w:p>
        </w:tc>
        <w:tc>
          <w:tcPr>
            <w:tcW w:w="2540"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На содействие структурной трансформации будет ориентирован весь инструментарий бюджетной политики, включая налоговую систему. В целом в налоговой политике акцент сохранится на </w:t>
            </w:r>
            <w:r w:rsidRPr="004D1379">
              <w:rPr>
                <w:rFonts w:eastAsiaTheme="minorHAnsi"/>
                <w:sz w:val="22"/>
                <w:szCs w:val="22"/>
                <w:lang w:eastAsia="en-US"/>
              </w:rPr>
              <w:lastRenderedPageBreak/>
              <w:t>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w:t>
            </w:r>
          </w:p>
        </w:tc>
        <w:tc>
          <w:tcPr>
            <w:tcW w:w="2682"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На содействие структурной трансформации будет ориентирован весь инструментарий бюджетной политики, включая налоговую систему. В целом в налоговой политике акцент сохранится на </w:t>
            </w:r>
            <w:r w:rsidRPr="004D1379">
              <w:rPr>
                <w:rFonts w:eastAsiaTheme="minorHAnsi"/>
                <w:sz w:val="22"/>
                <w:szCs w:val="22"/>
                <w:lang w:eastAsia="en-US"/>
              </w:rPr>
              <w:lastRenderedPageBreak/>
              <w:t>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w:t>
            </w:r>
          </w:p>
          <w:p w:rsidR="004D1379" w:rsidRPr="004D1379" w:rsidRDefault="004D1379" w:rsidP="004D1379">
            <w:pPr>
              <w:jc w:val="both"/>
              <w:rPr>
                <w:color w:val="000000"/>
                <w:sz w:val="22"/>
                <w:szCs w:val="22"/>
              </w:rPr>
            </w:pPr>
            <w:r w:rsidRPr="004D1379">
              <w:rPr>
                <w:rFonts w:eastAsiaTheme="minorHAnsi"/>
                <w:b/>
                <w:sz w:val="22"/>
                <w:szCs w:val="22"/>
                <w:lang w:eastAsia="en-US"/>
              </w:rPr>
              <w:t>В частности, в 2024-2026 годах планируется возобновление работы по сближению правил бухгалтерского и налогового учета для финансового сектора, сближения правил бухгалтерского и налогового учета расходов на ремонт основных средств в целях обеспечения прозрачности ведения налогового учета и снижения административной нагрузки для налогоплательщиков и налоговых органов.</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В настоящее время налоговое администрирование двигается по пути </w:t>
            </w:r>
            <w:proofErr w:type="spellStart"/>
            <w:r w:rsidRPr="004D1379">
              <w:rPr>
                <w:rFonts w:eastAsiaTheme="minorHAnsi"/>
                <w:sz w:val="22"/>
                <w:szCs w:val="22"/>
                <w:lang w:eastAsia="en-US"/>
              </w:rPr>
              <w:t>цифровизации</w:t>
            </w:r>
            <w:proofErr w:type="spellEnd"/>
            <w:r w:rsidRPr="004D1379">
              <w:rPr>
                <w:rFonts w:eastAsiaTheme="minorHAnsi"/>
                <w:sz w:val="22"/>
                <w:szCs w:val="22"/>
                <w:lang w:eastAsia="en-US"/>
              </w:rPr>
              <w:t xml:space="preserve"> и автоматизации процессов. Расширяется периметр компаний, входящих в налоговый мониторинг. Взаимодействие между налоговыми органами и налогоплательщиками переходит в режим реального времени, что </w:t>
            </w:r>
            <w:r w:rsidRPr="004D1379">
              <w:rPr>
                <w:rFonts w:eastAsiaTheme="minorHAnsi"/>
                <w:sz w:val="22"/>
                <w:szCs w:val="22"/>
                <w:lang w:eastAsia="en-US"/>
              </w:rPr>
              <w:lastRenderedPageBreak/>
              <w:t xml:space="preserve">приводит к стандартизации регистров и прямой интеграции.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Существенные расхождения в правилах ведения бухгалтерского и налогового учета затрудняют </w:t>
            </w:r>
            <w:proofErr w:type="spellStart"/>
            <w:r w:rsidRPr="004D1379">
              <w:rPr>
                <w:rFonts w:eastAsiaTheme="minorHAnsi"/>
                <w:sz w:val="22"/>
                <w:szCs w:val="22"/>
                <w:lang w:eastAsia="en-US"/>
              </w:rPr>
              <w:t>цифровизацию</w:t>
            </w:r>
            <w:proofErr w:type="spellEnd"/>
            <w:r w:rsidRPr="004D1379">
              <w:rPr>
                <w:rFonts w:eastAsiaTheme="minorHAnsi"/>
                <w:sz w:val="22"/>
                <w:szCs w:val="22"/>
                <w:lang w:eastAsia="en-US"/>
              </w:rPr>
              <w:t xml:space="preserve"> и автоматизацию процессов, так как требуют значительных трудозатрат на ведение и администрирование каждого из учетов. Особенно явно данные расхождения влияют на ведение учета в финансовом секторе. К примеру, глобальные различия в создании резервов для целей бухгалтерского и налогового учета оказывают существенное влияние на итоговые показатели и усложняют администрирование учета финансового сектора налоговыми органами. Также во всех отраслях экономики расхождения между правилами налогового и бухгалтерского учета расходов на ремонты основных средств создали значительные сложности в администрировании учета и в интерпретации отчетности.</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Для преодоления обозначенных трудностей в 2024-2026 годах целесообразно возобновить работу по сближению правил бухгалтерского и налогового учетов для снижения трудозатрат как налоговых органов, так и </w:t>
            </w:r>
            <w:r w:rsidRPr="004D1379">
              <w:rPr>
                <w:rFonts w:eastAsiaTheme="minorHAnsi"/>
                <w:sz w:val="22"/>
                <w:szCs w:val="22"/>
                <w:lang w:eastAsia="en-US"/>
              </w:rPr>
              <w:lastRenderedPageBreak/>
              <w:t>налогоплательщиков, а также обеспечения прозрачности ведения учетов в финансовом секторе.</w:t>
            </w:r>
          </w:p>
        </w:tc>
        <w:tc>
          <w:tcPr>
            <w:tcW w:w="4111" w:type="dxa"/>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Данное предложение рассматривалось ранее и не нашло поддержку бизнеса.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Кроме того, согласно Федеральному закону «О бухгалтерском учете» бухгалтерская (финансовая) отчетность – это информация о финансовом положении экономического субъекта на отчетную дату, финансовом результате его деятельности и движении денежных </w:t>
            </w:r>
            <w:r w:rsidRPr="004D1379">
              <w:rPr>
                <w:rFonts w:eastAsiaTheme="minorHAnsi"/>
                <w:sz w:val="22"/>
                <w:szCs w:val="22"/>
                <w:lang w:eastAsia="en-US"/>
              </w:rPr>
              <w:lastRenderedPageBreak/>
              <w:t>средств за отчетный период, систематизированная в соответствии с требованиями, установленными указанным Федеральным законом. В соответствии с Налоговым кодексом Российской Федерации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 этой связи, поскольку цели, задачи, принципы и основы построения бухгалтерского и налогового учета различаются, возможность сближения правил бухгалтерского учета и налогового учета не усматривается.</w:t>
            </w:r>
          </w:p>
          <w:p w:rsidR="004D1379" w:rsidRPr="004D1379" w:rsidRDefault="004D1379" w:rsidP="004D1379">
            <w:pPr>
              <w:ind w:firstLine="180"/>
              <w:jc w:val="both"/>
              <w:rPr>
                <w:rFonts w:eastAsiaTheme="minorHAnsi"/>
                <w:sz w:val="22"/>
                <w:szCs w:val="22"/>
                <w:lang w:eastAsia="en-US"/>
              </w:rPr>
            </w:pPr>
          </w:p>
          <w:p w:rsidR="004D1379" w:rsidRPr="004D1379" w:rsidRDefault="004D1379" w:rsidP="004D1379">
            <w:pPr>
              <w:ind w:firstLine="180"/>
              <w:jc w:val="both"/>
              <w:rPr>
                <w:rFonts w:eastAsiaTheme="minorHAnsi"/>
                <w:sz w:val="22"/>
                <w:szCs w:val="22"/>
                <w:lang w:eastAsia="en-US"/>
              </w:rPr>
            </w:pPr>
          </w:p>
          <w:p w:rsidR="004D1379" w:rsidRPr="004D1379" w:rsidRDefault="004D1379" w:rsidP="004D1379">
            <w:pPr>
              <w:ind w:firstLine="180"/>
              <w:jc w:val="both"/>
              <w:rPr>
                <w:rFonts w:eastAsiaTheme="minorHAnsi"/>
                <w:sz w:val="22"/>
                <w:szCs w:val="22"/>
                <w:lang w:eastAsia="en-US"/>
              </w:rPr>
            </w:pPr>
          </w:p>
        </w:tc>
      </w:tr>
      <w:tr w:rsidR="004D1379" w:rsidRPr="004D1379" w:rsidTr="009C6571">
        <w:trPr>
          <w:trHeight w:val="638"/>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Стр. 35-36, раздел «Структурные меры налоговой политики»</w:t>
            </w:r>
          </w:p>
          <w:p w:rsidR="004D1379" w:rsidRPr="004D1379" w:rsidRDefault="004D1379" w:rsidP="004D1379">
            <w:pPr>
              <w:rPr>
                <w:sz w:val="22"/>
                <w:szCs w:val="22"/>
              </w:rPr>
            </w:pPr>
          </w:p>
          <w:p w:rsidR="004D1379" w:rsidRPr="004D1379" w:rsidRDefault="004D1379" w:rsidP="004D1379">
            <w:pPr>
              <w:rPr>
                <w:rFonts w:eastAsiaTheme="minorHAnsi"/>
                <w:color w:val="FF0000"/>
                <w:sz w:val="22"/>
                <w:szCs w:val="22"/>
                <w:lang w:eastAsia="en-US"/>
              </w:rPr>
            </w:pPr>
            <w:r w:rsidRPr="004D1379">
              <w:rPr>
                <w:sz w:val="22"/>
                <w:szCs w:val="22"/>
              </w:rPr>
              <w:t>и Приложение 2 «Меры налоговой политики по видам налогов»</w:t>
            </w:r>
          </w:p>
        </w:tc>
        <w:tc>
          <w:tcPr>
            <w:tcW w:w="2540" w:type="dxa"/>
            <w:shd w:val="clear" w:color="auto" w:fill="auto"/>
          </w:tcPr>
          <w:p w:rsidR="004D1379" w:rsidRPr="004D1379" w:rsidRDefault="004D1379" w:rsidP="004D1379">
            <w:pPr>
              <w:jc w:val="both"/>
              <w:rPr>
                <w:rFonts w:eastAsiaTheme="minorHAnsi"/>
                <w:i/>
                <w:sz w:val="22"/>
                <w:szCs w:val="22"/>
                <w:lang w:eastAsia="en-US"/>
              </w:rPr>
            </w:pPr>
            <w:r w:rsidRPr="004D1379">
              <w:rPr>
                <w:rFonts w:eastAsiaTheme="minorHAnsi"/>
                <w:i/>
                <w:sz w:val="22"/>
                <w:szCs w:val="22"/>
                <w:lang w:eastAsia="en-US"/>
              </w:rPr>
              <w:t>«На содействие структурной трансформации будет ориентирован весь инструментарий бюджетной политики, включая налоговую систему. В целом в налоговой политике акцент сохранится на повышении эффективности стимулирующей функции налоговой системы» (…)</w:t>
            </w:r>
          </w:p>
        </w:tc>
        <w:tc>
          <w:tcPr>
            <w:tcW w:w="2682"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Дополнить раздел «Структурные меры налоговой политики» и Приложение 2 </w:t>
            </w:r>
            <w:r w:rsidRPr="004D1379">
              <w:rPr>
                <w:sz w:val="22"/>
                <w:szCs w:val="22"/>
              </w:rPr>
              <w:t>«Меры налоговой политики по видам налогов»</w:t>
            </w:r>
            <w:r w:rsidRPr="004D1379">
              <w:rPr>
                <w:rFonts w:eastAsiaTheme="minorHAnsi"/>
                <w:sz w:val="22"/>
                <w:szCs w:val="22"/>
                <w:lang w:eastAsia="en-US"/>
              </w:rPr>
              <w:t xml:space="preserve"> следующими налоговыми стимулами к структурной трансформа</w:t>
            </w:r>
            <w:r w:rsidRPr="004D1379">
              <w:rPr>
                <w:rFonts w:eastAsiaTheme="minorHAnsi"/>
                <w:sz w:val="22"/>
                <w:szCs w:val="22"/>
                <w:lang w:eastAsia="en-US"/>
              </w:rPr>
              <w:softHyphen/>
              <w:t>ции экономики в части углубления переработки сырья на территории РФ:</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 введение дифференциации налоговой нагрузки с привязкой к уровню передела продукции: чем более высокие переделы обеспечивает предприятие, тем ниже должна быть нагрузка на него по налогам, сборам, взносам и иным аналогичным им платежам. Такую дифференциацию можно обеспечить, например, в рамках НДПИ, установив сниженные ставки налога для предприятий, обеспечивающих более </w:t>
            </w:r>
            <w:r w:rsidRPr="004D1379">
              <w:rPr>
                <w:rFonts w:eastAsiaTheme="minorHAnsi"/>
                <w:sz w:val="22"/>
                <w:szCs w:val="22"/>
                <w:lang w:eastAsia="en-US"/>
              </w:rPr>
              <w:lastRenderedPageBreak/>
              <w:t>глубокую переработку полезных ископаемых;</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предоставление налоговых стимулов для совместных предприятий, созданных в партнерстве с иностранными инвесторами и включающих создание перерабатывающих производств на территории России (например, посредством снижения НДС на продукцию таких предприятий до 10%, или освобождения от имущественных налогов на 5 лет)</w:t>
            </w:r>
          </w:p>
          <w:p w:rsidR="004D1379" w:rsidRPr="004D1379" w:rsidRDefault="004D1379" w:rsidP="004D1379">
            <w:pPr>
              <w:jc w:val="both"/>
              <w:rPr>
                <w:rFonts w:eastAsiaTheme="minorHAnsi"/>
                <w:sz w:val="22"/>
                <w:szCs w:val="22"/>
                <w:lang w:eastAsia="en-US"/>
              </w:rPr>
            </w:pP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Текущие предложения по обеспечению структурной трансформации экономики не включают достаточное количество стимулов, обеспечивающих развитие перерабатывающих производств на территории РФ</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Введение дополнительных налоговых стимулов с 2024 г. ускорит развитие перерабатывающих производств и будет способствовать развитию налоговой базы (включая сами обрабатывающие производства, их поставщиков и партнеров, а также доходы населения, занятого на данных производствах). Развитие налоговой базы позволит компенсировать выпадение части доходов от предоставления данных стимулов на первом этапе реализации таких мер.  </w:t>
            </w:r>
          </w:p>
        </w:tc>
        <w:tc>
          <w:tcPr>
            <w:tcW w:w="4111" w:type="dxa"/>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80"/>
              <w:jc w:val="both"/>
              <w:rPr>
                <w:rFonts w:eastAsiaTheme="minorHAnsi"/>
                <w:i/>
                <w:sz w:val="22"/>
                <w:szCs w:val="22"/>
                <w:lang w:eastAsia="en-US"/>
              </w:rPr>
            </w:pPr>
            <w:r w:rsidRPr="004D1379">
              <w:rPr>
                <w:rFonts w:eastAsiaTheme="minorHAnsi"/>
                <w:i/>
                <w:sz w:val="22"/>
                <w:szCs w:val="22"/>
                <w:lang w:eastAsia="en-US"/>
              </w:rPr>
              <w:t>1.</w:t>
            </w:r>
            <w:r>
              <w:rPr>
                <w:rFonts w:eastAsiaTheme="minorHAnsi"/>
                <w:i/>
                <w:sz w:val="22"/>
                <w:szCs w:val="22"/>
                <w:lang w:eastAsia="en-US"/>
              </w:rPr>
              <w:t xml:space="preserve"> </w:t>
            </w:r>
            <w:r w:rsidRPr="004D1379">
              <w:rPr>
                <w:rFonts w:eastAsiaTheme="minorHAnsi"/>
                <w:i/>
                <w:sz w:val="22"/>
                <w:szCs w:val="22"/>
                <w:lang w:eastAsia="en-US"/>
              </w:rPr>
              <w:t>В части НДПИ.</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Установление налоговых льгот в зависимости от глубины переработки полезных ископаемых противоречит юридической конструкции НДПИ, согласно которой объектом налогообложения признаются полезные ископаемые, добытые из недр на территории Российской Федерации на участке недр.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При этом ставки НДПИ, а также льготы и иные преференции при уплате НДПИ установлены в зависимости от видов полезных ископаемых, территорий и условий их добычи, а также физико-химических и технических свойств и характеристик добытых полезных ископаемых. Установление особого порядка налогообложения в зависимости от качества переработки добытых полезных ископаемых и произведенной из них продукции Налоговым кодексом Российской Федерации (далее – Кодекс) не предусмотрено.</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Вместе с тем для добывающих организаций в соответствии со статьями 342.3 и 342.3-1 Кодекса установлен понижающий коэффициент </w:t>
            </w:r>
            <w:proofErr w:type="spellStart"/>
            <w:r w:rsidRPr="004D1379">
              <w:rPr>
                <w:rFonts w:eastAsiaTheme="minorHAnsi"/>
                <w:sz w:val="22"/>
                <w:szCs w:val="22"/>
                <w:lang w:eastAsia="en-US"/>
              </w:rPr>
              <w:t>Ктд</w:t>
            </w:r>
            <w:proofErr w:type="spellEnd"/>
            <w:r w:rsidRPr="004D1379">
              <w:rPr>
                <w:rFonts w:eastAsiaTheme="minorHAnsi"/>
                <w:sz w:val="22"/>
                <w:szCs w:val="22"/>
                <w:lang w:eastAsia="en-US"/>
              </w:rPr>
              <w:t xml:space="preserve"> (от 0 до 1) к налоговым ставкам по НДПИ при </w:t>
            </w:r>
            <w:r w:rsidRPr="004D1379">
              <w:rPr>
                <w:rFonts w:eastAsiaTheme="minorHAnsi"/>
                <w:sz w:val="22"/>
                <w:szCs w:val="22"/>
                <w:lang w:eastAsia="en-US"/>
              </w:rPr>
              <w:lastRenderedPageBreak/>
              <w:t>реализации региональных инвестиционных проектов.</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Сопоставимые преференции также установлены для резидентов территорий опережающего социально-экономического развития.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Таким образом, введение еще одного нового льготного режима налогообложения представляется излишним.</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Кроме того, в действующем законодательстве Российской Федерации о налогах и сборах не используется термин «глубина переработки» и, соответственно, предлагаемый механизм установления льготы по НДПИ существенно усложнит налоговое администрирование НДПИ.</w:t>
            </w:r>
          </w:p>
          <w:p w:rsidR="004D1379" w:rsidRPr="004D1379" w:rsidRDefault="004D1379" w:rsidP="004D1379">
            <w:pPr>
              <w:ind w:firstLine="180"/>
              <w:jc w:val="both"/>
              <w:rPr>
                <w:rFonts w:eastAsiaTheme="minorHAnsi"/>
                <w:i/>
                <w:sz w:val="22"/>
                <w:szCs w:val="22"/>
                <w:lang w:eastAsia="en-US"/>
              </w:rPr>
            </w:pPr>
            <w:r w:rsidRPr="004D1379">
              <w:rPr>
                <w:rFonts w:eastAsiaTheme="minorHAnsi"/>
                <w:i/>
                <w:sz w:val="22"/>
                <w:szCs w:val="22"/>
                <w:lang w:eastAsia="en-US"/>
              </w:rPr>
              <w:t>2. В части НДС.</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 настоящее время согласно подпункту 1 пункта 1 статьи 146 и пункту 3 статьи 164 главы 21 «Налог на добавленную стоимость</w:t>
            </w:r>
            <w:proofErr w:type="gramStart"/>
            <w:r w:rsidRPr="004D1379">
              <w:rPr>
                <w:rFonts w:eastAsiaTheme="minorHAnsi"/>
                <w:sz w:val="22"/>
                <w:szCs w:val="22"/>
                <w:lang w:eastAsia="en-US"/>
              </w:rPr>
              <w:t>»</w:t>
            </w:r>
            <w:proofErr w:type="gramEnd"/>
            <w:r w:rsidRPr="004D1379">
              <w:rPr>
                <w:rFonts w:eastAsiaTheme="minorHAnsi"/>
                <w:sz w:val="22"/>
                <w:szCs w:val="22"/>
                <w:lang w:eastAsia="en-US"/>
              </w:rPr>
              <w:t xml:space="preserve"> Кодекса продукция, производимая перерабатывающими производствами, подлежат налогообложению НДС по налоговой ставке в размере 20 процентов.</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В случае установления пониженной ставки НДС на указанную продукцию у налогоплательщиков, реализующих такие товары, может возникнуть отрицательная разница между суммами НДС, исчисленными при их реализации, и суммами НДС, предъявленными поставщиками товаров (работ, услуг), </w:t>
            </w:r>
            <w:r w:rsidRPr="004D1379">
              <w:rPr>
                <w:rFonts w:eastAsiaTheme="minorHAnsi"/>
                <w:sz w:val="22"/>
                <w:szCs w:val="22"/>
                <w:lang w:eastAsia="en-US"/>
              </w:rPr>
              <w:lastRenderedPageBreak/>
              <w:t xml:space="preserve">которая подлежит возмещению из федерального бюджета в порядке, предусмотренном статьями 176 и 176.1 Кодекса.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Необходимо отметить, что, как показывает практика применения НДС, снижение налоговой ставки не является прозрачной мерой государственной поддержки, обеспечивающей целевое использование полученных средств, а также не гарантирует уменьшение стоимости товаров (работ, услуг) для конечного потребителя.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3.В части имущественных налогов.</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Субъекты Российской Федерации (представительные органы муниципальных образований) вправе устанавливать налоговые льготы с учетом экономической ситуации в регионе.</w:t>
            </w:r>
          </w:p>
        </w:tc>
      </w:tr>
      <w:tr w:rsidR="004D1379" w:rsidRPr="004D1379" w:rsidTr="009C6571">
        <w:trPr>
          <w:trHeight w:val="638"/>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 xml:space="preserve">Стр. 41-42 </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и Приложение 2 «Меры налоговой политики по видам налогов»</w:t>
            </w:r>
          </w:p>
          <w:p w:rsidR="004D1379" w:rsidRPr="004D1379" w:rsidRDefault="004D1379" w:rsidP="004D1379">
            <w:pPr>
              <w:rPr>
                <w:rFonts w:eastAsiaTheme="minorHAnsi"/>
                <w:color w:val="FF0000"/>
                <w:sz w:val="22"/>
                <w:szCs w:val="22"/>
                <w:lang w:eastAsia="en-US"/>
              </w:rPr>
            </w:pPr>
          </w:p>
        </w:tc>
        <w:tc>
          <w:tcPr>
            <w:tcW w:w="2540" w:type="dxa"/>
            <w:shd w:val="clear" w:color="auto" w:fill="auto"/>
          </w:tcPr>
          <w:p w:rsidR="004D1379" w:rsidRPr="004D1379" w:rsidRDefault="004D1379" w:rsidP="004D1379">
            <w:pPr>
              <w:jc w:val="both"/>
              <w:rPr>
                <w:rFonts w:eastAsiaTheme="minorHAnsi"/>
                <w:i/>
                <w:sz w:val="22"/>
                <w:szCs w:val="22"/>
                <w:lang w:eastAsia="en-US"/>
              </w:rPr>
            </w:pPr>
            <w:r w:rsidRPr="004D1379">
              <w:rPr>
                <w:rFonts w:eastAsiaTheme="minorHAnsi"/>
                <w:i/>
                <w:sz w:val="22"/>
                <w:szCs w:val="22"/>
                <w:lang w:eastAsia="en-US"/>
              </w:rPr>
              <w:t>1. Системные меры повышения инвестиционной активности (…)</w:t>
            </w:r>
          </w:p>
          <w:p w:rsidR="004D1379" w:rsidRPr="004D1379" w:rsidRDefault="004D1379" w:rsidP="004D1379">
            <w:pPr>
              <w:jc w:val="both"/>
              <w:rPr>
                <w:rFonts w:eastAsiaTheme="minorHAnsi"/>
                <w:i/>
                <w:sz w:val="22"/>
                <w:szCs w:val="22"/>
                <w:lang w:eastAsia="en-US"/>
              </w:rPr>
            </w:pPr>
            <w:r w:rsidRPr="004D1379">
              <w:rPr>
                <w:rFonts w:eastAsiaTheme="minorHAnsi"/>
                <w:i/>
                <w:sz w:val="22"/>
                <w:szCs w:val="22"/>
                <w:lang w:eastAsia="en-US"/>
              </w:rPr>
              <w:t>Стимулирующие налоговые и финансовые меры, в том числе:</w:t>
            </w:r>
          </w:p>
          <w:p w:rsidR="004D1379" w:rsidRPr="004D1379" w:rsidRDefault="004D1379" w:rsidP="004D1379">
            <w:pPr>
              <w:jc w:val="both"/>
              <w:rPr>
                <w:rFonts w:eastAsiaTheme="minorHAnsi"/>
                <w:i/>
                <w:sz w:val="22"/>
                <w:szCs w:val="22"/>
                <w:lang w:eastAsia="en-US"/>
              </w:rPr>
            </w:pPr>
            <w:r w:rsidRPr="004D1379">
              <w:rPr>
                <w:rFonts w:eastAsiaTheme="minorHAnsi"/>
                <w:i/>
                <w:sz w:val="22"/>
                <w:szCs w:val="22"/>
                <w:lang w:eastAsia="en-US"/>
              </w:rPr>
              <w:t>- проработка вопроса расширения механизма оказания поддержки НИОКР, включающего реализацию первых опытных партий продукции и затрат по ее апробации</w:t>
            </w:r>
          </w:p>
          <w:p w:rsidR="004D1379" w:rsidRPr="004D1379" w:rsidRDefault="004D1379" w:rsidP="004D1379">
            <w:pPr>
              <w:jc w:val="both"/>
              <w:rPr>
                <w:rFonts w:eastAsiaTheme="minorHAnsi"/>
                <w:i/>
                <w:sz w:val="22"/>
                <w:szCs w:val="22"/>
                <w:lang w:eastAsia="en-US"/>
              </w:rPr>
            </w:pPr>
            <w:r w:rsidRPr="004D1379">
              <w:rPr>
                <w:rFonts w:eastAsiaTheme="minorHAnsi"/>
                <w:i/>
                <w:sz w:val="22"/>
                <w:szCs w:val="22"/>
                <w:lang w:eastAsia="en-US"/>
              </w:rPr>
              <w:lastRenderedPageBreak/>
              <w:t>- запуск нового дополнительного механизма в рамках таксономии – инвестиционного налогового вычета для стимулирования инвестиций действующих прибыльных компаний в новые отрасли и продукты</w:t>
            </w:r>
          </w:p>
        </w:tc>
        <w:tc>
          <w:tcPr>
            <w:tcW w:w="2682"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lastRenderedPageBreak/>
              <w:t xml:space="preserve">Дополнить Приложение 2 </w:t>
            </w:r>
            <w:r w:rsidRPr="004D1379">
              <w:rPr>
                <w:color w:val="000000" w:themeColor="text1"/>
                <w:sz w:val="22"/>
                <w:szCs w:val="22"/>
              </w:rPr>
              <w:t>«Меры налоговой политики по видам налогов» предложения</w:t>
            </w:r>
            <w:r w:rsidRPr="004D1379">
              <w:rPr>
                <w:color w:val="000000" w:themeColor="text1"/>
                <w:sz w:val="22"/>
                <w:szCs w:val="22"/>
              </w:rPr>
              <w:softHyphen/>
              <w:t xml:space="preserve">ми, соответствующими реализации с 2024 г. перечисленных на стр. 41-42 положений о расширении механизма поддержки НИОКР, включающего реализацию первых опытных партий продукции и затрат по ее апробации, а также </w:t>
            </w:r>
            <w:r w:rsidRPr="004D1379">
              <w:rPr>
                <w:color w:val="000000" w:themeColor="text1"/>
                <w:sz w:val="22"/>
                <w:szCs w:val="22"/>
              </w:rPr>
              <w:lastRenderedPageBreak/>
              <w:t xml:space="preserve">запуске нового дополнительного механизма </w:t>
            </w:r>
            <w:r w:rsidRPr="004D1379">
              <w:rPr>
                <w:rFonts w:eastAsiaTheme="minorHAnsi"/>
                <w:sz w:val="22"/>
                <w:szCs w:val="22"/>
                <w:lang w:eastAsia="en-US"/>
              </w:rPr>
              <w:t>в рамках таксономии – инвестиционного налогового вычета для стимулирования инвестиций действующих прибыльных компаний в новые отрасли и продукты</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Ряд стимулов к повышению инвестиционной активности, перечисленных на стр. 41-42 документа, не нашли отражения в Приложении 2 «Меры налоговой политики по видам налогов», что указывает на риски откладывания их проработки и реализации.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При этом для достижения национальных  целей развития целесообразна реализация данных стимулов начиная с 2024 г. </w:t>
            </w:r>
          </w:p>
        </w:tc>
        <w:tc>
          <w:tcPr>
            <w:tcW w:w="4111" w:type="dxa"/>
            <w:shd w:val="clear" w:color="auto" w:fill="auto"/>
          </w:tcPr>
          <w:p w:rsidR="004D1379" w:rsidRPr="004D1379" w:rsidRDefault="004D1379" w:rsidP="004D1379">
            <w:pPr>
              <w:ind w:firstLine="180"/>
              <w:jc w:val="both"/>
              <w:rPr>
                <w:rFonts w:eastAsiaTheme="minorHAnsi"/>
                <w:sz w:val="22"/>
                <w:szCs w:val="22"/>
                <w:lang w:eastAsia="en-US"/>
              </w:rPr>
            </w:pPr>
            <w:r>
              <w:rPr>
                <w:rFonts w:eastAsiaTheme="minorHAnsi"/>
                <w:i/>
                <w:sz w:val="22"/>
                <w:szCs w:val="22"/>
                <w:lang w:eastAsia="en-US"/>
              </w:rPr>
              <w:t xml:space="preserve">1. </w:t>
            </w:r>
            <w:r w:rsidRPr="004D1379">
              <w:rPr>
                <w:rFonts w:eastAsiaTheme="minorHAnsi"/>
                <w:i/>
                <w:sz w:val="22"/>
                <w:szCs w:val="22"/>
                <w:lang w:eastAsia="en-US"/>
              </w:rPr>
              <w:t>В части НИОКР:</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Расширение механизма оказания поддержки НИОКР не предполагает применение новых налоговых льгот и изменение порядка налогообложения. В связи с этим указанные меры не включены в приложение 2 </w:t>
            </w:r>
            <w:r w:rsidRPr="004D1379">
              <w:rPr>
                <w:color w:val="000000" w:themeColor="text1"/>
                <w:sz w:val="22"/>
                <w:szCs w:val="22"/>
              </w:rPr>
              <w:t>«Меры налоговой политики по видам налогов».</w:t>
            </w:r>
          </w:p>
          <w:p w:rsidR="004D1379" w:rsidRPr="004D1379" w:rsidRDefault="004D1379" w:rsidP="004D1379">
            <w:pPr>
              <w:ind w:firstLine="180"/>
              <w:jc w:val="both"/>
              <w:rPr>
                <w:rFonts w:eastAsiaTheme="minorHAnsi"/>
                <w:i/>
                <w:sz w:val="22"/>
                <w:szCs w:val="22"/>
                <w:lang w:eastAsia="en-US"/>
              </w:rPr>
            </w:pPr>
            <w:r>
              <w:rPr>
                <w:rFonts w:eastAsiaTheme="minorHAnsi"/>
                <w:i/>
                <w:sz w:val="22"/>
                <w:szCs w:val="22"/>
                <w:lang w:eastAsia="en-US"/>
              </w:rPr>
              <w:t xml:space="preserve">2. </w:t>
            </w:r>
            <w:r w:rsidRPr="004D1379">
              <w:rPr>
                <w:rFonts w:eastAsiaTheme="minorHAnsi"/>
                <w:i/>
                <w:sz w:val="22"/>
                <w:szCs w:val="22"/>
                <w:lang w:eastAsia="en-US"/>
              </w:rPr>
              <w:t>В части инвестиционного налогового вычета:</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Положением основных направлений предусмотрено, что в рамках таксономии предполагается запуск нового дополнительного механизма – инвестиционного налогового вычета для </w:t>
            </w:r>
            <w:r w:rsidRPr="004D1379">
              <w:rPr>
                <w:rFonts w:eastAsiaTheme="minorHAnsi"/>
                <w:sz w:val="22"/>
                <w:szCs w:val="22"/>
                <w:lang w:eastAsia="en-US"/>
              </w:rPr>
              <w:lastRenderedPageBreak/>
              <w:t xml:space="preserve">стимулирования инвестиций действующих прибыльных компаний в новые отрасли и продукты. В настоящее время соответствующий вопрос находится в стадии проработки на площадке Государственной Думы и не получил одобрения, в том числе предварительного. В связи с этим данные положения отражены в тексте Основных направлений, но пока не включены в приложение 2 </w:t>
            </w:r>
            <w:r w:rsidRPr="004D1379">
              <w:rPr>
                <w:color w:val="000000" w:themeColor="text1"/>
                <w:sz w:val="22"/>
                <w:szCs w:val="22"/>
              </w:rPr>
              <w:t>«Меры налоговой политики по видам налогов».</w:t>
            </w:r>
          </w:p>
        </w:tc>
      </w:tr>
      <w:tr w:rsidR="004D1379" w:rsidRPr="004D1379" w:rsidTr="009C6571">
        <w:trPr>
          <w:trHeight w:val="678"/>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Раздел 3</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П. 3.1. </w:t>
            </w:r>
          </w:p>
          <w:p w:rsidR="004D1379" w:rsidRPr="004D1379" w:rsidRDefault="004D1379" w:rsidP="004D1379">
            <w:pPr>
              <w:rPr>
                <w:rFonts w:eastAsiaTheme="minorHAnsi"/>
                <w:sz w:val="22"/>
                <w:szCs w:val="22"/>
                <w:lang w:eastAsia="en-US"/>
              </w:rPr>
            </w:pP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«Структурная трансформация экономики», </w:t>
            </w:r>
          </w:p>
          <w:p w:rsidR="004D1379" w:rsidRPr="004D1379" w:rsidRDefault="004D1379" w:rsidP="004D1379">
            <w:pPr>
              <w:rPr>
                <w:rFonts w:eastAsiaTheme="minorHAnsi"/>
                <w:sz w:val="22"/>
                <w:szCs w:val="22"/>
                <w:lang w:eastAsia="en-US"/>
              </w:rPr>
            </w:pPr>
          </w:p>
          <w:p w:rsidR="004D1379" w:rsidRPr="004D1379" w:rsidRDefault="004D1379" w:rsidP="004D1379">
            <w:pPr>
              <w:rPr>
                <w:rFonts w:eastAsiaTheme="minorHAnsi"/>
                <w:color w:val="FF0000"/>
                <w:sz w:val="22"/>
                <w:szCs w:val="22"/>
                <w:lang w:eastAsia="en-US"/>
              </w:rPr>
            </w:pPr>
            <w:r w:rsidRPr="004D1379">
              <w:rPr>
                <w:rFonts w:eastAsiaTheme="minorHAnsi"/>
                <w:sz w:val="22"/>
                <w:szCs w:val="22"/>
                <w:lang w:eastAsia="en-US"/>
              </w:rPr>
              <w:t>«Рентное налогообложение отраслей ГМК»</w:t>
            </w:r>
          </w:p>
        </w:tc>
        <w:tc>
          <w:tcPr>
            <w:tcW w:w="2540"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 целом </w:t>
            </w:r>
            <w:r w:rsidRPr="004D1379">
              <w:rPr>
                <w:rFonts w:eastAsiaTheme="minorHAnsi"/>
                <w:color w:val="000000" w:themeColor="text1"/>
                <w:sz w:val="22"/>
                <w:szCs w:val="22"/>
                <w:lang w:eastAsia="en-US"/>
              </w:rPr>
              <w:t xml:space="preserve">за последние 10 лет </w:t>
            </w:r>
            <w:r w:rsidRPr="004D1379">
              <w:rPr>
                <w:rFonts w:eastAsiaTheme="minorHAnsi"/>
                <w:sz w:val="22"/>
                <w:szCs w:val="22"/>
                <w:lang w:eastAsia="en-US"/>
              </w:rPr>
              <w:t xml:space="preserve">операционный денежный поток крупнейших компаний отечественного ГМК (EBITDA) составил почти 25 трлн рублей при инвестициях за тот же период в размере менее 8,5 трлн рублей. «Условная» доходность на вкладываемый капитал (соотношение EBITDA после произведенных капиталовложений к капиталовложениям) накопленным итогом за 10 лет составляет ~200%. Аналогичный показатель в нефтяной отрасли (ТОП-5) составляет ~90%.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В отсутствии рентных налогов (НДПИ, НДД, экспортная пошлина, отрицательный акциз) этот показатель составил бы ~230% по отраслям ГМК и ~350% по нефтяной отрасли. Оставшийся свободный денежный поток после уплаты налогов и финансирования капиталовложений (за последние 10 лет более 16 трлн рублей) компании отрасли ГМК в соответствии с обычными практиками корпоративного управления распределяют среди акционеров. В то же время значимая часть повышенной доходности объясняется рентной составляющей, что наиболее наглядно демонстрируют периоды благоприятной конъюнктуры, сопровождающиеся кратным ростом денежного потока после финансирования капиталовложений. </w:t>
            </w:r>
            <w:r w:rsidRPr="004D1379">
              <w:rPr>
                <w:rFonts w:eastAsiaTheme="minorHAnsi"/>
                <w:sz w:val="22"/>
                <w:szCs w:val="22"/>
                <w:lang w:eastAsia="en-US"/>
              </w:rPr>
              <w:lastRenderedPageBreak/>
              <w:t xml:space="preserve">Учитывая в значительной степени рентную природу повышенного уровня доходности в отраслях ГМК, актуальным является вопрос справедливости распределения рентного дохода между </w:t>
            </w:r>
            <w:proofErr w:type="spellStart"/>
            <w:r w:rsidRPr="004D1379">
              <w:rPr>
                <w:rFonts w:eastAsiaTheme="minorHAnsi"/>
                <w:sz w:val="22"/>
                <w:szCs w:val="22"/>
                <w:lang w:eastAsia="en-US"/>
              </w:rPr>
              <w:t>недропользователями</w:t>
            </w:r>
            <w:proofErr w:type="spellEnd"/>
            <w:r w:rsidRPr="004D1379">
              <w:rPr>
                <w:rFonts w:eastAsiaTheme="minorHAnsi"/>
                <w:sz w:val="22"/>
                <w:szCs w:val="22"/>
                <w:lang w:eastAsia="en-US"/>
              </w:rPr>
              <w:t xml:space="preserve"> и гражданами (через систему рентного налогообложения и бюджет). Исторически доля перераспределения через систему рентного налогообложения в отраслях ГМК была незначительной. За период 2012-2021 гг. совокупный объем рентных налогов отраслей ГМК достиг 0,8 трлн рублей, что составляет менее 5% свободного денежного потока до фискального раздела (EBITDA за вычетом рентных налогов после финансирования капиталовложений). Аналогичный показатель в нефтяной </w:t>
            </w:r>
            <w:r w:rsidRPr="004D1379">
              <w:rPr>
                <w:rFonts w:eastAsiaTheme="minorHAnsi"/>
                <w:sz w:val="22"/>
                <w:szCs w:val="22"/>
                <w:lang w:eastAsia="en-US"/>
              </w:rPr>
              <w:lastRenderedPageBreak/>
              <w:t>отрасли за тот же период составил около 70%. Частичная модернизация с 2022 года принципов налогообложения в отраслях ГМК с привязкой ставок НДПИ к уровню цен на соответствующие сырьевые товары несколько увеличила долю перераспределяемых через рентное налогообложение доходов – в среднем до 12% (от 2% до 16% в зависимости от отрасли). Учитывая сохраняющуюся невысокую долю перераспределения ренты в отраслях ГМК, предусмотренная в 2023-2024 гг. уплата экспортных пошлин на соответствующие товары будет содействовать некоторому улучшению справедливости распределения рентных доходов в этих отраслях.</w:t>
            </w:r>
          </w:p>
        </w:tc>
        <w:tc>
          <w:tcPr>
            <w:tcW w:w="2682" w:type="dxa"/>
            <w:shd w:val="clear" w:color="auto" w:fill="auto"/>
          </w:tcPr>
          <w:p w:rsidR="004D1379" w:rsidRPr="004D1379" w:rsidRDefault="004D1379" w:rsidP="004D1379">
            <w:pPr>
              <w:jc w:val="both"/>
              <w:rPr>
                <w:rFonts w:eastAsiaTheme="minorHAnsi"/>
                <w:sz w:val="22"/>
                <w:szCs w:val="22"/>
                <w:lang w:eastAsia="en-US"/>
              </w:rPr>
            </w:pP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Следует уточнить и </w:t>
            </w:r>
            <w:proofErr w:type="gramStart"/>
            <w:r w:rsidRPr="004D1379">
              <w:rPr>
                <w:rFonts w:eastAsiaTheme="minorHAnsi"/>
                <w:sz w:val="22"/>
                <w:szCs w:val="22"/>
                <w:lang w:eastAsia="en-US"/>
              </w:rPr>
              <w:t>скорректировать  выводы</w:t>
            </w:r>
            <w:proofErr w:type="gramEnd"/>
            <w:r w:rsidRPr="004D1379">
              <w:rPr>
                <w:rFonts w:eastAsiaTheme="minorHAnsi"/>
                <w:sz w:val="22"/>
                <w:szCs w:val="22"/>
                <w:lang w:eastAsia="en-US"/>
              </w:rPr>
              <w:t>, т.к. анализируются «последние 10 лет», при этом только за последние три года металлургическая отрасль уже шестикратно сталкивалась с увеличением фискальной нагрузки: увеличение НДПИ на ЖРС, экспортные пошлины в 15%, повторное увеличение НДПИ на ЖРС, акциз на сталь, налог на «сверхприбыль», курсовая экспортная пошлина.</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Защищаемый в «Основных направлениях …» тезис о необходимости более справедливого распределения рентных доходов за счет повышения финансовой нагрузки на горно-металлургические компании не учитывает различия между компаниями, </w:t>
            </w:r>
            <w:r w:rsidRPr="004D1379">
              <w:rPr>
                <w:rFonts w:eastAsiaTheme="minorHAnsi"/>
                <w:sz w:val="22"/>
                <w:szCs w:val="22"/>
                <w:lang w:eastAsia="en-US"/>
              </w:rPr>
              <w:lastRenderedPageBreak/>
              <w:t xml:space="preserve">помещенными в данную группу. Это служит оправданием вывозных пошлин в отношении большинства видов продукции обрабатывающих производств вплоть до машиностроения, без поправок на наличие собственной ресурсной базы, ее экономической эффективности и источники сырья. </w:t>
            </w:r>
          </w:p>
        </w:tc>
        <w:tc>
          <w:tcPr>
            <w:tcW w:w="4111" w:type="dxa"/>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Фискальная нагрузка (доля налогов в финансовом результате до вычета налогов) на </w:t>
            </w:r>
            <w:proofErr w:type="spellStart"/>
            <w:r w:rsidRPr="004D1379">
              <w:rPr>
                <w:rFonts w:eastAsiaTheme="minorHAnsi"/>
                <w:sz w:val="22"/>
                <w:szCs w:val="22"/>
                <w:lang w:eastAsia="en-US"/>
              </w:rPr>
              <w:t>горнометаллургические</w:t>
            </w:r>
            <w:proofErr w:type="spellEnd"/>
            <w:r w:rsidRPr="004D1379">
              <w:rPr>
                <w:rFonts w:eastAsiaTheme="minorHAnsi"/>
                <w:sz w:val="22"/>
                <w:szCs w:val="22"/>
                <w:lang w:eastAsia="en-US"/>
              </w:rPr>
              <w:t xml:space="preserve"> компании составляет порядка 43% и остается значительно ниже уровня нагрузки на иных </w:t>
            </w:r>
            <w:proofErr w:type="spellStart"/>
            <w:r w:rsidRPr="004D1379">
              <w:rPr>
                <w:rFonts w:eastAsiaTheme="minorHAnsi"/>
                <w:sz w:val="22"/>
                <w:szCs w:val="22"/>
                <w:lang w:eastAsia="en-US"/>
              </w:rPr>
              <w:t>недропользователей</w:t>
            </w:r>
            <w:proofErr w:type="spellEnd"/>
            <w:r w:rsidRPr="004D1379">
              <w:rPr>
                <w:rFonts w:eastAsiaTheme="minorHAnsi"/>
                <w:sz w:val="22"/>
                <w:szCs w:val="22"/>
                <w:lang w:eastAsia="en-US"/>
              </w:rPr>
              <w:t>, например, нефтяной и газовых отраслей.</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Приведенное РСПП предложения, что «в отношении большинства видов продукции обрабатывающих производств вплоть до машиностроения, без поправок на наличие собственной ресурсной базы, ее экономической эффективности и источники сырья», представляется некорректным.</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Постановление № 1538 содержит значительный объем товарных изъятий из-под обложения вывозными таможенными пошлинами, касающихся, прежде всего, сложной </w:t>
            </w:r>
            <w:proofErr w:type="spellStart"/>
            <w:r w:rsidRPr="004D1379">
              <w:rPr>
                <w:rFonts w:eastAsiaTheme="minorHAnsi"/>
                <w:sz w:val="22"/>
                <w:szCs w:val="22"/>
                <w:lang w:eastAsia="en-US"/>
              </w:rPr>
              <w:t>машино</w:t>
            </w:r>
            <w:proofErr w:type="spellEnd"/>
            <w:r w:rsidRPr="004D1379">
              <w:rPr>
                <w:rFonts w:eastAsiaTheme="minorHAnsi"/>
                <w:sz w:val="22"/>
                <w:szCs w:val="22"/>
                <w:lang w:eastAsia="en-US"/>
              </w:rPr>
              <w:t xml:space="preserve">-технической продукции (группы 84-96 единой Товарной номенклатуры </w:t>
            </w:r>
            <w:r w:rsidRPr="004D1379">
              <w:rPr>
                <w:rFonts w:eastAsiaTheme="minorHAnsi"/>
                <w:sz w:val="22"/>
                <w:szCs w:val="22"/>
                <w:lang w:eastAsia="en-US"/>
              </w:rPr>
              <w:lastRenderedPageBreak/>
              <w:t xml:space="preserve">внешнеэкономической деятельности Евразийского экономического союза), а также целого ряда иных товаров со присутствием определенной «иностранной» составляющей в себестоимости.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В этом контексте необходимо учитывать, что одной из целей принятия Постановления № 1538 является стабилизация предложения товаров на внутреннем рынке по приемлемым ценам в условиях ослабления курса рубля, значительно повышающего доходность экспорта. </w:t>
            </w:r>
          </w:p>
          <w:p w:rsidR="004D1379" w:rsidRPr="004D1379" w:rsidRDefault="004D1379" w:rsidP="004D1379">
            <w:pPr>
              <w:ind w:firstLine="40"/>
              <w:jc w:val="both"/>
              <w:rPr>
                <w:rFonts w:eastAsiaTheme="minorHAnsi"/>
                <w:sz w:val="22"/>
                <w:szCs w:val="22"/>
                <w:lang w:eastAsia="en-US"/>
              </w:rPr>
            </w:pPr>
          </w:p>
          <w:p w:rsidR="004D1379" w:rsidRPr="004D1379" w:rsidRDefault="004D1379" w:rsidP="004D1379">
            <w:pPr>
              <w:jc w:val="both"/>
              <w:rPr>
                <w:rFonts w:eastAsiaTheme="minorHAnsi"/>
                <w:sz w:val="22"/>
                <w:szCs w:val="22"/>
                <w:lang w:eastAsia="en-US"/>
              </w:rPr>
            </w:pP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357"/>
              <w:jc w:val="center"/>
              <w:rPr>
                <w:color w:val="000000"/>
                <w:sz w:val="22"/>
                <w:szCs w:val="22"/>
              </w:rPr>
            </w:pPr>
          </w:p>
        </w:tc>
        <w:tc>
          <w:tcPr>
            <w:tcW w:w="2123" w:type="dxa"/>
            <w:shd w:val="clear" w:color="auto" w:fill="auto"/>
          </w:tcPr>
          <w:p w:rsidR="004D1379" w:rsidRPr="004D1379" w:rsidRDefault="004D1379" w:rsidP="004D1379">
            <w:pPr>
              <w:rPr>
                <w:color w:val="FF0000"/>
                <w:sz w:val="22"/>
                <w:szCs w:val="22"/>
              </w:rPr>
            </w:pPr>
            <w:r w:rsidRPr="004D1379">
              <w:rPr>
                <w:color w:val="000000"/>
                <w:sz w:val="22"/>
                <w:szCs w:val="22"/>
              </w:rPr>
              <w:t>Приложение № 2 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Налог на добавленную стоимость</w:t>
            </w:r>
          </w:p>
        </w:tc>
        <w:tc>
          <w:tcPr>
            <w:tcW w:w="2540"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Дополнить раздел новым пунктом:</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«Распространить порядок возмещения налога на добавленную стоимость по расходам, относящимся к экспорту </w:t>
            </w:r>
            <w:proofErr w:type="spellStart"/>
            <w:r w:rsidRPr="004D1379">
              <w:rPr>
                <w:rFonts w:eastAsiaTheme="minorHAnsi"/>
                <w:sz w:val="22"/>
                <w:szCs w:val="22"/>
                <w:lang w:eastAsia="en-US"/>
              </w:rPr>
              <w:t>несырьевых</w:t>
            </w:r>
            <w:proofErr w:type="spellEnd"/>
            <w:r w:rsidRPr="004D1379">
              <w:rPr>
                <w:rFonts w:eastAsiaTheme="minorHAnsi"/>
                <w:sz w:val="22"/>
                <w:szCs w:val="22"/>
                <w:lang w:eastAsia="en-US"/>
              </w:rPr>
              <w:t xml:space="preserve"> товаров, на все виды экспорта (включая экспортируемые сырьевые товары, а также услуги, облагаемые НДС по ставке 0%).»</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Сейчас экспортеры </w:t>
            </w:r>
            <w:proofErr w:type="spellStart"/>
            <w:r w:rsidRPr="004D1379">
              <w:rPr>
                <w:rFonts w:eastAsiaTheme="minorHAnsi"/>
                <w:sz w:val="22"/>
                <w:szCs w:val="22"/>
                <w:lang w:eastAsia="en-US"/>
              </w:rPr>
              <w:t>несырьевых</w:t>
            </w:r>
            <w:proofErr w:type="spellEnd"/>
            <w:r w:rsidRPr="004D1379">
              <w:rPr>
                <w:rFonts w:eastAsiaTheme="minorHAnsi"/>
                <w:sz w:val="22"/>
                <w:szCs w:val="22"/>
                <w:lang w:eastAsia="en-US"/>
              </w:rPr>
              <w:t xml:space="preserve"> товаров возмещают НДС по расходам в общем порядке (не дожидаясь документального подтверждения факта вывоза товаров за рубеж), и это правило было бы справедливо и крайне полезно распространить на весь экспорт вообще, а также на международные логистические услуги и прочие экспортные услуги. В текущих реалиях это бессмысленная задержка вычета НДС для экспортеров услуг и сырьевых товаров, введенная еще в ту эпоху, когда непрозрачность экономики и неразвитость контроля за внешней торговлей позволяла продать внутри РФ, но оформить это как якобы экспорт с целью уклонения от уплаты НДС. В текущих крайне трудных условиях внешней торговли предлагаемая мера оказала бы существенную поддержку российским экспортерам и компаниям, участвующим в международных логистических цепочках. При этом не потребуется никаких дополнительных бюджетных расходов, речь только об ускорении возврата принадлежащих компаниям денежных средств, то есть о </w:t>
            </w:r>
            <w:r w:rsidRPr="004D1379">
              <w:rPr>
                <w:rFonts w:eastAsiaTheme="minorHAnsi"/>
                <w:sz w:val="22"/>
                <w:szCs w:val="22"/>
                <w:lang w:eastAsia="en-US"/>
              </w:rPr>
              <w:lastRenderedPageBreak/>
              <w:t>снятии избыточных барьеров и рисков внешнеторговой деятельности.</w:t>
            </w:r>
          </w:p>
        </w:tc>
        <w:tc>
          <w:tcPr>
            <w:tcW w:w="4111" w:type="dxa"/>
          </w:tcPr>
          <w:p w:rsidR="004D1379" w:rsidRPr="004D1379" w:rsidRDefault="004D1379" w:rsidP="004D1379">
            <w:pPr>
              <w:ind w:firstLine="180"/>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В соответствии с пунктом 9 статьи 167, пунктом 3 статьи 172 Кодекса при экспорте сырьевых товаров, а также оказании услуг, связанных с экспортом товаров, вычеты сумм НДС производятся на момент определения налоговой базы, который установлен как последнее число квартала, в котором собран полный пакет документов, предусмотренных статьей 165 Кодекса.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Принятие данного предложения приведет к потерям доходов федерального бюджета, поскольку послужит причиной отвлечения ресурсов бюджета на возмещение сумм предъявленного НДС ранее сроков, которые определяются в соответствии с порядком, действующим в настоящее время.</w:t>
            </w:r>
          </w:p>
          <w:p w:rsidR="004D1379" w:rsidRPr="004D1379" w:rsidRDefault="004D1379" w:rsidP="004D1379">
            <w:pPr>
              <w:ind w:firstLine="180"/>
              <w:jc w:val="both"/>
              <w:rPr>
                <w:rFonts w:eastAsiaTheme="minorHAnsi"/>
                <w:b/>
                <w:sz w:val="22"/>
                <w:szCs w:val="22"/>
                <w:lang w:eastAsia="en-US"/>
              </w:rPr>
            </w:pP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000000"/>
                <w:sz w:val="22"/>
                <w:szCs w:val="22"/>
              </w:rPr>
            </w:pPr>
            <w:r w:rsidRPr="004D1379">
              <w:rPr>
                <w:color w:val="000000"/>
                <w:sz w:val="22"/>
                <w:szCs w:val="22"/>
              </w:rPr>
              <w:t xml:space="preserve">Приложение № 2 </w:t>
            </w:r>
          </w:p>
          <w:p w:rsidR="004D1379" w:rsidRPr="004D1379" w:rsidRDefault="004D1379" w:rsidP="004D1379">
            <w:pPr>
              <w:rPr>
                <w:color w:val="000000"/>
                <w:sz w:val="22"/>
                <w:szCs w:val="22"/>
              </w:rPr>
            </w:pPr>
          </w:p>
          <w:p w:rsidR="004D1379" w:rsidRPr="004D1379" w:rsidRDefault="004D1379" w:rsidP="004D1379">
            <w:pPr>
              <w:rPr>
                <w:color w:val="FF0000"/>
                <w:sz w:val="22"/>
                <w:szCs w:val="22"/>
              </w:rPr>
            </w:pPr>
            <w:r w:rsidRPr="004D1379">
              <w:rPr>
                <w:color w:val="000000"/>
                <w:sz w:val="22"/>
                <w:szCs w:val="22"/>
              </w:rPr>
              <w:t>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rPr>
                <w:rFonts w:eastAsiaTheme="minorHAnsi"/>
                <w:b/>
                <w:sz w:val="22"/>
                <w:szCs w:val="22"/>
                <w:lang w:eastAsia="en-US"/>
              </w:rPr>
            </w:pPr>
            <w:r w:rsidRPr="004D1379">
              <w:rPr>
                <w:rFonts w:eastAsiaTheme="minorHAnsi"/>
                <w:sz w:val="22"/>
                <w:szCs w:val="22"/>
                <w:lang w:eastAsia="en-US"/>
              </w:rPr>
              <w:t>Налог на добавленную стоимость</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п.2 </w:t>
            </w:r>
          </w:p>
        </w:tc>
        <w:tc>
          <w:tcPr>
            <w:tcW w:w="2540" w:type="dxa"/>
            <w:shd w:val="clear" w:color="auto" w:fill="auto"/>
          </w:tcPr>
          <w:p w:rsidR="004D1379" w:rsidRPr="004D1379" w:rsidRDefault="004D1379" w:rsidP="004D1379">
            <w:pPr>
              <w:autoSpaceDE w:val="0"/>
              <w:autoSpaceDN w:val="0"/>
              <w:adjustRightInd w:val="0"/>
              <w:jc w:val="both"/>
              <w:rPr>
                <w:rFonts w:eastAsiaTheme="minorHAnsi"/>
                <w:b/>
                <w:sz w:val="22"/>
                <w:szCs w:val="22"/>
                <w:lang w:eastAsia="en-US"/>
              </w:rPr>
            </w:pPr>
            <w:r w:rsidRPr="004D1379">
              <w:rPr>
                <w:rFonts w:eastAsiaTheme="minorHAnsi"/>
                <w:sz w:val="22"/>
                <w:szCs w:val="22"/>
                <w:lang w:eastAsia="en-US"/>
              </w:rPr>
              <w:t>2. В целях предотвращения создания схем по уклонению от уплаты НДС, в том числе в случае, когда товары реализуются хозяйствующими субъектами государств-членов Евразийского экономического союза российским физическим лицам, не являющимся плательщиками НДС, на основании договоров поручения, договоров комиссии, агентских договоров или иных аналогичных договоров предлагается возложить обязанность по исчислению и уплате НДС при ввозе товаров на территорию Российской Федерации с территории государств-членов Евразийского экономического союза на организации – посредники.</w:t>
            </w:r>
          </w:p>
        </w:tc>
        <w:tc>
          <w:tcPr>
            <w:tcW w:w="2682" w:type="dxa"/>
            <w:shd w:val="clear" w:color="auto" w:fill="auto"/>
          </w:tcPr>
          <w:p w:rsidR="004D1379" w:rsidRPr="004D1379" w:rsidRDefault="004D1379" w:rsidP="004D1379">
            <w:pPr>
              <w:jc w:val="both"/>
              <w:rPr>
                <w:rFonts w:eastAsiaTheme="minorHAnsi"/>
                <w:bCs/>
                <w:sz w:val="22"/>
                <w:szCs w:val="22"/>
                <w:lang w:eastAsia="en-US"/>
              </w:rPr>
            </w:pPr>
            <w:r w:rsidRPr="004D1379">
              <w:rPr>
                <w:rFonts w:eastAsiaTheme="minorHAnsi"/>
                <w:bCs/>
                <w:sz w:val="22"/>
                <w:szCs w:val="22"/>
                <w:lang w:eastAsia="en-US"/>
              </w:rPr>
              <w:t xml:space="preserve">2. В целях перехода на модель уплаты НДС по принципу страны назначения в ЕАЭС в </w:t>
            </w:r>
            <w:proofErr w:type="spellStart"/>
            <w:r w:rsidRPr="004D1379">
              <w:rPr>
                <w:rFonts w:eastAsiaTheme="minorHAnsi"/>
                <w:bCs/>
                <w:sz w:val="22"/>
                <w:szCs w:val="22"/>
                <w:lang w:eastAsia="en-US"/>
              </w:rPr>
              <w:t>т.ч</w:t>
            </w:r>
            <w:proofErr w:type="spellEnd"/>
            <w:r w:rsidRPr="004D1379">
              <w:rPr>
                <w:rFonts w:eastAsiaTheme="minorHAnsi"/>
                <w:bCs/>
                <w:sz w:val="22"/>
                <w:szCs w:val="22"/>
                <w:lang w:eastAsia="en-US"/>
              </w:rPr>
              <w:t xml:space="preserve">. по продажам товаров физическим лицам для личных нужд, предлагается в случаях реализации товаров хозяйствующими субъектами стран ЕАЭС покупателям ФЛ на территории России возложить обязанность по исчислению и уплате налога на посредников, осуществляющих предпринимательскую деятельность на основании договоров комиссии, агентских договоров, договоров поручения.  В целях обеспечения консистентного подхода при налогообложении продаж товаров ФЛ на территорию иных стран ЕАЭС освободить от обложения НДС в РФ такие продажи с </w:t>
            </w:r>
            <w:r w:rsidRPr="004D1379">
              <w:rPr>
                <w:rFonts w:eastAsiaTheme="minorHAnsi"/>
                <w:bCs/>
                <w:sz w:val="22"/>
                <w:szCs w:val="22"/>
                <w:lang w:eastAsia="en-US"/>
              </w:rPr>
              <w:lastRenderedPageBreak/>
              <w:t xml:space="preserve">сохранением у продавцов права на вычет входящего НДС, для обеспечения единообразной налоговой нагрузки для В2В и В2С экспорта. </w:t>
            </w:r>
          </w:p>
        </w:tc>
        <w:tc>
          <w:tcPr>
            <w:tcW w:w="3458" w:type="dxa"/>
            <w:shd w:val="clear" w:color="auto" w:fill="auto"/>
          </w:tcPr>
          <w:p w:rsidR="004D1379" w:rsidRPr="004D1379" w:rsidRDefault="00661811" w:rsidP="004D1379">
            <w:pPr>
              <w:jc w:val="center"/>
              <w:rPr>
                <w:rFonts w:eastAsiaTheme="minorHAnsi"/>
                <w:sz w:val="22"/>
                <w:szCs w:val="22"/>
                <w:lang w:eastAsia="en-US"/>
              </w:rPr>
            </w:pPr>
            <w:hyperlink r:id="rId8" w:tgtFrame="_blank" w:history="1">
              <w:r w:rsidR="004D1379" w:rsidRPr="004D1379">
                <w:rPr>
                  <w:rFonts w:asciiTheme="minorHAnsi" w:eastAsiaTheme="minorHAnsi" w:hAnsiTheme="minorHAnsi" w:cstheme="minorBidi"/>
                  <w:color w:val="386FE5"/>
                  <w:sz w:val="22"/>
                  <w:szCs w:val="22"/>
                  <w:u w:val="single"/>
                  <w:shd w:val="clear" w:color="auto" w:fill="FFFFFF"/>
                  <w:lang w:eastAsia="en-US"/>
                </w:rPr>
                <w:t>https://regulation.gov.ru/Regulation/Npa/PublicView?npaID=139315</w:t>
              </w:r>
            </w:hyperlink>
          </w:p>
          <w:p w:rsidR="004D1379" w:rsidRPr="004D1379" w:rsidRDefault="004D1379" w:rsidP="004D1379">
            <w:pPr>
              <w:rPr>
                <w:rFonts w:eastAsiaTheme="minorHAnsi"/>
                <w:b/>
                <w:sz w:val="22"/>
                <w:szCs w:val="22"/>
                <w:lang w:eastAsia="en-US"/>
              </w:rPr>
            </w:pPr>
          </w:p>
          <w:p w:rsidR="004D1379" w:rsidRPr="004D1379" w:rsidRDefault="004D1379" w:rsidP="004D1379">
            <w:pPr>
              <w:jc w:val="both"/>
              <w:rPr>
                <w:rFonts w:eastAsiaTheme="minorHAnsi"/>
                <w:bCs/>
                <w:sz w:val="22"/>
                <w:szCs w:val="22"/>
                <w:lang w:eastAsia="en-US"/>
              </w:rPr>
            </w:pPr>
            <w:r w:rsidRPr="004D1379">
              <w:rPr>
                <w:rFonts w:eastAsiaTheme="minorHAnsi"/>
                <w:bCs/>
                <w:sz w:val="22"/>
                <w:szCs w:val="22"/>
                <w:lang w:eastAsia="en-US"/>
              </w:rPr>
              <w:t xml:space="preserve">В первой половине 2023 года активно обсуждался законопроект по введению импортного НДС на товары электронной торговли из ЕАЭС в целях единообразного подхода с установлением принципа страны назначения для всех продаж в </w:t>
            </w:r>
            <w:proofErr w:type="spellStart"/>
            <w:r w:rsidRPr="004D1379">
              <w:rPr>
                <w:rFonts w:eastAsiaTheme="minorHAnsi"/>
                <w:bCs/>
                <w:sz w:val="22"/>
                <w:szCs w:val="22"/>
                <w:lang w:eastAsia="en-US"/>
              </w:rPr>
              <w:t>т.ч</w:t>
            </w:r>
            <w:proofErr w:type="spellEnd"/>
            <w:r w:rsidRPr="004D1379">
              <w:rPr>
                <w:rFonts w:eastAsiaTheme="minorHAnsi"/>
                <w:bCs/>
                <w:sz w:val="22"/>
                <w:szCs w:val="22"/>
                <w:lang w:eastAsia="en-US"/>
              </w:rPr>
              <w:t xml:space="preserve">. в адрес ФЛ. </w:t>
            </w:r>
          </w:p>
          <w:p w:rsidR="004D1379" w:rsidRPr="004D1379" w:rsidRDefault="004D1379" w:rsidP="004D1379">
            <w:pPr>
              <w:ind w:firstLine="258"/>
              <w:jc w:val="both"/>
              <w:rPr>
                <w:rFonts w:eastAsiaTheme="minorHAnsi"/>
                <w:bCs/>
                <w:sz w:val="22"/>
                <w:szCs w:val="22"/>
                <w:lang w:eastAsia="en-US"/>
              </w:rPr>
            </w:pPr>
            <w:r w:rsidRPr="004D1379">
              <w:rPr>
                <w:rFonts w:eastAsiaTheme="minorHAnsi"/>
                <w:bCs/>
                <w:sz w:val="22"/>
                <w:szCs w:val="22"/>
                <w:lang w:eastAsia="en-US"/>
              </w:rPr>
              <w:t xml:space="preserve">На </w:t>
            </w:r>
            <w:r w:rsidRPr="004D1379">
              <w:rPr>
                <w:rFonts w:eastAsiaTheme="minorHAnsi"/>
                <w:bCs/>
                <w:sz w:val="22"/>
                <w:szCs w:val="22"/>
                <w:lang w:val="en-US" w:eastAsia="en-US"/>
              </w:rPr>
              <w:t>regulations</w:t>
            </w:r>
            <w:r w:rsidRPr="004D1379">
              <w:rPr>
                <w:rFonts w:eastAsiaTheme="minorHAnsi"/>
                <w:bCs/>
                <w:sz w:val="22"/>
                <w:szCs w:val="22"/>
                <w:lang w:eastAsia="en-US"/>
              </w:rPr>
              <w:t>.</w:t>
            </w:r>
            <w:proofErr w:type="spellStart"/>
            <w:r w:rsidRPr="004D1379">
              <w:rPr>
                <w:rFonts w:eastAsiaTheme="minorHAnsi"/>
                <w:bCs/>
                <w:sz w:val="22"/>
                <w:szCs w:val="22"/>
                <w:lang w:val="en-US" w:eastAsia="en-US"/>
              </w:rPr>
              <w:t>gov</w:t>
            </w:r>
            <w:proofErr w:type="spellEnd"/>
            <w:r w:rsidRPr="004D1379">
              <w:rPr>
                <w:rFonts w:eastAsiaTheme="minorHAnsi"/>
                <w:bCs/>
                <w:sz w:val="22"/>
                <w:szCs w:val="22"/>
                <w:lang w:eastAsia="en-US"/>
              </w:rPr>
              <w:t xml:space="preserve"> (ссылка выше) размещен проект с отраслевыми комментариями к нему, проект достаточно детально проработан с точки зрения механики введения импортного НДС, в отличие от одного абзаца текста, размещенного в ЗКП об основных направлениях. </w:t>
            </w:r>
          </w:p>
          <w:p w:rsidR="004D1379" w:rsidRPr="004D1379" w:rsidRDefault="004D1379" w:rsidP="004D1379">
            <w:pPr>
              <w:ind w:firstLine="258"/>
              <w:jc w:val="both"/>
              <w:rPr>
                <w:rFonts w:eastAsiaTheme="minorHAnsi"/>
                <w:bCs/>
                <w:sz w:val="22"/>
                <w:szCs w:val="22"/>
                <w:lang w:eastAsia="en-US"/>
              </w:rPr>
            </w:pPr>
            <w:r w:rsidRPr="004D1379">
              <w:rPr>
                <w:rFonts w:eastAsiaTheme="minorHAnsi"/>
                <w:bCs/>
                <w:sz w:val="22"/>
                <w:szCs w:val="22"/>
                <w:lang w:eastAsia="en-US"/>
              </w:rPr>
              <w:t xml:space="preserve">На наш взгляд, нужно: </w:t>
            </w:r>
          </w:p>
          <w:p w:rsidR="004D1379" w:rsidRPr="004D1379" w:rsidRDefault="004D1379" w:rsidP="004D1379">
            <w:pPr>
              <w:numPr>
                <w:ilvl w:val="0"/>
                <w:numId w:val="4"/>
              </w:numPr>
              <w:spacing w:after="160" w:line="259" w:lineRule="auto"/>
              <w:ind w:left="0" w:firstLine="258"/>
              <w:contextualSpacing/>
              <w:jc w:val="both"/>
              <w:rPr>
                <w:rFonts w:eastAsiaTheme="minorHAnsi"/>
                <w:bCs/>
                <w:sz w:val="22"/>
                <w:szCs w:val="22"/>
              </w:rPr>
            </w:pPr>
            <w:r w:rsidRPr="004D1379">
              <w:rPr>
                <w:rFonts w:eastAsiaTheme="minorHAnsi"/>
                <w:bCs/>
                <w:sz w:val="22"/>
                <w:szCs w:val="22"/>
              </w:rPr>
              <w:t xml:space="preserve">Сместить в ОННП акценты от «создания схем» на переход к целевой модели – текущее регулирование ЕАЭС предусматривает уплату НДС в стране продавца по продажам в адрес ФЛ, это регулирование существует больше 10 лет и до </w:t>
            </w:r>
            <w:r w:rsidRPr="004D1379">
              <w:rPr>
                <w:rFonts w:eastAsiaTheme="minorHAnsi"/>
                <w:bCs/>
                <w:sz w:val="22"/>
                <w:szCs w:val="22"/>
              </w:rPr>
              <w:lastRenderedPageBreak/>
              <w:t xml:space="preserve">настоящего времени не вызывало вопросов. </w:t>
            </w:r>
          </w:p>
          <w:p w:rsidR="004D1379" w:rsidRPr="004D1379" w:rsidRDefault="004D1379" w:rsidP="004D1379">
            <w:pPr>
              <w:numPr>
                <w:ilvl w:val="0"/>
                <w:numId w:val="4"/>
              </w:numPr>
              <w:spacing w:after="160" w:line="259" w:lineRule="auto"/>
              <w:ind w:left="0" w:firstLine="258"/>
              <w:contextualSpacing/>
              <w:jc w:val="both"/>
              <w:rPr>
                <w:rFonts w:eastAsiaTheme="minorHAnsi"/>
                <w:bCs/>
                <w:sz w:val="22"/>
                <w:szCs w:val="22"/>
              </w:rPr>
            </w:pPr>
            <w:r w:rsidRPr="004D1379">
              <w:rPr>
                <w:rFonts w:eastAsiaTheme="minorHAnsi"/>
                <w:bCs/>
                <w:sz w:val="22"/>
                <w:szCs w:val="22"/>
              </w:rPr>
              <w:t xml:space="preserve">Использовать проработанный и обсужденный с индустрией законопроект, вводящий правила и порядок исчисления и уплаты НДС, в </w:t>
            </w:r>
            <w:proofErr w:type="spellStart"/>
            <w:r w:rsidRPr="004D1379">
              <w:rPr>
                <w:rFonts w:eastAsiaTheme="minorHAnsi"/>
                <w:bCs/>
                <w:sz w:val="22"/>
                <w:szCs w:val="22"/>
              </w:rPr>
              <w:t>т.ч</w:t>
            </w:r>
            <w:proofErr w:type="spellEnd"/>
            <w:r w:rsidRPr="004D1379">
              <w:rPr>
                <w:rFonts w:eastAsiaTheme="minorHAnsi"/>
                <w:bCs/>
                <w:sz w:val="22"/>
                <w:szCs w:val="22"/>
              </w:rPr>
              <w:t>. устанавливать обязанность по исчислению и уплате НДС в привязке к дате реализации (продажи товара) ФЛ, а не дате ввоза, поскольку последняя не означает перехода права собственности, а доля возвратов в дистанционной торговле существенна</w:t>
            </w:r>
          </w:p>
          <w:p w:rsidR="004D1379" w:rsidRPr="004D1379" w:rsidRDefault="004D1379" w:rsidP="004D1379">
            <w:pPr>
              <w:numPr>
                <w:ilvl w:val="0"/>
                <w:numId w:val="4"/>
              </w:numPr>
              <w:spacing w:after="160" w:line="259" w:lineRule="auto"/>
              <w:ind w:left="0" w:firstLine="258"/>
              <w:contextualSpacing/>
              <w:jc w:val="both"/>
              <w:rPr>
                <w:rFonts w:eastAsiaTheme="minorHAnsi"/>
                <w:bCs/>
                <w:sz w:val="22"/>
                <w:szCs w:val="22"/>
              </w:rPr>
            </w:pPr>
            <w:r w:rsidRPr="004D1379">
              <w:rPr>
                <w:rFonts w:eastAsiaTheme="minorHAnsi"/>
                <w:bCs/>
                <w:sz w:val="22"/>
                <w:szCs w:val="22"/>
              </w:rPr>
              <w:t xml:space="preserve">Включить в ОННП освобождение от НДС продаж товаров ФЛ на территорию иных государств ЕАЭС, как предусмотрено указанным выше проектом </w:t>
            </w:r>
          </w:p>
          <w:p w:rsidR="004D1379" w:rsidRPr="004D1379" w:rsidRDefault="004D1379" w:rsidP="004D1379">
            <w:pPr>
              <w:numPr>
                <w:ilvl w:val="0"/>
                <w:numId w:val="4"/>
              </w:numPr>
              <w:spacing w:after="160" w:line="259" w:lineRule="auto"/>
              <w:ind w:left="0" w:firstLine="258"/>
              <w:contextualSpacing/>
              <w:jc w:val="both"/>
              <w:rPr>
                <w:rFonts w:eastAsiaTheme="minorHAnsi"/>
                <w:bCs/>
                <w:sz w:val="22"/>
                <w:szCs w:val="22"/>
              </w:rPr>
            </w:pPr>
            <w:r w:rsidRPr="004D1379">
              <w:rPr>
                <w:rFonts w:eastAsiaTheme="minorHAnsi"/>
                <w:bCs/>
                <w:sz w:val="22"/>
                <w:szCs w:val="22"/>
              </w:rPr>
              <w:t xml:space="preserve">Указанные изменения ввести 01.07.2024 (не ранее 01.04.2024) с целью качественной подготовки изменений в формат декларации, детали данных, доработки систем и документов, правила </w:t>
            </w:r>
            <w:proofErr w:type="spellStart"/>
            <w:r w:rsidRPr="004D1379">
              <w:rPr>
                <w:rFonts w:eastAsiaTheme="minorHAnsi"/>
                <w:bCs/>
                <w:sz w:val="22"/>
                <w:szCs w:val="22"/>
              </w:rPr>
              <w:t>фискализации</w:t>
            </w:r>
            <w:proofErr w:type="spellEnd"/>
            <w:r w:rsidRPr="004D1379">
              <w:rPr>
                <w:rFonts w:eastAsiaTheme="minorHAnsi"/>
                <w:bCs/>
                <w:sz w:val="22"/>
                <w:szCs w:val="22"/>
              </w:rPr>
              <w:t>, договорные условия с продавцами ЕАЭС после окончания «высокого» (предновогоднего сезона)</w:t>
            </w:r>
          </w:p>
        </w:tc>
        <w:tc>
          <w:tcPr>
            <w:tcW w:w="4111" w:type="dxa"/>
          </w:tcPr>
          <w:p w:rsidR="004D1379" w:rsidRPr="004D1379" w:rsidRDefault="004D1379" w:rsidP="004D1379">
            <w:pPr>
              <w:ind w:left="-8" w:firstLine="188"/>
              <w:jc w:val="both"/>
              <w:rPr>
                <w:rFonts w:eastAsiaTheme="minorHAnsi"/>
                <w:bCs/>
                <w:sz w:val="22"/>
                <w:szCs w:val="22"/>
                <w:lang w:eastAsia="en-US"/>
              </w:rPr>
            </w:pPr>
            <w:r w:rsidRPr="004D1379">
              <w:rPr>
                <w:rFonts w:eastAsiaTheme="minorHAnsi"/>
                <w:bCs/>
                <w:sz w:val="22"/>
                <w:szCs w:val="22"/>
                <w:lang w:eastAsia="en-US"/>
              </w:rPr>
              <w:lastRenderedPageBreak/>
              <w:t>Проектируемая статья 152.1 (либо изменения в иную статью Кодекса) не затрагивает вопрос применения НДС в электронной торговле товарами между государствами-членами ЕАЭС.</w:t>
            </w:r>
          </w:p>
          <w:p w:rsidR="004D1379" w:rsidRPr="004D1379" w:rsidRDefault="004D1379" w:rsidP="004D1379">
            <w:pPr>
              <w:ind w:left="-8" w:firstLine="188"/>
              <w:jc w:val="both"/>
              <w:rPr>
                <w:rFonts w:eastAsiaTheme="minorHAnsi"/>
                <w:bCs/>
                <w:sz w:val="22"/>
                <w:szCs w:val="22"/>
                <w:lang w:eastAsia="en-US"/>
              </w:rPr>
            </w:pPr>
            <w:r w:rsidRPr="004D1379">
              <w:rPr>
                <w:rFonts w:eastAsiaTheme="minorHAnsi"/>
                <w:bCs/>
                <w:sz w:val="22"/>
                <w:szCs w:val="22"/>
                <w:lang w:eastAsia="en-US"/>
              </w:rPr>
              <w:t>Данные изменения направлены на уточнение действующего в настоящее время порядка уплаты НДС во взаимной торговле ЕАЭС.</w:t>
            </w:r>
          </w:p>
          <w:p w:rsidR="004D1379" w:rsidRPr="004D1379" w:rsidRDefault="004D1379" w:rsidP="004D1379">
            <w:pPr>
              <w:ind w:left="-8" w:firstLine="188"/>
              <w:jc w:val="both"/>
              <w:rPr>
                <w:rFonts w:eastAsiaTheme="minorHAnsi"/>
                <w:bCs/>
                <w:sz w:val="22"/>
                <w:szCs w:val="22"/>
                <w:lang w:eastAsia="en-US"/>
              </w:rPr>
            </w:pPr>
            <w:r w:rsidRPr="004D1379">
              <w:rPr>
                <w:rFonts w:eastAsiaTheme="minorHAnsi"/>
                <w:bCs/>
                <w:sz w:val="22"/>
                <w:szCs w:val="22"/>
                <w:lang w:eastAsia="en-US"/>
              </w:rPr>
              <w:t>Так, нормами Протокола, являющегося приложением № 18 к Договору о ЕАЭС, предусмотрено, что НДС при импорте товаров (не электронная торговля) уплачивается налоговому органу государства импортера собственником товаров, либо комиссионером, поверенным, агентом (если это предусмотрено законодательством государства импортера).</w:t>
            </w:r>
          </w:p>
          <w:p w:rsidR="004D1379" w:rsidRPr="004D1379" w:rsidRDefault="004D1379" w:rsidP="004D1379">
            <w:pPr>
              <w:ind w:left="-8" w:firstLine="188"/>
              <w:jc w:val="both"/>
              <w:rPr>
                <w:rFonts w:eastAsiaTheme="minorHAnsi"/>
                <w:bCs/>
                <w:sz w:val="22"/>
                <w:szCs w:val="22"/>
                <w:lang w:eastAsia="en-US"/>
              </w:rPr>
            </w:pPr>
            <w:r w:rsidRPr="004D1379">
              <w:rPr>
                <w:rFonts w:eastAsiaTheme="minorHAnsi"/>
                <w:bCs/>
                <w:sz w:val="22"/>
                <w:szCs w:val="22"/>
                <w:lang w:eastAsia="en-US"/>
              </w:rPr>
              <w:t>С момента вступления в силу Протокола только в Российской Федерации при «комиссионной» торговле НДС уплачивался собственниками товаров, т.е. комитентами, доверителями, принципалами.</w:t>
            </w:r>
          </w:p>
          <w:p w:rsidR="004D1379" w:rsidRPr="004D1379" w:rsidRDefault="004D1379" w:rsidP="004D1379">
            <w:pPr>
              <w:ind w:left="-8" w:firstLine="188"/>
              <w:jc w:val="both"/>
              <w:rPr>
                <w:rFonts w:eastAsiaTheme="minorHAnsi"/>
                <w:bCs/>
                <w:sz w:val="22"/>
                <w:szCs w:val="22"/>
                <w:lang w:eastAsia="en-US"/>
              </w:rPr>
            </w:pPr>
            <w:r w:rsidRPr="004D1379">
              <w:rPr>
                <w:rFonts w:eastAsiaTheme="minorHAnsi"/>
                <w:bCs/>
                <w:sz w:val="22"/>
                <w:szCs w:val="22"/>
                <w:lang w:eastAsia="en-US"/>
              </w:rPr>
              <w:t xml:space="preserve">Поэтому, используя возможность вносить изменения в законодательство, принято решения использовать положительный опыт других государств ЕАЭС установить аналогичный порядок </w:t>
            </w:r>
            <w:r w:rsidRPr="004D1379">
              <w:rPr>
                <w:rFonts w:eastAsiaTheme="minorHAnsi"/>
                <w:bCs/>
                <w:sz w:val="22"/>
                <w:szCs w:val="22"/>
                <w:lang w:eastAsia="en-US"/>
              </w:rPr>
              <w:lastRenderedPageBreak/>
              <w:t>уплаты НДС при импорте товаров через посредников. Так, например, можно избежать ситуации неуплаты НДС в бюджет Российской Федерации в случае, когда товар импортируется в РФ через посредника и в дальнейшем по поручению комитента, доверителя или принципала реализуется таким посредником физическим лицам, не являющимся плательщиками НДС.</w:t>
            </w:r>
          </w:p>
          <w:p w:rsidR="004D1379" w:rsidRPr="004D1379" w:rsidRDefault="004D1379" w:rsidP="004D1379">
            <w:pPr>
              <w:ind w:left="-8" w:firstLine="188"/>
              <w:jc w:val="both"/>
              <w:rPr>
                <w:rFonts w:eastAsiaTheme="minorHAnsi"/>
                <w:bCs/>
                <w:sz w:val="22"/>
                <w:szCs w:val="22"/>
                <w:lang w:eastAsia="en-US"/>
              </w:rPr>
            </w:pPr>
            <w:r w:rsidRPr="004D1379">
              <w:rPr>
                <w:rFonts w:eastAsiaTheme="minorHAnsi"/>
                <w:bCs/>
                <w:sz w:val="22"/>
                <w:szCs w:val="22"/>
                <w:lang w:eastAsia="en-US"/>
              </w:rPr>
              <w:t>Еще раз отмечается, что данные изменения в Кодекс не затрагивают вопрос электронной торговли товарами через интернет-площадки.</w:t>
            </w:r>
          </w:p>
        </w:tc>
      </w:tr>
      <w:tr w:rsidR="004D1379" w:rsidRPr="004D1379" w:rsidTr="009C6571">
        <w:trPr>
          <w:trHeight w:val="780"/>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000000"/>
                <w:sz w:val="22"/>
                <w:szCs w:val="22"/>
              </w:rPr>
            </w:pPr>
            <w:r w:rsidRPr="004D1379">
              <w:rPr>
                <w:color w:val="000000"/>
                <w:sz w:val="22"/>
                <w:szCs w:val="22"/>
              </w:rPr>
              <w:t xml:space="preserve">Приложение № 2 </w:t>
            </w:r>
          </w:p>
          <w:p w:rsidR="004D1379" w:rsidRPr="004D1379" w:rsidRDefault="004D1379" w:rsidP="004D1379">
            <w:pPr>
              <w:rPr>
                <w:color w:val="000000"/>
                <w:sz w:val="22"/>
                <w:szCs w:val="22"/>
              </w:rPr>
            </w:pPr>
          </w:p>
          <w:p w:rsidR="004D1379" w:rsidRPr="004D1379" w:rsidRDefault="004D1379" w:rsidP="004D1379">
            <w:pPr>
              <w:rPr>
                <w:color w:val="FF0000"/>
                <w:sz w:val="22"/>
                <w:szCs w:val="22"/>
              </w:rPr>
            </w:pPr>
            <w:r w:rsidRPr="004D1379">
              <w:rPr>
                <w:color w:val="000000"/>
                <w:sz w:val="22"/>
                <w:szCs w:val="22"/>
              </w:rPr>
              <w:t>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rPr>
                <w:rFonts w:eastAsiaTheme="minorHAnsi"/>
                <w:b/>
                <w:sz w:val="22"/>
                <w:szCs w:val="22"/>
                <w:lang w:eastAsia="en-US"/>
              </w:rPr>
            </w:pPr>
            <w:r w:rsidRPr="004D1379">
              <w:rPr>
                <w:rFonts w:eastAsiaTheme="minorHAnsi"/>
                <w:sz w:val="22"/>
                <w:szCs w:val="22"/>
                <w:lang w:eastAsia="en-US"/>
              </w:rPr>
              <w:t>Налог на добавленную стоимость</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Дополнить п. 3</w:t>
            </w:r>
          </w:p>
        </w:tc>
        <w:tc>
          <w:tcPr>
            <w:tcW w:w="2540"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jc w:val="both"/>
              <w:rPr>
                <w:rFonts w:eastAsiaTheme="minorHAnsi"/>
                <w:bCs/>
                <w:sz w:val="22"/>
                <w:szCs w:val="22"/>
                <w:lang w:eastAsia="en-US"/>
              </w:rPr>
            </w:pPr>
            <w:r w:rsidRPr="004D1379">
              <w:rPr>
                <w:rFonts w:eastAsiaTheme="minorHAnsi"/>
                <w:bCs/>
                <w:sz w:val="22"/>
                <w:szCs w:val="22"/>
                <w:lang w:eastAsia="en-US"/>
              </w:rPr>
              <w:t>3. Освободить от НДС бесплатную передачу товаров некоммерческим организациям, включенным в реестр социально ориентированных некоммерческих организаций, с одновременным сохранением права на вычет входящего НДС по таким товарам у передающей стороны.</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 середине года поднимался вопрос об обнулении НДС на передачу товаров c истекающим сроком годности в благотворительных целях, мы полагаем что эта инициатива чрезвычайно полезна и может поддержать малоимущие слои населения, пользующиеся услугами благотворительных фондов.  На сегодня регулирование таково, что продавцам даже товары </w:t>
            </w:r>
            <w:proofErr w:type="spellStart"/>
            <w:r w:rsidRPr="004D1379">
              <w:rPr>
                <w:rFonts w:eastAsiaTheme="minorHAnsi"/>
                <w:sz w:val="22"/>
                <w:szCs w:val="22"/>
                <w:lang w:eastAsia="en-US"/>
              </w:rPr>
              <w:t>предпросрока</w:t>
            </w:r>
            <w:proofErr w:type="spellEnd"/>
            <w:r w:rsidRPr="004D1379">
              <w:rPr>
                <w:rFonts w:eastAsiaTheme="minorHAnsi"/>
                <w:sz w:val="22"/>
                <w:szCs w:val="22"/>
                <w:lang w:eastAsia="en-US"/>
              </w:rPr>
              <w:t xml:space="preserve"> проще снять с реализации и утилизировать, чем передать на благотворительность, поскольку последнее требует восстановления НДС. В случае принятие регулирования, позволяющего передавать в благотворительные организации такие товары без начисления НДС на передачу и без восстановления «входящего» НДС уровень налоговых поступлений не изменится, однако товары смогут получить нуждающиеся в них.</w:t>
            </w:r>
          </w:p>
        </w:tc>
        <w:tc>
          <w:tcPr>
            <w:tcW w:w="4111" w:type="dxa"/>
          </w:tcPr>
          <w:p w:rsidR="004D1379" w:rsidRPr="004D1379" w:rsidRDefault="004D1379" w:rsidP="004D1379">
            <w:pPr>
              <w:ind w:left="38" w:firstLine="142"/>
              <w:jc w:val="both"/>
              <w:rPr>
                <w:rFonts w:eastAsiaTheme="minorHAnsi"/>
                <w:sz w:val="22"/>
                <w:szCs w:val="22"/>
              </w:rPr>
            </w:pPr>
            <w:r w:rsidRPr="004D1379">
              <w:rPr>
                <w:rFonts w:eastAsiaTheme="minorHAnsi"/>
                <w:sz w:val="22"/>
                <w:szCs w:val="22"/>
              </w:rPr>
              <w:t xml:space="preserve">Минфином России </w:t>
            </w:r>
            <w:r w:rsidRPr="004D1379">
              <w:rPr>
                <w:rFonts w:eastAsiaTheme="minorHAnsi"/>
                <w:b/>
                <w:sz w:val="22"/>
                <w:szCs w:val="22"/>
              </w:rPr>
              <w:t>концептуально поддержано</w:t>
            </w:r>
            <w:r w:rsidRPr="004D1379">
              <w:rPr>
                <w:rFonts w:eastAsiaTheme="minorHAnsi"/>
                <w:sz w:val="22"/>
                <w:szCs w:val="22"/>
              </w:rPr>
              <w:t xml:space="preserve"> предложение об освобождении от НДС и отсутствии обязанности по восстановлению НДС в отношении товаров (за исключением подакцизных товаров), безвозмездно передаваемых организациями–благотворителями некоммерческим организациям, осуществляющим благотворительную деятельность по оказанию товарной помощи населению, при условии, что общая стоимость передаваемых товаров за текущий календарный год не превышает 1 % от суммы дохода за предыдущий календарный год.</w:t>
            </w:r>
          </w:p>
          <w:p w:rsidR="004D1379" w:rsidRPr="004D1379" w:rsidRDefault="004D1379" w:rsidP="004D1379">
            <w:pPr>
              <w:ind w:left="38" w:firstLine="142"/>
              <w:jc w:val="both"/>
              <w:rPr>
                <w:rFonts w:eastAsiaTheme="minorHAnsi"/>
                <w:sz w:val="22"/>
                <w:szCs w:val="22"/>
              </w:rPr>
            </w:pPr>
            <w:r w:rsidRPr="004D1379">
              <w:rPr>
                <w:rFonts w:eastAsiaTheme="minorHAnsi"/>
                <w:sz w:val="22"/>
                <w:szCs w:val="22"/>
              </w:rPr>
              <w:t>Данный порядок исчисления НДС будет применяться в отношении товаров, перечень которых утвердит Правительство Российской Федерации, и в случае, если организация–благотворитель и организация, осуществляющая благотворительную деятельность по оказанию товарной помощи населению, будут включены в соответствующие перечни.</w:t>
            </w:r>
          </w:p>
          <w:p w:rsidR="004D1379" w:rsidRPr="004D1379" w:rsidRDefault="004D1379" w:rsidP="004D1379">
            <w:pPr>
              <w:ind w:left="38" w:firstLine="142"/>
              <w:jc w:val="both"/>
              <w:rPr>
                <w:rFonts w:eastAsiaTheme="minorHAnsi"/>
                <w:sz w:val="22"/>
                <w:szCs w:val="22"/>
                <w:lang w:eastAsia="en-US"/>
              </w:rPr>
            </w:pPr>
            <w:r w:rsidRPr="004D1379">
              <w:rPr>
                <w:rFonts w:eastAsiaTheme="minorHAnsi"/>
                <w:sz w:val="22"/>
                <w:szCs w:val="22"/>
                <w:lang w:eastAsia="en-US"/>
              </w:rPr>
              <w:t xml:space="preserve">Однако, представляется </w:t>
            </w:r>
            <w:r w:rsidRPr="004D1379">
              <w:rPr>
                <w:rFonts w:eastAsiaTheme="minorHAnsi"/>
                <w:b/>
                <w:sz w:val="22"/>
                <w:szCs w:val="22"/>
                <w:lang w:eastAsia="en-US"/>
              </w:rPr>
              <w:t>нецелесообразным отражение данного предложения</w:t>
            </w:r>
            <w:r w:rsidRPr="004D1379">
              <w:rPr>
                <w:rFonts w:eastAsiaTheme="minorHAnsi"/>
                <w:sz w:val="22"/>
                <w:szCs w:val="22"/>
                <w:lang w:eastAsia="en-US"/>
              </w:rPr>
              <w:t xml:space="preserve"> в проекте Основных направлений.</w:t>
            </w:r>
          </w:p>
        </w:tc>
      </w:tr>
      <w:tr w:rsidR="004D1379" w:rsidRPr="004D1379" w:rsidTr="009C6571">
        <w:trPr>
          <w:trHeight w:val="646"/>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Приложение №2</w:t>
            </w:r>
          </w:p>
          <w:p w:rsidR="004D1379" w:rsidRPr="004D1379" w:rsidRDefault="004D1379" w:rsidP="004D1379">
            <w:pPr>
              <w:rPr>
                <w:rFonts w:eastAsiaTheme="minorHAnsi"/>
                <w:sz w:val="22"/>
                <w:szCs w:val="22"/>
                <w:lang w:eastAsia="en-US"/>
              </w:rPr>
            </w:pPr>
          </w:p>
          <w:p w:rsidR="004D1379" w:rsidRPr="004D1379" w:rsidRDefault="004D1379" w:rsidP="004D1379">
            <w:pPr>
              <w:rPr>
                <w:color w:val="FF0000"/>
                <w:sz w:val="22"/>
                <w:szCs w:val="22"/>
              </w:rPr>
            </w:pPr>
            <w:r w:rsidRPr="004D1379">
              <w:rPr>
                <w:color w:val="000000"/>
                <w:sz w:val="22"/>
                <w:szCs w:val="22"/>
              </w:rPr>
              <w:t>Меры налоговой политики по видам налогов</w:t>
            </w:r>
          </w:p>
          <w:p w:rsidR="004D1379" w:rsidRPr="004D1379" w:rsidRDefault="004D1379" w:rsidP="004D1379">
            <w:pPr>
              <w:rPr>
                <w:rFonts w:eastAsiaTheme="minorHAnsi"/>
                <w:sz w:val="22"/>
                <w:szCs w:val="22"/>
                <w:lang w:eastAsia="en-US"/>
              </w:rPr>
            </w:pPr>
          </w:p>
          <w:p w:rsidR="004D1379" w:rsidRPr="004D1379" w:rsidRDefault="004D1379" w:rsidP="004D1379">
            <w:pPr>
              <w:rPr>
                <w:color w:val="000000"/>
                <w:sz w:val="22"/>
                <w:szCs w:val="22"/>
              </w:rPr>
            </w:pPr>
            <w:r w:rsidRPr="004D1379">
              <w:rPr>
                <w:color w:val="000000"/>
                <w:sz w:val="22"/>
                <w:szCs w:val="22"/>
              </w:rPr>
              <w:t>Налог на прибыль организаций</w:t>
            </w:r>
          </w:p>
        </w:tc>
        <w:tc>
          <w:tcPr>
            <w:tcW w:w="2540"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lastRenderedPageBreak/>
              <w:t>Отсутствует</w:t>
            </w:r>
          </w:p>
        </w:tc>
        <w:tc>
          <w:tcPr>
            <w:tcW w:w="2682" w:type="dxa"/>
            <w:shd w:val="clear" w:color="auto" w:fill="auto"/>
          </w:tcPr>
          <w:p w:rsidR="004D1379" w:rsidRPr="004D1379" w:rsidRDefault="004D1379" w:rsidP="004D1379">
            <w:pPr>
              <w:autoSpaceDE w:val="0"/>
              <w:autoSpaceDN w:val="0"/>
              <w:jc w:val="both"/>
              <w:rPr>
                <w:rFonts w:eastAsiaTheme="minorHAnsi"/>
                <w:sz w:val="22"/>
                <w:szCs w:val="22"/>
                <w:lang w:eastAsia="en-US"/>
              </w:rPr>
            </w:pPr>
            <w:r w:rsidRPr="004D1379">
              <w:rPr>
                <w:rFonts w:eastAsiaTheme="minorHAnsi"/>
                <w:sz w:val="22"/>
                <w:szCs w:val="22"/>
                <w:lang w:eastAsia="en-US"/>
              </w:rPr>
              <w:t xml:space="preserve">Предлагаем дополнить п.5 ст.171, п.4 ст.172 НК РФ правом на вычет НДС налогового агента с сумм частичной оплаты в счет </w:t>
            </w:r>
            <w:r w:rsidRPr="004D1379">
              <w:rPr>
                <w:rFonts w:eastAsiaTheme="minorHAnsi"/>
                <w:sz w:val="22"/>
                <w:szCs w:val="22"/>
                <w:lang w:eastAsia="en-US"/>
              </w:rPr>
              <w:lastRenderedPageBreak/>
              <w:t>предстоящих выполнения работ или оказания услуг в случае невозврата такой предоплаты по вступившим в силу судебным решениям международных судов в полном объеме после отражения в учете соответствующих операций по корректировке, но не позднее 5 лет с даты расторжения договора. Распространить действие нормы с 01.01.2023.</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В результате действий представителей недружественных стран ряд заключенных договоров были расторгнуты ими в одностороннем порядке без </w:t>
            </w:r>
            <w:r w:rsidRPr="004D1379">
              <w:rPr>
                <w:rFonts w:eastAsiaTheme="minorHAnsi"/>
                <w:sz w:val="22"/>
                <w:szCs w:val="22"/>
                <w:lang w:eastAsia="en-US"/>
              </w:rPr>
              <w:lastRenderedPageBreak/>
              <w:t>возврата аванса, уплаченного российской стороны. В итоге судебные тяжбы могут затянуться на долгие годы и российский налоговый агент в силу п.4 ст.172 НК РФ теряет право на вычет уплаченного в российский бюджет НДС агента.</w:t>
            </w:r>
          </w:p>
        </w:tc>
        <w:tc>
          <w:tcPr>
            <w:tcW w:w="4111" w:type="dxa"/>
          </w:tcPr>
          <w:p w:rsidR="004D1379" w:rsidRPr="004D1379" w:rsidRDefault="004D1379" w:rsidP="004D1379">
            <w:pPr>
              <w:ind w:firstLine="180"/>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Следует отметить, что реализация такого предложения будет являться субсидированием указанных налогоплательщиков из федерального </w:t>
            </w:r>
            <w:r w:rsidRPr="004D1379">
              <w:rPr>
                <w:rFonts w:eastAsiaTheme="minorHAnsi"/>
                <w:sz w:val="22"/>
                <w:szCs w:val="22"/>
                <w:lang w:eastAsia="en-US"/>
              </w:rPr>
              <w:lastRenderedPageBreak/>
              <w:t>бюджета на сумму НДС, исчисленного налоговым агентом с авансового платежа, перечисленного иностранному лицу в счет выполнения работ (оказания услуг).</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Кроме того, принятие положительного решения по указанному предложению создаст прецедент для постановки аналогичных вопросов в отношении иных операций, по которым НДС не может быть принят к вычету, что, в конечном итоге, приведет к увеличению выпадающих доходов федерального бюджета, источники компенсации которых не определены.</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FF0000"/>
                <w:sz w:val="22"/>
                <w:szCs w:val="22"/>
              </w:rPr>
            </w:pPr>
            <w:r w:rsidRPr="004D1379">
              <w:rPr>
                <w:color w:val="000000"/>
                <w:sz w:val="22"/>
                <w:szCs w:val="22"/>
              </w:rPr>
              <w:t>Приложение № 2 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rPr>
                <w:color w:val="FF0000"/>
                <w:sz w:val="22"/>
                <w:szCs w:val="22"/>
              </w:rPr>
            </w:pPr>
            <w:r w:rsidRPr="004D1379">
              <w:rPr>
                <w:color w:val="000000"/>
                <w:sz w:val="22"/>
                <w:szCs w:val="22"/>
              </w:rPr>
              <w:t>Налог на прибыль организаций</w:t>
            </w:r>
          </w:p>
        </w:tc>
        <w:tc>
          <w:tcPr>
            <w:tcW w:w="2540"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autoSpaceDE w:val="0"/>
              <w:autoSpaceDN w:val="0"/>
              <w:jc w:val="both"/>
              <w:rPr>
                <w:rFonts w:eastAsiaTheme="minorHAnsi"/>
                <w:sz w:val="22"/>
                <w:szCs w:val="22"/>
                <w:lang w:eastAsia="en-US"/>
              </w:rPr>
            </w:pPr>
            <w:r w:rsidRPr="004D1379">
              <w:rPr>
                <w:rFonts w:eastAsiaTheme="minorHAnsi"/>
                <w:sz w:val="22"/>
                <w:szCs w:val="22"/>
                <w:lang w:eastAsia="en-US"/>
              </w:rPr>
              <w:t>Корректировка ст. 251 НК РФ, предусматривающая освобождение от налога прощение долга по займам.</w:t>
            </w:r>
          </w:p>
          <w:p w:rsidR="004D1379" w:rsidRPr="004D1379" w:rsidRDefault="004D1379" w:rsidP="004D1379">
            <w:pPr>
              <w:autoSpaceDE w:val="0"/>
              <w:autoSpaceDN w:val="0"/>
              <w:jc w:val="both"/>
              <w:rPr>
                <w:rFonts w:eastAsiaTheme="minorHAnsi"/>
                <w:sz w:val="22"/>
                <w:szCs w:val="22"/>
                <w:lang w:eastAsia="en-US"/>
              </w:rPr>
            </w:pPr>
            <w:r w:rsidRPr="004D1379">
              <w:rPr>
                <w:rFonts w:eastAsiaTheme="minorHAnsi"/>
                <w:sz w:val="22"/>
                <w:szCs w:val="22"/>
                <w:lang w:eastAsia="en-US"/>
              </w:rPr>
              <w:t>Одновременно:</w:t>
            </w:r>
          </w:p>
          <w:p w:rsidR="004D1379" w:rsidRPr="004D1379" w:rsidRDefault="004D1379" w:rsidP="004D1379">
            <w:pPr>
              <w:numPr>
                <w:ilvl w:val="0"/>
                <w:numId w:val="3"/>
              </w:numPr>
              <w:autoSpaceDE w:val="0"/>
              <w:autoSpaceDN w:val="0"/>
              <w:spacing w:after="160" w:line="259" w:lineRule="auto"/>
              <w:ind w:left="0" w:firstLine="320"/>
              <w:contextualSpacing/>
              <w:jc w:val="both"/>
              <w:rPr>
                <w:rFonts w:eastAsiaTheme="minorHAnsi"/>
                <w:sz w:val="22"/>
                <w:szCs w:val="22"/>
              </w:rPr>
            </w:pPr>
            <w:r w:rsidRPr="004D1379">
              <w:rPr>
                <w:rFonts w:eastAsiaTheme="minorHAnsi"/>
                <w:sz w:val="22"/>
                <w:szCs w:val="22"/>
              </w:rPr>
              <w:t>Норму целесообразно распространить как на займы от материнских компаний, так и на случаи, когда материнская компания получила право требования к дочерней компании-должнику от другого кредитора;</w:t>
            </w:r>
          </w:p>
          <w:p w:rsidR="004D1379" w:rsidRPr="004D1379" w:rsidRDefault="004D1379" w:rsidP="004D1379">
            <w:pPr>
              <w:numPr>
                <w:ilvl w:val="0"/>
                <w:numId w:val="3"/>
              </w:numPr>
              <w:autoSpaceDE w:val="0"/>
              <w:autoSpaceDN w:val="0"/>
              <w:spacing w:after="160" w:line="259" w:lineRule="auto"/>
              <w:ind w:left="0" w:firstLine="320"/>
              <w:contextualSpacing/>
              <w:jc w:val="both"/>
              <w:rPr>
                <w:rFonts w:eastAsiaTheme="minorHAnsi"/>
                <w:sz w:val="22"/>
                <w:szCs w:val="22"/>
              </w:rPr>
            </w:pPr>
            <w:r w:rsidRPr="004D1379">
              <w:rPr>
                <w:rFonts w:eastAsiaTheme="minorHAnsi"/>
                <w:sz w:val="22"/>
                <w:szCs w:val="22"/>
              </w:rPr>
              <w:lastRenderedPageBreak/>
              <w:t>Уточнить дату, на которую необходимо соблюсти условие размера доли участия: предлагается определять долю на дату прекращения/прощения обязательств по договорам займа.</w:t>
            </w:r>
          </w:p>
          <w:p w:rsidR="004D1379" w:rsidRPr="004D1379" w:rsidRDefault="004D1379" w:rsidP="004D1379">
            <w:pPr>
              <w:autoSpaceDE w:val="0"/>
              <w:autoSpaceDN w:val="0"/>
              <w:jc w:val="both"/>
              <w:rPr>
                <w:rFonts w:eastAsiaTheme="minorHAnsi"/>
                <w:sz w:val="22"/>
                <w:szCs w:val="22"/>
                <w:lang w:eastAsia="en-US"/>
              </w:rPr>
            </w:pPr>
            <w:r w:rsidRPr="004D1379">
              <w:rPr>
                <w:rFonts w:eastAsiaTheme="minorHAnsi"/>
                <w:sz w:val="22"/>
                <w:szCs w:val="22"/>
              </w:rPr>
              <w:t>В качестве антикризисной меры предлагается распространить данные изменения с 1 января 2022 года.</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Ранее данное предложение содержалось в подготовленном Минфином России законопроекте в рамках ОННП, но было исключено из финальной редакции документа</w:t>
            </w:r>
          </w:p>
        </w:tc>
        <w:tc>
          <w:tcPr>
            <w:tcW w:w="4111" w:type="dxa"/>
          </w:tcPr>
          <w:p w:rsidR="004D1379" w:rsidRPr="004D1379" w:rsidRDefault="004D1379" w:rsidP="004D1379">
            <w:pPr>
              <w:ind w:firstLine="180"/>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Данное предложение уже рассматривалось и не нашло поддержку для включения в ОННП в предыдущих редакциях, повторное его рассмотрение нецелесообразно.</w:t>
            </w:r>
          </w:p>
        </w:tc>
      </w:tr>
      <w:tr w:rsidR="004D1379" w:rsidRPr="004D1379" w:rsidTr="009C6571">
        <w:trPr>
          <w:trHeight w:val="780"/>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hideMark/>
          </w:tcPr>
          <w:p w:rsidR="004D1379" w:rsidRPr="004D1379" w:rsidRDefault="004D1379" w:rsidP="004D1379">
            <w:pPr>
              <w:rPr>
                <w:color w:val="000000"/>
                <w:sz w:val="22"/>
                <w:szCs w:val="22"/>
              </w:rPr>
            </w:pPr>
            <w:r w:rsidRPr="004D1379">
              <w:rPr>
                <w:color w:val="000000"/>
                <w:sz w:val="22"/>
                <w:szCs w:val="22"/>
              </w:rPr>
              <w:t xml:space="preserve">Приложение № 2 </w:t>
            </w:r>
          </w:p>
          <w:p w:rsidR="004D1379" w:rsidRPr="004D1379" w:rsidRDefault="004D1379" w:rsidP="004D1379">
            <w:pPr>
              <w:rPr>
                <w:color w:val="000000"/>
                <w:sz w:val="22"/>
                <w:szCs w:val="22"/>
              </w:rPr>
            </w:pPr>
          </w:p>
          <w:p w:rsidR="004D1379" w:rsidRPr="004D1379" w:rsidRDefault="004D1379" w:rsidP="004D1379">
            <w:pPr>
              <w:rPr>
                <w:color w:val="FF0000"/>
                <w:sz w:val="22"/>
                <w:szCs w:val="22"/>
              </w:rPr>
            </w:pPr>
            <w:r w:rsidRPr="004D1379">
              <w:rPr>
                <w:color w:val="000000"/>
                <w:sz w:val="22"/>
                <w:szCs w:val="22"/>
              </w:rPr>
              <w:t>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rPr>
                <w:color w:val="000000"/>
                <w:sz w:val="22"/>
                <w:szCs w:val="22"/>
              </w:rPr>
            </w:pPr>
            <w:r w:rsidRPr="004D1379">
              <w:rPr>
                <w:color w:val="000000"/>
                <w:sz w:val="22"/>
                <w:szCs w:val="22"/>
              </w:rPr>
              <w:t>Налог на прибыль организаций</w:t>
            </w:r>
          </w:p>
        </w:tc>
        <w:tc>
          <w:tcPr>
            <w:tcW w:w="2540" w:type="dxa"/>
            <w:shd w:val="clear" w:color="auto" w:fill="auto"/>
            <w:hideMark/>
          </w:tcPr>
          <w:p w:rsidR="004D1379" w:rsidRPr="004D1379" w:rsidRDefault="004D1379" w:rsidP="004D1379">
            <w:pPr>
              <w:rPr>
                <w:color w:val="000000"/>
                <w:sz w:val="22"/>
                <w:szCs w:val="22"/>
              </w:rPr>
            </w:pPr>
            <w:r w:rsidRPr="004D1379">
              <w:rPr>
                <w:color w:val="000000"/>
                <w:sz w:val="22"/>
                <w:szCs w:val="22"/>
              </w:rPr>
              <w:t>Отсутствует</w:t>
            </w:r>
          </w:p>
        </w:tc>
        <w:tc>
          <w:tcPr>
            <w:tcW w:w="2682" w:type="dxa"/>
            <w:shd w:val="clear" w:color="auto" w:fill="auto"/>
            <w:hideMark/>
          </w:tcPr>
          <w:p w:rsidR="004D1379" w:rsidRPr="004D1379" w:rsidRDefault="004D1379" w:rsidP="004D1379">
            <w:pPr>
              <w:jc w:val="both"/>
              <w:rPr>
                <w:color w:val="000000"/>
                <w:sz w:val="22"/>
                <w:szCs w:val="22"/>
              </w:rPr>
            </w:pPr>
            <w:r w:rsidRPr="004D1379">
              <w:rPr>
                <w:color w:val="000000"/>
                <w:sz w:val="22"/>
                <w:szCs w:val="22"/>
              </w:rPr>
              <w:t xml:space="preserve">1. Совершенствование механизма расчета налога на прибыль при наличии у налогоплательщика обособленного подразделения, по месту нахождения которого налогоплательщиком реализуется инвестиционный проект в рамках специального инвестиционного контракта или </w:t>
            </w:r>
            <w:proofErr w:type="spellStart"/>
            <w:r w:rsidRPr="004D1379">
              <w:rPr>
                <w:color w:val="000000"/>
                <w:sz w:val="22"/>
                <w:szCs w:val="22"/>
              </w:rPr>
              <w:t>нереестрового</w:t>
            </w:r>
            <w:proofErr w:type="spellEnd"/>
            <w:r w:rsidRPr="004D1379">
              <w:rPr>
                <w:color w:val="000000"/>
                <w:sz w:val="22"/>
                <w:szCs w:val="22"/>
              </w:rPr>
              <w:t xml:space="preserve"> РИП.</w:t>
            </w:r>
          </w:p>
          <w:p w:rsidR="004D1379" w:rsidRPr="004D1379" w:rsidRDefault="004D1379" w:rsidP="004D1379">
            <w:pPr>
              <w:jc w:val="both"/>
              <w:rPr>
                <w:color w:val="000000"/>
                <w:sz w:val="22"/>
                <w:szCs w:val="22"/>
              </w:rPr>
            </w:pPr>
            <w:r w:rsidRPr="004D1379">
              <w:rPr>
                <w:color w:val="000000"/>
                <w:sz w:val="22"/>
                <w:szCs w:val="22"/>
              </w:rPr>
              <w:t xml:space="preserve">2. Включить в состав расходов, признаваемых при исчислении налога на прибыль расходы на содержание профсоюзных организаций. </w:t>
            </w:r>
          </w:p>
        </w:tc>
        <w:tc>
          <w:tcPr>
            <w:tcW w:w="3458" w:type="dxa"/>
            <w:shd w:val="clear" w:color="auto" w:fill="auto"/>
            <w:hideMark/>
          </w:tcPr>
          <w:p w:rsidR="004D1379" w:rsidRPr="004D1379" w:rsidRDefault="004D1379" w:rsidP="004D1379">
            <w:pPr>
              <w:jc w:val="both"/>
              <w:rPr>
                <w:color w:val="000000"/>
                <w:sz w:val="22"/>
                <w:szCs w:val="22"/>
              </w:rPr>
            </w:pPr>
            <w:r w:rsidRPr="004D1379">
              <w:rPr>
                <w:color w:val="000000"/>
                <w:sz w:val="22"/>
                <w:szCs w:val="22"/>
              </w:rPr>
              <w:t xml:space="preserve">1. В рамках указанной инициативы предлагается уточнить особенности распределения налога на прибыль между обособленными подразделениями, в рамках режимов СПИК и </w:t>
            </w:r>
            <w:proofErr w:type="spellStart"/>
            <w:r w:rsidRPr="004D1379">
              <w:rPr>
                <w:color w:val="000000"/>
                <w:sz w:val="22"/>
                <w:szCs w:val="22"/>
              </w:rPr>
              <w:t>нереестровый</w:t>
            </w:r>
            <w:proofErr w:type="spellEnd"/>
            <w:r w:rsidRPr="004D1379">
              <w:rPr>
                <w:color w:val="000000"/>
                <w:sz w:val="22"/>
                <w:szCs w:val="22"/>
              </w:rPr>
              <w:t xml:space="preserve"> РИП. Прибыль, исчисленная в порядке раздельного учета в рамках льготного режима не должна распределяться между обособленными подразделениями и должна подлежать налогообложению только на той территории, на которой реализуется инвестиционный проект в режиме СПИК или РИП. Данное предложение вытекает из принципов раздельного учета при определении налогооблагаемой прибыли полученной в режиме </w:t>
            </w:r>
            <w:r w:rsidRPr="004D1379">
              <w:rPr>
                <w:color w:val="000000"/>
                <w:sz w:val="22"/>
                <w:szCs w:val="22"/>
              </w:rPr>
              <w:lastRenderedPageBreak/>
              <w:t xml:space="preserve">СПИК или </w:t>
            </w:r>
            <w:proofErr w:type="spellStart"/>
            <w:r w:rsidRPr="004D1379">
              <w:rPr>
                <w:color w:val="000000"/>
                <w:sz w:val="22"/>
                <w:szCs w:val="22"/>
              </w:rPr>
              <w:t>нереестровгого</w:t>
            </w:r>
            <w:proofErr w:type="spellEnd"/>
            <w:r w:rsidRPr="004D1379">
              <w:rPr>
                <w:color w:val="000000"/>
                <w:sz w:val="22"/>
                <w:szCs w:val="22"/>
              </w:rPr>
              <w:t xml:space="preserve"> РИП и является логичным и справедливым продолжением нормы, заложенной в ст. 274 НК РФ, что налоговая база по прибыли, облагаемой по ставке, отличной от ставки, указанной в пункте 1 статьи 284 НК РФ определяется налогоплательщиком отдельно.</w:t>
            </w:r>
          </w:p>
          <w:p w:rsidR="004D1379" w:rsidRPr="004D1379" w:rsidRDefault="004D1379" w:rsidP="004D1379">
            <w:pPr>
              <w:jc w:val="both"/>
              <w:rPr>
                <w:color w:val="000000"/>
                <w:sz w:val="22"/>
                <w:szCs w:val="22"/>
              </w:rPr>
            </w:pPr>
            <w:r w:rsidRPr="004D1379">
              <w:rPr>
                <w:color w:val="000000"/>
                <w:sz w:val="22"/>
                <w:szCs w:val="22"/>
              </w:rPr>
              <w:t>2. Расходы на содержание профсоюзов являются обязательными расходами предприятий подписавших Федеральное отраслевое соглашение по отрасли, в связи с чем такие расходы не зависят от волеизъявления предприятий, являются обязательными, а, следовательно, подлежат учету в составе расходов, уменьшающих доходы при исчислении налога на прибыль.</w:t>
            </w:r>
          </w:p>
        </w:tc>
        <w:tc>
          <w:tcPr>
            <w:tcW w:w="4111" w:type="dxa"/>
          </w:tcPr>
          <w:p w:rsidR="004D1379" w:rsidRPr="004D1379" w:rsidRDefault="004D1379" w:rsidP="004D1379">
            <w:pPr>
              <w:ind w:firstLine="180"/>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color w:val="000000"/>
                <w:sz w:val="22"/>
                <w:szCs w:val="22"/>
              </w:rPr>
            </w:pPr>
            <w:r w:rsidRPr="004D1379">
              <w:rPr>
                <w:color w:val="000000"/>
                <w:sz w:val="22"/>
                <w:szCs w:val="22"/>
              </w:rPr>
              <w:t>Учитывая, что на прибыль от той или иной деятельности влияют все расходы налогоплательщика (независимо от того, кто и где их осуществляет), то используется единый порядок распределения прибыли между обособленными подразделениями, вне зависимости от того, какое из подразделений больше участвовало в генерировании соответствующей прибыли.</w:t>
            </w:r>
          </w:p>
          <w:p w:rsidR="004D1379" w:rsidRPr="004D1379" w:rsidRDefault="004D1379" w:rsidP="004D1379">
            <w:pPr>
              <w:ind w:firstLine="180"/>
              <w:jc w:val="both"/>
              <w:rPr>
                <w:color w:val="000000"/>
                <w:sz w:val="22"/>
                <w:szCs w:val="22"/>
              </w:rPr>
            </w:pPr>
            <w:r w:rsidRPr="004D1379">
              <w:rPr>
                <w:color w:val="000000"/>
                <w:sz w:val="22"/>
                <w:szCs w:val="22"/>
              </w:rPr>
              <w:t>Оснований вводить разные способы распределения прибыли нет, так как это усложнит учет и администрирование.</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rFonts w:eastAsiaTheme="minorHAnsi"/>
                <w:sz w:val="22"/>
                <w:szCs w:val="22"/>
              </w:rPr>
            </w:pPr>
          </w:p>
        </w:tc>
        <w:tc>
          <w:tcPr>
            <w:tcW w:w="2123" w:type="dxa"/>
            <w:shd w:val="clear" w:color="auto" w:fill="auto"/>
          </w:tcPr>
          <w:p w:rsidR="004D1379" w:rsidRPr="004D1379" w:rsidRDefault="004D1379" w:rsidP="004D1379">
            <w:pPr>
              <w:rPr>
                <w:color w:val="FF0000"/>
                <w:sz w:val="22"/>
                <w:szCs w:val="22"/>
              </w:rPr>
            </w:pPr>
            <w:r w:rsidRPr="004D1379">
              <w:rPr>
                <w:color w:val="000000"/>
                <w:sz w:val="22"/>
                <w:szCs w:val="22"/>
              </w:rPr>
              <w:t>Приложение № 2 Меры налоговой политики по видам налогов</w:t>
            </w:r>
          </w:p>
          <w:p w:rsidR="004D1379" w:rsidRPr="004D1379" w:rsidRDefault="004D1379" w:rsidP="004D1379">
            <w:pPr>
              <w:rPr>
                <w:color w:val="000000"/>
                <w:sz w:val="22"/>
                <w:szCs w:val="22"/>
              </w:rPr>
            </w:pPr>
          </w:p>
          <w:p w:rsidR="004D1379" w:rsidRPr="004D1379" w:rsidRDefault="004D1379" w:rsidP="004D1379">
            <w:pPr>
              <w:rPr>
                <w:rFonts w:eastAsiaTheme="minorHAnsi"/>
                <w:sz w:val="22"/>
                <w:szCs w:val="22"/>
                <w:lang w:eastAsia="en-US"/>
              </w:rPr>
            </w:pPr>
            <w:r w:rsidRPr="004D1379">
              <w:rPr>
                <w:color w:val="000000"/>
                <w:sz w:val="22"/>
                <w:szCs w:val="22"/>
              </w:rPr>
              <w:t>Налог на прибыль организаций</w:t>
            </w:r>
            <w:r w:rsidRPr="004D1379">
              <w:rPr>
                <w:rFonts w:eastAsiaTheme="minorHAnsi"/>
                <w:sz w:val="22"/>
                <w:szCs w:val="22"/>
                <w:lang w:eastAsia="en-US"/>
              </w:rPr>
              <w:t xml:space="preserve"> </w:t>
            </w:r>
          </w:p>
        </w:tc>
        <w:tc>
          <w:tcPr>
            <w:tcW w:w="2540"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Дополнить новым пунктом:</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«Распространить действие режима регионального инвестиционного проекта (РИП)» на инвестиционные проекты в сфере производственных и транспортно-логистических услуг» </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Режим РИП распространяется сейчас только на производство товаров.  Крупные </w:t>
            </w:r>
            <w:proofErr w:type="spellStart"/>
            <w:r w:rsidRPr="004D1379">
              <w:rPr>
                <w:rFonts w:eastAsiaTheme="minorHAnsi"/>
                <w:sz w:val="22"/>
                <w:szCs w:val="22"/>
                <w:lang w:eastAsia="en-US"/>
              </w:rPr>
              <w:t>инвестпроекты</w:t>
            </w:r>
            <w:proofErr w:type="spellEnd"/>
            <w:r w:rsidRPr="004D1379">
              <w:rPr>
                <w:rFonts w:eastAsiaTheme="minorHAnsi"/>
                <w:sz w:val="22"/>
                <w:szCs w:val="22"/>
                <w:lang w:eastAsia="en-US"/>
              </w:rPr>
              <w:t xml:space="preserve"> в области транспортно-логистических услуг и производственных услуг (переработка, обогащение сырья, энергоснабжение, связь и др.) с 2024 года не смогут претендовать ни на одну из действующих льгот по налогу на прибыль (кроме инвестиционного налогового </w:t>
            </w:r>
            <w:r w:rsidRPr="004D1379">
              <w:rPr>
                <w:rFonts w:eastAsiaTheme="minorHAnsi"/>
                <w:sz w:val="22"/>
                <w:szCs w:val="22"/>
                <w:lang w:eastAsia="en-US"/>
              </w:rPr>
              <w:lastRenderedPageBreak/>
              <w:t xml:space="preserve">вычета, который действует только в отдельных регионах).  При этом важность таких </w:t>
            </w:r>
            <w:proofErr w:type="spellStart"/>
            <w:r w:rsidRPr="004D1379">
              <w:rPr>
                <w:rFonts w:eastAsiaTheme="minorHAnsi"/>
                <w:sz w:val="22"/>
                <w:szCs w:val="22"/>
                <w:lang w:eastAsia="en-US"/>
              </w:rPr>
              <w:t>инвестпроектов</w:t>
            </w:r>
            <w:proofErr w:type="spellEnd"/>
            <w:r w:rsidRPr="004D1379">
              <w:rPr>
                <w:rFonts w:eastAsiaTheme="minorHAnsi"/>
                <w:sz w:val="22"/>
                <w:szCs w:val="22"/>
                <w:lang w:eastAsia="en-US"/>
              </w:rPr>
              <w:t xml:space="preserve"> для развития экономики РФ ничуть не ниже, чем проектов по производству товаров.</w:t>
            </w:r>
          </w:p>
        </w:tc>
        <w:tc>
          <w:tcPr>
            <w:tcW w:w="4111" w:type="dxa"/>
          </w:tcPr>
          <w:p w:rsidR="004D1379" w:rsidRPr="004D1379" w:rsidRDefault="004D1379" w:rsidP="004D1379">
            <w:pPr>
              <w:ind w:firstLine="180"/>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 Главе 25 Кодекса существует помимо РИП иные преференциальные режимы инвестиционного характера, позволяющие реализовывать проекты, направленные на работы, услуги.</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При этом тезис, что с 2024 года такие преференциальные режимы перестанут работать, не обоснован.</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Приложение № 2</w:t>
            </w:r>
          </w:p>
          <w:p w:rsidR="004D1379" w:rsidRPr="004D1379" w:rsidRDefault="004D1379" w:rsidP="004D1379">
            <w:pPr>
              <w:rPr>
                <w:color w:val="000000" w:themeColor="text1"/>
                <w:sz w:val="22"/>
                <w:szCs w:val="22"/>
              </w:rPr>
            </w:pPr>
            <w:r w:rsidRPr="004D1379">
              <w:rPr>
                <w:color w:val="000000"/>
                <w:sz w:val="22"/>
                <w:szCs w:val="22"/>
              </w:rPr>
              <w:t>Меры налоговой политики по видам налогов</w:t>
            </w:r>
          </w:p>
          <w:p w:rsidR="004D1379" w:rsidRPr="004D1379" w:rsidRDefault="004D1379" w:rsidP="004D1379">
            <w:pPr>
              <w:rPr>
                <w:color w:val="FF0000"/>
                <w:sz w:val="22"/>
                <w:szCs w:val="22"/>
              </w:rPr>
            </w:pPr>
            <w:r w:rsidRPr="004D1379">
              <w:rPr>
                <w:color w:val="000000" w:themeColor="text1"/>
                <w:sz w:val="22"/>
                <w:szCs w:val="22"/>
              </w:rPr>
              <w:t>Налог на прибыль организаций</w:t>
            </w:r>
          </w:p>
        </w:tc>
        <w:tc>
          <w:tcPr>
            <w:tcW w:w="2540" w:type="dxa"/>
            <w:shd w:val="clear" w:color="auto" w:fill="auto"/>
          </w:tcPr>
          <w:p w:rsidR="004D1379" w:rsidRPr="004D1379" w:rsidRDefault="004D1379" w:rsidP="004D1379">
            <w:pPr>
              <w:rPr>
                <w:color w:val="000000"/>
                <w:sz w:val="22"/>
                <w:szCs w:val="22"/>
              </w:rPr>
            </w:pPr>
            <w:r w:rsidRPr="004D1379">
              <w:rPr>
                <w:color w:val="000000"/>
                <w:sz w:val="22"/>
                <w:szCs w:val="22"/>
              </w:rPr>
              <w:t>Отсутствует</w:t>
            </w:r>
          </w:p>
        </w:tc>
        <w:tc>
          <w:tcPr>
            <w:tcW w:w="2682" w:type="dxa"/>
            <w:shd w:val="clear" w:color="auto" w:fill="auto"/>
          </w:tcPr>
          <w:p w:rsidR="004D1379" w:rsidRPr="004D1379" w:rsidRDefault="004D1379" w:rsidP="004D1379">
            <w:pPr>
              <w:jc w:val="both"/>
              <w:rPr>
                <w:color w:val="000000"/>
                <w:sz w:val="22"/>
                <w:szCs w:val="22"/>
              </w:rPr>
            </w:pPr>
            <w:r w:rsidRPr="004D1379">
              <w:rPr>
                <w:color w:val="000000"/>
                <w:sz w:val="22"/>
                <w:szCs w:val="22"/>
              </w:rPr>
              <w:t xml:space="preserve">Дополнить новым пунктом 4: </w:t>
            </w:r>
          </w:p>
          <w:p w:rsidR="004D1379" w:rsidRPr="004D1379" w:rsidRDefault="004D1379" w:rsidP="004D1379">
            <w:pPr>
              <w:jc w:val="both"/>
              <w:rPr>
                <w:color w:val="000000"/>
                <w:sz w:val="22"/>
                <w:szCs w:val="22"/>
              </w:rPr>
            </w:pPr>
            <w:r w:rsidRPr="004D1379">
              <w:rPr>
                <w:color w:val="000000"/>
                <w:sz w:val="22"/>
                <w:szCs w:val="22"/>
              </w:rPr>
              <w:t xml:space="preserve">«4. Устранение неопределенности в правовом регулировании судьбы вкладов в имущество, ранее сделанных акционером/участником общества, в случаях реорганизации, а также в случае передачи акций/долей общества в качестве вклада в уставный капитал другого юридического лица». </w:t>
            </w:r>
          </w:p>
        </w:tc>
        <w:tc>
          <w:tcPr>
            <w:tcW w:w="3458" w:type="dxa"/>
            <w:shd w:val="clear" w:color="auto" w:fill="auto"/>
          </w:tcPr>
          <w:p w:rsidR="004D1379" w:rsidRPr="004D1379" w:rsidRDefault="004D1379" w:rsidP="004D1379">
            <w:pPr>
              <w:jc w:val="both"/>
              <w:rPr>
                <w:color w:val="000000"/>
                <w:sz w:val="22"/>
                <w:szCs w:val="22"/>
              </w:rPr>
            </w:pPr>
            <w:r w:rsidRPr="004D1379">
              <w:rPr>
                <w:color w:val="000000"/>
                <w:sz w:val="22"/>
                <w:szCs w:val="22"/>
              </w:rPr>
              <w:t>В 2020 году приняты и с 2021 года действуют (368-ФЗ от 09.11.2020) поправки в НК, установившие возможность учета сумм, внесенных в качестве вклада в имущество общество, в составе расходов при реализации долей (с. 268), при реализации акций (ст. 280), при определении финансового результата при ликвидации общества, а также при выходе (выбытии) акционера (участника) из организации (п. 2 ст. 277 + п. 1 ст. 250).</w:t>
            </w:r>
          </w:p>
          <w:p w:rsidR="004D1379" w:rsidRPr="004D1379" w:rsidRDefault="004D1379" w:rsidP="004D1379">
            <w:pPr>
              <w:jc w:val="both"/>
              <w:rPr>
                <w:color w:val="000000"/>
                <w:sz w:val="22"/>
                <w:szCs w:val="22"/>
              </w:rPr>
            </w:pPr>
            <w:r w:rsidRPr="004D1379">
              <w:rPr>
                <w:color w:val="000000"/>
                <w:sz w:val="22"/>
                <w:szCs w:val="22"/>
              </w:rPr>
              <w:t>В то же время при принятии этого пакета поправок не была определена судьба вклада в имущество для других возможных случаев, покрываемых ст. 277:</w:t>
            </w:r>
          </w:p>
          <w:p w:rsidR="004D1379" w:rsidRPr="004D1379" w:rsidRDefault="004D1379" w:rsidP="004D1379">
            <w:pPr>
              <w:jc w:val="both"/>
              <w:rPr>
                <w:color w:val="000000"/>
                <w:sz w:val="22"/>
                <w:szCs w:val="22"/>
              </w:rPr>
            </w:pPr>
            <w:r w:rsidRPr="004D1379">
              <w:rPr>
                <w:color w:val="000000"/>
                <w:sz w:val="22"/>
                <w:szCs w:val="22"/>
              </w:rPr>
              <w:t xml:space="preserve">- если акции/доли общества, которому сделан вклад в имущество, переданы в качестве </w:t>
            </w:r>
            <w:proofErr w:type="spellStart"/>
            <w:r w:rsidRPr="004D1379">
              <w:rPr>
                <w:color w:val="000000"/>
                <w:sz w:val="22"/>
                <w:szCs w:val="22"/>
              </w:rPr>
              <w:t>неденежного</w:t>
            </w:r>
            <w:proofErr w:type="spellEnd"/>
            <w:r w:rsidRPr="004D1379">
              <w:rPr>
                <w:color w:val="000000"/>
                <w:sz w:val="22"/>
                <w:szCs w:val="22"/>
              </w:rPr>
              <w:t xml:space="preserve"> вклада в уставный капитал другого </w:t>
            </w:r>
            <w:proofErr w:type="spellStart"/>
            <w:proofErr w:type="gramStart"/>
            <w:r w:rsidRPr="004D1379">
              <w:rPr>
                <w:color w:val="000000"/>
                <w:sz w:val="22"/>
                <w:szCs w:val="22"/>
              </w:rPr>
              <w:t>юр.лица</w:t>
            </w:r>
            <w:proofErr w:type="spellEnd"/>
            <w:proofErr w:type="gramEnd"/>
            <w:r w:rsidRPr="004D1379">
              <w:rPr>
                <w:color w:val="000000"/>
                <w:sz w:val="22"/>
                <w:szCs w:val="22"/>
              </w:rPr>
              <w:t xml:space="preserve">  (п. 1 ст. 277)</w:t>
            </w:r>
          </w:p>
          <w:p w:rsidR="004D1379" w:rsidRPr="004D1379" w:rsidRDefault="004D1379" w:rsidP="004D1379">
            <w:pPr>
              <w:jc w:val="both"/>
              <w:rPr>
                <w:color w:val="000000"/>
                <w:sz w:val="22"/>
                <w:szCs w:val="22"/>
              </w:rPr>
            </w:pPr>
            <w:r w:rsidRPr="004D1379">
              <w:rPr>
                <w:color w:val="000000"/>
                <w:sz w:val="22"/>
                <w:szCs w:val="22"/>
              </w:rPr>
              <w:t xml:space="preserve">- если общество, которому сделан вклад в имущество, реорганизовано любым из предусмотренных законом </w:t>
            </w:r>
            <w:r w:rsidRPr="004D1379">
              <w:rPr>
                <w:color w:val="000000"/>
                <w:sz w:val="22"/>
                <w:szCs w:val="22"/>
              </w:rPr>
              <w:lastRenderedPageBreak/>
              <w:t>способов (п. 4-5 ст. 277) либо реорганизован акционер (участник) общества, сделавший ранее вклад в имущество.</w:t>
            </w:r>
          </w:p>
          <w:p w:rsidR="004D1379" w:rsidRPr="004D1379" w:rsidRDefault="004D1379" w:rsidP="004D1379">
            <w:pPr>
              <w:jc w:val="both"/>
              <w:rPr>
                <w:color w:val="000000"/>
                <w:sz w:val="22"/>
                <w:szCs w:val="22"/>
              </w:rPr>
            </w:pPr>
            <w:r w:rsidRPr="004D1379">
              <w:rPr>
                <w:color w:val="000000"/>
                <w:sz w:val="22"/>
                <w:szCs w:val="22"/>
              </w:rPr>
              <w:t>В результате в любом из перечисленных выше сценариев имеется правовая неопределенность в вопросе о том, как учитывать в этих случаях ранее внесенный вклад в имущество (в его невозвращенной части) в целях недопущения потери таких затрат.</w:t>
            </w:r>
          </w:p>
        </w:tc>
        <w:tc>
          <w:tcPr>
            <w:tcW w:w="4111" w:type="dxa"/>
          </w:tcPr>
          <w:p w:rsidR="004D1379" w:rsidRPr="004D1379" w:rsidRDefault="004D1379" w:rsidP="004D1379">
            <w:pPr>
              <w:ind w:firstLine="180"/>
              <w:rPr>
                <w:rFonts w:eastAsiaTheme="minorHAnsi"/>
                <w:b/>
                <w:sz w:val="22"/>
                <w:szCs w:val="22"/>
                <w:lang w:eastAsia="en-US"/>
              </w:rPr>
            </w:pPr>
            <w:r w:rsidRPr="004D1379">
              <w:rPr>
                <w:rFonts w:eastAsiaTheme="minorHAnsi"/>
                <w:b/>
                <w:sz w:val="22"/>
                <w:szCs w:val="22"/>
                <w:lang w:eastAsia="en-US"/>
              </w:rPr>
              <w:lastRenderedPageBreak/>
              <w:t>Не поддерживается.</w:t>
            </w:r>
          </w:p>
          <w:p w:rsidR="004D1379" w:rsidRPr="004D1379" w:rsidRDefault="004D1379" w:rsidP="004D1379">
            <w:pPr>
              <w:ind w:firstLine="180"/>
              <w:jc w:val="both"/>
              <w:rPr>
                <w:color w:val="000000"/>
                <w:sz w:val="22"/>
                <w:szCs w:val="22"/>
              </w:rPr>
            </w:pPr>
            <w:r w:rsidRPr="004D1379">
              <w:rPr>
                <w:color w:val="000000"/>
                <w:sz w:val="22"/>
                <w:szCs w:val="22"/>
              </w:rPr>
              <w:t>Вклад в имущество является безвозмездной передачей учредителя (акционера) обществу и не направлен на формирование каких-то дополнительных прав учредителя (акционера). Нормы Кодекса, позволяющие не облагать полученные доходы от дочерней организации в пределах ранее перечисленного имущества, не предполагают распространения этих норм на все виды правых отношений при внесении вкладов в имущество, тем более, как сказано выше, передача вклада в имущество, не породила никаких дополнительных прав и обязанностей между участниками такой сделки.</w:t>
            </w:r>
          </w:p>
          <w:p w:rsidR="004D1379" w:rsidRPr="004D1379" w:rsidRDefault="004D1379" w:rsidP="004D1379">
            <w:pPr>
              <w:ind w:firstLine="180"/>
              <w:jc w:val="both"/>
              <w:rPr>
                <w:color w:val="000000"/>
                <w:sz w:val="22"/>
                <w:szCs w:val="22"/>
              </w:rPr>
            </w:pPr>
            <w:r w:rsidRPr="004D1379">
              <w:rPr>
                <w:color w:val="000000"/>
                <w:sz w:val="22"/>
                <w:szCs w:val="22"/>
              </w:rPr>
              <w:t>Таким образом, «неопределенностей в правовом регулировании судьбы вкладов» не возникает.</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Приложение № 2</w:t>
            </w:r>
          </w:p>
          <w:p w:rsidR="004D1379" w:rsidRPr="004D1379" w:rsidRDefault="004D1379" w:rsidP="004D1379">
            <w:pPr>
              <w:rPr>
                <w:color w:val="000000" w:themeColor="text1"/>
                <w:sz w:val="22"/>
                <w:szCs w:val="22"/>
              </w:rPr>
            </w:pPr>
            <w:r w:rsidRPr="004D1379">
              <w:rPr>
                <w:color w:val="000000"/>
                <w:sz w:val="22"/>
                <w:szCs w:val="22"/>
              </w:rPr>
              <w:t>Меры налоговой политики по видам налогов</w:t>
            </w:r>
          </w:p>
          <w:p w:rsidR="004D1379" w:rsidRPr="004D1379" w:rsidRDefault="004D1379" w:rsidP="004D1379">
            <w:pPr>
              <w:rPr>
                <w:color w:val="000000" w:themeColor="text1"/>
                <w:sz w:val="22"/>
                <w:szCs w:val="22"/>
              </w:rPr>
            </w:pPr>
          </w:p>
          <w:p w:rsidR="004D1379" w:rsidRPr="004D1379" w:rsidRDefault="004D1379" w:rsidP="004D1379">
            <w:pPr>
              <w:rPr>
                <w:color w:val="FF0000"/>
                <w:sz w:val="22"/>
                <w:szCs w:val="22"/>
              </w:rPr>
            </w:pPr>
            <w:r w:rsidRPr="004D1379">
              <w:rPr>
                <w:color w:val="000000" w:themeColor="text1"/>
                <w:sz w:val="22"/>
                <w:szCs w:val="22"/>
              </w:rPr>
              <w:t>Налог на прибыль организаций</w:t>
            </w:r>
          </w:p>
        </w:tc>
        <w:tc>
          <w:tcPr>
            <w:tcW w:w="2540" w:type="dxa"/>
            <w:shd w:val="clear" w:color="auto" w:fill="auto"/>
          </w:tcPr>
          <w:p w:rsidR="004D1379" w:rsidRPr="004D1379" w:rsidRDefault="004D1379" w:rsidP="004D1379">
            <w:pPr>
              <w:rPr>
                <w:color w:val="000000"/>
                <w:sz w:val="22"/>
                <w:szCs w:val="22"/>
              </w:rPr>
            </w:pPr>
            <w:r w:rsidRPr="004D1379">
              <w:rPr>
                <w:color w:val="000000"/>
                <w:sz w:val="22"/>
                <w:szCs w:val="22"/>
              </w:rPr>
              <w:t>Отсутствует</w:t>
            </w:r>
          </w:p>
        </w:tc>
        <w:tc>
          <w:tcPr>
            <w:tcW w:w="2682" w:type="dxa"/>
            <w:shd w:val="clear" w:color="auto" w:fill="auto"/>
          </w:tcPr>
          <w:p w:rsidR="004D1379" w:rsidRPr="004D1379" w:rsidRDefault="004D1379" w:rsidP="004D1379">
            <w:pPr>
              <w:jc w:val="both"/>
              <w:rPr>
                <w:color w:val="000000"/>
                <w:sz w:val="22"/>
                <w:szCs w:val="22"/>
              </w:rPr>
            </w:pPr>
            <w:r w:rsidRPr="004D1379">
              <w:rPr>
                <w:color w:val="000000"/>
                <w:sz w:val="22"/>
                <w:szCs w:val="22"/>
              </w:rPr>
              <w:t xml:space="preserve">Дополнить новым пунктом 5: «Освобождение прибыли КИК от налогообложения у контролирующего лица в случае регистрации МК в САР (если в течение 2-х лет не получено разрешение на </w:t>
            </w:r>
            <w:proofErr w:type="spellStart"/>
            <w:r w:rsidRPr="004D1379">
              <w:rPr>
                <w:color w:val="000000"/>
                <w:sz w:val="22"/>
                <w:szCs w:val="22"/>
              </w:rPr>
              <w:t>дерегистрацию</w:t>
            </w:r>
            <w:proofErr w:type="spellEnd"/>
            <w:r w:rsidRPr="004D1379">
              <w:rPr>
                <w:color w:val="000000"/>
                <w:sz w:val="22"/>
                <w:szCs w:val="22"/>
              </w:rPr>
              <w:t xml:space="preserve"> от уполномоченных органов иностранного государства, в котором такая КИК зарегистрирована)</w:t>
            </w:r>
          </w:p>
        </w:tc>
        <w:tc>
          <w:tcPr>
            <w:tcW w:w="3458" w:type="dxa"/>
            <w:shd w:val="clear" w:color="auto" w:fill="auto"/>
          </w:tcPr>
          <w:p w:rsidR="004D1379" w:rsidRPr="004D1379" w:rsidRDefault="004D1379" w:rsidP="004D1379">
            <w:pPr>
              <w:jc w:val="both"/>
              <w:rPr>
                <w:sz w:val="22"/>
                <w:szCs w:val="22"/>
              </w:rPr>
            </w:pPr>
            <w:r w:rsidRPr="004D1379">
              <w:rPr>
                <w:sz w:val="22"/>
                <w:szCs w:val="22"/>
              </w:rPr>
              <w:t>Соответствует цели, заявленной в Разделе ОНПП:</w:t>
            </w:r>
          </w:p>
          <w:p w:rsidR="004D1379" w:rsidRPr="004D1379" w:rsidRDefault="004D1379" w:rsidP="004D1379">
            <w:pPr>
              <w:jc w:val="both"/>
              <w:rPr>
                <w:sz w:val="22"/>
                <w:szCs w:val="22"/>
              </w:rPr>
            </w:pPr>
            <w:r w:rsidRPr="004D1379">
              <w:rPr>
                <w:sz w:val="22"/>
                <w:szCs w:val="22"/>
              </w:rPr>
              <w:t>НАЦИОНАЛЬНЫЕ ЦЕЛИ РАЗВИТИЯ</w:t>
            </w:r>
          </w:p>
          <w:p w:rsidR="004D1379" w:rsidRPr="004D1379" w:rsidRDefault="004D1379" w:rsidP="004D1379">
            <w:pPr>
              <w:jc w:val="both"/>
              <w:rPr>
                <w:sz w:val="22"/>
                <w:szCs w:val="22"/>
              </w:rPr>
            </w:pPr>
            <w:r w:rsidRPr="004D1379">
              <w:rPr>
                <w:sz w:val="22"/>
                <w:szCs w:val="22"/>
              </w:rPr>
              <w:t>I. Достойный, эффективный труд и успешное предпринимательство</w:t>
            </w:r>
          </w:p>
          <w:p w:rsidR="004D1379" w:rsidRPr="004D1379" w:rsidRDefault="004D1379" w:rsidP="004D1379">
            <w:pPr>
              <w:jc w:val="both"/>
              <w:rPr>
                <w:sz w:val="22"/>
                <w:szCs w:val="22"/>
              </w:rPr>
            </w:pPr>
            <w:r w:rsidRPr="004D1379">
              <w:rPr>
                <w:sz w:val="22"/>
                <w:szCs w:val="22"/>
              </w:rPr>
              <w:t xml:space="preserve">1. Системные меры повышения инвестиционной активности </w:t>
            </w:r>
          </w:p>
          <w:p w:rsidR="004D1379" w:rsidRPr="004D1379" w:rsidRDefault="004D1379" w:rsidP="004D1379">
            <w:pPr>
              <w:jc w:val="both"/>
              <w:rPr>
                <w:sz w:val="22"/>
                <w:szCs w:val="22"/>
              </w:rPr>
            </w:pPr>
            <w:r w:rsidRPr="004D1379">
              <w:rPr>
                <w:sz w:val="22"/>
                <w:szCs w:val="22"/>
              </w:rPr>
              <w:t xml:space="preserve">- развитие международного налогообложения: обеспечение ускоренного перевода активов бизнеса (прежде всего в ключевых секторах и отраслях экономики) в российскую юрисдикцию, в том числе за счет возможности регистрации иностранных компаний в САР (в тех случаях, когда возможность их перерегистрации блокируется или не предусмотрена законодательством иностранного </w:t>
            </w:r>
            <w:r w:rsidRPr="004D1379">
              <w:rPr>
                <w:sz w:val="22"/>
                <w:szCs w:val="22"/>
              </w:rPr>
              <w:lastRenderedPageBreak/>
              <w:t>государства, в котором такая компания зарегистрирована)</w:t>
            </w:r>
          </w:p>
        </w:tc>
        <w:tc>
          <w:tcPr>
            <w:tcW w:w="4111" w:type="dxa"/>
          </w:tcPr>
          <w:p w:rsidR="004D1379" w:rsidRPr="004D1379" w:rsidRDefault="004D1379" w:rsidP="004D1379">
            <w:pPr>
              <w:ind w:firstLine="171"/>
              <w:jc w:val="both"/>
              <w:rPr>
                <w:sz w:val="22"/>
                <w:szCs w:val="22"/>
              </w:rPr>
            </w:pPr>
            <w:r w:rsidRPr="004D1379">
              <w:rPr>
                <w:b/>
                <w:sz w:val="22"/>
                <w:szCs w:val="22"/>
              </w:rPr>
              <w:lastRenderedPageBreak/>
              <w:t>Не поддерживается</w:t>
            </w:r>
            <w:r w:rsidRPr="004D1379">
              <w:rPr>
                <w:sz w:val="22"/>
                <w:szCs w:val="22"/>
              </w:rPr>
              <w:t>.</w:t>
            </w:r>
          </w:p>
          <w:p w:rsidR="004D1379" w:rsidRPr="004D1379" w:rsidRDefault="004D1379" w:rsidP="004D1379">
            <w:pPr>
              <w:ind w:firstLine="171"/>
              <w:jc w:val="both"/>
              <w:rPr>
                <w:sz w:val="22"/>
                <w:szCs w:val="22"/>
              </w:rPr>
            </w:pPr>
            <w:r w:rsidRPr="004D1379">
              <w:rPr>
                <w:sz w:val="22"/>
                <w:szCs w:val="22"/>
              </w:rPr>
              <w:t xml:space="preserve">На сегодняшний день принят широкий круг мер, стимулирующих перевод иностранными организациями, принадлежащими российским лицам, своего бизнеса в специальные административные районы (САР) (в </w:t>
            </w:r>
            <w:proofErr w:type="spellStart"/>
            <w:r w:rsidRPr="004D1379">
              <w:rPr>
                <w:sz w:val="22"/>
                <w:szCs w:val="22"/>
              </w:rPr>
              <w:t>т.ч</w:t>
            </w:r>
            <w:proofErr w:type="spellEnd"/>
            <w:r w:rsidRPr="004D1379">
              <w:rPr>
                <w:sz w:val="22"/>
                <w:szCs w:val="22"/>
              </w:rPr>
              <w:t>. установлены пониженные ставки налога на прибыль организаций по доходам в виде дивидендов, процентов и роялти; освобождены от налогообложения отдельные доходы и т.д.).</w:t>
            </w:r>
          </w:p>
          <w:p w:rsidR="004D1379" w:rsidRPr="004D1379" w:rsidRDefault="004D1379" w:rsidP="004D1379">
            <w:pPr>
              <w:ind w:firstLine="171"/>
              <w:jc w:val="both"/>
              <w:rPr>
                <w:sz w:val="22"/>
                <w:szCs w:val="22"/>
              </w:rPr>
            </w:pPr>
            <w:r w:rsidRPr="004D1379">
              <w:rPr>
                <w:sz w:val="22"/>
                <w:szCs w:val="22"/>
              </w:rPr>
              <w:t>При этом существенный рост числа иностранных компаний, осуществивших перевод своего бизнеса в САР, который наблюдается в настоящее время, свидетельствует об эффективности принятых мер.</w:t>
            </w:r>
          </w:p>
          <w:p w:rsidR="004D1379" w:rsidRPr="004D1379" w:rsidRDefault="004D1379" w:rsidP="004D1379">
            <w:pPr>
              <w:ind w:firstLine="171"/>
              <w:jc w:val="both"/>
              <w:rPr>
                <w:sz w:val="22"/>
                <w:szCs w:val="22"/>
              </w:rPr>
            </w:pPr>
            <w:r w:rsidRPr="004D1379">
              <w:rPr>
                <w:sz w:val="22"/>
                <w:szCs w:val="22"/>
              </w:rPr>
              <w:t>В связи с этим предлагаемая мера представляется избыточной.</w:t>
            </w:r>
          </w:p>
        </w:tc>
      </w:tr>
      <w:tr w:rsidR="004D1379" w:rsidRPr="004D1379" w:rsidTr="009C6571">
        <w:trPr>
          <w:trHeight w:val="632"/>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Приложение № 2</w:t>
            </w: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Меры налоговой политики по видам налогов</w:t>
            </w:r>
          </w:p>
          <w:p w:rsidR="004D1379" w:rsidRPr="004D1379" w:rsidRDefault="004D1379" w:rsidP="004D1379">
            <w:pPr>
              <w:rPr>
                <w:color w:val="FF0000"/>
                <w:sz w:val="22"/>
                <w:szCs w:val="22"/>
              </w:rPr>
            </w:pPr>
            <w:r w:rsidRPr="004D1379">
              <w:rPr>
                <w:rFonts w:eastAsiaTheme="minorHAnsi"/>
                <w:sz w:val="22"/>
                <w:szCs w:val="22"/>
                <w:lang w:eastAsia="en-US"/>
              </w:rPr>
              <w:t>Налог на прибыль организаций</w:t>
            </w:r>
          </w:p>
        </w:tc>
        <w:tc>
          <w:tcPr>
            <w:tcW w:w="2540" w:type="dxa"/>
            <w:shd w:val="clear" w:color="auto" w:fill="auto"/>
          </w:tcPr>
          <w:p w:rsidR="004D1379" w:rsidRPr="004D1379" w:rsidRDefault="004D1379" w:rsidP="004D1379">
            <w:pPr>
              <w:rPr>
                <w:color w:val="000000"/>
                <w:sz w:val="22"/>
                <w:szCs w:val="22"/>
              </w:rPr>
            </w:pPr>
            <w:r w:rsidRPr="004D1379">
              <w:rPr>
                <w:rFonts w:eastAsiaTheme="minorHAnsi"/>
                <w:sz w:val="22"/>
                <w:szCs w:val="22"/>
                <w:lang w:eastAsia="en-US"/>
              </w:rPr>
              <w:t>Новый пункт 4</w:t>
            </w:r>
          </w:p>
        </w:tc>
        <w:tc>
          <w:tcPr>
            <w:tcW w:w="2682" w:type="dxa"/>
            <w:shd w:val="clear" w:color="auto" w:fill="auto"/>
          </w:tcPr>
          <w:p w:rsidR="004D1379" w:rsidRPr="004D1379" w:rsidRDefault="004D1379" w:rsidP="004D1379">
            <w:pPr>
              <w:jc w:val="both"/>
              <w:rPr>
                <w:rFonts w:eastAsia="Calibri"/>
                <w:bCs/>
                <w:sz w:val="22"/>
                <w:szCs w:val="22"/>
                <w:lang w:eastAsia="en-US"/>
              </w:rPr>
            </w:pPr>
            <w:r w:rsidRPr="004D1379">
              <w:rPr>
                <w:rFonts w:eastAsia="Calibri"/>
                <w:sz w:val="22"/>
                <w:szCs w:val="22"/>
                <w:lang w:eastAsia="en-US"/>
              </w:rPr>
              <w:t xml:space="preserve">4. Предусмотреть в Налоговом кодексе Российской Федерации специальный порядок признания капитальных вложений, которые не привели к вводу основных средств по причине прекращения реализации инвестиционных проектов из-за </w:t>
            </w:r>
            <w:proofErr w:type="spellStart"/>
            <w:r w:rsidRPr="004D1379">
              <w:rPr>
                <w:rFonts w:eastAsia="Calibri"/>
                <w:bCs/>
                <w:sz w:val="22"/>
                <w:szCs w:val="22"/>
                <w:lang w:eastAsia="en-US"/>
              </w:rPr>
              <w:t>санкционных</w:t>
            </w:r>
            <w:proofErr w:type="spellEnd"/>
            <w:r w:rsidRPr="004D1379">
              <w:rPr>
                <w:rFonts w:eastAsia="Calibri"/>
                <w:bCs/>
                <w:sz w:val="22"/>
                <w:szCs w:val="22"/>
                <w:lang w:eastAsia="en-US"/>
              </w:rPr>
              <w:t xml:space="preserve"> ограничений по поставке в Россию зарубежного оборудования и (или) технологий, которые не имеют аналогов на российском рынке. </w:t>
            </w:r>
            <w:r w:rsidRPr="004D1379">
              <w:rPr>
                <w:rFonts w:eastAsia="Calibri"/>
                <w:sz w:val="22"/>
                <w:szCs w:val="22"/>
                <w:lang w:eastAsia="en-US"/>
              </w:rPr>
              <w:t xml:space="preserve"> </w:t>
            </w:r>
          </w:p>
        </w:tc>
        <w:tc>
          <w:tcPr>
            <w:tcW w:w="3458" w:type="dxa"/>
            <w:shd w:val="clear" w:color="auto" w:fill="auto"/>
          </w:tcPr>
          <w:p w:rsidR="004D1379" w:rsidRPr="004D1379" w:rsidRDefault="004D1379" w:rsidP="004D1379">
            <w:pPr>
              <w:spacing w:after="160"/>
              <w:jc w:val="both"/>
              <w:rPr>
                <w:rFonts w:eastAsiaTheme="minorHAnsi"/>
                <w:sz w:val="22"/>
                <w:szCs w:val="22"/>
                <w:lang w:eastAsia="en-US"/>
              </w:rPr>
            </w:pPr>
            <w:r w:rsidRPr="004D1379">
              <w:rPr>
                <w:rFonts w:eastAsiaTheme="minorHAnsi"/>
                <w:sz w:val="22"/>
                <w:szCs w:val="22"/>
                <w:lang w:eastAsia="en-US"/>
              </w:rPr>
              <w:t xml:space="preserve">В качестве меры антикризисной поддержки производственного сектора предлагается установить специальный порядок признания в составе расходов для целей налогообложения затрат на капитальные вложения в инвестиционные проекты, которые не могут быть реализованы в том числе по причине введения санкций.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 настоящее время изменения внешнего окружения происходят на регулярной основе (как влияние санкций, так и изменения регулирования), в этой связи компании иногда вынуждены отказываться от реализации отдельных проектов или переконфигурировать проектные решения, что приводит к необходимости списания ранее накопленных расходов. В условиях невозможности признания данных затрат по факту происходит </w:t>
            </w:r>
            <w:proofErr w:type="spellStart"/>
            <w:r w:rsidRPr="004D1379">
              <w:rPr>
                <w:rFonts w:eastAsiaTheme="minorHAnsi"/>
                <w:sz w:val="22"/>
                <w:szCs w:val="22"/>
                <w:lang w:eastAsia="en-US"/>
              </w:rPr>
              <w:t>дестимулирование</w:t>
            </w:r>
            <w:proofErr w:type="spellEnd"/>
            <w:r w:rsidRPr="004D1379">
              <w:rPr>
                <w:rFonts w:eastAsiaTheme="minorHAnsi"/>
                <w:sz w:val="22"/>
                <w:szCs w:val="22"/>
                <w:lang w:eastAsia="en-US"/>
              </w:rPr>
              <w:t xml:space="preserve"> инвестиционной деятельности и на предприятия накладываются дополнительные «штрафы» за принимаемый </w:t>
            </w:r>
            <w:r w:rsidRPr="004D1379">
              <w:rPr>
                <w:rFonts w:eastAsiaTheme="minorHAnsi"/>
                <w:sz w:val="22"/>
                <w:szCs w:val="22"/>
                <w:lang w:eastAsia="en-US"/>
              </w:rPr>
              <w:lastRenderedPageBreak/>
              <w:t>предпринимательский риск. В этой связи необходимо законодательно предоставить возможность признания соответствующих расходов – это будет хорошим сигналом для бизнеса и положительно скажется на инвестиционной активности.</w:t>
            </w:r>
          </w:p>
        </w:tc>
        <w:tc>
          <w:tcPr>
            <w:tcW w:w="4111" w:type="dxa"/>
          </w:tcPr>
          <w:p w:rsidR="004D1379" w:rsidRPr="004D1379" w:rsidRDefault="004D1379" w:rsidP="004D1379">
            <w:pPr>
              <w:ind w:firstLine="171"/>
              <w:jc w:val="both"/>
              <w:rPr>
                <w:sz w:val="22"/>
                <w:szCs w:val="22"/>
              </w:rPr>
            </w:pPr>
            <w:r w:rsidRPr="004D1379">
              <w:rPr>
                <w:b/>
                <w:sz w:val="22"/>
                <w:szCs w:val="22"/>
              </w:rPr>
              <w:lastRenderedPageBreak/>
              <w:t>Не поддерживается</w:t>
            </w:r>
            <w:r w:rsidRPr="004D1379">
              <w:rPr>
                <w:sz w:val="22"/>
                <w:szCs w:val="22"/>
              </w:rPr>
              <w:t>.</w:t>
            </w:r>
          </w:p>
          <w:p w:rsidR="004D1379" w:rsidRPr="004D1379" w:rsidRDefault="004D1379" w:rsidP="004D1379">
            <w:pPr>
              <w:ind w:firstLine="181"/>
              <w:jc w:val="both"/>
              <w:rPr>
                <w:rFonts w:eastAsiaTheme="minorHAnsi"/>
                <w:sz w:val="22"/>
                <w:szCs w:val="22"/>
                <w:lang w:eastAsia="en-US"/>
              </w:rPr>
            </w:pPr>
            <w:r w:rsidRPr="004D1379">
              <w:rPr>
                <w:rFonts w:eastAsiaTheme="minorHAnsi"/>
                <w:sz w:val="22"/>
                <w:szCs w:val="22"/>
                <w:lang w:eastAsia="en-US"/>
              </w:rPr>
              <w:t xml:space="preserve">Указанные предложения уже не раз рассматривались в Минфине России и </w:t>
            </w:r>
            <w:r w:rsidRPr="004D1379">
              <w:rPr>
                <w:rFonts w:eastAsiaTheme="minorHAnsi"/>
                <w:sz w:val="22"/>
                <w:szCs w:val="22"/>
                <w:lang w:eastAsia="en-US"/>
              </w:rPr>
              <w:br/>
              <w:t>не были поддержаны. Основания возвращаться к данному вопросу отсутствуют.</w:t>
            </w:r>
          </w:p>
          <w:p w:rsidR="004D1379" w:rsidRPr="004D1379" w:rsidRDefault="004D1379" w:rsidP="004D1379">
            <w:pPr>
              <w:ind w:firstLine="181"/>
              <w:jc w:val="both"/>
              <w:rPr>
                <w:rFonts w:eastAsiaTheme="minorHAnsi"/>
                <w:sz w:val="22"/>
                <w:szCs w:val="22"/>
                <w:lang w:eastAsia="en-US"/>
              </w:rPr>
            </w:pP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 xml:space="preserve">Приложение №2, </w:t>
            </w:r>
          </w:p>
          <w:p w:rsidR="004D1379" w:rsidRPr="004D1379" w:rsidRDefault="004D1379" w:rsidP="004D1379">
            <w:pPr>
              <w:rPr>
                <w:color w:val="000000" w:themeColor="text1"/>
                <w:sz w:val="22"/>
                <w:szCs w:val="22"/>
              </w:rPr>
            </w:pPr>
            <w:r w:rsidRPr="004D1379">
              <w:rPr>
                <w:color w:val="000000" w:themeColor="text1"/>
                <w:sz w:val="22"/>
                <w:szCs w:val="22"/>
              </w:rPr>
              <w:t>Меры налоговой политики по видам налогов</w:t>
            </w:r>
          </w:p>
          <w:p w:rsidR="004D1379" w:rsidRPr="004D1379" w:rsidRDefault="004D1379" w:rsidP="004D1379">
            <w:pPr>
              <w:rPr>
                <w:color w:val="000000" w:themeColor="text1"/>
                <w:sz w:val="22"/>
                <w:szCs w:val="22"/>
              </w:rPr>
            </w:pPr>
          </w:p>
          <w:p w:rsidR="004D1379" w:rsidRPr="004D1379" w:rsidRDefault="004D1379" w:rsidP="004D1379">
            <w:pPr>
              <w:rPr>
                <w:color w:val="FF0000"/>
                <w:sz w:val="22"/>
                <w:szCs w:val="22"/>
              </w:rPr>
            </w:pPr>
            <w:r w:rsidRPr="004D1379">
              <w:rPr>
                <w:color w:val="000000" w:themeColor="text1"/>
                <w:sz w:val="22"/>
                <w:szCs w:val="22"/>
              </w:rPr>
              <w:t>Налог на прибыль организаций</w:t>
            </w:r>
          </w:p>
        </w:tc>
        <w:tc>
          <w:tcPr>
            <w:tcW w:w="2540" w:type="dxa"/>
            <w:shd w:val="clear" w:color="auto" w:fill="auto"/>
          </w:tcPr>
          <w:p w:rsidR="004D1379" w:rsidRPr="004D1379" w:rsidRDefault="004D1379" w:rsidP="004D1379">
            <w:pPr>
              <w:rPr>
                <w:color w:val="000000"/>
                <w:sz w:val="22"/>
                <w:szCs w:val="22"/>
              </w:rPr>
            </w:pPr>
            <w:r w:rsidRPr="004D1379">
              <w:rPr>
                <w:color w:val="000000"/>
                <w:sz w:val="22"/>
                <w:szCs w:val="22"/>
              </w:rPr>
              <w:t>Отсутствует</w:t>
            </w:r>
          </w:p>
        </w:tc>
        <w:tc>
          <w:tcPr>
            <w:tcW w:w="2682" w:type="dxa"/>
            <w:shd w:val="clear" w:color="auto" w:fill="auto"/>
          </w:tcPr>
          <w:p w:rsidR="004D1379" w:rsidRPr="004D1379" w:rsidRDefault="004D1379" w:rsidP="004D1379">
            <w:pPr>
              <w:jc w:val="both"/>
              <w:rPr>
                <w:color w:val="000000"/>
                <w:sz w:val="22"/>
                <w:szCs w:val="22"/>
              </w:rPr>
            </w:pPr>
            <w:r w:rsidRPr="004D1379">
              <w:rPr>
                <w:color w:val="000000"/>
                <w:sz w:val="22"/>
                <w:szCs w:val="22"/>
              </w:rPr>
              <w:t>Опционально, если есть возможность</w:t>
            </w:r>
          </w:p>
          <w:p w:rsidR="004D1379" w:rsidRPr="004D1379" w:rsidRDefault="004D1379" w:rsidP="004D1379">
            <w:pPr>
              <w:jc w:val="both"/>
              <w:rPr>
                <w:color w:val="000000"/>
                <w:sz w:val="22"/>
                <w:szCs w:val="22"/>
              </w:rPr>
            </w:pPr>
            <w:r w:rsidRPr="004D1379">
              <w:rPr>
                <w:color w:val="000000"/>
                <w:sz w:val="22"/>
                <w:szCs w:val="22"/>
              </w:rPr>
              <w:t xml:space="preserve">Дополнить новыми пунктами 6 и 7: </w:t>
            </w:r>
          </w:p>
          <w:p w:rsidR="004D1379" w:rsidRPr="004D1379" w:rsidRDefault="004D1379" w:rsidP="004D1379">
            <w:pPr>
              <w:jc w:val="both"/>
              <w:rPr>
                <w:color w:val="000000"/>
                <w:sz w:val="22"/>
                <w:szCs w:val="22"/>
              </w:rPr>
            </w:pPr>
            <w:r w:rsidRPr="004D1379">
              <w:rPr>
                <w:color w:val="000000"/>
                <w:sz w:val="22"/>
                <w:szCs w:val="22"/>
              </w:rPr>
              <w:t xml:space="preserve">6. Снижение доли участия в капитале до 25% для применения ставки 0% на дивидендном потоке в целях сохранения инвестиционного ресурса; </w:t>
            </w:r>
          </w:p>
          <w:p w:rsidR="004D1379" w:rsidRPr="004D1379" w:rsidRDefault="004D1379" w:rsidP="004D1379">
            <w:pPr>
              <w:jc w:val="both"/>
              <w:rPr>
                <w:color w:val="000000"/>
                <w:sz w:val="22"/>
                <w:szCs w:val="22"/>
              </w:rPr>
            </w:pPr>
            <w:r w:rsidRPr="004D1379">
              <w:rPr>
                <w:color w:val="000000"/>
                <w:sz w:val="22"/>
                <w:szCs w:val="22"/>
              </w:rPr>
              <w:t xml:space="preserve">7. Снижение срока владения с 5 (пяти) лет до 3 (трех) лет на освобождение от налогообложения доходов от реализации акций (долей) организаций, активы которых прямо и/или косвенно представлены недвижимым имуществом на территории РФ не более 50%. </w:t>
            </w:r>
          </w:p>
        </w:tc>
        <w:tc>
          <w:tcPr>
            <w:tcW w:w="3458" w:type="dxa"/>
            <w:shd w:val="clear" w:color="auto" w:fill="auto"/>
          </w:tcPr>
          <w:p w:rsidR="004D1379" w:rsidRPr="004D1379" w:rsidRDefault="004D1379" w:rsidP="004D1379">
            <w:pPr>
              <w:rPr>
                <w:color w:val="000000"/>
                <w:sz w:val="22"/>
                <w:szCs w:val="22"/>
              </w:rPr>
            </w:pPr>
            <w:r w:rsidRPr="004D1379">
              <w:rPr>
                <w:color w:val="000000"/>
                <w:sz w:val="22"/>
                <w:szCs w:val="22"/>
              </w:rPr>
              <w:t>Соответствуют цели, заявленной в Разделе ОНПП:</w:t>
            </w:r>
          </w:p>
          <w:p w:rsidR="004D1379" w:rsidRPr="004D1379" w:rsidRDefault="004D1379" w:rsidP="004D1379">
            <w:pPr>
              <w:rPr>
                <w:color w:val="000000"/>
                <w:sz w:val="22"/>
                <w:szCs w:val="22"/>
              </w:rPr>
            </w:pPr>
            <w:r w:rsidRPr="004D1379">
              <w:rPr>
                <w:color w:val="000000"/>
                <w:sz w:val="22"/>
                <w:szCs w:val="22"/>
              </w:rPr>
              <w:t>НАЦИОНАЛЬНЫЕ ЦЕЛИ РАЗВИТИЯ</w:t>
            </w:r>
          </w:p>
          <w:p w:rsidR="004D1379" w:rsidRPr="004D1379" w:rsidRDefault="004D1379" w:rsidP="004D1379">
            <w:pPr>
              <w:rPr>
                <w:color w:val="000000"/>
                <w:sz w:val="22"/>
                <w:szCs w:val="22"/>
              </w:rPr>
            </w:pPr>
            <w:r w:rsidRPr="004D1379">
              <w:rPr>
                <w:color w:val="000000"/>
                <w:sz w:val="22"/>
                <w:szCs w:val="22"/>
              </w:rPr>
              <w:t>I. Достойный, эффективный труд и успешное предпринимательство</w:t>
            </w:r>
          </w:p>
          <w:p w:rsidR="004D1379" w:rsidRPr="004D1379" w:rsidRDefault="004D1379" w:rsidP="004D1379">
            <w:pPr>
              <w:rPr>
                <w:color w:val="000000"/>
                <w:sz w:val="22"/>
                <w:szCs w:val="22"/>
              </w:rPr>
            </w:pPr>
            <w:r w:rsidRPr="004D1379">
              <w:rPr>
                <w:color w:val="000000"/>
                <w:sz w:val="22"/>
                <w:szCs w:val="22"/>
              </w:rPr>
              <w:t xml:space="preserve">1. Системные меры повышения инвестиционной активности </w:t>
            </w:r>
          </w:p>
          <w:p w:rsidR="004D1379" w:rsidRPr="004D1379" w:rsidRDefault="004D1379" w:rsidP="004D1379">
            <w:pPr>
              <w:rPr>
                <w:color w:val="000000"/>
                <w:sz w:val="22"/>
                <w:szCs w:val="22"/>
              </w:rPr>
            </w:pPr>
            <w:r w:rsidRPr="004D1379">
              <w:rPr>
                <w:color w:val="000000"/>
                <w:sz w:val="22"/>
                <w:szCs w:val="22"/>
              </w:rPr>
              <w:t xml:space="preserve">- </w:t>
            </w:r>
            <w:proofErr w:type="spellStart"/>
            <w:r w:rsidRPr="004D1379">
              <w:rPr>
                <w:color w:val="000000"/>
                <w:sz w:val="22"/>
                <w:szCs w:val="22"/>
              </w:rPr>
              <w:t>донастройка</w:t>
            </w:r>
            <w:proofErr w:type="spellEnd"/>
            <w:r w:rsidRPr="004D1379">
              <w:rPr>
                <w:color w:val="000000"/>
                <w:sz w:val="22"/>
                <w:szCs w:val="22"/>
              </w:rPr>
              <w:t xml:space="preserve"> преференциальных налоговых режимов</w:t>
            </w:r>
          </w:p>
        </w:tc>
        <w:tc>
          <w:tcPr>
            <w:tcW w:w="4111" w:type="dxa"/>
          </w:tcPr>
          <w:p w:rsidR="004D1379" w:rsidRPr="004D1379" w:rsidRDefault="004D1379" w:rsidP="004D1379">
            <w:pPr>
              <w:ind w:firstLine="171"/>
              <w:jc w:val="both"/>
              <w:rPr>
                <w:sz w:val="22"/>
                <w:szCs w:val="22"/>
              </w:rPr>
            </w:pPr>
            <w:r w:rsidRPr="004D1379">
              <w:rPr>
                <w:b/>
                <w:sz w:val="22"/>
                <w:szCs w:val="22"/>
              </w:rPr>
              <w:t>Не поддерживается</w:t>
            </w:r>
            <w:r w:rsidRPr="004D1379">
              <w:rPr>
                <w:sz w:val="22"/>
                <w:szCs w:val="22"/>
              </w:rPr>
              <w:t>.</w:t>
            </w:r>
          </w:p>
          <w:p w:rsidR="004D1379" w:rsidRPr="004D1379" w:rsidRDefault="004D1379" w:rsidP="004D1379">
            <w:pPr>
              <w:ind w:firstLine="171"/>
              <w:jc w:val="both"/>
              <w:rPr>
                <w:color w:val="000000"/>
                <w:sz w:val="22"/>
                <w:szCs w:val="22"/>
              </w:rPr>
            </w:pPr>
            <w:r w:rsidRPr="004D1379">
              <w:rPr>
                <w:color w:val="000000"/>
                <w:sz w:val="22"/>
                <w:szCs w:val="22"/>
              </w:rPr>
              <w:t>Данные предложения уже не раз рассматривались в Минфине России и не были поддержаны. Оснований возвращаться к данному вопросу отсутствуют.</w:t>
            </w:r>
          </w:p>
          <w:p w:rsidR="004D1379" w:rsidRPr="004D1379" w:rsidRDefault="004D1379" w:rsidP="004D1379">
            <w:pPr>
              <w:ind w:firstLine="171"/>
              <w:jc w:val="both"/>
              <w:rPr>
                <w:color w:val="000000"/>
                <w:sz w:val="22"/>
                <w:szCs w:val="22"/>
              </w:rPr>
            </w:pPr>
            <w:r w:rsidRPr="004D1379">
              <w:rPr>
                <w:color w:val="000000"/>
                <w:sz w:val="22"/>
                <w:szCs w:val="22"/>
              </w:rPr>
              <w:t>.</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Приложение №2</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Меры налоговой политики по видам налогов</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Налог на прибыль организаций</w:t>
            </w:r>
          </w:p>
          <w:p w:rsidR="004D1379" w:rsidRPr="004D1379" w:rsidRDefault="004D1379" w:rsidP="004D1379">
            <w:pPr>
              <w:rPr>
                <w:color w:val="FF0000"/>
                <w:sz w:val="22"/>
                <w:szCs w:val="22"/>
              </w:rPr>
            </w:pPr>
            <w:r w:rsidRPr="004D1379">
              <w:rPr>
                <w:color w:val="000000" w:themeColor="text1"/>
                <w:sz w:val="22"/>
                <w:szCs w:val="22"/>
              </w:rPr>
              <w:t>П.1</w:t>
            </w:r>
          </w:p>
        </w:tc>
        <w:tc>
          <w:tcPr>
            <w:tcW w:w="2540"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1. Для применения нулевой ставки по налогу на прибыль организаций при реализации акций (долей участия) в целях упрощения администрирования (по аналогии с налогообложением доходов от источников в Российской Федерации) исключить требования о выполнении условия о составе активов эмитента (не более 50 % недвижимого имущества) для операций по реализации обращающихся ценных бумаг.</w:t>
            </w:r>
          </w:p>
        </w:tc>
        <w:tc>
          <w:tcPr>
            <w:tcW w:w="2682"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1. Для применения нулевой ставки по налогу на прибыль организаций при реализации акций (долей участия) в целях упрощения администрирования (по аналогии с налогообложением доходов от источников в Российской Федерации) исключить требования о выполнении условия о составе активов эмитента (не более 50 % недвижимого имущества) для операций по реализации ценных бумаг.</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По нашему мнению, в данном случае более справедливым является установление единого подхода к налогообложению для обращающихся и необращающихся ценных бумаг. Так, например, некоторые ценные бумаги предприятий, входивших в международные холдинги, до недавнего времени не обращались на российском ОРЦБ, и к ним формально не может быть применена данная норма.</w:t>
            </w:r>
          </w:p>
        </w:tc>
        <w:tc>
          <w:tcPr>
            <w:tcW w:w="4111" w:type="dxa"/>
          </w:tcPr>
          <w:p w:rsidR="004D1379" w:rsidRPr="004D1379" w:rsidRDefault="004D1379" w:rsidP="004D1379">
            <w:pPr>
              <w:ind w:firstLine="171"/>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 xml:space="preserve">По данной логике справедливым должен являться одинаковый порядок формирования налоговой базы по обращающимся и необращающимся ценным бумагам, что положениями Кодекса не допускается. </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Норма направлена на приведение в соответствие с налогообложением иностранных лиц при реализации ими ценных бумаг организаций, активы которых состоят из недвижимого имущества.</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Основания для расширения данной нормы отсутствуют.</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Прил. №2</w:t>
            </w:r>
          </w:p>
          <w:p w:rsidR="004D1379" w:rsidRPr="004D1379" w:rsidRDefault="004D1379" w:rsidP="004D1379">
            <w:pPr>
              <w:rPr>
                <w:rFonts w:eastAsiaTheme="minorHAnsi"/>
                <w:sz w:val="22"/>
                <w:szCs w:val="22"/>
                <w:lang w:eastAsia="en-US"/>
              </w:rPr>
            </w:pPr>
          </w:p>
          <w:p w:rsidR="004D1379" w:rsidRPr="004D1379" w:rsidRDefault="004D1379" w:rsidP="004D1379">
            <w:pPr>
              <w:rPr>
                <w:color w:val="000000" w:themeColor="text1"/>
                <w:sz w:val="22"/>
                <w:szCs w:val="22"/>
              </w:rPr>
            </w:pPr>
            <w:r w:rsidRPr="004D1379">
              <w:rPr>
                <w:color w:val="000000" w:themeColor="text1"/>
                <w:sz w:val="22"/>
                <w:szCs w:val="22"/>
              </w:rPr>
              <w:t>Меры налоговой политики по видам налогов</w:t>
            </w:r>
          </w:p>
          <w:p w:rsidR="004D1379" w:rsidRPr="004D1379" w:rsidRDefault="004D1379" w:rsidP="004D1379">
            <w:pPr>
              <w:rPr>
                <w:rFonts w:eastAsiaTheme="minorHAnsi"/>
                <w:sz w:val="22"/>
                <w:szCs w:val="22"/>
                <w:lang w:eastAsia="en-US"/>
              </w:rPr>
            </w:pP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Налог на прибыль организаций, п.3</w:t>
            </w:r>
          </w:p>
        </w:tc>
        <w:tc>
          <w:tcPr>
            <w:tcW w:w="2540" w:type="dxa"/>
            <w:shd w:val="clear" w:color="auto" w:fill="auto"/>
          </w:tcPr>
          <w:p w:rsidR="004D1379" w:rsidRPr="004D1379" w:rsidRDefault="004D1379" w:rsidP="004D1379">
            <w:pPr>
              <w:autoSpaceDE w:val="0"/>
              <w:autoSpaceDN w:val="0"/>
              <w:adjustRightInd w:val="0"/>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ind w:firstLine="301"/>
              <w:jc w:val="both"/>
              <w:rPr>
                <w:rFonts w:eastAsiaTheme="minorHAnsi"/>
                <w:sz w:val="22"/>
                <w:szCs w:val="22"/>
                <w:lang w:eastAsia="en-US"/>
              </w:rPr>
            </w:pPr>
            <w:r w:rsidRPr="004D1379">
              <w:rPr>
                <w:rFonts w:eastAsiaTheme="minorHAnsi"/>
                <w:sz w:val="22"/>
                <w:szCs w:val="22"/>
                <w:lang w:eastAsia="en-US"/>
              </w:rPr>
              <w:t xml:space="preserve">Предлагаем дополнить перечень доходов, по которым предлагается установить освобождение от налогообложения налогом на </w:t>
            </w:r>
            <w:r w:rsidRPr="004D1379">
              <w:rPr>
                <w:rFonts w:eastAsiaTheme="minorHAnsi"/>
                <w:sz w:val="22"/>
                <w:szCs w:val="22"/>
                <w:lang w:eastAsia="en-US"/>
              </w:rPr>
              <w:t> </w:t>
            </w:r>
            <w:r w:rsidRPr="004D1379">
              <w:rPr>
                <w:rFonts w:asciiTheme="minorHAnsi" w:eastAsiaTheme="minorHAnsi" w:hAnsiTheme="minorHAnsi" w:cstheme="minorBidi"/>
                <w:sz w:val="22"/>
                <w:szCs w:val="22"/>
                <w:lang w:eastAsia="en-US"/>
              </w:rPr>
              <w:t xml:space="preserve"> </w:t>
            </w:r>
            <w:r w:rsidRPr="004D1379">
              <w:rPr>
                <w:rFonts w:eastAsiaTheme="minorHAnsi"/>
                <w:sz w:val="22"/>
                <w:szCs w:val="22"/>
                <w:lang w:eastAsia="en-US"/>
              </w:rPr>
              <w:t xml:space="preserve">прибыль организаций или пониженные ставки налога на прибыль организаций для </w:t>
            </w:r>
            <w:r w:rsidRPr="004D1379">
              <w:rPr>
                <w:rFonts w:eastAsiaTheme="minorHAnsi"/>
                <w:sz w:val="22"/>
                <w:szCs w:val="22"/>
                <w:lang w:eastAsia="en-US"/>
              </w:rPr>
              <w:t> </w:t>
            </w:r>
            <w:r w:rsidRPr="004D1379">
              <w:rPr>
                <w:rFonts w:eastAsiaTheme="minorHAnsi"/>
                <w:sz w:val="22"/>
                <w:szCs w:val="22"/>
                <w:lang w:eastAsia="en-US"/>
              </w:rPr>
              <w:t xml:space="preserve">следующих доходов, выплачиваемых иностранным компаниям, расположенными в </w:t>
            </w:r>
            <w:r w:rsidRPr="004D1379">
              <w:rPr>
                <w:rFonts w:eastAsiaTheme="minorHAnsi"/>
                <w:sz w:val="22"/>
                <w:szCs w:val="22"/>
                <w:lang w:eastAsia="en-US"/>
              </w:rPr>
              <w:t> </w:t>
            </w:r>
            <w:r w:rsidRPr="004D1379">
              <w:rPr>
                <w:rFonts w:eastAsiaTheme="minorHAnsi"/>
                <w:sz w:val="22"/>
                <w:szCs w:val="22"/>
                <w:lang w:eastAsia="en-US"/>
              </w:rPr>
              <w:lastRenderedPageBreak/>
              <w:t xml:space="preserve">иностранных государствах, в отношении которых ранее применялось освобождение от </w:t>
            </w:r>
            <w:r w:rsidRPr="004D1379">
              <w:rPr>
                <w:rFonts w:eastAsiaTheme="minorHAnsi"/>
                <w:sz w:val="22"/>
                <w:szCs w:val="22"/>
                <w:lang w:eastAsia="en-US"/>
              </w:rPr>
              <w:t> </w:t>
            </w:r>
            <w:r w:rsidRPr="004D1379">
              <w:rPr>
                <w:rFonts w:eastAsiaTheme="minorHAnsi"/>
                <w:sz w:val="22"/>
                <w:szCs w:val="22"/>
                <w:lang w:eastAsia="en-US"/>
              </w:rPr>
              <w:t xml:space="preserve">налогообложения у источника или пониженная ставка налога у источника согласно Договорам, действие которых приостановлено, </w:t>
            </w:r>
            <w:r w:rsidRPr="004D1379">
              <w:rPr>
                <w:rFonts w:eastAsiaTheme="minorHAnsi"/>
                <w:sz w:val="22"/>
                <w:szCs w:val="22"/>
                <w:lang w:eastAsia="en-US"/>
              </w:rPr>
              <w:t> </w:t>
            </w:r>
            <w:r w:rsidRPr="004D1379">
              <w:rPr>
                <w:rFonts w:eastAsiaTheme="minorHAnsi"/>
                <w:i/>
                <w:sz w:val="22"/>
                <w:szCs w:val="22"/>
                <w:lang w:eastAsia="en-US"/>
              </w:rPr>
              <w:t>доходами от международных перевозок (пп.8 п.1 ст.309 НК РФ) и доходами от сдачи в аренду/субаренду имущества, используемого на территории РФ (пп.7 п.1 ст.309 НК РФ)</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 xml:space="preserve">Иностранные перевозчики (судовладельцы), представляют собой стратегически важное звено в цепочке поставок продукции российского производства на экспорт, затраты на перевозку составляют существенную часть всех затрат экспортеров. Соответственно, возникающий налог у источника повлечет удорожание перевозки для экспортеров. </w:t>
            </w:r>
          </w:p>
        </w:tc>
        <w:tc>
          <w:tcPr>
            <w:tcW w:w="4111" w:type="dxa"/>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По данному вопросу были проведены неоднократные совещания с представителями РСПП и бизнес-сообщества. Все предложения и замечания были предметно изучены Минфином России совместно с ФНС России.</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По неучтенным предложениям бизнес-сообщества, в адрес Минфина России не было предоставлено обоснования и расчетов на предмет того, каким образом реализация таких предложений снизит влияние от приостановления норм </w:t>
            </w:r>
            <w:r w:rsidRPr="004D1379">
              <w:rPr>
                <w:rFonts w:eastAsiaTheme="minorHAnsi"/>
                <w:sz w:val="22"/>
                <w:szCs w:val="22"/>
                <w:lang w:eastAsia="en-US"/>
              </w:rPr>
              <w:lastRenderedPageBreak/>
              <w:t>международных налоговых договоров на экономику России. Многие из них являлись конъюнктурными и противоречащими идеям Указа Президента РФ от 08.08.2023 № 585.</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Однако следует обратить внимание на то, что у России заключен ряд международных договоров, содержащих налоговые нормы, которые продолжают действие, в том числе, в части регулирования налогообложения международных перевозок.</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Например, Соглашение между Правительством СССР и Правительством Королевства Нидерландов о торговом судоходстве от 28.05.1969, Соглашение между Правительством СССР и Правительством Греческой Республики об освобождении от двойного налогообложения на доходы от морских и воздушных перевозок от 27 января 1976 г. </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 этой связи наличие подобных договоров нивелирует отдельные последствия приостановления международных налоговых договоров.</w:t>
            </w:r>
          </w:p>
        </w:tc>
      </w:tr>
      <w:tr w:rsidR="004D1379" w:rsidRPr="004D1379" w:rsidTr="009C6571">
        <w:trPr>
          <w:trHeight w:val="1104"/>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Прил. №2</w:t>
            </w:r>
          </w:p>
          <w:p w:rsidR="004D1379" w:rsidRPr="004D1379" w:rsidRDefault="004D1379" w:rsidP="004D1379">
            <w:pPr>
              <w:rPr>
                <w:color w:val="000000" w:themeColor="text1"/>
                <w:sz w:val="22"/>
                <w:szCs w:val="22"/>
              </w:rPr>
            </w:pPr>
            <w:r w:rsidRPr="004D1379">
              <w:rPr>
                <w:color w:val="000000" w:themeColor="text1"/>
                <w:sz w:val="22"/>
                <w:szCs w:val="22"/>
              </w:rPr>
              <w:t>Меры налоговой политики по видам налогов</w:t>
            </w:r>
          </w:p>
          <w:p w:rsidR="004D1379" w:rsidRPr="004D1379" w:rsidRDefault="004D1379" w:rsidP="004D1379">
            <w:pPr>
              <w:rPr>
                <w:color w:val="000000" w:themeColor="text1"/>
                <w:sz w:val="22"/>
                <w:szCs w:val="22"/>
              </w:rPr>
            </w:pPr>
          </w:p>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Налог на прибыль организаций</w:t>
            </w:r>
          </w:p>
        </w:tc>
        <w:tc>
          <w:tcPr>
            <w:tcW w:w="2540" w:type="dxa"/>
            <w:shd w:val="clear" w:color="auto" w:fill="auto"/>
          </w:tcPr>
          <w:p w:rsidR="004D1379" w:rsidRPr="004D1379" w:rsidRDefault="004D1379" w:rsidP="004D1379">
            <w:pPr>
              <w:autoSpaceDE w:val="0"/>
              <w:autoSpaceDN w:val="0"/>
              <w:adjustRightInd w:val="0"/>
              <w:rPr>
                <w:rFonts w:eastAsiaTheme="minorHAnsi"/>
                <w:sz w:val="22"/>
                <w:szCs w:val="22"/>
                <w:lang w:eastAsia="en-US"/>
              </w:rPr>
            </w:pPr>
            <w:r w:rsidRPr="004D1379">
              <w:rPr>
                <w:rFonts w:eastAsiaTheme="minorHAnsi"/>
                <w:sz w:val="22"/>
                <w:szCs w:val="22"/>
                <w:lang w:eastAsia="en-US"/>
              </w:rPr>
              <w:t>Отсутствует</w:t>
            </w:r>
          </w:p>
        </w:tc>
        <w:tc>
          <w:tcPr>
            <w:tcW w:w="2682" w:type="dxa"/>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Предлагаем дополнить пп.6 п.2 ст.265 НК РФ затратами в виде стоимости утраченного имущества в результате ареста/конфискации/иных действий со стороны недружественных стран.</w:t>
            </w:r>
          </w:p>
        </w:tc>
        <w:tc>
          <w:tcPr>
            <w:tcW w:w="3458" w:type="dxa"/>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В Письме Минфина России от 24.05.2022 </w:t>
            </w:r>
            <w:r w:rsidRPr="004D1379">
              <w:rPr>
                <w:rFonts w:eastAsiaTheme="minorHAnsi"/>
                <w:sz w:val="22"/>
                <w:szCs w:val="22"/>
                <w:lang w:val="en-US" w:eastAsia="en-US"/>
              </w:rPr>
              <w:t>N</w:t>
            </w:r>
            <w:r w:rsidRPr="004D1379">
              <w:rPr>
                <w:rFonts w:eastAsiaTheme="minorHAnsi"/>
                <w:sz w:val="22"/>
                <w:szCs w:val="22"/>
                <w:lang w:eastAsia="en-US"/>
              </w:rPr>
              <w:t xml:space="preserve"> 03-03-06/2/48034 отмечалось, что прорабатывается возможность внесения поправок в </w:t>
            </w:r>
            <w:hyperlink r:id="rId9" w:history="1">
              <w:r w:rsidRPr="004D1379">
                <w:rPr>
                  <w:rFonts w:eastAsiaTheme="minorHAnsi"/>
                  <w:sz w:val="22"/>
                  <w:szCs w:val="22"/>
                  <w:lang w:eastAsia="en-US"/>
                </w:rPr>
                <w:t>главу 25</w:t>
              </w:r>
            </w:hyperlink>
            <w:r w:rsidRPr="004D1379">
              <w:rPr>
                <w:rFonts w:eastAsiaTheme="minorHAnsi"/>
                <w:sz w:val="22"/>
                <w:szCs w:val="22"/>
                <w:lang w:eastAsia="en-US"/>
              </w:rPr>
              <w:t xml:space="preserve"> НК РФ в целях урегулирования вопроса о порядке налогообложения налогом на прибыль организаций стоимости конфискованного имущества </w:t>
            </w:r>
            <w:r w:rsidRPr="004D1379">
              <w:rPr>
                <w:rFonts w:eastAsiaTheme="minorHAnsi"/>
                <w:sz w:val="22"/>
                <w:szCs w:val="22"/>
                <w:lang w:eastAsia="en-US"/>
              </w:rPr>
              <w:lastRenderedPageBreak/>
              <w:t>налогоплательщика в связи с действиями недружественных стран, однако поправки так и не были внесены.</w:t>
            </w:r>
          </w:p>
        </w:tc>
        <w:tc>
          <w:tcPr>
            <w:tcW w:w="4111" w:type="dxa"/>
          </w:tcPr>
          <w:p w:rsidR="004D1379" w:rsidRPr="004D1379" w:rsidRDefault="004D1379" w:rsidP="004D1379">
            <w:pPr>
              <w:ind w:firstLine="180"/>
              <w:jc w:val="both"/>
              <w:rPr>
                <w:b/>
                <w:color w:val="000000"/>
                <w:sz w:val="22"/>
                <w:szCs w:val="22"/>
              </w:rPr>
            </w:pPr>
            <w:r w:rsidRPr="004D1379">
              <w:rPr>
                <w:b/>
                <w:color w:val="000000"/>
                <w:sz w:val="22"/>
                <w:szCs w:val="22"/>
              </w:rPr>
              <w:lastRenderedPageBreak/>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Учитывая, что в Минфин России не представлен комплексный анализ правовых последствий владения указанным имуществом в результате подобных действий, считаем, что формирование нормы преждевременно. При этом Минфин России письмом от 18.02.2023 № 03-03-06/1/15751  </w:t>
            </w:r>
            <w:r w:rsidRPr="004D1379">
              <w:rPr>
                <w:rFonts w:eastAsiaTheme="minorHAnsi"/>
                <w:sz w:val="22"/>
                <w:szCs w:val="22"/>
                <w:lang w:eastAsia="en-US"/>
              </w:rPr>
              <w:lastRenderedPageBreak/>
              <w:t>разъяснял, каким образом остаточная стоимость указанного имущества может быть учтена для целей налогообложения.</w:t>
            </w:r>
          </w:p>
        </w:tc>
      </w:tr>
      <w:tr w:rsidR="004D1379" w:rsidRPr="004D1379" w:rsidTr="009C6571">
        <w:trPr>
          <w:trHeight w:val="820"/>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hideMark/>
          </w:tcPr>
          <w:p w:rsidR="004D1379" w:rsidRPr="004D1379" w:rsidRDefault="004D1379" w:rsidP="004D1379">
            <w:pPr>
              <w:rPr>
                <w:color w:val="000000"/>
                <w:sz w:val="22"/>
                <w:szCs w:val="22"/>
              </w:rPr>
            </w:pPr>
            <w:r w:rsidRPr="004D1379">
              <w:rPr>
                <w:color w:val="000000"/>
                <w:sz w:val="22"/>
                <w:szCs w:val="22"/>
              </w:rPr>
              <w:t xml:space="preserve">Новый раздел в Приложение №2: </w:t>
            </w:r>
          </w:p>
          <w:p w:rsidR="004D1379" w:rsidRPr="004D1379" w:rsidRDefault="004D1379" w:rsidP="004D1379">
            <w:pPr>
              <w:rPr>
                <w:color w:val="000000"/>
                <w:sz w:val="22"/>
                <w:szCs w:val="22"/>
              </w:rPr>
            </w:pPr>
          </w:p>
          <w:p w:rsidR="004D1379" w:rsidRPr="004D1379" w:rsidRDefault="004D1379" w:rsidP="004D1379">
            <w:pPr>
              <w:rPr>
                <w:color w:val="000000"/>
                <w:sz w:val="22"/>
                <w:szCs w:val="22"/>
              </w:rPr>
            </w:pPr>
            <w:r w:rsidRPr="004D1379">
              <w:rPr>
                <w:color w:val="000000"/>
                <w:sz w:val="22"/>
                <w:szCs w:val="22"/>
              </w:rPr>
              <w:t>Налог на добычу полезных ископаемых - уголь</w:t>
            </w:r>
          </w:p>
        </w:tc>
        <w:tc>
          <w:tcPr>
            <w:tcW w:w="2540" w:type="dxa"/>
            <w:shd w:val="clear" w:color="auto" w:fill="auto"/>
            <w:hideMark/>
          </w:tcPr>
          <w:p w:rsidR="004D1379" w:rsidRPr="004D1379" w:rsidRDefault="004D1379" w:rsidP="004D1379">
            <w:pPr>
              <w:rPr>
                <w:color w:val="000000"/>
                <w:sz w:val="22"/>
                <w:szCs w:val="22"/>
              </w:rPr>
            </w:pPr>
            <w:r w:rsidRPr="004D1379">
              <w:rPr>
                <w:color w:val="000000"/>
                <w:sz w:val="22"/>
                <w:szCs w:val="22"/>
              </w:rPr>
              <w:t>Отсутствует</w:t>
            </w:r>
          </w:p>
        </w:tc>
        <w:tc>
          <w:tcPr>
            <w:tcW w:w="2682" w:type="dxa"/>
            <w:shd w:val="clear" w:color="auto" w:fill="auto"/>
            <w:hideMark/>
          </w:tcPr>
          <w:p w:rsidR="004D1379" w:rsidRPr="004D1379" w:rsidRDefault="004D1379" w:rsidP="004D1379">
            <w:pPr>
              <w:jc w:val="both"/>
              <w:rPr>
                <w:color w:val="000000"/>
                <w:sz w:val="22"/>
                <w:szCs w:val="22"/>
              </w:rPr>
            </w:pPr>
            <w:r w:rsidRPr="004D1379">
              <w:rPr>
                <w:color w:val="000000"/>
                <w:sz w:val="22"/>
                <w:szCs w:val="22"/>
              </w:rPr>
              <w:t xml:space="preserve">1.Для целей исчисления ставки НДПИ по коксующимся углям отказаться от применения индекса SGX TSI FOB </w:t>
            </w:r>
            <w:proofErr w:type="spellStart"/>
            <w:r w:rsidRPr="004D1379">
              <w:rPr>
                <w:color w:val="000000"/>
                <w:sz w:val="22"/>
                <w:szCs w:val="22"/>
              </w:rPr>
              <w:t>Australia</w:t>
            </w:r>
            <w:proofErr w:type="spellEnd"/>
            <w:r w:rsidRPr="004D1379">
              <w:rPr>
                <w:color w:val="000000"/>
                <w:sz w:val="22"/>
                <w:szCs w:val="22"/>
              </w:rPr>
              <w:t xml:space="preserve"> </w:t>
            </w:r>
            <w:proofErr w:type="spellStart"/>
            <w:r w:rsidRPr="004D1379">
              <w:rPr>
                <w:color w:val="000000"/>
                <w:sz w:val="22"/>
                <w:szCs w:val="22"/>
              </w:rPr>
              <w:t>Premium</w:t>
            </w:r>
            <w:proofErr w:type="spellEnd"/>
            <w:r w:rsidRPr="004D1379">
              <w:rPr>
                <w:color w:val="000000"/>
                <w:sz w:val="22"/>
                <w:szCs w:val="22"/>
              </w:rPr>
              <w:t xml:space="preserve"> </w:t>
            </w:r>
            <w:proofErr w:type="spellStart"/>
            <w:r w:rsidRPr="004D1379">
              <w:rPr>
                <w:color w:val="000000"/>
                <w:sz w:val="22"/>
                <w:szCs w:val="22"/>
              </w:rPr>
              <w:t>Coking</w:t>
            </w:r>
            <w:proofErr w:type="spellEnd"/>
            <w:r w:rsidRPr="004D1379">
              <w:rPr>
                <w:color w:val="000000"/>
                <w:sz w:val="22"/>
                <w:szCs w:val="22"/>
              </w:rPr>
              <w:t xml:space="preserve"> </w:t>
            </w:r>
            <w:proofErr w:type="spellStart"/>
            <w:r w:rsidRPr="004D1379">
              <w:rPr>
                <w:color w:val="000000"/>
                <w:sz w:val="22"/>
                <w:szCs w:val="22"/>
              </w:rPr>
              <w:t>Coal</w:t>
            </w:r>
            <w:proofErr w:type="spellEnd"/>
            <w:r w:rsidRPr="004D1379">
              <w:rPr>
                <w:color w:val="000000"/>
                <w:sz w:val="22"/>
                <w:szCs w:val="22"/>
              </w:rPr>
              <w:t xml:space="preserve"> OTC </w:t>
            </w:r>
            <w:proofErr w:type="spellStart"/>
            <w:r w:rsidRPr="004D1379">
              <w:rPr>
                <w:color w:val="000000"/>
                <w:sz w:val="22"/>
                <w:szCs w:val="22"/>
              </w:rPr>
              <w:t>Futures</w:t>
            </w:r>
            <w:proofErr w:type="spellEnd"/>
            <w:r w:rsidRPr="004D1379">
              <w:rPr>
                <w:color w:val="000000"/>
                <w:sz w:val="22"/>
                <w:szCs w:val="22"/>
              </w:rPr>
              <w:t>/</w:t>
            </w:r>
            <w:proofErr w:type="spellStart"/>
            <w:r w:rsidRPr="004D1379">
              <w:rPr>
                <w:color w:val="000000"/>
                <w:sz w:val="22"/>
                <w:szCs w:val="22"/>
              </w:rPr>
              <w:t>Options</w:t>
            </w:r>
            <w:proofErr w:type="spellEnd"/>
            <w:r w:rsidRPr="004D1379">
              <w:rPr>
                <w:color w:val="000000"/>
                <w:sz w:val="22"/>
                <w:szCs w:val="22"/>
              </w:rPr>
              <w:t xml:space="preserve"> и перейти на индекс цены угля в разрезе марок коксующихся углей на основании Территориального внебиржевого индекса цен угля внутреннего рынка и экспорта на территории производства Кузбасс, формируемые и публикуемые </w:t>
            </w:r>
            <w:proofErr w:type="spellStart"/>
            <w:r w:rsidRPr="004D1379">
              <w:rPr>
                <w:color w:val="000000"/>
                <w:sz w:val="22"/>
                <w:szCs w:val="22"/>
              </w:rPr>
              <w:t>СПбМТСБ</w:t>
            </w:r>
            <w:proofErr w:type="spellEnd"/>
            <w:r w:rsidRPr="004D1379">
              <w:rPr>
                <w:color w:val="000000"/>
                <w:sz w:val="22"/>
                <w:szCs w:val="22"/>
              </w:rPr>
              <w:t>.</w:t>
            </w:r>
          </w:p>
          <w:p w:rsidR="004D1379" w:rsidRPr="004D1379" w:rsidRDefault="004D1379" w:rsidP="004D1379">
            <w:pPr>
              <w:jc w:val="both"/>
              <w:rPr>
                <w:color w:val="000000"/>
                <w:sz w:val="22"/>
                <w:szCs w:val="22"/>
              </w:rPr>
            </w:pPr>
            <w:r w:rsidRPr="004D1379">
              <w:rPr>
                <w:color w:val="000000"/>
                <w:sz w:val="22"/>
                <w:szCs w:val="22"/>
              </w:rPr>
              <w:t xml:space="preserve">2.При использовании налоговых вычетов по НДПИ по расходам на безопасность предлагается сократить ограничения по периодичности внесения изменений в порядок учета расходов на безопасность с 5 лет до 3 лет.  </w:t>
            </w:r>
          </w:p>
        </w:tc>
        <w:tc>
          <w:tcPr>
            <w:tcW w:w="3458" w:type="dxa"/>
            <w:shd w:val="clear" w:color="auto" w:fill="auto"/>
            <w:hideMark/>
          </w:tcPr>
          <w:p w:rsidR="004D1379" w:rsidRPr="004D1379" w:rsidRDefault="004D1379" w:rsidP="004D1379">
            <w:pPr>
              <w:jc w:val="both"/>
              <w:rPr>
                <w:color w:val="000000"/>
                <w:sz w:val="22"/>
                <w:szCs w:val="22"/>
              </w:rPr>
            </w:pPr>
            <w:r w:rsidRPr="004D1379">
              <w:rPr>
                <w:color w:val="000000"/>
                <w:sz w:val="22"/>
                <w:szCs w:val="22"/>
              </w:rPr>
              <w:t xml:space="preserve">1. При расчете НДПИ на коксующиеся угля применяется ценовой индекс SGX TSI FOB </w:t>
            </w:r>
            <w:proofErr w:type="spellStart"/>
            <w:r w:rsidRPr="004D1379">
              <w:rPr>
                <w:color w:val="000000"/>
                <w:sz w:val="22"/>
                <w:szCs w:val="22"/>
              </w:rPr>
              <w:t>Australia</w:t>
            </w:r>
            <w:proofErr w:type="spellEnd"/>
            <w:r w:rsidRPr="004D1379">
              <w:rPr>
                <w:color w:val="000000"/>
                <w:sz w:val="22"/>
                <w:szCs w:val="22"/>
              </w:rPr>
              <w:t xml:space="preserve"> </w:t>
            </w:r>
            <w:proofErr w:type="spellStart"/>
            <w:r w:rsidRPr="004D1379">
              <w:rPr>
                <w:color w:val="000000"/>
                <w:sz w:val="22"/>
                <w:szCs w:val="22"/>
              </w:rPr>
              <w:t>Premium</w:t>
            </w:r>
            <w:proofErr w:type="spellEnd"/>
            <w:r w:rsidRPr="004D1379">
              <w:rPr>
                <w:color w:val="000000"/>
                <w:sz w:val="22"/>
                <w:szCs w:val="22"/>
              </w:rPr>
              <w:t xml:space="preserve"> </w:t>
            </w:r>
            <w:proofErr w:type="spellStart"/>
            <w:r w:rsidRPr="004D1379">
              <w:rPr>
                <w:color w:val="000000"/>
                <w:sz w:val="22"/>
                <w:szCs w:val="22"/>
              </w:rPr>
              <w:t>Coking</w:t>
            </w:r>
            <w:proofErr w:type="spellEnd"/>
            <w:r w:rsidRPr="004D1379">
              <w:rPr>
                <w:color w:val="000000"/>
                <w:sz w:val="22"/>
                <w:szCs w:val="22"/>
              </w:rPr>
              <w:t xml:space="preserve"> </w:t>
            </w:r>
            <w:proofErr w:type="spellStart"/>
            <w:r w:rsidRPr="004D1379">
              <w:rPr>
                <w:color w:val="000000"/>
                <w:sz w:val="22"/>
                <w:szCs w:val="22"/>
              </w:rPr>
              <w:t>Coal</w:t>
            </w:r>
            <w:proofErr w:type="spellEnd"/>
            <w:r w:rsidRPr="004D1379">
              <w:rPr>
                <w:color w:val="000000"/>
                <w:sz w:val="22"/>
                <w:szCs w:val="22"/>
              </w:rPr>
              <w:t xml:space="preserve"> OTC </w:t>
            </w:r>
            <w:proofErr w:type="spellStart"/>
            <w:r w:rsidRPr="004D1379">
              <w:rPr>
                <w:color w:val="000000"/>
                <w:sz w:val="22"/>
                <w:szCs w:val="22"/>
              </w:rPr>
              <w:t>Futures</w:t>
            </w:r>
            <w:proofErr w:type="spellEnd"/>
            <w:r w:rsidRPr="004D1379">
              <w:rPr>
                <w:color w:val="000000"/>
                <w:sz w:val="22"/>
                <w:szCs w:val="22"/>
              </w:rPr>
              <w:t>/</w:t>
            </w:r>
            <w:proofErr w:type="spellStart"/>
            <w:r w:rsidRPr="004D1379">
              <w:rPr>
                <w:color w:val="000000"/>
                <w:sz w:val="22"/>
                <w:szCs w:val="22"/>
              </w:rPr>
              <w:t>Options</w:t>
            </w:r>
            <w:proofErr w:type="spellEnd"/>
            <w:r w:rsidRPr="004D1379">
              <w:rPr>
                <w:color w:val="000000"/>
                <w:sz w:val="22"/>
                <w:szCs w:val="22"/>
              </w:rPr>
              <w:t xml:space="preserve">, который не </w:t>
            </w:r>
            <w:proofErr w:type="spellStart"/>
            <w:r w:rsidRPr="004D1379">
              <w:rPr>
                <w:color w:val="000000"/>
                <w:sz w:val="22"/>
                <w:szCs w:val="22"/>
              </w:rPr>
              <w:t>релевантен</w:t>
            </w:r>
            <w:proofErr w:type="spellEnd"/>
            <w:r w:rsidRPr="004D1379">
              <w:rPr>
                <w:color w:val="000000"/>
                <w:sz w:val="22"/>
                <w:szCs w:val="22"/>
              </w:rPr>
              <w:t xml:space="preserve"> для российских коксующихся углей и объективно не отражает уровень цен на российские коксующиеся угля. В целях обеспечения справедливости налогообложения необходимо вместо австралийского ценового индекса для расчета ставки НДПИ на коксующиеся угли перейти на применение российского ценового индекса на коксующиеся угли.</w:t>
            </w:r>
          </w:p>
          <w:p w:rsidR="004D1379" w:rsidRPr="004D1379" w:rsidRDefault="004D1379" w:rsidP="004D1379">
            <w:pPr>
              <w:jc w:val="both"/>
              <w:rPr>
                <w:rFonts w:eastAsiaTheme="minorHAnsi"/>
                <w:sz w:val="22"/>
                <w:szCs w:val="22"/>
                <w:lang w:eastAsia="en-US"/>
              </w:rPr>
            </w:pPr>
            <w:r w:rsidRPr="004D1379">
              <w:rPr>
                <w:color w:val="000000"/>
                <w:sz w:val="22"/>
                <w:szCs w:val="22"/>
              </w:rPr>
              <w:t xml:space="preserve">2. Учитывая текущие </w:t>
            </w:r>
            <w:proofErr w:type="spellStart"/>
            <w:r w:rsidRPr="004D1379">
              <w:rPr>
                <w:color w:val="000000"/>
                <w:sz w:val="22"/>
                <w:szCs w:val="22"/>
              </w:rPr>
              <w:t>санкционные</w:t>
            </w:r>
            <w:proofErr w:type="spellEnd"/>
            <w:r w:rsidRPr="004D1379">
              <w:rPr>
                <w:color w:val="000000"/>
                <w:sz w:val="22"/>
                <w:szCs w:val="22"/>
              </w:rPr>
              <w:t xml:space="preserve"> ограничения (в </w:t>
            </w:r>
            <w:proofErr w:type="spellStart"/>
            <w:r w:rsidRPr="004D1379">
              <w:rPr>
                <w:color w:val="000000"/>
                <w:sz w:val="22"/>
                <w:szCs w:val="22"/>
              </w:rPr>
              <w:t>т.ч</w:t>
            </w:r>
            <w:proofErr w:type="spellEnd"/>
            <w:r w:rsidRPr="004D1379">
              <w:rPr>
                <w:color w:val="000000"/>
                <w:sz w:val="22"/>
                <w:szCs w:val="22"/>
              </w:rPr>
              <w:t>. эмбарго на поставки российского угля в Европу), бизнесу необходим более гибкий подход для изменения порядка учета расходов на безопасность, участвующих в вычете по НДПИ.</w:t>
            </w:r>
          </w:p>
        </w:tc>
        <w:tc>
          <w:tcPr>
            <w:tcW w:w="4111" w:type="dxa"/>
          </w:tcPr>
          <w:p w:rsidR="004D1379" w:rsidRPr="004D1379" w:rsidRDefault="004D1379" w:rsidP="004D1379">
            <w:pPr>
              <w:ind w:firstLine="180"/>
              <w:jc w:val="both"/>
              <w:rPr>
                <w:b/>
                <w:color w:val="000000"/>
                <w:sz w:val="22"/>
                <w:szCs w:val="22"/>
              </w:rPr>
            </w:pPr>
            <w:r w:rsidRPr="004D1379">
              <w:rPr>
                <w:b/>
                <w:color w:val="000000"/>
                <w:sz w:val="22"/>
                <w:szCs w:val="22"/>
              </w:rPr>
              <w:t>Не поддерживается.</w:t>
            </w:r>
          </w:p>
          <w:p w:rsidR="004D1379" w:rsidRPr="004D1379" w:rsidRDefault="004D1379" w:rsidP="004D1379">
            <w:pPr>
              <w:keepNext/>
              <w:ind w:firstLine="180"/>
              <w:jc w:val="both"/>
              <w:outlineLvl w:val="0"/>
              <w:rPr>
                <w:color w:val="000000"/>
                <w:sz w:val="22"/>
                <w:szCs w:val="22"/>
                <w:u w:val="single"/>
              </w:rPr>
            </w:pPr>
            <w:r w:rsidRPr="004D1379">
              <w:rPr>
                <w:color w:val="000000"/>
                <w:sz w:val="22"/>
                <w:szCs w:val="22"/>
                <w:u w:val="single"/>
              </w:rPr>
              <w:t>По пункту 1</w:t>
            </w:r>
          </w:p>
          <w:p w:rsidR="004D1379" w:rsidRPr="004D1379" w:rsidRDefault="004D1379" w:rsidP="004D1379">
            <w:pPr>
              <w:ind w:firstLine="180"/>
              <w:jc w:val="both"/>
              <w:rPr>
                <w:color w:val="000000"/>
                <w:sz w:val="22"/>
                <w:szCs w:val="22"/>
              </w:rPr>
            </w:pPr>
            <w:r w:rsidRPr="004D1379">
              <w:rPr>
                <w:color w:val="000000"/>
                <w:sz w:val="22"/>
                <w:szCs w:val="22"/>
              </w:rPr>
              <w:t>96% экспортных сделок, информация о которых используется при формировании территориального внебиржевого индекса цен угля Санкт-Петербургской Международной Товарно-сырьевой биржей, составляют сделки между аффилированными лицами, что создает существенные риски манипуляции индексом со стороны угольных компаний в случае его использования для целей исчисления налога на добычу полезных ископаемых и снижает его репрезентативность.</w:t>
            </w:r>
          </w:p>
          <w:p w:rsidR="004D1379" w:rsidRPr="004D1379" w:rsidRDefault="004D1379" w:rsidP="004D1379">
            <w:pPr>
              <w:ind w:firstLine="180"/>
              <w:jc w:val="both"/>
              <w:rPr>
                <w:color w:val="000000"/>
                <w:sz w:val="22"/>
                <w:szCs w:val="22"/>
              </w:rPr>
            </w:pPr>
            <w:r w:rsidRPr="004D1379">
              <w:rPr>
                <w:color w:val="000000"/>
                <w:sz w:val="22"/>
                <w:szCs w:val="22"/>
              </w:rPr>
              <w:t>Данный вопрос может быть рассмотрен после формирования национального индикатора цен на уголь коксующийся в соответствии с планом мероприятий («дорожной картой») развития организованной (биржевой) торговли на отдельных товарных рынках на 2023-2025 годы, утверждённым распоряжением Правительства РФ от 23.12.2022 № 4140-р.</w:t>
            </w:r>
          </w:p>
          <w:p w:rsidR="004D1379" w:rsidRPr="004D1379" w:rsidRDefault="004D1379" w:rsidP="004D1379">
            <w:pPr>
              <w:keepNext/>
              <w:ind w:firstLine="180"/>
              <w:jc w:val="both"/>
              <w:outlineLvl w:val="0"/>
              <w:rPr>
                <w:color w:val="000000"/>
                <w:sz w:val="22"/>
                <w:szCs w:val="22"/>
                <w:u w:val="single"/>
              </w:rPr>
            </w:pPr>
            <w:r w:rsidRPr="004D1379">
              <w:rPr>
                <w:color w:val="000000"/>
                <w:sz w:val="22"/>
                <w:szCs w:val="22"/>
                <w:u w:val="single"/>
              </w:rPr>
              <w:t>По пункту 2</w:t>
            </w:r>
          </w:p>
          <w:p w:rsidR="004D1379" w:rsidRPr="004D1379" w:rsidRDefault="004D1379" w:rsidP="004D1379">
            <w:pPr>
              <w:ind w:firstLine="180"/>
              <w:jc w:val="both"/>
              <w:rPr>
                <w:color w:val="000000"/>
                <w:sz w:val="22"/>
                <w:szCs w:val="22"/>
              </w:rPr>
            </w:pPr>
            <w:r w:rsidRPr="004D1379">
              <w:rPr>
                <w:color w:val="000000"/>
                <w:sz w:val="22"/>
                <w:szCs w:val="22"/>
              </w:rPr>
              <w:t xml:space="preserve">Реализация данного предложения нарушает принцип последовательности налогового учета, поскольку пунктом 4 статьи 343.1 Кодекса предусмотрена возможность учета расходов на </w:t>
            </w:r>
            <w:r w:rsidRPr="004D1379">
              <w:rPr>
                <w:color w:val="000000"/>
                <w:sz w:val="22"/>
                <w:szCs w:val="22"/>
              </w:rPr>
              <w:lastRenderedPageBreak/>
              <w:t>обеспечение безопасных условий и охраны труда при определении налогового вычета по НДПИ в отношении угля в течение 3 лет начиная с месяца, в котором понесены данные расходы.</w:t>
            </w:r>
          </w:p>
          <w:p w:rsidR="004D1379" w:rsidRPr="004D1379" w:rsidRDefault="004D1379" w:rsidP="004D1379">
            <w:pPr>
              <w:ind w:firstLine="180"/>
              <w:jc w:val="both"/>
              <w:rPr>
                <w:color w:val="000000"/>
                <w:sz w:val="22"/>
                <w:szCs w:val="22"/>
              </w:rPr>
            </w:pPr>
            <w:r w:rsidRPr="004D1379">
              <w:rPr>
                <w:color w:val="000000"/>
                <w:sz w:val="22"/>
                <w:szCs w:val="22"/>
              </w:rPr>
              <w:t>Соответственно, потребуется скорректировать указанный срок, а также пересмотреть порядок учета расходов на обеспечение безопасных условий и охраны труда в целях исчисления налога на прибыль организаций.</w:t>
            </w:r>
          </w:p>
        </w:tc>
      </w:tr>
      <w:tr w:rsidR="004D1379" w:rsidRPr="004D1379" w:rsidTr="009C6571">
        <w:trPr>
          <w:trHeight w:val="1812"/>
          <w:jc w:val="center"/>
        </w:trPr>
        <w:tc>
          <w:tcPr>
            <w:tcW w:w="532" w:type="dxa"/>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shd w:val="clear" w:color="auto" w:fill="auto"/>
          </w:tcPr>
          <w:p w:rsidR="004D1379" w:rsidRPr="004D1379" w:rsidRDefault="004D1379" w:rsidP="004D1379">
            <w:pPr>
              <w:jc w:val="both"/>
              <w:rPr>
                <w:color w:val="FF0000"/>
                <w:sz w:val="22"/>
                <w:szCs w:val="22"/>
              </w:rPr>
            </w:pPr>
            <w:r w:rsidRPr="004D1379">
              <w:rPr>
                <w:color w:val="000000"/>
                <w:sz w:val="22"/>
                <w:szCs w:val="22"/>
              </w:rPr>
              <w:t>Приложение 2 раздел Налог на доходы физических лиц</w:t>
            </w:r>
          </w:p>
        </w:tc>
        <w:tc>
          <w:tcPr>
            <w:tcW w:w="2540" w:type="dxa"/>
            <w:shd w:val="clear" w:color="auto" w:fill="auto"/>
          </w:tcPr>
          <w:p w:rsidR="004D1379" w:rsidRPr="004D1379" w:rsidRDefault="004D1379" w:rsidP="004D1379">
            <w:pPr>
              <w:rPr>
                <w:color w:val="000000"/>
                <w:sz w:val="22"/>
                <w:szCs w:val="22"/>
              </w:rPr>
            </w:pPr>
            <w:r w:rsidRPr="004D1379">
              <w:rPr>
                <w:color w:val="000000"/>
                <w:sz w:val="22"/>
                <w:szCs w:val="22"/>
              </w:rPr>
              <w:t>Отсутствует</w:t>
            </w:r>
          </w:p>
        </w:tc>
        <w:tc>
          <w:tcPr>
            <w:tcW w:w="2682" w:type="dxa"/>
            <w:shd w:val="clear" w:color="auto" w:fill="auto"/>
          </w:tcPr>
          <w:p w:rsidR="004D1379" w:rsidRPr="004D1379" w:rsidRDefault="004D1379" w:rsidP="004D1379">
            <w:pPr>
              <w:jc w:val="both"/>
              <w:rPr>
                <w:color w:val="000000"/>
                <w:sz w:val="22"/>
                <w:szCs w:val="22"/>
              </w:rPr>
            </w:pPr>
            <w:r w:rsidRPr="004D1379">
              <w:rPr>
                <w:color w:val="000000"/>
                <w:sz w:val="22"/>
                <w:szCs w:val="22"/>
              </w:rPr>
              <w:t xml:space="preserve">Дополнить раздел очередным пунктом следующего содержания: «В целях исключения налоговой дискриминации установить порядок налогообложения доходов в виде материальной выгоды физических лиц, состоящих в трудовых отношениях с кредитной организацией аналогичный порядку налогообложения таких доходов физических лиц, не связанных трудовыми отношениями с кредитными организациями»   </w:t>
            </w:r>
          </w:p>
        </w:tc>
        <w:tc>
          <w:tcPr>
            <w:tcW w:w="3458" w:type="dxa"/>
            <w:shd w:val="clear" w:color="auto" w:fill="auto"/>
          </w:tcPr>
          <w:p w:rsidR="004D1379" w:rsidRPr="004D1379" w:rsidRDefault="004D1379" w:rsidP="004D1379">
            <w:pPr>
              <w:autoSpaceDE w:val="0"/>
              <w:autoSpaceDN w:val="0"/>
              <w:jc w:val="both"/>
              <w:rPr>
                <w:rFonts w:eastAsiaTheme="minorHAnsi"/>
                <w:color w:val="000000"/>
                <w:sz w:val="22"/>
                <w:szCs w:val="22"/>
                <w:lang w:eastAsia="en-US"/>
              </w:rPr>
            </w:pPr>
            <w:r w:rsidRPr="004D1379">
              <w:rPr>
                <w:rFonts w:eastAsiaTheme="minorHAnsi"/>
                <w:color w:val="000000"/>
                <w:sz w:val="22"/>
                <w:szCs w:val="22"/>
                <w:lang w:eastAsia="en-US"/>
              </w:rPr>
              <w:t xml:space="preserve">С 2018 года с Законом № 333-ФЗ от 27.11.2017 освобождены от </w:t>
            </w:r>
            <w:proofErr w:type="gramStart"/>
            <w:r w:rsidRPr="004D1379">
              <w:rPr>
                <w:rFonts w:eastAsiaTheme="minorHAnsi"/>
                <w:color w:val="000000"/>
                <w:sz w:val="22"/>
                <w:szCs w:val="22"/>
                <w:lang w:eastAsia="en-US"/>
              </w:rPr>
              <w:t>налогообложения  доходы</w:t>
            </w:r>
            <w:proofErr w:type="gramEnd"/>
            <w:r w:rsidRPr="004D1379">
              <w:rPr>
                <w:rFonts w:eastAsiaTheme="minorHAnsi"/>
                <w:color w:val="000000"/>
                <w:sz w:val="22"/>
                <w:szCs w:val="22"/>
                <w:lang w:eastAsia="en-US"/>
              </w:rPr>
              <w:t xml:space="preserve"> в виде материальной выгоды от экономии на процентах. При этом в НК РФ определены отдельные случаи, когда материальная выгода, полученная от экономии на процентах за пользование кредитными средствами, </w:t>
            </w:r>
            <w:r w:rsidRPr="004D1379">
              <w:rPr>
                <w:color w:val="000000"/>
                <w:sz w:val="22"/>
                <w:szCs w:val="22"/>
              </w:rPr>
              <w:t>признается доходом по НДФЛ.  В частности, когда заемные (кредитные</w:t>
            </w:r>
            <w:r w:rsidRPr="004D1379">
              <w:rPr>
                <w:rFonts w:eastAsiaTheme="minorHAnsi"/>
                <w:color w:val="000000"/>
                <w:sz w:val="22"/>
                <w:szCs w:val="22"/>
                <w:lang w:eastAsia="en-US"/>
              </w:rPr>
              <w:t>) средства получены от организации или ИП, которые являются взаимозависимыми с физическим лицом либо с которыми оформлены трудовые отношения.</w:t>
            </w:r>
          </w:p>
          <w:p w:rsidR="004D1379" w:rsidRPr="004D1379" w:rsidRDefault="004D1379" w:rsidP="004D1379">
            <w:pPr>
              <w:autoSpaceDE w:val="0"/>
              <w:autoSpaceDN w:val="0"/>
              <w:jc w:val="both"/>
              <w:rPr>
                <w:rFonts w:eastAsiaTheme="minorHAnsi"/>
                <w:color w:val="000000"/>
                <w:sz w:val="22"/>
                <w:szCs w:val="22"/>
                <w:lang w:eastAsia="en-US"/>
              </w:rPr>
            </w:pPr>
            <w:r w:rsidRPr="004D1379">
              <w:rPr>
                <w:rFonts w:eastAsiaTheme="minorHAnsi"/>
                <w:color w:val="000000"/>
                <w:sz w:val="22"/>
                <w:szCs w:val="22"/>
                <w:lang w:eastAsia="en-US"/>
              </w:rPr>
              <w:t xml:space="preserve">Таким образом, указанная норма поставила работников кредитных организаций в неравные условия налогообложения по сравнению с другими заемщиками, не </w:t>
            </w:r>
            <w:r w:rsidRPr="004D1379">
              <w:rPr>
                <w:rFonts w:eastAsiaTheme="minorHAnsi"/>
                <w:color w:val="000000"/>
                <w:sz w:val="22"/>
                <w:szCs w:val="22"/>
                <w:lang w:eastAsia="en-US"/>
              </w:rPr>
              <w:lastRenderedPageBreak/>
              <w:t>связанными трудовыми отношениями с кредитной организацией.</w:t>
            </w:r>
          </w:p>
          <w:p w:rsidR="004D1379" w:rsidRPr="004D1379" w:rsidRDefault="004D1379" w:rsidP="004D1379">
            <w:pPr>
              <w:autoSpaceDE w:val="0"/>
              <w:autoSpaceDN w:val="0"/>
              <w:jc w:val="both"/>
              <w:rPr>
                <w:rFonts w:eastAsiaTheme="minorHAnsi"/>
                <w:color w:val="000000"/>
                <w:sz w:val="22"/>
                <w:szCs w:val="22"/>
                <w:lang w:eastAsia="en-US"/>
              </w:rPr>
            </w:pPr>
            <w:r w:rsidRPr="004D1379">
              <w:rPr>
                <w:rFonts w:eastAsiaTheme="minorHAnsi"/>
                <w:color w:val="000000"/>
                <w:sz w:val="22"/>
                <w:szCs w:val="22"/>
                <w:lang w:eastAsia="en-US"/>
              </w:rPr>
              <w:t xml:space="preserve">Особенно остро вопрос налогообложения материальной выгоды встал при кредитовании работников в рамках государственных программ субсидирования в условиях </w:t>
            </w:r>
            <w:proofErr w:type="gramStart"/>
            <w:r w:rsidRPr="004D1379">
              <w:rPr>
                <w:rFonts w:eastAsiaTheme="minorHAnsi"/>
                <w:color w:val="000000"/>
                <w:sz w:val="22"/>
                <w:szCs w:val="22"/>
                <w:lang w:eastAsia="en-US"/>
              </w:rPr>
              <w:t>роста  ключевой</w:t>
            </w:r>
            <w:proofErr w:type="gramEnd"/>
            <w:r w:rsidRPr="004D1379">
              <w:rPr>
                <w:rFonts w:eastAsiaTheme="minorHAnsi"/>
                <w:color w:val="000000"/>
                <w:sz w:val="22"/>
                <w:szCs w:val="22"/>
                <w:lang w:eastAsia="en-US"/>
              </w:rPr>
              <w:t xml:space="preserve"> ставки. </w:t>
            </w:r>
          </w:p>
          <w:p w:rsidR="004D1379" w:rsidRPr="004D1379" w:rsidRDefault="004D1379" w:rsidP="004D1379">
            <w:pPr>
              <w:autoSpaceDE w:val="0"/>
              <w:autoSpaceDN w:val="0"/>
              <w:jc w:val="both"/>
              <w:rPr>
                <w:rFonts w:eastAsiaTheme="minorHAnsi"/>
                <w:color w:val="000000"/>
                <w:sz w:val="22"/>
                <w:szCs w:val="22"/>
                <w:lang w:eastAsia="en-US"/>
              </w:rPr>
            </w:pPr>
            <w:r w:rsidRPr="004D1379">
              <w:rPr>
                <w:rFonts w:eastAsiaTheme="minorHAnsi"/>
                <w:color w:val="000000"/>
                <w:sz w:val="22"/>
                <w:szCs w:val="22"/>
                <w:lang w:eastAsia="en-US"/>
              </w:rPr>
              <w:t xml:space="preserve">Данная тема особенно актуальна для выдач 2022 года в период активного ипотечного кредитования по низким ставкам при комбинировании государственных льготных ипотечных программ и программ от застройщиков. В данной связи </w:t>
            </w:r>
            <w:proofErr w:type="gramStart"/>
            <w:r w:rsidRPr="004D1379">
              <w:rPr>
                <w:rFonts w:eastAsiaTheme="minorHAnsi"/>
                <w:color w:val="000000"/>
                <w:sz w:val="22"/>
                <w:szCs w:val="22"/>
                <w:lang w:eastAsia="en-US"/>
              </w:rPr>
              <w:t>у  заемщиков</w:t>
            </w:r>
            <w:proofErr w:type="gramEnd"/>
            <w:r w:rsidRPr="004D1379">
              <w:rPr>
                <w:rFonts w:eastAsiaTheme="minorHAnsi"/>
                <w:color w:val="000000"/>
                <w:sz w:val="22"/>
                <w:szCs w:val="22"/>
                <w:lang w:eastAsia="en-US"/>
              </w:rPr>
              <w:t xml:space="preserve">-сотрудников банков с 2024 года </w:t>
            </w:r>
            <w:r w:rsidRPr="004D1379">
              <w:rPr>
                <w:rFonts w:eastAsiaTheme="minorHAnsi"/>
                <w:color w:val="000000"/>
                <w:sz w:val="22"/>
                <w:szCs w:val="22"/>
                <w:u w:val="single"/>
                <w:lang w:eastAsia="en-US"/>
              </w:rPr>
              <w:t>по длящимся ипотечным кредитам</w:t>
            </w:r>
            <w:r w:rsidRPr="004D1379">
              <w:rPr>
                <w:rFonts w:eastAsiaTheme="minorHAnsi"/>
                <w:color w:val="000000"/>
                <w:sz w:val="22"/>
                <w:szCs w:val="22"/>
                <w:lang w:eastAsia="en-US"/>
              </w:rPr>
              <w:t xml:space="preserve"> возникнет материальная выгода на основании п.1 ст.212 НК РФ, налогообложение которой, по оценкам некоторых банков, может быть сопоставимо с размером ежемесячных платежей по кредиту.</w:t>
            </w:r>
          </w:p>
          <w:p w:rsidR="004D1379" w:rsidRPr="004D1379" w:rsidRDefault="004D1379" w:rsidP="004D1379">
            <w:pPr>
              <w:autoSpaceDE w:val="0"/>
              <w:autoSpaceDN w:val="0"/>
              <w:jc w:val="both"/>
              <w:rPr>
                <w:rFonts w:eastAsiaTheme="minorHAnsi"/>
                <w:color w:val="000000"/>
                <w:sz w:val="22"/>
                <w:szCs w:val="22"/>
                <w:lang w:eastAsia="en-US"/>
              </w:rPr>
            </w:pPr>
            <w:r w:rsidRPr="004D1379">
              <w:rPr>
                <w:rFonts w:eastAsiaTheme="minorHAnsi"/>
                <w:color w:val="000000"/>
                <w:sz w:val="22"/>
                <w:szCs w:val="22"/>
                <w:lang w:eastAsia="en-US"/>
              </w:rPr>
              <w:t xml:space="preserve">Предлагается устранить возникшую налоговую дискриминацию в случаях, когда кредиты (займы) предоставляются кредитной организацией своим работникам и взаимозависимым лицам на рыночных условиях.  </w:t>
            </w:r>
          </w:p>
        </w:tc>
        <w:tc>
          <w:tcPr>
            <w:tcW w:w="4111" w:type="dxa"/>
          </w:tcPr>
          <w:p w:rsidR="004D1379" w:rsidRPr="004D1379" w:rsidRDefault="004D1379" w:rsidP="004D1379">
            <w:pPr>
              <w:autoSpaceDE w:val="0"/>
              <w:autoSpaceDN w:val="0"/>
              <w:adjustRightInd w:val="0"/>
              <w:ind w:firstLine="180"/>
              <w:jc w:val="both"/>
              <w:rPr>
                <w:rFonts w:eastAsiaTheme="minorHAnsi"/>
                <w:b/>
                <w:bCs/>
                <w:sz w:val="22"/>
                <w:szCs w:val="22"/>
                <w:lang w:eastAsia="en-US"/>
              </w:rPr>
            </w:pPr>
            <w:r w:rsidRPr="004D1379">
              <w:rPr>
                <w:rFonts w:eastAsiaTheme="minorHAnsi"/>
                <w:b/>
                <w:bCs/>
                <w:sz w:val="22"/>
                <w:szCs w:val="22"/>
                <w:lang w:eastAsia="en-US"/>
              </w:rPr>
              <w:lastRenderedPageBreak/>
              <w:t>Частично поддерживается.</w:t>
            </w:r>
          </w:p>
          <w:p w:rsidR="004D1379" w:rsidRPr="004D1379" w:rsidRDefault="004D1379" w:rsidP="004D1379">
            <w:pPr>
              <w:autoSpaceDE w:val="0"/>
              <w:autoSpaceDN w:val="0"/>
              <w:adjustRightInd w:val="0"/>
              <w:ind w:firstLine="180"/>
              <w:jc w:val="both"/>
              <w:rPr>
                <w:rFonts w:eastAsiaTheme="minorHAnsi"/>
                <w:bCs/>
                <w:sz w:val="22"/>
                <w:szCs w:val="22"/>
                <w:lang w:eastAsia="en-US"/>
              </w:rPr>
            </w:pPr>
            <w:r w:rsidRPr="004D1379">
              <w:rPr>
                <w:rFonts w:eastAsiaTheme="minorHAnsi"/>
                <w:bCs/>
                <w:sz w:val="22"/>
                <w:szCs w:val="22"/>
                <w:lang w:eastAsia="en-US"/>
              </w:rPr>
              <w:t>Считаем, что вопрос об исключении материальной выгоды от экономии на процентах по кредитам (займам) в соответствии с государственными программами заслуживает внимания и имеет обоснование (с очередного налогового периода).</w:t>
            </w:r>
          </w:p>
          <w:p w:rsidR="004D1379" w:rsidRPr="004D1379" w:rsidRDefault="004D1379" w:rsidP="004D1379">
            <w:pPr>
              <w:autoSpaceDE w:val="0"/>
              <w:autoSpaceDN w:val="0"/>
              <w:adjustRightInd w:val="0"/>
              <w:ind w:firstLine="180"/>
              <w:jc w:val="both"/>
              <w:rPr>
                <w:rFonts w:eastAsiaTheme="minorHAnsi"/>
                <w:bCs/>
                <w:szCs w:val="22"/>
                <w:lang w:eastAsia="en-US"/>
              </w:rPr>
            </w:pPr>
            <w:proofErr w:type="spellStart"/>
            <w:r w:rsidRPr="004D1379">
              <w:rPr>
                <w:rFonts w:eastAsiaTheme="minorHAnsi"/>
                <w:bCs/>
                <w:i/>
                <w:szCs w:val="22"/>
                <w:lang w:eastAsia="en-US"/>
              </w:rPr>
              <w:t>Справочно</w:t>
            </w:r>
            <w:proofErr w:type="spellEnd"/>
            <w:r w:rsidRPr="004D1379">
              <w:rPr>
                <w:rFonts w:eastAsiaTheme="minorHAnsi"/>
                <w:bCs/>
                <w:i/>
                <w:szCs w:val="22"/>
                <w:lang w:eastAsia="en-US"/>
              </w:rPr>
              <w:t>: ФНС России аналогичное предложение Ассоциации банков России поддержано (письмо ФНС России от 04.10.2023 № БС-4-11/12709@).</w:t>
            </w:r>
          </w:p>
          <w:p w:rsidR="004D1379" w:rsidRPr="004D1379" w:rsidRDefault="004D1379" w:rsidP="004D1379">
            <w:pPr>
              <w:autoSpaceDE w:val="0"/>
              <w:autoSpaceDN w:val="0"/>
              <w:adjustRightInd w:val="0"/>
              <w:ind w:firstLine="180"/>
              <w:jc w:val="both"/>
              <w:rPr>
                <w:rFonts w:eastAsiaTheme="minorHAnsi"/>
                <w:bCs/>
                <w:sz w:val="22"/>
                <w:szCs w:val="22"/>
                <w:lang w:eastAsia="en-US"/>
              </w:rPr>
            </w:pPr>
            <w:r w:rsidRPr="004D1379">
              <w:rPr>
                <w:rFonts w:eastAsiaTheme="minorHAnsi"/>
                <w:bCs/>
                <w:sz w:val="22"/>
                <w:szCs w:val="22"/>
                <w:lang w:eastAsia="en-US"/>
              </w:rPr>
              <w:t>В части иных кредитов (займов) требуется пояснения причин их предоставления на нерыночных условиях (ставка по договору меньше 2/3 ставки рефинансирования на конец каждого месяца).</w:t>
            </w:r>
          </w:p>
          <w:p w:rsidR="004D1379" w:rsidRDefault="004D1379" w:rsidP="004D1379">
            <w:pPr>
              <w:autoSpaceDE w:val="0"/>
              <w:autoSpaceDN w:val="0"/>
              <w:adjustRightInd w:val="0"/>
              <w:ind w:firstLine="180"/>
              <w:jc w:val="both"/>
              <w:rPr>
                <w:rFonts w:eastAsiaTheme="minorHAnsi"/>
                <w:bCs/>
                <w:i/>
                <w:szCs w:val="22"/>
                <w:lang w:eastAsia="en-US"/>
              </w:rPr>
            </w:pPr>
            <w:proofErr w:type="spellStart"/>
            <w:r w:rsidRPr="004D1379">
              <w:rPr>
                <w:rFonts w:eastAsiaTheme="minorHAnsi"/>
                <w:bCs/>
                <w:i/>
                <w:szCs w:val="22"/>
                <w:lang w:eastAsia="en-US"/>
              </w:rPr>
              <w:t>Справочно</w:t>
            </w:r>
            <w:proofErr w:type="spellEnd"/>
            <w:r w:rsidRPr="004D1379">
              <w:rPr>
                <w:rFonts w:eastAsiaTheme="minorHAnsi"/>
                <w:bCs/>
                <w:i/>
                <w:szCs w:val="22"/>
                <w:lang w:eastAsia="en-US"/>
              </w:rPr>
              <w:t>: </w:t>
            </w:r>
          </w:p>
          <w:p w:rsidR="004D1379" w:rsidRPr="004D1379" w:rsidRDefault="004D1379" w:rsidP="004D1379">
            <w:pPr>
              <w:autoSpaceDE w:val="0"/>
              <w:autoSpaceDN w:val="0"/>
              <w:adjustRightInd w:val="0"/>
              <w:ind w:firstLine="180"/>
              <w:jc w:val="both"/>
              <w:rPr>
                <w:rFonts w:eastAsiaTheme="minorHAnsi"/>
                <w:i/>
                <w:color w:val="000000"/>
                <w:sz w:val="22"/>
                <w:szCs w:val="24"/>
                <w:lang w:eastAsia="en-US"/>
              </w:rPr>
            </w:pPr>
            <w:r w:rsidRPr="004D1379">
              <w:rPr>
                <w:rFonts w:eastAsiaTheme="minorHAnsi"/>
                <w:i/>
                <w:color w:val="000000"/>
                <w:sz w:val="22"/>
                <w:szCs w:val="24"/>
                <w:lang w:eastAsia="en-US"/>
              </w:rPr>
              <w:t>Доходы в виде материальной выгоды, полученные в 2021 - 2023 годах освобождаются от налогообложения НДФЛ (пункт 90 статьи 217 НК РФ).</w:t>
            </w:r>
          </w:p>
          <w:p w:rsidR="004D1379" w:rsidRPr="004D1379" w:rsidRDefault="004D1379" w:rsidP="004D1379">
            <w:pPr>
              <w:autoSpaceDE w:val="0"/>
              <w:autoSpaceDN w:val="0"/>
              <w:adjustRightInd w:val="0"/>
              <w:ind w:firstLine="180"/>
              <w:jc w:val="both"/>
              <w:rPr>
                <w:rFonts w:eastAsiaTheme="minorHAnsi"/>
                <w:bCs/>
                <w:i/>
                <w:sz w:val="22"/>
                <w:szCs w:val="22"/>
                <w:lang w:eastAsia="en-US"/>
              </w:rPr>
            </w:pPr>
            <w:r w:rsidRPr="004D1379">
              <w:rPr>
                <w:rFonts w:eastAsiaTheme="minorHAnsi"/>
                <w:bCs/>
                <w:i/>
                <w:szCs w:val="22"/>
                <w:lang w:eastAsia="en-US"/>
              </w:rPr>
              <w:lastRenderedPageBreak/>
              <w:t>Планируется поправка о том, что для определения материальной выгоды ставка рефинансирования будет определяться не на конец каждого месяца, а на дату заключения договора</w:t>
            </w:r>
            <w:r w:rsidRPr="004D1379">
              <w:rPr>
                <w:rFonts w:eastAsiaTheme="minorHAnsi"/>
                <w:bCs/>
                <w:i/>
                <w:sz w:val="22"/>
                <w:szCs w:val="22"/>
                <w:lang w:eastAsia="en-US"/>
              </w:rPr>
              <w:t>.</w:t>
            </w:r>
          </w:p>
          <w:p w:rsidR="004D1379" w:rsidRPr="004D1379" w:rsidRDefault="004D1379" w:rsidP="004D1379">
            <w:pPr>
              <w:autoSpaceDE w:val="0"/>
              <w:autoSpaceDN w:val="0"/>
              <w:jc w:val="both"/>
              <w:rPr>
                <w:rFonts w:eastAsiaTheme="minorHAnsi"/>
                <w:color w:val="000000"/>
                <w:sz w:val="22"/>
                <w:szCs w:val="22"/>
                <w:lang w:eastAsia="en-US"/>
              </w:rPr>
            </w:pP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Приложение 2</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Страховые взносы</w:t>
            </w:r>
          </w:p>
          <w:p w:rsidR="004D1379" w:rsidRPr="004D1379" w:rsidRDefault="004D1379" w:rsidP="004D1379">
            <w:pPr>
              <w:rPr>
                <w:color w:val="000000" w:themeColor="text1"/>
                <w:sz w:val="22"/>
                <w:szCs w:val="22"/>
              </w:rPr>
            </w:pPr>
          </w:p>
          <w:p w:rsidR="004D1379" w:rsidRPr="004D1379" w:rsidRDefault="004D1379" w:rsidP="004D1379">
            <w:pPr>
              <w:rPr>
                <w:color w:val="FF0000"/>
                <w:sz w:val="22"/>
                <w:szCs w:val="22"/>
              </w:rPr>
            </w:pPr>
            <w:r w:rsidRPr="004D1379">
              <w:rPr>
                <w:color w:val="000000" w:themeColor="text1"/>
                <w:sz w:val="22"/>
                <w:szCs w:val="22"/>
              </w:rPr>
              <w:t>Новый пункт</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Отсутствует</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Дополнить часть «Страховые взносы» пунктом 4:</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4. Освобождение от обложения страховыми взносами суммы платежей по договорам ДМС в отношении сотрудников, работающих в организации продолжительное время (более 1 года) и застрахованных в рамках ДМС не менее 1 года, независимо от срока действия договора (договоров) страхования ДМС (когда один договор ДМС заканчивается и следом начинает действовать новый).</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Динамичность рынка медицинского страхования приводит к необходимости заключать новые договоры ДМС сотрудников на периодической основе (как правило, ежегодно или раз в два года). Как следствие, часть сотрудников (те, которые только устроились на работу, а также те, которые увольняются, проработав несколько лет) являются застрахованными по договору ДМС менее 1 года, попадая между периодами действий договоров ДМС, и в отношении таких сотрудников (согласно позиции Минфина России) организация должна уплачивать страховые взносы.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Преимуществом предлагаемой правки является сокращение издержек бизнеса в отношении сотрудников с многолетним стажем работы в организации при сохранении размера поступлений страховых взносов в бюджет РФ.</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Для сохранения баланса между частными и публичными интересы предлагаем придерживаться позиции Минфина в отношении сотрудников, работающих в организации менее 1 года, и доначислять по ним СВ согласно положениям НК РФ.</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171"/>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Исходя из положений ст. 421 Кодекса база для исчисления страховых взносов для организаций определяется как сумма выплат, начисленных отдельно в отношении каждого физического лица с начала расчетного периода нарастающим итогом, за исключением сумм, указанных в статье 422 Кодекса.</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Согласно подпункту 5 пункта 1 статьи 422 Кодекса не подлежат обложению страховыми взносами, в частности, суммы платежей 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 xml:space="preserve">Кроме того, принимая во внимание положения пункта 4 статьи 431 Кодекса, исходя из которых плательщики обязаны вести учет сумм начисленных выплат в отношении каждого физического лица, в пользу которого осуществлялись такие выплаты, договор добровольного личного медицинского страхования должен заключаться в отношении каждого отдельного работника -   застрахованного лица. </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 xml:space="preserve">Таким образом, в случае заключения организацией договора ДМС работника на срок не менее одного года, предусматривающего оплату страховщиками медицинских расходов </w:t>
            </w:r>
            <w:r w:rsidRPr="004D1379">
              <w:rPr>
                <w:rFonts w:eastAsiaTheme="minorHAnsi"/>
                <w:sz w:val="22"/>
                <w:szCs w:val="22"/>
                <w:lang w:eastAsia="en-US"/>
              </w:rPr>
              <w:lastRenderedPageBreak/>
              <w:t>застрахованного лица, платежи организации по данному договору ДМС не подлежат обложению страховыми взносами в соответствии с нормами Кодекса.</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В иных случаях когда договор ДМС  работника на срок менее 1 года, например для прохождения разовой диспансеризации или в случае его прекращения при увольнении работника, то организации следует произвести доначисление страховых взносов на платежи по такому договору.</w:t>
            </w: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color w:val="000000" w:themeColor="text1"/>
                <w:sz w:val="22"/>
                <w:szCs w:val="22"/>
              </w:rPr>
            </w:pPr>
            <w:r w:rsidRPr="004D1379">
              <w:rPr>
                <w:color w:val="000000" w:themeColor="text1"/>
                <w:sz w:val="22"/>
                <w:szCs w:val="22"/>
              </w:rPr>
              <w:t>Приложение 2</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Специальные налоговые режимы</w:t>
            </w:r>
          </w:p>
          <w:p w:rsidR="004D1379" w:rsidRPr="004D1379" w:rsidRDefault="004D1379" w:rsidP="004D1379">
            <w:pPr>
              <w:rPr>
                <w:color w:val="000000" w:themeColor="text1"/>
                <w:sz w:val="22"/>
                <w:szCs w:val="22"/>
              </w:rPr>
            </w:pPr>
          </w:p>
          <w:p w:rsidR="004D1379" w:rsidRPr="004D1379" w:rsidRDefault="004D1379" w:rsidP="004D1379">
            <w:pPr>
              <w:rPr>
                <w:color w:val="000000" w:themeColor="text1"/>
                <w:sz w:val="22"/>
                <w:szCs w:val="22"/>
              </w:rPr>
            </w:pPr>
            <w:r w:rsidRPr="004D1379">
              <w:rPr>
                <w:color w:val="000000" w:themeColor="text1"/>
                <w:sz w:val="22"/>
                <w:szCs w:val="22"/>
              </w:rPr>
              <w:t>Новый пункт 7</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Отсутствует</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bCs/>
                <w:sz w:val="22"/>
                <w:szCs w:val="22"/>
                <w:lang w:eastAsia="en-US"/>
              </w:rPr>
              <w:t>7. Рассмотреть повышение порога предельного уровня доходов плательщика НПД в связи общим уровнем инфляции и роста доходов граждан с момента введения эксперимента (</w:t>
            </w:r>
            <w:proofErr w:type="spellStart"/>
            <w:r w:rsidRPr="004D1379">
              <w:rPr>
                <w:rFonts w:eastAsiaTheme="minorHAnsi"/>
                <w:bCs/>
                <w:sz w:val="22"/>
                <w:szCs w:val="22"/>
                <w:lang w:eastAsia="en-US"/>
              </w:rPr>
              <w:t>пп</w:t>
            </w:r>
            <w:proofErr w:type="spellEnd"/>
            <w:r w:rsidRPr="004D1379">
              <w:rPr>
                <w:rFonts w:eastAsiaTheme="minorHAnsi"/>
                <w:bCs/>
                <w:sz w:val="22"/>
                <w:szCs w:val="22"/>
                <w:lang w:eastAsia="en-US"/>
              </w:rPr>
              <w:t xml:space="preserve">. 8 п. 2. Ст. 4 Закона «422-ФЗ)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При введении в 2019 году режима СМЗ (и порога 2,4 млн. в год) средняя заработная плата в стране была на уровне 41-47 тыс. рублей, в 2023 году она составляет 67 – 80 </w:t>
            </w:r>
            <w:proofErr w:type="spellStart"/>
            <w:r w:rsidRPr="004D1379">
              <w:rPr>
                <w:rFonts w:eastAsiaTheme="minorHAnsi"/>
                <w:sz w:val="22"/>
                <w:szCs w:val="22"/>
                <w:lang w:eastAsia="en-US"/>
              </w:rPr>
              <w:t>т.р</w:t>
            </w:r>
            <w:proofErr w:type="spellEnd"/>
            <w:r w:rsidRPr="004D1379">
              <w:rPr>
                <w:rFonts w:eastAsiaTheme="minorHAnsi"/>
                <w:sz w:val="22"/>
                <w:szCs w:val="22"/>
                <w:lang w:eastAsia="en-US"/>
              </w:rPr>
              <w:t>. (средние данные по Росстату, с учетом квартального роста), т.е. средний доход работающего гражданина вырос на 60-70%, инфляция составила около 40%, а предельный уровень дохода СМЗ не изменился.  Может ли быть рассмотрен вопрос о повышении порогов СМЗ</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171"/>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НПД, являясь добровольным, предоставляет гражданам более льготные условия налогообложения по сравнению с иными режимами налогообложения.</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В связи с этим Федеральным законом № 422-ФЗ установлены некоторые ограничения на применение вышеуказанного специального режима (в частности, величина предельного размера доходов, позволяющая налогоплательщикам сохранять право на применение НПД).</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Доля плательщиков НПД, получающих доходы, приближенные к предельному значению (2,4 млн руб.), незначительна и составила в 2022 году 0,89% от общего количества плательщиков НПД.</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 xml:space="preserve">Учитывая, что НПД введен в порядке эксперимента со сроком до 31.12.2028, предложения об изменении параметров НПД целесообразно рассматривать на </w:t>
            </w:r>
            <w:r w:rsidRPr="004D1379">
              <w:rPr>
                <w:rFonts w:eastAsiaTheme="minorHAnsi"/>
                <w:sz w:val="22"/>
                <w:szCs w:val="22"/>
                <w:lang w:eastAsia="en-US"/>
              </w:rPr>
              <w:lastRenderedPageBreak/>
              <w:t>основании анализа результатов эксперимента.</w:t>
            </w: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Приложение № 3 </w:t>
            </w:r>
          </w:p>
          <w:p w:rsidR="004D1379" w:rsidRPr="004D1379" w:rsidRDefault="004D1379" w:rsidP="004D1379">
            <w:pPr>
              <w:jc w:val="both"/>
              <w:rPr>
                <w:rFonts w:eastAsiaTheme="minorHAnsi"/>
                <w:sz w:val="22"/>
                <w:szCs w:val="22"/>
                <w:lang w:eastAsia="en-US"/>
              </w:rPr>
            </w:pP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Итоги рассмотрения актуальных вопросов налогообложения на перспективу в основных направлениях налоговой политики на 2023 год и на плановый период 2024 и 2025 годов</w:t>
            </w:r>
          </w:p>
          <w:p w:rsidR="004D1379" w:rsidRPr="004D1379" w:rsidRDefault="004D1379" w:rsidP="004D1379">
            <w:pPr>
              <w:jc w:val="both"/>
              <w:rPr>
                <w:rFonts w:eastAsiaTheme="minorHAnsi"/>
                <w:sz w:val="22"/>
                <w:szCs w:val="22"/>
                <w:lang w:eastAsia="en-US"/>
              </w:rPr>
            </w:pP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Акциз</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Проработка вопроса о внесении в законодательство Российской Федерации о налогах и сборах изменений, направленных на совершенствование подходов налогообложения акцизом на сталь жидкую. В рамках проработки планируется оценить практику применения налога, его влияния на финансовые результаты плательщиков налога, и, при необходимости, корректировка данного механизма в целях повышения эффективности его применения с точки зрения баланса интересов государства и бизнеса.</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Поступления от акцизов на сталь, выплавленную </w:t>
            </w:r>
            <w:r w:rsidRPr="004D1379">
              <w:rPr>
                <w:rFonts w:eastAsiaTheme="minorHAnsi"/>
                <w:sz w:val="22"/>
                <w:szCs w:val="22"/>
                <w:lang w:eastAsia="en-US"/>
              </w:rPr>
              <w:lastRenderedPageBreak/>
              <w:t xml:space="preserve">в конвертерных печах, в 2022 году составили 42,4 млрд рублей, от акцизов на сталь, выплавленную в электропечах – около 6 млрд рублей. Основываясь на итогах мониторинга рентабельности металлургического сегмента в III квартале 2022 года, скорректирована цена на сляб, при которой ставка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акциза на сталь жидкую будет приниматься равной нулю. Так, с 1 августа 2022 года ставка акциза на жидкую сталь обнуляется при цене на сляб менее 30 тыс. рублей за 1 тонну.</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По оценкам Минфина России, рентабельность экспортных поставок стальных полуфабрикатов металлургических компаний в 1 полугодии 2023 года составляет 37 %, что значительно выше уровня 2 полугодия 2022 года (12 %). Достижению указанного показателя </w:t>
            </w:r>
            <w:r w:rsidRPr="004D1379">
              <w:rPr>
                <w:rFonts w:eastAsiaTheme="minorHAnsi"/>
                <w:sz w:val="22"/>
                <w:szCs w:val="22"/>
                <w:lang w:eastAsia="en-US"/>
              </w:rPr>
              <w:lastRenderedPageBreak/>
              <w:t xml:space="preserve">способствует рост цен на стальные полуфабрикаты: средняя цена сляба за 2 полугодие 2022 года составляла 442 долл. США/т, а за 1 полугодие 2023 оценивается на уровне 562 долл. США/т, а аналогичные показатели в отношении стальной заготовки составили 507 и 564 долл. США/т, соответственно. Кроме того, рентабельность поставок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стального проката на внутренний рынок в 1 полугодии 2023 года сохранилась на уровне 2 полугодия 2022 года и составила 27 %. При этом, следует отметить, что налоговая нагрузка по акцизу на сталь жидкую за 1 полугодие 2023 года оценивается на уровне не более 2 % от выручки металлургических предприятий.</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lastRenderedPageBreak/>
              <w:t>Исключить</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Следует уточнить данные по ценам и скорректировать выводы, т.к. учитывая высокую волатильность на рынке металлопродукции, а также перераспределение продаж металлопродукции с экспорта на внутренний рынок, предлагаемые решения по корректировке акциза на жидкую стать могут негативно отразиться на отрасли.</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171"/>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71"/>
              <w:jc w:val="both"/>
              <w:rPr>
                <w:rFonts w:eastAsiaTheme="minorHAnsi"/>
                <w:sz w:val="22"/>
                <w:szCs w:val="22"/>
                <w:lang w:eastAsia="en-US"/>
              </w:rPr>
            </w:pPr>
            <w:r w:rsidRPr="004D1379">
              <w:rPr>
                <w:rFonts w:eastAsiaTheme="minorHAnsi"/>
                <w:sz w:val="22"/>
                <w:szCs w:val="22"/>
                <w:lang w:eastAsia="en-US"/>
              </w:rPr>
              <w:t>Определение уровня в размере 30 тыс. руб./т, при цене на жидкую сталь ниже которого ставка акциза принимается равной нулю, является мерой поддержки производителей при высокой волатильности цен на сталь.</w:t>
            </w: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Приложение № 4</w:t>
            </w:r>
          </w:p>
          <w:p w:rsidR="004D1379" w:rsidRPr="004D1379" w:rsidRDefault="004D1379" w:rsidP="004D1379">
            <w:pPr>
              <w:jc w:val="both"/>
              <w:rPr>
                <w:rFonts w:eastAsiaTheme="minorHAnsi"/>
                <w:b/>
                <w:color w:val="FF0000"/>
                <w:sz w:val="22"/>
                <w:szCs w:val="22"/>
                <w:lang w:eastAsia="en-US"/>
              </w:rPr>
            </w:pPr>
          </w:p>
          <w:p w:rsidR="004D1379" w:rsidRPr="004D1379" w:rsidRDefault="004D1379" w:rsidP="004D1379">
            <w:pPr>
              <w:jc w:val="both"/>
              <w:rPr>
                <w:rFonts w:eastAsiaTheme="minorHAnsi"/>
                <w:b/>
                <w:color w:val="FF0000"/>
                <w:sz w:val="22"/>
                <w:szCs w:val="22"/>
                <w:lang w:eastAsia="en-US"/>
              </w:rPr>
            </w:pPr>
            <w:r w:rsidRPr="004D1379">
              <w:rPr>
                <w:rFonts w:eastAsiaTheme="minorHAnsi"/>
                <w:sz w:val="22"/>
                <w:szCs w:val="22"/>
                <w:lang w:eastAsia="en-US"/>
              </w:rPr>
              <w:t>Совершенствование налогового администрирования</w:t>
            </w:r>
          </w:p>
          <w:p w:rsidR="004D1379" w:rsidRPr="004D1379" w:rsidRDefault="004D1379" w:rsidP="004D1379">
            <w:pPr>
              <w:jc w:val="both"/>
              <w:rPr>
                <w:rFonts w:eastAsiaTheme="minorHAnsi"/>
                <w:sz w:val="22"/>
                <w:szCs w:val="22"/>
                <w:lang w:eastAsia="en-US"/>
              </w:rPr>
            </w:pPr>
          </w:p>
          <w:p w:rsidR="004D1379" w:rsidRPr="004D1379" w:rsidRDefault="004D1379" w:rsidP="004D1379">
            <w:pPr>
              <w:jc w:val="both"/>
              <w:rPr>
                <w:rFonts w:eastAsiaTheme="minorHAnsi"/>
                <w:color w:val="FF0000"/>
                <w:sz w:val="22"/>
                <w:szCs w:val="22"/>
                <w:lang w:eastAsia="en-US"/>
              </w:rPr>
            </w:pPr>
            <w:r w:rsidRPr="004D1379">
              <w:rPr>
                <w:rFonts w:eastAsiaTheme="minorHAnsi"/>
                <w:sz w:val="22"/>
                <w:szCs w:val="22"/>
                <w:lang w:eastAsia="en-US"/>
              </w:rPr>
              <w:t xml:space="preserve">П.2 </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Планируется проработать вопрос предоставления права налоговым органам применять предварительные обеспечительные меры для борьбы со схемами сокрытия недобросовестными плательщиками своего имущества и вывода активов.</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b/>
                <w:i/>
                <w:sz w:val="22"/>
                <w:szCs w:val="22"/>
                <w:lang w:eastAsia="en-US"/>
              </w:rPr>
              <w:t>Исключить пункт</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Предварительные обеспечительные меры, по своей сути, дублируют обеспечительные меры, предусмотренные п. 10 ст. 101 НК РФ.</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Введение указанных мер приведет к злоупотреблению налоговыми органами своими правами, поскольку категория «недобросовестный налогоплательщик» законодательно не определена, в налоговом законодательстве отсутствуют четкие критерия для определения, что будет являться «</w:t>
            </w:r>
            <w:r w:rsidRPr="004D1379">
              <w:rPr>
                <w:rFonts w:eastAsiaTheme="minorHAnsi"/>
                <w:i/>
                <w:sz w:val="22"/>
                <w:szCs w:val="22"/>
                <w:lang w:eastAsia="en-US"/>
              </w:rPr>
              <w:t>схемой сокрытия</w:t>
            </w:r>
            <w:r w:rsidRPr="004D1379">
              <w:rPr>
                <w:rFonts w:eastAsiaTheme="minorHAnsi"/>
                <w:sz w:val="22"/>
                <w:szCs w:val="22"/>
                <w:lang w:eastAsia="en-US"/>
              </w:rPr>
              <w:t>» и «</w:t>
            </w:r>
            <w:r w:rsidRPr="004D1379">
              <w:rPr>
                <w:rFonts w:eastAsiaTheme="minorHAnsi"/>
                <w:i/>
                <w:sz w:val="22"/>
                <w:szCs w:val="22"/>
                <w:lang w:eastAsia="en-US"/>
              </w:rPr>
              <w:t>вывод активов</w:t>
            </w:r>
            <w:r w:rsidRPr="004D1379">
              <w:rPr>
                <w:rFonts w:eastAsiaTheme="minorHAnsi"/>
                <w:sz w:val="22"/>
                <w:szCs w:val="22"/>
                <w:lang w:eastAsia="en-US"/>
              </w:rPr>
              <w:t>».</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Соответствующий законопроект, направленный на реализацию названного мероприятия, уже одобрен Правительством Российской Федерации, ведущими бизнес-объединениями и внесён в Государственную Думу (законопроект № 47595-8).</w:t>
            </w: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color w:val="000000"/>
                <w:sz w:val="22"/>
                <w:szCs w:val="22"/>
              </w:rPr>
            </w:pPr>
            <w:r w:rsidRPr="004D1379">
              <w:rPr>
                <w:rFonts w:eastAsiaTheme="minorHAnsi"/>
                <w:sz w:val="22"/>
                <w:szCs w:val="22"/>
                <w:lang w:eastAsia="en-US"/>
              </w:rPr>
              <w:t>Налог на имущество организаций</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color w:val="000000"/>
                <w:sz w:val="22"/>
                <w:szCs w:val="22"/>
              </w:rPr>
            </w:pPr>
            <w:r w:rsidRPr="004D1379">
              <w:rPr>
                <w:rFonts w:eastAsiaTheme="minorHAnsi"/>
                <w:sz w:val="22"/>
                <w:szCs w:val="22"/>
                <w:lang w:eastAsia="en-US"/>
              </w:rPr>
              <w:t>Переход к налогообложению недвижимости организаций, исходя из кадастровой стоимости объектов недвижимости может увеличить обязательства по налогу на имущество в 9 раз.</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color w:val="000000"/>
                <w:sz w:val="22"/>
                <w:szCs w:val="22"/>
              </w:rPr>
            </w:pPr>
            <w:r w:rsidRPr="004D1379">
              <w:rPr>
                <w:rFonts w:eastAsiaTheme="minorHAnsi"/>
                <w:sz w:val="22"/>
                <w:szCs w:val="22"/>
                <w:lang w:eastAsia="en-US"/>
              </w:rPr>
              <w:t xml:space="preserve">Рассмотреть одновременное снижение налоговой ставки налога (сейчас 2,2% для объектов, облагаемых от кадастровой стоимости) до единого более низкого уровня.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color w:val="000000"/>
                <w:sz w:val="22"/>
                <w:szCs w:val="22"/>
              </w:rPr>
            </w:pPr>
            <w:r w:rsidRPr="004D1379">
              <w:rPr>
                <w:rFonts w:eastAsiaTheme="minorHAnsi"/>
                <w:sz w:val="22"/>
                <w:szCs w:val="22"/>
                <w:lang w:eastAsia="en-US"/>
              </w:rPr>
              <w:t>Данная инициатива не позволит произойти резкому увеличению налоговых обязательств для налогоплательщиков.</w:t>
            </w:r>
          </w:p>
        </w:tc>
        <w:tc>
          <w:tcPr>
            <w:tcW w:w="4111" w:type="dxa"/>
            <w:tcBorders>
              <w:top w:val="single" w:sz="4" w:space="0" w:color="auto"/>
              <w:left w:val="single" w:sz="4" w:space="0" w:color="auto"/>
              <w:bottom w:val="single" w:sz="4" w:space="0" w:color="auto"/>
              <w:right w:val="single" w:sz="4" w:space="0" w:color="auto"/>
            </w:tcBorders>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t>Не поддерживается.</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 ОННП не содержится представленная во 2 графе формулировка относительно «увеличения налоговых обязательств по налогу на имущество организаций в 9 раз».</w:t>
            </w:r>
          </w:p>
          <w:p w:rsidR="004D1379" w:rsidRPr="004D1379" w:rsidRDefault="004D1379" w:rsidP="004D1379">
            <w:pPr>
              <w:ind w:firstLine="180"/>
              <w:jc w:val="both"/>
              <w:rPr>
                <w:rFonts w:eastAsiaTheme="minorHAnsi"/>
                <w:sz w:val="22"/>
                <w:szCs w:val="22"/>
                <w:lang w:eastAsia="en-US"/>
              </w:rPr>
            </w:pPr>
            <w:proofErr w:type="gramStart"/>
            <w:r w:rsidRPr="004D1379">
              <w:rPr>
                <w:rFonts w:eastAsiaTheme="minorHAnsi"/>
                <w:sz w:val="22"/>
                <w:szCs w:val="22"/>
                <w:lang w:eastAsia="en-US"/>
              </w:rPr>
              <w:t>По существу</w:t>
            </w:r>
            <w:proofErr w:type="gramEnd"/>
            <w:r w:rsidRPr="004D1379">
              <w:rPr>
                <w:rFonts w:eastAsiaTheme="minorHAnsi"/>
                <w:sz w:val="22"/>
                <w:szCs w:val="22"/>
                <w:lang w:eastAsia="en-US"/>
              </w:rPr>
              <w:t xml:space="preserve"> предложения отмечается, что по налогу на имущество организаций на федеральном уровне предусмотрена максимальная налоговая ставка по объектам, облагаемым по кадастровой стоимости (2%).</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Конкретные налоговые ставки в указанном пределе устанавливаются субъектами Российской Федерации.</w:t>
            </w:r>
          </w:p>
        </w:tc>
      </w:tr>
      <w:tr w:rsidR="004D1379" w:rsidRPr="004D1379" w:rsidTr="009C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4"/>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D67868">
            <w:pPr>
              <w:numPr>
                <w:ilvl w:val="0"/>
                <w:numId w:val="5"/>
              </w:numPr>
              <w:spacing w:after="160" w:line="259" w:lineRule="auto"/>
              <w:ind w:left="95" w:right="-558" w:hanging="215"/>
              <w:jc w:val="center"/>
              <w:rPr>
                <w:color w:val="000000"/>
                <w:sz w:val="22"/>
                <w:szCs w:val="2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rPr>
                <w:rFonts w:eastAsiaTheme="minorHAnsi"/>
                <w:sz w:val="22"/>
                <w:szCs w:val="22"/>
                <w:lang w:eastAsia="en-US"/>
              </w:rPr>
            </w:pPr>
            <w:r w:rsidRPr="004D1379">
              <w:rPr>
                <w:rFonts w:eastAsiaTheme="minorHAnsi"/>
                <w:sz w:val="22"/>
                <w:szCs w:val="22"/>
                <w:lang w:eastAsia="en-US"/>
              </w:rPr>
              <w:t xml:space="preserve">Новый пункт в документе </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(информация о субсидиях, планируемых к доведению до участников экономики, отсутствует)</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Представляется целесообразным дополнить «Основные направления» следующей информацией:</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 сведения о субсидиях (и иных аналогичных им формах поддержки), планируемых к предоставлению компаниям, в том числе с разбивкой данных выплат по секторам экономики и по формам собственности компаний-получателей средств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анализ итогов предоставления субсидий (и иных аналогичных им форм поддержки) в прошлом периоде</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перечень планируемых изменений в объемах субсидий (и иных аналогичных им форм поддержки), условий их предоставления и особенностей распределения выделенных средств среди претендентов</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 xml:space="preserve">«Основные направления» исполняют важную информационную функцию для участников экономики, обеспечивая их информирование о готовящихся изменениях в фискальной политике, однако данная функция сейчас в основном сосредоточена на налоговой политике. При этом для бизнеса важно представлять себе политику государства по отношению к субсидиям и иным аналогичным формам поддержки. </w:t>
            </w:r>
          </w:p>
          <w:p w:rsidR="004D1379" w:rsidRPr="004D1379" w:rsidRDefault="004D1379" w:rsidP="004D1379">
            <w:pPr>
              <w:jc w:val="both"/>
              <w:rPr>
                <w:rFonts w:eastAsiaTheme="minorHAnsi"/>
                <w:sz w:val="22"/>
                <w:szCs w:val="22"/>
                <w:lang w:eastAsia="en-US"/>
              </w:rPr>
            </w:pPr>
            <w:r w:rsidRPr="004D1379">
              <w:rPr>
                <w:rFonts w:eastAsiaTheme="minorHAnsi"/>
                <w:sz w:val="22"/>
                <w:szCs w:val="22"/>
                <w:lang w:eastAsia="en-US"/>
              </w:rPr>
              <w:t>Дополнение «Основных направлений» информацией о субсидиях позволит улучшить представление бизнеса о доступных мерах поддержки, сформировать корректные ожидания относительно поддержки экономики и принципов ее распределения между участниками, укрепить доверие к системе господдержки экономики.</w:t>
            </w:r>
          </w:p>
          <w:p w:rsidR="004D1379" w:rsidRPr="004D1379" w:rsidRDefault="004D1379" w:rsidP="004D1379">
            <w:pPr>
              <w:jc w:val="both"/>
              <w:rPr>
                <w:rFonts w:eastAsiaTheme="minorHAnsi"/>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D1379" w:rsidRPr="004D1379" w:rsidRDefault="004D1379" w:rsidP="004D1379">
            <w:pPr>
              <w:ind w:firstLine="180"/>
              <w:jc w:val="both"/>
              <w:rPr>
                <w:rFonts w:eastAsiaTheme="minorHAnsi"/>
                <w:b/>
                <w:sz w:val="22"/>
                <w:szCs w:val="22"/>
                <w:lang w:eastAsia="en-US"/>
              </w:rPr>
            </w:pPr>
            <w:r w:rsidRPr="004D1379">
              <w:rPr>
                <w:rFonts w:eastAsiaTheme="minorHAnsi"/>
                <w:b/>
                <w:sz w:val="22"/>
                <w:szCs w:val="22"/>
                <w:lang w:eastAsia="en-US"/>
              </w:rPr>
              <w:t>Не относится к предмету регулирования документа.</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Целью Основных направлений бюджетной, налоговой и таможенно-тарифной политики является определение условий, используемых при составлении проекта федерального бюджета, подходов к его формированию, основных характеристик и прогнозируемых параметров федерального бюджета и других бюджетов бюджетной системы РФ.</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В федеральном бюджете предусматривается ежегодного значительное количество мер государственной поддержки, как в форме субсидий юридическим лицам, так и межбюджетным субсидиям, предоставляемых бюджетам субъектов Российской Федерации, а в последующем компаниям в различных секторах экономики.</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Дублирование в Основных направлениях сведений о субсидиях и иных аналогичных им формах поддержки представляется нецелесообразным и избыточным. Кроме того, на стадии подготовке документа отсутствует информация по распределению субсидий между их получателями, что делает невозможным такой анализ.</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 xml:space="preserve">Анализ итогов предоставления субсидий ежегодно обеспечивается в рамках оцени эффективности государственных программ и достижения </w:t>
            </w:r>
            <w:r w:rsidRPr="004D1379">
              <w:rPr>
                <w:rFonts w:eastAsiaTheme="minorHAnsi"/>
                <w:sz w:val="22"/>
                <w:szCs w:val="22"/>
                <w:lang w:eastAsia="en-US"/>
              </w:rPr>
              <w:lastRenderedPageBreak/>
              <w:t xml:space="preserve">установленных показателей эффективности. Кроме того, Минфин России осуществляет мониторинг предоставления субсидий, достижения значений результатов использования субсидий субъектами Российской Федерации, ведет реестр субсидий, включающий в том числе субсидии на </w:t>
            </w:r>
            <w:proofErr w:type="spellStart"/>
            <w:r w:rsidRPr="004D1379">
              <w:rPr>
                <w:rFonts w:eastAsiaTheme="minorHAnsi"/>
                <w:sz w:val="22"/>
                <w:szCs w:val="22"/>
                <w:lang w:eastAsia="en-US"/>
              </w:rPr>
              <w:t>софинансирование</w:t>
            </w:r>
            <w:proofErr w:type="spellEnd"/>
            <w:r w:rsidRPr="004D1379">
              <w:rPr>
                <w:rFonts w:eastAsiaTheme="minorHAnsi"/>
                <w:sz w:val="22"/>
                <w:szCs w:val="22"/>
                <w:lang w:eastAsia="en-US"/>
              </w:rPr>
              <w:t xml:space="preserve"> капитальных вложений в объекты государственной собственности субъектов Российской Федерации (муниципальной собственности).</w:t>
            </w:r>
          </w:p>
          <w:p w:rsidR="004D1379" w:rsidRPr="004D1379" w:rsidRDefault="004D1379" w:rsidP="004D1379">
            <w:pPr>
              <w:ind w:firstLine="180"/>
              <w:jc w:val="both"/>
              <w:rPr>
                <w:rFonts w:eastAsiaTheme="minorHAnsi"/>
                <w:sz w:val="22"/>
                <w:szCs w:val="22"/>
                <w:lang w:eastAsia="en-US"/>
              </w:rPr>
            </w:pPr>
            <w:r w:rsidRPr="004D1379">
              <w:rPr>
                <w:rFonts w:eastAsiaTheme="minorHAnsi"/>
                <w:sz w:val="22"/>
                <w:szCs w:val="22"/>
                <w:lang w:eastAsia="en-US"/>
              </w:rPr>
              <w:t>На основании изложенного предложения не могут быть поддержаны.</w:t>
            </w:r>
          </w:p>
        </w:tc>
      </w:tr>
    </w:tbl>
    <w:p w:rsidR="004D1379" w:rsidRPr="004D1379" w:rsidRDefault="004D1379" w:rsidP="004D1379">
      <w:pPr>
        <w:rPr>
          <w:rFonts w:asciiTheme="minorHAnsi" w:eastAsiaTheme="minorHAnsi" w:hAnsiTheme="minorHAnsi" w:cstheme="minorBidi"/>
          <w:sz w:val="22"/>
          <w:szCs w:val="22"/>
          <w:lang w:eastAsia="en-US"/>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Default="004D1379">
      <w:pPr>
        <w:rPr>
          <w:sz w:val="22"/>
          <w:szCs w:val="22"/>
        </w:rPr>
      </w:pPr>
    </w:p>
    <w:p w:rsidR="004D1379" w:rsidRPr="004D1379" w:rsidRDefault="004D1379" w:rsidP="00E805D5">
      <w:pPr>
        <w:ind w:right="-2"/>
        <w:rPr>
          <w:kern w:val="16"/>
          <w:sz w:val="22"/>
          <w:szCs w:val="22"/>
        </w:rPr>
      </w:pPr>
    </w:p>
    <w:p w:rsidR="004D1379" w:rsidRPr="004D1379" w:rsidRDefault="00661811" w:rsidP="004D1379">
      <w:pPr>
        <w:ind w:right="-2"/>
        <w:jc w:val="center"/>
        <w:rPr>
          <w:b/>
          <w:kern w:val="16"/>
          <w:sz w:val="22"/>
          <w:szCs w:val="22"/>
        </w:rPr>
      </w:pPr>
      <w:r>
        <w:rPr>
          <w:b/>
          <w:kern w:val="16"/>
          <w:sz w:val="22"/>
          <w:szCs w:val="22"/>
        </w:rPr>
        <w:lastRenderedPageBreak/>
        <w:t>Особое мнение</w:t>
      </w:r>
      <w:r w:rsidR="004D1379" w:rsidRPr="004D1379">
        <w:rPr>
          <w:b/>
          <w:kern w:val="16"/>
          <w:sz w:val="22"/>
          <w:szCs w:val="22"/>
        </w:rPr>
        <w:t xml:space="preserve"> </w:t>
      </w:r>
      <w:r>
        <w:rPr>
          <w:b/>
          <w:kern w:val="16"/>
          <w:sz w:val="22"/>
          <w:szCs w:val="22"/>
        </w:rPr>
        <w:t>Фадеева Д.Е. (Торгово-промышленная палата</w:t>
      </w:r>
      <w:r w:rsidR="004D1379" w:rsidRPr="004D1379">
        <w:rPr>
          <w:b/>
          <w:kern w:val="16"/>
          <w:sz w:val="22"/>
          <w:szCs w:val="22"/>
        </w:rPr>
        <w:t xml:space="preserve"> Российской Федерации (далее – ТПП РФ)</w:t>
      </w:r>
      <w:r>
        <w:rPr>
          <w:b/>
          <w:kern w:val="16"/>
          <w:sz w:val="22"/>
          <w:szCs w:val="22"/>
        </w:rPr>
        <w:t>)</w:t>
      </w:r>
      <w:r w:rsidR="004D1379" w:rsidRPr="004D1379">
        <w:rPr>
          <w:b/>
          <w:kern w:val="16"/>
          <w:sz w:val="22"/>
          <w:szCs w:val="22"/>
        </w:rPr>
        <w:t xml:space="preserve"> по проекту Основных направлений бюджетной, налоговой и таможенно-тарифной политики на 2024 год и на плановый период 2025 </w:t>
      </w:r>
      <w:r>
        <w:rPr>
          <w:b/>
          <w:kern w:val="16"/>
          <w:sz w:val="22"/>
          <w:szCs w:val="22"/>
        </w:rPr>
        <w:t xml:space="preserve">и 2026 годов (далее – </w:t>
      </w:r>
      <w:proofErr w:type="spellStart"/>
      <w:r>
        <w:rPr>
          <w:b/>
          <w:kern w:val="16"/>
          <w:sz w:val="22"/>
          <w:szCs w:val="22"/>
        </w:rPr>
        <w:t>ОНБНиТТП</w:t>
      </w:r>
      <w:proofErr w:type="spellEnd"/>
      <w:r>
        <w:rPr>
          <w:b/>
          <w:kern w:val="16"/>
          <w:sz w:val="22"/>
          <w:szCs w:val="22"/>
        </w:rPr>
        <w:t>)</w:t>
      </w:r>
      <w:bookmarkStart w:id="0" w:name="_GoBack"/>
      <w:bookmarkEnd w:id="0"/>
    </w:p>
    <w:p w:rsidR="004D1379" w:rsidRPr="004D1379" w:rsidRDefault="004D1379" w:rsidP="004D1379">
      <w:pPr>
        <w:ind w:right="-2"/>
        <w:rPr>
          <w:kern w:val="16"/>
          <w:sz w:val="22"/>
          <w:szCs w:val="22"/>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45"/>
        <w:gridCol w:w="8256"/>
      </w:tblGrid>
      <w:tr w:rsidR="004D1379" w:rsidRPr="004D1379" w:rsidTr="009C6571">
        <w:trPr>
          <w:trHeight w:val="678"/>
          <w:tblHeader/>
        </w:trPr>
        <w:tc>
          <w:tcPr>
            <w:tcW w:w="534" w:type="dxa"/>
            <w:tcMar>
              <w:left w:w="28" w:type="dxa"/>
              <w:right w:w="28" w:type="dxa"/>
            </w:tcMar>
            <w:vAlign w:val="center"/>
          </w:tcPr>
          <w:p w:rsidR="004D1379" w:rsidRPr="004D1379" w:rsidRDefault="004D1379" w:rsidP="004D1379">
            <w:pPr>
              <w:ind w:right="-2"/>
              <w:jc w:val="center"/>
              <w:rPr>
                <w:b/>
                <w:spacing w:val="-12"/>
                <w:kern w:val="16"/>
                <w:sz w:val="22"/>
                <w:szCs w:val="22"/>
              </w:rPr>
            </w:pPr>
            <w:r w:rsidRPr="004D1379">
              <w:rPr>
                <w:b/>
                <w:spacing w:val="-12"/>
                <w:kern w:val="16"/>
                <w:sz w:val="22"/>
                <w:szCs w:val="22"/>
              </w:rPr>
              <w:t>№ п/п</w:t>
            </w:r>
          </w:p>
        </w:tc>
        <w:tc>
          <w:tcPr>
            <w:tcW w:w="6945" w:type="dxa"/>
            <w:tcMar>
              <w:left w:w="28" w:type="dxa"/>
              <w:right w:w="28" w:type="dxa"/>
            </w:tcMar>
            <w:vAlign w:val="center"/>
          </w:tcPr>
          <w:p w:rsidR="004D1379" w:rsidRPr="004D1379" w:rsidRDefault="004D1379" w:rsidP="004D1379">
            <w:pPr>
              <w:ind w:right="-2"/>
              <w:jc w:val="center"/>
              <w:rPr>
                <w:b/>
                <w:spacing w:val="-12"/>
                <w:kern w:val="16"/>
                <w:sz w:val="22"/>
                <w:szCs w:val="22"/>
              </w:rPr>
            </w:pPr>
            <w:r w:rsidRPr="004D1379">
              <w:rPr>
                <w:b/>
                <w:spacing w:val="-12"/>
                <w:kern w:val="16"/>
                <w:sz w:val="22"/>
                <w:szCs w:val="22"/>
              </w:rPr>
              <w:t>Замечание/предложение ТПП РФ</w:t>
            </w:r>
          </w:p>
        </w:tc>
        <w:tc>
          <w:tcPr>
            <w:tcW w:w="8256" w:type="dxa"/>
          </w:tcPr>
          <w:p w:rsidR="004D1379" w:rsidRPr="004D1379" w:rsidRDefault="004D1379" w:rsidP="004D1379">
            <w:pPr>
              <w:spacing w:before="240"/>
              <w:ind w:right="-2"/>
              <w:jc w:val="center"/>
              <w:rPr>
                <w:b/>
                <w:spacing w:val="-12"/>
                <w:kern w:val="16"/>
                <w:sz w:val="22"/>
                <w:szCs w:val="22"/>
              </w:rPr>
            </w:pPr>
            <w:r w:rsidRPr="004D1379">
              <w:rPr>
                <w:b/>
                <w:spacing w:val="-12"/>
                <w:kern w:val="16"/>
                <w:sz w:val="22"/>
                <w:szCs w:val="22"/>
              </w:rPr>
              <w:t>Позиция Минфина России</w:t>
            </w:r>
          </w:p>
        </w:tc>
      </w:tr>
      <w:tr w:rsidR="004D1379" w:rsidRPr="004D1379" w:rsidTr="009C6571">
        <w:trPr>
          <w:trHeight w:val="411"/>
        </w:trPr>
        <w:tc>
          <w:tcPr>
            <w:tcW w:w="15735" w:type="dxa"/>
            <w:gridSpan w:val="3"/>
          </w:tcPr>
          <w:p w:rsidR="004D1379" w:rsidRPr="004D1379" w:rsidRDefault="004D1379" w:rsidP="004D1379">
            <w:pPr>
              <w:ind w:right="-2"/>
              <w:jc w:val="both"/>
              <w:rPr>
                <w:b/>
                <w:kern w:val="16"/>
                <w:sz w:val="22"/>
                <w:szCs w:val="22"/>
              </w:rPr>
            </w:pPr>
            <w:r w:rsidRPr="004D1379">
              <w:rPr>
                <w:b/>
                <w:kern w:val="16"/>
                <w:sz w:val="22"/>
                <w:szCs w:val="22"/>
              </w:rPr>
              <w:t>3. ЦЕЛИ И ЗАДАЧИ БЮДЖЕТНОЙ И НАЛОГОВОЙ ПОЛИТИКИ НА 2024-2026</w:t>
            </w:r>
          </w:p>
          <w:p w:rsidR="004D1379" w:rsidRPr="004D1379" w:rsidRDefault="004D1379" w:rsidP="004D1379">
            <w:pPr>
              <w:ind w:right="-2"/>
              <w:jc w:val="both"/>
              <w:rPr>
                <w:b/>
                <w:kern w:val="16"/>
                <w:sz w:val="22"/>
                <w:szCs w:val="22"/>
              </w:rPr>
            </w:pPr>
            <w:r w:rsidRPr="004D1379">
              <w:rPr>
                <w:b/>
                <w:kern w:val="16"/>
                <w:sz w:val="22"/>
                <w:szCs w:val="22"/>
              </w:rPr>
              <w:t>3.1. СТРУКТУРНАЯ ТРАНСФОРМАЦИЯ ЭКОНОМИКИ</w:t>
            </w:r>
          </w:p>
          <w:p w:rsidR="004D1379" w:rsidRPr="004D1379" w:rsidRDefault="004D1379" w:rsidP="004D1379">
            <w:pPr>
              <w:ind w:right="-2"/>
              <w:jc w:val="both"/>
              <w:rPr>
                <w:kern w:val="16"/>
                <w:sz w:val="22"/>
                <w:szCs w:val="22"/>
              </w:rPr>
            </w:pPr>
            <w:r w:rsidRPr="004D1379">
              <w:rPr>
                <w:b/>
                <w:kern w:val="16"/>
                <w:sz w:val="22"/>
                <w:szCs w:val="22"/>
              </w:rPr>
              <w:t>НАЦИОНАЛЬНЫЕ ЦЕЛИ РАЗВИТИЯ</w:t>
            </w:r>
          </w:p>
        </w:tc>
      </w:tr>
      <w:tr w:rsidR="004D1379" w:rsidRPr="004D1379" w:rsidTr="009C6571">
        <w:trPr>
          <w:trHeight w:val="411"/>
        </w:trPr>
        <w:tc>
          <w:tcPr>
            <w:tcW w:w="15735" w:type="dxa"/>
            <w:gridSpan w:val="3"/>
          </w:tcPr>
          <w:p w:rsidR="004D1379" w:rsidRPr="004D1379" w:rsidRDefault="004D1379" w:rsidP="004D1379">
            <w:pPr>
              <w:ind w:right="-2"/>
              <w:jc w:val="both"/>
              <w:rPr>
                <w:b/>
                <w:kern w:val="16"/>
                <w:sz w:val="22"/>
                <w:szCs w:val="22"/>
              </w:rPr>
            </w:pPr>
            <w:r w:rsidRPr="004D1379">
              <w:rPr>
                <w:b/>
                <w:kern w:val="16"/>
                <w:sz w:val="22"/>
                <w:szCs w:val="22"/>
                <w:lang w:val="en-US"/>
              </w:rPr>
              <w:t>I</w:t>
            </w:r>
            <w:r w:rsidRPr="004D1379">
              <w:rPr>
                <w:b/>
                <w:kern w:val="16"/>
                <w:sz w:val="22"/>
                <w:szCs w:val="22"/>
              </w:rPr>
              <w:t>. Достойный, эффективный труд и успешное предпринимательство</w:t>
            </w:r>
          </w:p>
          <w:p w:rsidR="004D1379" w:rsidRPr="004D1379" w:rsidRDefault="004D1379" w:rsidP="004D1379">
            <w:pPr>
              <w:ind w:right="-2"/>
              <w:jc w:val="both"/>
              <w:rPr>
                <w:b/>
                <w:kern w:val="16"/>
                <w:sz w:val="22"/>
                <w:szCs w:val="22"/>
              </w:rPr>
            </w:pPr>
            <w:r w:rsidRPr="004D1379">
              <w:rPr>
                <w:b/>
                <w:kern w:val="16"/>
                <w:sz w:val="22"/>
                <w:szCs w:val="22"/>
              </w:rPr>
              <w:t>2. Поддержка субъектов малого и среднего бизнеса</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rFonts w:eastAsia="Calibri"/>
                <w:sz w:val="22"/>
                <w:szCs w:val="22"/>
              </w:rPr>
            </w:pPr>
            <w:r w:rsidRPr="004D1379">
              <w:rPr>
                <w:sz w:val="22"/>
                <w:szCs w:val="22"/>
              </w:rPr>
              <w:t xml:space="preserve">- Сформулировать и расширить пункт «установление особых условий налогообложения для налогоплательщиков, утративших право на применение специальных налоговых режимов в связи с превышением предельного размера дохода и (или) предельной численности работников», изложив его в следующей редакции: </w:t>
            </w:r>
          </w:p>
          <w:p w:rsidR="004D1379" w:rsidRPr="004D1379" w:rsidRDefault="004D1379" w:rsidP="004D1379">
            <w:pPr>
              <w:ind w:firstLine="567"/>
              <w:jc w:val="both"/>
              <w:rPr>
                <w:sz w:val="22"/>
                <w:szCs w:val="22"/>
              </w:rPr>
            </w:pPr>
            <w:r w:rsidRPr="004D1379">
              <w:rPr>
                <w:i/>
                <w:sz w:val="22"/>
                <w:szCs w:val="22"/>
              </w:rPr>
              <w:t>«установление особых условий налогообложения для налогоплательщиков, утративших право на применение специальных налоговых режимов в связи с превышением предельного размера дохода и (или) предельной численности работников, а также в связи с переводом налогоплательщика на основную систему налогообложения по причине изменения законодательства. Норма предусматривает применение, в том числе по отношению к налогоплательщикам, ранее утратившим право применения специальных налоговых режимов в силу изменения действующего законодательства»</w:t>
            </w:r>
            <w:r w:rsidRPr="004D1379">
              <w:rPr>
                <w:sz w:val="22"/>
                <w:szCs w:val="22"/>
              </w:rPr>
              <w:t>.</w:t>
            </w:r>
          </w:p>
          <w:p w:rsidR="004D1379" w:rsidRPr="004D1379" w:rsidRDefault="004D1379" w:rsidP="004D1379">
            <w:pPr>
              <w:ind w:firstLine="567"/>
              <w:jc w:val="both"/>
              <w:rPr>
                <w:sz w:val="22"/>
                <w:szCs w:val="22"/>
              </w:rPr>
            </w:pPr>
            <w:r w:rsidRPr="004D1379">
              <w:rPr>
                <w:sz w:val="22"/>
                <w:szCs w:val="22"/>
              </w:rPr>
              <w:t>Данное предложение направлено на устранение дискриминации тех налогоплательщиков, которые ранее осуществляли свою деятельность с применением специальных налоговых режимов, но в силу изменения действующего законодательства были вынуждены перейти на применение основной системы налогообложения. К таким группам налогоплательщиков уже относятся юридические лица и индивидуальные предприниматели в сфере производства и торговли ювелирными изделиями. Важно зафиксировать, что бы предлагаемый пункт функционировал как в отношении новых юридических лиц и индивидуальных предпринимателей, так и тех налогоплательщиков, которые попали в данную ситуацию ранее, по независящим от их хозяйственной деятельности обстоятельствам.</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Федеральным законом от 09.03.2022 № 47-ФЗ</w:t>
            </w:r>
            <w:r w:rsidRPr="004D1379">
              <w:rPr>
                <w:kern w:val="16"/>
                <w:sz w:val="22"/>
                <w:szCs w:val="22"/>
              </w:rPr>
              <w:br/>
              <w:t>«О внесении изменений в часть вторую Налогового кодекса Российской Федерации» внесены изменения в пункт 3 статьи 346.12 и пункт 6 статьи 346.43 Налогового кодекса Российской Федерации, в соответствии с которыми с 01.01.2023 не вправе применять упрощенную систему налогообложения и патентную систему налогообложения налогоплательщики, осуществляющие производство ювелирных и других изделий из драгоценных металлов, оптовую (розничную) торговлю ювелирными и другими изделиями из драгоценных металлов.</w:t>
            </w:r>
          </w:p>
          <w:p w:rsidR="004D1379" w:rsidRPr="004D1379" w:rsidRDefault="004D1379" w:rsidP="004D1379">
            <w:pPr>
              <w:ind w:right="-2" w:firstLine="467"/>
              <w:jc w:val="both"/>
              <w:rPr>
                <w:kern w:val="16"/>
                <w:sz w:val="22"/>
                <w:szCs w:val="22"/>
              </w:rPr>
            </w:pPr>
            <w:r w:rsidRPr="004D1379">
              <w:rPr>
                <w:kern w:val="16"/>
                <w:sz w:val="22"/>
                <w:szCs w:val="22"/>
              </w:rPr>
              <w:t>Внесение указанных изменений было обусловлено тем, что применение специальных налоговых режимов в ювелирной отрасли создавало неравные условия для тех производителей ювелирных изделий, которые находятся на общей системе налогообложения и уплачивают налог на добавленную стоимость при реализации таких изделий. При этом налогоплательщики, применяющие специальные налоговые режимы, не признаются налогоплательщиками налога на добавленную стоимость.</w:t>
            </w:r>
          </w:p>
          <w:p w:rsidR="004D1379" w:rsidRPr="004D1379" w:rsidRDefault="004D1379" w:rsidP="004D1379">
            <w:pPr>
              <w:ind w:right="-2" w:firstLine="467"/>
              <w:jc w:val="both"/>
              <w:rPr>
                <w:kern w:val="16"/>
                <w:sz w:val="22"/>
                <w:szCs w:val="22"/>
              </w:rPr>
            </w:pPr>
            <w:r w:rsidRPr="004D1379">
              <w:rPr>
                <w:kern w:val="16"/>
                <w:sz w:val="22"/>
                <w:szCs w:val="22"/>
              </w:rPr>
              <w:t>Это приводило к переходу производителей ювелирных изделий на специальные налоговые режимы и, как следствие, выводу существенной доли оборота ювелирных изделий из-под налогообложения налогом на добавленную стоимость и снижению доходов федерального бюджета.</w:t>
            </w:r>
          </w:p>
          <w:p w:rsidR="004D1379" w:rsidRPr="004D1379" w:rsidRDefault="004D1379" w:rsidP="004D1379">
            <w:pPr>
              <w:ind w:right="-2" w:firstLine="467"/>
              <w:jc w:val="both"/>
              <w:rPr>
                <w:kern w:val="16"/>
                <w:sz w:val="22"/>
                <w:szCs w:val="22"/>
              </w:rPr>
            </w:pPr>
            <w:r w:rsidRPr="004D1379">
              <w:rPr>
                <w:kern w:val="16"/>
                <w:sz w:val="22"/>
                <w:szCs w:val="22"/>
              </w:rPr>
              <w:t>Учитывая изложенное, предложение об установлении особых условий налогообложения для данной категории налогоплательщиков, которые в силу положений закона намерено были переведены на применение общей системы налогообложения, не может быть поддержано.</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numPr>
                <w:ilvl w:val="0"/>
                <w:numId w:val="2"/>
              </w:numPr>
              <w:tabs>
                <w:tab w:val="left" w:pos="993"/>
              </w:tabs>
              <w:ind w:left="0" w:firstLine="567"/>
              <w:jc w:val="both"/>
              <w:rPr>
                <w:sz w:val="22"/>
                <w:szCs w:val="22"/>
              </w:rPr>
            </w:pPr>
            <w:r w:rsidRPr="004D1379">
              <w:rPr>
                <w:sz w:val="22"/>
                <w:szCs w:val="22"/>
              </w:rPr>
              <w:t>пересмотреть в сторону увеличения критерии отнесения к субъектам малого и среднего предпринимательства (далее – МСП) по предельному доходу в минимум в 2 раза (либо установить отраслевые ограничения для применения упрощенной системы налогообложения в части выручки, численности и остаточной стоимости основных средств);</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Вопрос увеличения установленных законодательством Российской Федерации о налогах и сборах предельных значений доходов, средней численности работников и остаточной стоимости основных средств налогоплательщиков, применяющих упрощенную систему налогообложения (далее – УСН), Минфином России проработан ранее совместно с ФНС России и субъектами Российской Федерации.</w:t>
            </w:r>
          </w:p>
          <w:p w:rsidR="004D1379" w:rsidRPr="004D1379" w:rsidRDefault="004D1379" w:rsidP="004D1379">
            <w:pPr>
              <w:ind w:right="-2" w:firstLine="467"/>
              <w:jc w:val="both"/>
              <w:rPr>
                <w:kern w:val="16"/>
                <w:sz w:val="22"/>
                <w:szCs w:val="22"/>
              </w:rPr>
            </w:pPr>
            <w:r w:rsidRPr="004D1379">
              <w:rPr>
                <w:kern w:val="16"/>
                <w:sz w:val="22"/>
                <w:szCs w:val="22"/>
              </w:rPr>
              <w:t xml:space="preserve">Так, Федеральным законом от 31.07.2020 </w:t>
            </w:r>
            <w:r w:rsidRPr="004D1379">
              <w:rPr>
                <w:kern w:val="16"/>
                <w:sz w:val="22"/>
                <w:szCs w:val="22"/>
              </w:rPr>
              <w:br/>
              <w:t>№ 266-ФЗ «О внесении изменений в главу 26.2 части второй Налогового кодекса Российской Федерации и статью 2 Федерального закона «О внесении изменений в часть вторую Налогового кодекса Российской Федерации» (далее – Закон № 266-ФЗ) с 01.01.2021 для налогоплательщиков, применяющих УСН, предельное значение доходов налогоплательщиков увеличено с 150 млн рублей до 200 млн рублей, средней численности работников с 100 человек до 130 человек.</w:t>
            </w:r>
          </w:p>
          <w:p w:rsidR="004D1379" w:rsidRPr="004D1379" w:rsidRDefault="004D1379" w:rsidP="004D1379">
            <w:pPr>
              <w:ind w:right="-2" w:firstLine="467"/>
              <w:jc w:val="both"/>
              <w:rPr>
                <w:kern w:val="16"/>
                <w:sz w:val="22"/>
                <w:szCs w:val="22"/>
              </w:rPr>
            </w:pPr>
            <w:r w:rsidRPr="004D1379">
              <w:rPr>
                <w:kern w:val="16"/>
                <w:sz w:val="22"/>
                <w:szCs w:val="22"/>
              </w:rPr>
              <w:t xml:space="preserve">При этом по данным ФНС России, выручка 96,7 % налогоплательщиков (организации и индивидуальные предприниматели), представивших в 2022 году декларацию по налогу, уплачиваемому в связи с применением УСН, </w:t>
            </w:r>
            <w:r w:rsidRPr="004D1379">
              <w:rPr>
                <w:kern w:val="16"/>
                <w:sz w:val="22"/>
                <w:szCs w:val="22"/>
              </w:rPr>
              <w:br/>
              <w:t>не превышала 50 млн рублей.</w:t>
            </w:r>
          </w:p>
          <w:p w:rsidR="004D1379" w:rsidRPr="004D1379" w:rsidRDefault="004D1379" w:rsidP="004D1379">
            <w:pPr>
              <w:ind w:right="-2" w:firstLine="467"/>
              <w:jc w:val="both"/>
              <w:rPr>
                <w:kern w:val="16"/>
                <w:sz w:val="22"/>
                <w:szCs w:val="22"/>
              </w:rPr>
            </w:pPr>
            <w:r w:rsidRPr="004D1379">
              <w:rPr>
                <w:kern w:val="16"/>
                <w:sz w:val="22"/>
                <w:szCs w:val="22"/>
              </w:rPr>
              <w:t>Кроме того, у 99,62 % налогоплательщиков, применяющих УСН, средняя численность работников за 2022 год не превышала 50 человек, а количество налогоплательщиков, превысивших пороговые значения по численности сотрудников в 2021 г. составило 0,002% (98 из 4,1 млн).</w:t>
            </w:r>
          </w:p>
          <w:p w:rsidR="004D1379" w:rsidRPr="004D1379" w:rsidRDefault="004D1379" w:rsidP="004D1379">
            <w:pPr>
              <w:ind w:right="-2" w:firstLine="467"/>
              <w:jc w:val="both"/>
              <w:rPr>
                <w:kern w:val="16"/>
                <w:sz w:val="22"/>
                <w:szCs w:val="22"/>
              </w:rPr>
            </w:pPr>
            <w:r w:rsidRPr="004D1379">
              <w:rPr>
                <w:kern w:val="16"/>
                <w:sz w:val="22"/>
                <w:szCs w:val="22"/>
              </w:rPr>
              <w:t>Количество организаций, у которых остаточная стоимость основных средств на конец 2022 г. находилась в диапазоне от 130 до 150 млн рублей, составило 3 274 налогоплательщиков (0,1% от общего количества организаций по данным ЕГРЮЛ на 01.01.2023).</w:t>
            </w:r>
          </w:p>
          <w:p w:rsidR="004D1379" w:rsidRPr="004D1379" w:rsidRDefault="004D1379" w:rsidP="004D1379">
            <w:pPr>
              <w:ind w:right="-2" w:firstLine="467"/>
              <w:jc w:val="both"/>
              <w:rPr>
                <w:kern w:val="16"/>
                <w:sz w:val="22"/>
                <w:szCs w:val="22"/>
              </w:rPr>
            </w:pPr>
            <w:r w:rsidRPr="004D1379">
              <w:rPr>
                <w:kern w:val="16"/>
                <w:sz w:val="22"/>
                <w:szCs w:val="22"/>
              </w:rPr>
              <w:t>Таким образом, вопрос о повышении предельных значений по доходам, средней численности работников и остаточной стоимости основных средств не актуален для большинства налогоплательщиков, уже применяющих УСН.</w:t>
            </w:r>
          </w:p>
          <w:p w:rsidR="004D1379" w:rsidRPr="004D1379" w:rsidRDefault="004D1379" w:rsidP="004D1379">
            <w:pPr>
              <w:ind w:right="-2" w:firstLine="467"/>
              <w:jc w:val="both"/>
              <w:rPr>
                <w:kern w:val="16"/>
                <w:sz w:val="22"/>
                <w:szCs w:val="22"/>
              </w:rPr>
            </w:pPr>
            <w:r w:rsidRPr="004D1379">
              <w:rPr>
                <w:kern w:val="16"/>
                <w:sz w:val="22"/>
                <w:szCs w:val="22"/>
              </w:rPr>
              <w:t>По результатам проведенной субъектами Российской Федерации оценки эффективности установленных законодательством Российской Федерации о налогах и сборах предельных доходов, средней численности работников и остаточной стоимости основных средств большинство субъектов Российской Федерации пришли к выводу о нецелесообразности увеличения указанных предельных значений в настоящее время.</w:t>
            </w:r>
          </w:p>
          <w:p w:rsidR="004D1379" w:rsidRPr="004D1379" w:rsidRDefault="004D1379" w:rsidP="004D1379">
            <w:pPr>
              <w:ind w:right="-2" w:firstLine="467"/>
              <w:jc w:val="both"/>
              <w:rPr>
                <w:kern w:val="16"/>
                <w:sz w:val="22"/>
                <w:szCs w:val="22"/>
              </w:rPr>
            </w:pPr>
            <w:r w:rsidRPr="004D1379">
              <w:rPr>
                <w:kern w:val="16"/>
                <w:sz w:val="22"/>
                <w:szCs w:val="22"/>
              </w:rPr>
              <w:t xml:space="preserve">Учитывая, что УСН следует рассматривать как изъятие из «общего порядка» налогообложения субъектов экономической деятельности, действующее в отношении </w:t>
            </w:r>
            <w:r w:rsidRPr="004D1379">
              <w:rPr>
                <w:kern w:val="16"/>
                <w:sz w:val="22"/>
                <w:szCs w:val="22"/>
              </w:rPr>
              <w:lastRenderedPageBreak/>
              <w:t>узкого круга налогоплательщиков, соответствующих установленным требованиям, и принятое в целях оказания им государственной поддержки, установление иных отраслевых ограничений в части выручки, численности и остаточной стоимости основных средств в целях применения УСН не может быть поддержано.</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numPr>
                <w:ilvl w:val="0"/>
                <w:numId w:val="2"/>
              </w:numPr>
              <w:tabs>
                <w:tab w:val="left" w:pos="993"/>
              </w:tabs>
              <w:ind w:left="0" w:firstLine="567"/>
              <w:jc w:val="both"/>
              <w:rPr>
                <w:sz w:val="22"/>
                <w:szCs w:val="22"/>
              </w:rPr>
            </w:pPr>
            <w:r w:rsidRPr="004D1379">
              <w:rPr>
                <w:sz w:val="22"/>
                <w:szCs w:val="22"/>
              </w:rPr>
              <w:t>установить тарифы за электроэнергию для производственных МСП на уровне тарифов для населения, путем внесения изменений в постановление Правительства Российской Федерации от 29 декабря 2011 г. № 1178 «О ценообразовании в области регулируемых цен (тарифов) в электроэнергетике.</w:t>
            </w:r>
          </w:p>
        </w:tc>
        <w:tc>
          <w:tcPr>
            <w:tcW w:w="8256" w:type="dxa"/>
          </w:tcPr>
          <w:p w:rsidR="004D1379" w:rsidRPr="004D1379" w:rsidRDefault="004D1379" w:rsidP="004D1379">
            <w:pPr>
              <w:ind w:right="-2" w:firstLine="467"/>
              <w:jc w:val="both"/>
              <w:rPr>
                <w:kern w:val="16"/>
                <w:sz w:val="22"/>
                <w:szCs w:val="22"/>
              </w:rPr>
            </w:pPr>
            <w:r w:rsidRPr="004D1379">
              <w:rPr>
                <w:b/>
                <w:kern w:val="16"/>
                <w:sz w:val="22"/>
                <w:szCs w:val="22"/>
              </w:rPr>
              <w:t>Не поддерживается</w:t>
            </w:r>
            <w:r w:rsidRPr="004D1379">
              <w:rPr>
                <w:kern w:val="16"/>
                <w:sz w:val="22"/>
                <w:szCs w:val="22"/>
              </w:rPr>
              <w:t>: детальные предложения в Минфин России в установленном порядке не поступали.</w:t>
            </w:r>
          </w:p>
          <w:p w:rsidR="004D1379" w:rsidRPr="004D1379" w:rsidRDefault="004D1379" w:rsidP="004D1379">
            <w:pPr>
              <w:ind w:right="-2" w:firstLine="467"/>
              <w:jc w:val="both"/>
              <w:rPr>
                <w:kern w:val="16"/>
                <w:sz w:val="22"/>
                <w:szCs w:val="22"/>
              </w:rPr>
            </w:pPr>
            <w:r w:rsidRPr="004D1379">
              <w:rPr>
                <w:kern w:val="16"/>
                <w:sz w:val="22"/>
                <w:szCs w:val="22"/>
              </w:rPr>
              <w:t>Введение единых тарифов приведёт к росту перекрёстного субсидирования в электроэнергетике и (или) формированию выпадающих доходов субъектов электроэнергетики, источники компенсации которых не определены. В связи с этим также имеются риски возникновения потребности у субъектов электроэнергетики в компенсации выпадающих доходов за счёт средств бюджетов бюджетной системы Российской Федерации, что не может быть поддержано Минфином России.</w:t>
            </w:r>
          </w:p>
          <w:p w:rsidR="004D1379" w:rsidRPr="004D1379" w:rsidRDefault="004D1379" w:rsidP="004D1379">
            <w:pPr>
              <w:ind w:right="-2" w:firstLine="467"/>
              <w:jc w:val="both"/>
              <w:rPr>
                <w:kern w:val="16"/>
                <w:sz w:val="22"/>
                <w:szCs w:val="22"/>
              </w:rPr>
            </w:pPr>
            <w:r w:rsidRPr="004D1379">
              <w:rPr>
                <w:kern w:val="16"/>
                <w:sz w:val="22"/>
                <w:szCs w:val="22"/>
              </w:rPr>
              <w:t xml:space="preserve">Кроме того, в соответствии с пунктом 34 Правил государственного регулирования (пересмотра, применения) цен (тарифов) в электроэнергетике, утверждённых постановлением Правительства Российской Федерации от 29 декабря 2011 г. № 1178, применение льготных тарифов на электрическую энергию (мощность) допускается на региональном уровне при наличии соответствующего решения регионального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субъектов электроэнергетики. </w:t>
            </w:r>
          </w:p>
          <w:p w:rsidR="004D1379" w:rsidRPr="004D1379" w:rsidRDefault="004D1379" w:rsidP="004D1379">
            <w:pPr>
              <w:ind w:right="-2" w:firstLine="467"/>
              <w:jc w:val="both"/>
              <w:rPr>
                <w:kern w:val="16"/>
                <w:sz w:val="22"/>
                <w:szCs w:val="22"/>
              </w:rPr>
            </w:pPr>
            <w:r w:rsidRPr="004D1379">
              <w:rPr>
                <w:kern w:val="16"/>
                <w:sz w:val="22"/>
                <w:szCs w:val="22"/>
              </w:rPr>
              <w:t>Введение льготных тарифов для одной категории потребителей согласно части 5 статьи 23 Федерального закона от 26 марта 2003 г. № 35-ФЗ «Об электроэнергетике» не должно приводить к росту тарифной нагрузки на иные категории потребителей (к перекрестному субсидированию).</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numPr>
                <w:ilvl w:val="0"/>
                <w:numId w:val="2"/>
              </w:numPr>
              <w:tabs>
                <w:tab w:val="left" w:pos="993"/>
              </w:tabs>
              <w:ind w:left="0" w:firstLine="567"/>
              <w:jc w:val="both"/>
              <w:rPr>
                <w:sz w:val="22"/>
                <w:szCs w:val="22"/>
              </w:rPr>
            </w:pPr>
            <w:r w:rsidRPr="004D1379">
              <w:rPr>
                <w:sz w:val="22"/>
                <w:szCs w:val="22"/>
              </w:rPr>
              <w:t>Конкретизировать пункт «Развитие законодательства в сфере венчурного инвестирования, а также увеличение числа участников венчурных проектов» предусмотрев увеличение капитализации ведущих институтов развития малых форм предприятий в научно-технической сфере.</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 xml:space="preserve">Изменение механизмов работы финансовых институтов в целях реализации инвестиционных проектов, в том числе в сфере прямых и венчурных инвестиций, а также привлечение инвестиций в высокотехнологичные и венчурные компании, предусмотрено в рамках Плана мероприятий («Дорожной карты») по формированию доступных финансов для инвестиционных проектов, утвержденного Первым заместителем Председателя Правительства Российской Федерации А.Р. Белоусовым 13 мая 2021 г. № 4806п-П13 и Председателем Центрального банка Российской Федерации Э.С. </w:t>
            </w:r>
            <w:proofErr w:type="spellStart"/>
            <w:r w:rsidRPr="004D1379">
              <w:rPr>
                <w:kern w:val="16"/>
                <w:sz w:val="22"/>
                <w:szCs w:val="22"/>
              </w:rPr>
              <w:t>Набиуллиной</w:t>
            </w:r>
            <w:proofErr w:type="spellEnd"/>
            <w:r w:rsidRPr="004D1379">
              <w:rPr>
                <w:kern w:val="16"/>
                <w:sz w:val="22"/>
                <w:szCs w:val="22"/>
              </w:rPr>
              <w:t xml:space="preserve"> 13 мая 2021 г. № ПМ-01-52/76. </w:t>
            </w:r>
          </w:p>
          <w:p w:rsidR="004D1379" w:rsidRPr="004D1379" w:rsidRDefault="004D1379" w:rsidP="004D1379">
            <w:pPr>
              <w:ind w:right="-2" w:firstLine="467"/>
              <w:jc w:val="both"/>
              <w:rPr>
                <w:kern w:val="16"/>
                <w:sz w:val="22"/>
                <w:szCs w:val="22"/>
              </w:rPr>
            </w:pPr>
            <w:r w:rsidRPr="004D1379">
              <w:rPr>
                <w:kern w:val="16"/>
                <w:sz w:val="22"/>
                <w:szCs w:val="22"/>
              </w:rPr>
              <w:lastRenderedPageBreak/>
              <w:t xml:space="preserve">Разработка и утверждение «дорожной карты» по развитию венчурного рынка, в том числе в целях стимулирования частных инвестиций в малые технологические компании, предусмотрено в рамках раздела VII Плана первоочередных мероприятий по реализации Концепции технологического развития на период до 2030 года, утвержденной Первым заместителем Председателя Правительства Российской Федерации А.Р. Белоусовым 3 августа 2023 г. № 7053п-П13. </w:t>
            </w:r>
          </w:p>
          <w:p w:rsidR="004D1379" w:rsidRPr="004D1379" w:rsidRDefault="004D1379" w:rsidP="004D1379">
            <w:pPr>
              <w:ind w:right="-2" w:firstLine="467"/>
              <w:jc w:val="both"/>
              <w:rPr>
                <w:kern w:val="16"/>
                <w:sz w:val="22"/>
                <w:szCs w:val="22"/>
              </w:rPr>
            </w:pPr>
            <w:r w:rsidRPr="004D1379">
              <w:rPr>
                <w:kern w:val="16"/>
                <w:sz w:val="22"/>
                <w:szCs w:val="22"/>
              </w:rPr>
              <w:t xml:space="preserve">Обоснованных предложений по вопросу необходимости увеличения капитализации ведущих институтов развития малых форм предприятий в научно-технической сфере в целях развития законодательства в сфере венчурного инвестирования, а также увеличения числа участников венчурных проектов на рассмотрение в Минфин России в установленном порядке не поступало. Соответствующих решений не принималось. </w:t>
            </w:r>
          </w:p>
          <w:p w:rsidR="004D1379" w:rsidRPr="004D1379" w:rsidRDefault="004D1379" w:rsidP="004D1379">
            <w:pPr>
              <w:ind w:right="-2" w:firstLine="467"/>
              <w:jc w:val="both"/>
              <w:rPr>
                <w:kern w:val="16"/>
                <w:sz w:val="22"/>
                <w:szCs w:val="22"/>
              </w:rPr>
            </w:pPr>
            <w:r w:rsidRPr="004D1379">
              <w:rPr>
                <w:kern w:val="16"/>
                <w:sz w:val="22"/>
                <w:szCs w:val="22"/>
              </w:rPr>
              <w:t xml:space="preserve">Таким образом, указанное предложение не является запланированной на 2024-2026 гг. мерой бюджетно-налоговой политики, направленной на достижение целевого уровня роста инвестиций в основной капитал в рамках национальной цели развития «Достойный, эффективный труд и успешное предпринимательство». </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numPr>
                <w:ilvl w:val="0"/>
                <w:numId w:val="2"/>
              </w:numPr>
              <w:tabs>
                <w:tab w:val="left" w:pos="993"/>
              </w:tabs>
              <w:ind w:left="0" w:firstLine="567"/>
              <w:jc w:val="both"/>
              <w:rPr>
                <w:sz w:val="22"/>
                <w:szCs w:val="22"/>
              </w:rPr>
            </w:pPr>
            <w:r w:rsidRPr="004D1379">
              <w:rPr>
                <w:sz w:val="22"/>
                <w:szCs w:val="22"/>
              </w:rPr>
              <w:t xml:space="preserve">Конкретизировать пункт «Создание промышленных, техно- и </w:t>
            </w:r>
            <w:proofErr w:type="spellStart"/>
            <w:r w:rsidRPr="004D1379">
              <w:rPr>
                <w:sz w:val="22"/>
                <w:szCs w:val="22"/>
              </w:rPr>
              <w:t>агропарков</w:t>
            </w:r>
            <w:proofErr w:type="spellEnd"/>
            <w:r w:rsidRPr="004D1379">
              <w:rPr>
                <w:sz w:val="22"/>
                <w:szCs w:val="22"/>
              </w:rPr>
              <w:t>, обеспечение доступа субъектов МСП к производственным площадям и помещениям» дополнив предложением по увеличению срока промышленной ипотеки с 7 до 15 лет, и предложением по увеличению капитализации программы промышленной ипотеки в 2 раза в связи с высокой потребностью бизнеса в приобретении промышленных помещений (по итогам 9 месяцев 2023 года годовой лимит данной программы поддержки был досрочно выбран).</w:t>
            </w:r>
          </w:p>
        </w:tc>
        <w:tc>
          <w:tcPr>
            <w:tcW w:w="8256" w:type="dxa"/>
          </w:tcPr>
          <w:p w:rsidR="004D1379" w:rsidRPr="004D1379" w:rsidRDefault="004D1379" w:rsidP="004D1379">
            <w:pPr>
              <w:ind w:firstLine="467"/>
              <w:rPr>
                <w:b/>
                <w:sz w:val="22"/>
                <w:szCs w:val="22"/>
              </w:rPr>
            </w:pPr>
            <w:r w:rsidRPr="004D1379">
              <w:rPr>
                <w:b/>
                <w:sz w:val="22"/>
                <w:szCs w:val="22"/>
              </w:rPr>
              <w:t>Не поддерживается.</w:t>
            </w:r>
          </w:p>
          <w:p w:rsidR="004D1379" w:rsidRPr="004D1379" w:rsidRDefault="004D1379" w:rsidP="004D1379">
            <w:pPr>
              <w:ind w:firstLine="467"/>
              <w:contextualSpacing/>
              <w:jc w:val="both"/>
              <w:rPr>
                <w:sz w:val="22"/>
                <w:szCs w:val="22"/>
              </w:rPr>
            </w:pPr>
            <w:r w:rsidRPr="004D1379">
              <w:rPr>
                <w:sz w:val="22"/>
                <w:szCs w:val="22"/>
              </w:rPr>
              <w:t xml:space="preserve">В настоящее время </w:t>
            </w:r>
            <w:r w:rsidRPr="004D1379">
              <w:rPr>
                <w:sz w:val="22"/>
                <w:szCs w:val="22"/>
                <w:u w:val="single"/>
              </w:rPr>
              <w:t>механизм «промышленной» ипотеки</w:t>
            </w:r>
            <w:r w:rsidRPr="004D1379">
              <w:rPr>
                <w:sz w:val="22"/>
                <w:szCs w:val="22"/>
              </w:rPr>
              <w:t xml:space="preserve"> и его </w:t>
            </w:r>
            <w:r w:rsidRPr="004D1379">
              <w:rPr>
                <w:sz w:val="22"/>
                <w:szCs w:val="22"/>
                <w:u w:val="single"/>
              </w:rPr>
              <w:t>основные параметры являются востребованными и эффективными</w:t>
            </w:r>
            <w:r w:rsidRPr="004D1379">
              <w:rPr>
                <w:sz w:val="22"/>
                <w:szCs w:val="22"/>
              </w:rPr>
              <w:t>.</w:t>
            </w:r>
          </w:p>
          <w:p w:rsidR="004D1379" w:rsidRPr="004D1379" w:rsidRDefault="004D1379" w:rsidP="004D1379">
            <w:pPr>
              <w:spacing w:after="80"/>
              <w:ind w:firstLine="467"/>
              <w:contextualSpacing/>
              <w:jc w:val="both"/>
              <w:rPr>
                <w:color w:val="000000" w:themeColor="text1"/>
                <w:sz w:val="22"/>
                <w:szCs w:val="22"/>
              </w:rPr>
            </w:pPr>
            <w:r w:rsidRPr="004D1379">
              <w:rPr>
                <w:sz w:val="22"/>
                <w:szCs w:val="22"/>
              </w:rPr>
              <w:t xml:space="preserve">В </w:t>
            </w:r>
            <w:r w:rsidRPr="004D1379">
              <w:rPr>
                <w:color w:val="000000" w:themeColor="text1"/>
                <w:sz w:val="22"/>
                <w:szCs w:val="22"/>
              </w:rPr>
              <w:t xml:space="preserve">соответствии с </w:t>
            </w:r>
            <w:r w:rsidRPr="004D1379">
              <w:rPr>
                <w:color w:val="000000" w:themeColor="text1"/>
                <w:kern w:val="36"/>
                <w:sz w:val="22"/>
                <w:szCs w:val="22"/>
              </w:rPr>
              <w:t>Посланием Президента Российской Федерации Федеральному Собранию</w:t>
            </w:r>
            <w:r w:rsidRPr="004D1379">
              <w:rPr>
                <w:color w:val="000000" w:themeColor="text1"/>
                <w:sz w:val="22"/>
                <w:szCs w:val="22"/>
              </w:rPr>
              <w:t xml:space="preserve"> </w:t>
            </w:r>
            <w:r w:rsidRPr="004D1379">
              <w:rPr>
                <w:sz w:val="22"/>
                <w:szCs w:val="22"/>
              </w:rPr>
              <w:t xml:space="preserve">Российской Федерации от 21 февраля 2023 года </w:t>
            </w:r>
            <w:r w:rsidRPr="004D1379">
              <w:rPr>
                <w:rFonts w:eastAsiaTheme="minorEastAsia"/>
                <w:sz w:val="22"/>
                <w:szCs w:val="22"/>
              </w:rPr>
              <w:t xml:space="preserve">в целях государственной поддержки субъектов малого и среднего </w:t>
            </w:r>
            <w:r w:rsidRPr="004D1379">
              <w:rPr>
                <w:sz w:val="22"/>
                <w:szCs w:val="22"/>
              </w:rPr>
              <w:t>предпринимательства</w:t>
            </w:r>
            <w:r w:rsidRPr="004D1379">
              <w:rPr>
                <w:rFonts w:eastAsiaTheme="minorEastAsia"/>
                <w:sz w:val="22"/>
                <w:szCs w:val="22"/>
              </w:rPr>
              <w:t xml:space="preserve"> было поручено предусмотреть предоставление льготных кредитов в размере, </w:t>
            </w:r>
            <w:r w:rsidRPr="004D1379">
              <w:rPr>
                <w:sz w:val="22"/>
                <w:szCs w:val="22"/>
              </w:rPr>
              <w:t>не превышающем 500 млн рублей и сроком не более 7 лет</w:t>
            </w:r>
            <w:r w:rsidRPr="004D1379">
              <w:rPr>
                <w:color w:val="000000" w:themeColor="text1"/>
                <w:sz w:val="22"/>
                <w:szCs w:val="22"/>
              </w:rPr>
              <w:t xml:space="preserve">. </w:t>
            </w:r>
          </w:p>
          <w:p w:rsidR="004D1379" w:rsidRPr="004D1379" w:rsidRDefault="004D1379" w:rsidP="004D1379">
            <w:pPr>
              <w:spacing w:after="80"/>
              <w:ind w:firstLine="467"/>
              <w:contextualSpacing/>
              <w:jc w:val="both"/>
              <w:rPr>
                <w:sz w:val="22"/>
                <w:szCs w:val="22"/>
              </w:rPr>
            </w:pPr>
            <w:r w:rsidRPr="004D1379">
              <w:rPr>
                <w:sz w:val="22"/>
                <w:szCs w:val="22"/>
              </w:rPr>
              <w:t xml:space="preserve">При формировании проекта федерального бюджета «О федеральном бюджете </w:t>
            </w:r>
            <w:r w:rsidRPr="004D1379">
              <w:rPr>
                <w:sz w:val="22"/>
                <w:szCs w:val="22"/>
              </w:rPr>
              <w:br/>
              <w:t xml:space="preserve">на 2024 год и на плановый период 2025 и 2026 годов» предусмотрены бюджетные ассигнования в 2024 г. в размере 2 291,5 тыс. рублей </w:t>
            </w:r>
          </w:p>
          <w:p w:rsidR="004D1379" w:rsidRPr="004D1379" w:rsidRDefault="004D1379" w:rsidP="004D1379">
            <w:pPr>
              <w:spacing w:after="80"/>
              <w:ind w:firstLine="467"/>
              <w:contextualSpacing/>
              <w:jc w:val="both"/>
              <w:rPr>
                <w:sz w:val="22"/>
                <w:szCs w:val="22"/>
              </w:rPr>
            </w:pPr>
            <w:r w:rsidRPr="004D1379">
              <w:rPr>
                <w:sz w:val="22"/>
                <w:szCs w:val="22"/>
              </w:rPr>
              <w:t xml:space="preserve">Вопрос о предоставлении БА на 2025-2026 гг. будет рассмотрен при формировании проекта федерального закона «О федеральном бюджете на 2025 год и на плановый период 2026 и 2027 годов» с учетом выполнения показателей, предусмотренных на 2024 г. </w:t>
            </w:r>
          </w:p>
          <w:p w:rsidR="004D1379" w:rsidRPr="004D1379" w:rsidRDefault="004D1379" w:rsidP="004D1379">
            <w:pPr>
              <w:spacing w:after="80"/>
              <w:ind w:firstLine="467"/>
              <w:contextualSpacing/>
              <w:jc w:val="both"/>
              <w:rPr>
                <w:sz w:val="22"/>
                <w:szCs w:val="22"/>
              </w:rPr>
            </w:pPr>
            <w:r w:rsidRPr="004D1379">
              <w:rPr>
                <w:sz w:val="22"/>
                <w:szCs w:val="22"/>
              </w:rPr>
              <w:t>Увеличение максимального срока льготного кредитования по</w:t>
            </w:r>
            <w:r w:rsidRPr="004D1379">
              <w:rPr>
                <w:color w:val="292929"/>
                <w:sz w:val="22"/>
                <w:szCs w:val="22"/>
                <w:shd w:val="clear" w:color="auto" w:fill="FFFFFF"/>
              </w:rPr>
              <w:t xml:space="preserve">влечет за собой </w:t>
            </w:r>
            <w:r w:rsidRPr="004D1379">
              <w:rPr>
                <w:color w:val="292929"/>
                <w:sz w:val="22"/>
                <w:szCs w:val="22"/>
                <w:u w:val="single"/>
                <w:shd w:val="clear" w:color="auto" w:fill="FFFFFF"/>
              </w:rPr>
              <w:t>существенное увеличение объема длящихся государственных обязательств</w:t>
            </w:r>
            <w:r w:rsidRPr="004D1379">
              <w:rPr>
                <w:color w:val="292929"/>
                <w:sz w:val="22"/>
                <w:szCs w:val="22"/>
                <w:shd w:val="clear" w:color="auto" w:fill="FFFFFF"/>
              </w:rPr>
              <w:t xml:space="preserve">, в связи с тем, что на </w:t>
            </w:r>
            <w:r w:rsidRPr="004D1379">
              <w:rPr>
                <w:sz w:val="22"/>
                <w:szCs w:val="22"/>
              </w:rPr>
              <w:t xml:space="preserve">федеральный бюджет будет возложена </w:t>
            </w:r>
            <w:r w:rsidRPr="004D1379">
              <w:rPr>
                <w:sz w:val="22"/>
                <w:szCs w:val="22"/>
                <w:u w:val="single"/>
              </w:rPr>
              <w:t>обязанность</w:t>
            </w:r>
            <w:r w:rsidRPr="004D1379">
              <w:rPr>
                <w:sz w:val="22"/>
                <w:szCs w:val="22"/>
              </w:rPr>
              <w:t xml:space="preserve"> дополнительного </w:t>
            </w:r>
            <w:r w:rsidRPr="004D1379">
              <w:rPr>
                <w:sz w:val="22"/>
                <w:szCs w:val="22"/>
                <w:u w:val="single"/>
              </w:rPr>
              <w:t>субсидирования процентной ставки</w:t>
            </w:r>
            <w:r w:rsidRPr="004D1379">
              <w:rPr>
                <w:sz w:val="22"/>
                <w:szCs w:val="22"/>
              </w:rPr>
              <w:t xml:space="preserve"> кредитным организациям, а также </w:t>
            </w:r>
            <w:r w:rsidRPr="004D1379">
              <w:rPr>
                <w:sz w:val="22"/>
                <w:szCs w:val="22"/>
                <w:u w:val="single"/>
              </w:rPr>
              <w:t>рисков, связанных с ее изменением</w:t>
            </w:r>
            <w:r w:rsidRPr="004D1379">
              <w:rPr>
                <w:sz w:val="22"/>
                <w:szCs w:val="22"/>
              </w:rPr>
              <w:t xml:space="preserve">. </w:t>
            </w:r>
          </w:p>
          <w:p w:rsidR="004D1379" w:rsidRPr="004D1379" w:rsidRDefault="004D1379" w:rsidP="004D1379">
            <w:pPr>
              <w:ind w:firstLine="467"/>
              <w:jc w:val="both"/>
              <w:rPr>
                <w:kern w:val="16"/>
                <w:sz w:val="22"/>
                <w:szCs w:val="22"/>
              </w:rPr>
            </w:pPr>
            <w:r w:rsidRPr="004D1379">
              <w:rPr>
                <w:color w:val="292929"/>
                <w:sz w:val="22"/>
                <w:szCs w:val="22"/>
                <w:u w:val="single"/>
                <w:shd w:val="clear" w:color="auto" w:fill="FFFFFF"/>
              </w:rPr>
              <w:lastRenderedPageBreak/>
              <w:t>Увеличение срока</w:t>
            </w:r>
            <w:r w:rsidRPr="004D1379">
              <w:rPr>
                <w:color w:val="292929"/>
                <w:sz w:val="22"/>
                <w:szCs w:val="22"/>
                <w:shd w:val="clear" w:color="auto" w:fill="FFFFFF"/>
              </w:rPr>
              <w:t xml:space="preserve"> </w:t>
            </w:r>
            <w:r w:rsidRPr="004D1379">
              <w:rPr>
                <w:sz w:val="22"/>
                <w:szCs w:val="22"/>
              </w:rPr>
              <w:t xml:space="preserve">финансирования строительства производственных объектов на льготных условиях </w:t>
            </w:r>
            <w:r w:rsidRPr="004D1379">
              <w:rPr>
                <w:sz w:val="22"/>
                <w:szCs w:val="22"/>
                <w:u w:val="single"/>
              </w:rPr>
              <w:t>будет способствовать формированию несбалансированного перераспределения рисков в сторону государства и банковского сектора</w:t>
            </w:r>
            <w:r w:rsidRPr="004D1379">
              <w:rPr>
                <w:sz w:val="22"/>
                <w:szCs w:val="22"/>
              </w:rPr>
              <w:t xml:space="preserve">, а также </w:t>
            </w:r>
            <w:r w:rsidRPr="004D1379">
              <w:rPr>
                <w:sz w:val="22"/>
                <w:szCs w:val="22"/>
                <w:u w:val="single"/>
              </w:rPr>
              <w:t>созданию портфеля непрофильных (неликвидных) проблемных активов</w:t>
            </w:r>
            <w:r w:rsidRPr="004D1379">
              <w:rPr>
                <w:sz w:val="22"/>
                <w:szCs w:val="22"/>
              </w:rPr>
              <w:t xml:space="preserve"> на балансе (финансовые организации на инвестиционной стадии проекта берут на себя значительную часть рисков). </w:t>
            </w:r>
            <w:r w:rsidRPr="004D1379">
              <w:rPr>
                <w:sz w:val="22"/>
                <w:szCs w:val="22"/>
                <w:u w:val="single"/>
              </w:rPr>
              <w:t>Увеличение срока льготного кредитования</w:t>
            </w:r>
            <w:r w:rsidRPr="004D1379">
              <w:rPr>
                <w:sz w:val="22"/>
                <w:szCs w:val="22"/>
              </w:rPr>
              <w:t xml:space="preserve"> (по процентной ставке ниже инфляции) </w:t>
            </w:r>
            <w:r w:rsidRPr="004D1379">
              <w:rPr>
                <w:sz w:val="22"/>
                <w:szCs w:val="22"/>
                <w:u w:val="single"/>
              </w:rPr>
              <w:t>напрямую связано с длительным сроком запуска нового производства</w:t>
            </w:r>
            <w:r w:rsidRPr="004D1379">
              <w:rPr>
                <w:sz w:val="22"/>
                <w:szCs w:val="22"/>
              </w:rPr>
              <w:t>, а также отсутствием стимула для инвестора обеспечивать высокий темп возвратности кредитных средств.</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b/>
                <w:bCs/>
                <w:sz w:val="22"/>
                <w:szCs w:val="22"/>
              </w:rPr>
            </w:pPr>
            <w:r w:rsidRPr="004D1379">
              <w:rPr>
                <w:b/>
                <w:bCs/>
                <w:sz w:val="22"/>
                <w:szCs w:val="22"/>
              </w:rPr>
              <w:t>Дополнить пунктом «Поддержка закупочной деятельности субъектов МСП» и включить в него следующие положения:</w:t>
            </w:r>
          </w:p>
          <w:p w:rsidR="004D1379" w:rsidRPr="004D1379" w:rsidRDefault="004D1379" w:rsidP="004D1379">
            <w:pPr>
              <w:tabs>
                <w:tab w:val="left" w:pos="993"/>
              </w:tabs>
              <w:ind w:firstLine="567"/>
              <w:jc w:val="both"/>
              <w:rPr>
                <w:sz w:val="22"/>
                <w:szCs w:val="22"/>
              </w:rPr>
            </w:pPr>
            <w:r w:rsidRPr="004D1379">
              <w:rPr>
                <w:b/>
                <w:bCs/>
                <w:sz w:val="22"/>
                <w:szCs w:val="22"/>
              </w:rPr>
              <w:t xml:space="preserve">- </w:t>
            </w:r>
            <w:r w:rsidRPr="004D1379">
              <w:rPr>
                <w:sz w:val="22"/>
                <w:szCs w:val="22"/>
              </w:rPr>
              <w:t>Повышение начальной (максимальной) цены контракта при осуществлении закупок у субъектов малого предпринимательства и социально ориентированных некоммерческих организаций, осуществляемых в соответствии с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4D1379">
              <w:rPr>
                <w:sz w:val="22"/>
                <w:szCs w:val="22"/>
              </w:rPr>
              <w:t>далее  -</w:t>
            </w:r>
            <w:proofErr w:type="gramEnd"/>
            <w:r w:rsidRPr="004D1379">
              <w:rPr>
                <w:sz w:val="22"/>
                <w:szCs w:val="22"/>
              </w:rPr>
              <w:t xml:space="preserve"> Закон № 44-ФЗ), с 20 до 50 млн рублей. </w:t>
            </w:r>
          </w:p>
          <w:p w:rsidR="004D1379" w:rsidRPr="004D1379" w:rsidRDefault="004D1379" w:rsidP="004D1379">
            <w:pPr>
              <w:tabs>
                <w:tab w:val="left" w:pos="993"/>
              </w:tabs>
              <w:ind w:firstLine="567"/>
              <w:jc w:val="both"/>
              <w:rPr>
                <w:sz w:val="22"/>
                <w:szCs w:val="22"/>
              </w:rPr>
            </w:pPr>
            <w:r w:rsidRPr="004D1379">
              <w:rPr>
                <w:sz w:val="22"/>
                <w:szCs w:val="22"/>
              </w:rPr>
              <w:t xml:space="preserve">Предложение обосновано тем, что 20 млн руб., установленные Федеральным законом № 44-ФЗ с 2013 года, с учетом инфляции по данным индекса потребительских цен Росстата, в 2023 году сопоставимы с 39,5 млн рублей. </w:t>
            </w:r>
          </w:p>
        </w:tc>
        <w:tc>
          <w:tcPr>
            <w:tcW w:w="8256" w:type="dxa"/>
          </w:tcPr>
          <w:p w:rsidR="004D1379" w:rsidRPr="004D1379" w:rsidRDefault="004D1379" w:rsidP="004D1379">
            <w:pPr>
              <w:ind w:firstLine="467"/>
              <w:jc w:val="both"/>
              <w:rPr>
                <w:b/>
                <w:sz w:val="22"/>
                <w:szCs w:val="22"/>
              </w:rPr>
            </w:pPr>
            <w:r w:rsidRPr="004D1379">
              <w:rPr>
                <w:b/>
                <w:sz w:val="22"/>
                <w:szCs w:val="22"/>
              </w:rPr>
              <w:t>Не поддерживается.</w:t>
            </w:r>
          </w:p>
          <w:p w:rsidR="004D1379" w:rsidRPr="004D1379" w:rsidRDefault="004D1379" w:rsidP="004D1379">
            <w:pPr>
              <w:ind w:firstLine="467"/>
              <w:jc w:val="both"/>
              <w:rPr>
                <w:sz w:val="22"/>
                <w:szCs w:val="22"/>
              </w:rPr>
            </w:pPr>
            <w:r w:rsidRPr="004D1379">
              <w:rPr>
                <w:sz w:val="22"/>
                <w:szCs w:val="22"/>
              </w:rPr>
              <w:t>Увеличение порогового значения закупок у субъектов малого предпринимательства (далее – СМП) и социально ориентированных некоммерческих организаций (далее – СОНО) в рамках Закона № 44-ФЗ с 20 до 50 млн рублей приведет к укрупнению в 2,5 раза минимального объема заключаемого контракта, что существенно ограничит доступ СМП и СОНО к участию в закупках поскольку:</w:t>
            </w:r>
          </w:p>
          <w:p w:rsidR="004D1379" w:rsidRPr="004D1379" w:rsidRDefault="004D1379" w:rsidP="004D1379">
            <w:pPr>
              <w:ind w:firstLine="467"/>
              <w:jc w:val="both"/>
              <w:rPr>
                <w:sz w:val="22"/>
                <w:szCs w:val="22"/>
              </w:rPr>
            </w:pPr>
            <w:r w:rsidRPr="004D1379">
              <w:rPr>
                <w:sz w:val="22"/>
                <w:szCs w:val="22"/>
              </w:rPr>
              <w:t>- поддержку в форме заказа получит один СМП, СОНО на 50 млн рублей вместо трех разных указанных лиц, с которыми в настоящее время заключаются контракты на сумму до 20 млн рублей;</w:t>
            </w:r>
          </w:p>
          <w:p w:rsidR="004D1379" w:rsidRPr="004D1379" w:rsidRDefault="004D1379" w:rsidP="004D1379">
            <w:pPr>
              <w:ind w:firstLine="467"/>
              <w:jc w:val="both"/>
              <w:rPr>
                <w:sz w:val="22"/>
                <w:szCs w:val="22"/>
              </w:rPr>
            </w:pPr>
            <w:r w:rsidRPr="004D1379">
              <w:rPr>
                <w:sz w:val="22"/>
                <w:szCs w:val="22"/>
              </w:rPr>
              <w:t>- увеличится финансовая нагрузка на СМП, СОНО в связи с соразмерным увеличением размеров обеспечения заявки и исполнения контракта.</w:t>
            </w:r>
          </w:p>
          <w:p w:rsidR="004D1379" w:rsidRPr="004D1379" w:rsidRDefault="004D1379" w:rsidP="004D1379">
            <w:pPr>
              <w:ind w:firstLine="467"/>
              <w:jc w:val="both"/>
              <w:rPr>
                <w:sz w:val="22"/>
                <w:szCs w:val="22"/>
              </w:rPr>
            </w:pPr>
            <w:r w:rsidRPr="004D1379">
              <w:rPr>
                <w:sz w:val="22"/>
                <w:szCs w:val="22"/>
              </w:rPr>
              <w:t>Следует отметить, что в настоящее время средний размер цены контракта, заключенного в 2022 году в соответствии с Законом № 44-ФЗ, составляет около 3,5 млн рублей (в 2022 году в реестр контрактов, заключенных заказчиками, включена информация о заключении 3,2 млн контрактов на сумму 11,2 трлн. рублей).</w:t>
            </w:r>
          </w:p>
          <w:p w:rsidR="004D1379" w:rsidRPr="004D1379" w:rsidRDefault="004D1379" w:rsidP="004D1379">
            <w:pPr>
              <w:ind w:firstLine="467"/>
              <w:jc w:val="both"/>
              <w:rPr>
                <w:sz w:val="22"/>
                <w:szCs w:val="22"/>
              </w:rPr>
            </w:pPr>
            <w:r w:rsidRPr="004D1379">
              <w:rPr>
                <w:sz w:val="22"/>
                <w:szCs w:val="22"/>
              </w:rPr>
              <w:t>В этой связи предлагаемое увеличение вышеуказанного порогового значения является необоснованным, нарушает баланс интересов участников соответствующих правоотношений, в связи с чем не может быть поддержано.</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lang w:val="en-US"/>
              </w:rPr>
              <w:t>V</w:t>
            </w:r>
            <w:r w:rsidRPr="004D1379">
              <w:rPr>
                <w:b/>
                <w:kern w:val="16"/>
                <w:sz w:val="22"/>
                <w:szCs w:val="22"/>
              </w:rPr>
              <w:t>. Комфортная и безопасная среда для жизни</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sz w:val="22"/>
                <w:szCs w:val="22"/>
              </w:rPr>
            </w:pPr>
            <w:r w:rsidRPr="004D1379">
              <w:rPr>
                <w:sz w:val="22"/>
                <w:szCs w:val="22"/>
              </w:rPr>
              <w:t xml:space="preserve">Дополнить пунктом о необходимости совершенствования системы организации коммунального хозяйства и изложить его в следующей редакции: </w:t>
            </w:r>
            <w:r w:rsidRPr="004D1379">
              <w:rPr>
                <w:i/>
                <w:sz w:val="22"/>
                <w:szCs w:val="22"/>
              </w:rPr>
              <w:t>«В целях формирования тарифов на коммунальные ресурсы для реализации программы модернизации коммунальной инфраструктуры и эффективной реализации программы предоставления адресной поддержки граждан по оплате жилищно-коммунальных услуг предусмотреть:</w:t>
            </w:r>
          </w:p>
          <w:p w:rsidR="004D1379" w:rsidRPr="004D1379" w:rsidRDefault="004D1379" w:rsidP="004D1379">
            <w:pPr>
              <w:ind w:firstLine="567"/>
              <w:jc w:val="both"/>
              <w:rPr>
                <w:i/>
                <w:sz w:val="22"/>
                <w:szCs w:val="22"/>
              </w:rPr>
            </w:pPr>
            <w:r w:rsidRPr="004D1379">
              <w:rPr>
                <w:i/>
                <w:sz w:val="22"/>
                <w:szCs w:val="22"/>
              </w:rPr>
              <w:lastRenderedPageBreak/>
              <w:t>- перевод на федеральный уровень регулирования и финансирования адресной программы поддержки в оплате жилищно-коммунальных услуг;</w:t>
            </w:r>
          </w:p>
          <w:p w:rsidR="004D1379" w:rsidRPr="004D1379" w:rsidRDefault="004D1379" w:rsidP="004D1379">
            <w:pPr>
              <w:ind w:firstLine="567"/>
              <w:contextualSpacing/>
              <w:jc w:val="both"/>
              <w:rPr>
                <w:i/>
                <w:sz w:val="22"/>
                <w:szCs w:val="22"/>
              </w:rPr>
            </w:pPr>
            <w:r w:rsidRPr="004D1379">
              <w:rPr>
                <w:i/>
                <w:sz w:val="22"/>
                <w:szCs w:val="22"/>
              </w:rPr>
              <w:t>- расчет субсидий должен производиться и выплачиваться по факту (можно ограничить стандартом, чтобы исключить субсидирование элитного жилья) потребления, а не по нормативам;</w:t>
            </w:r>
          </w:p>
          <w:p w:rsidR="004D1379" w:rsidRPr="004D1379" w:rsidRDefault="004D1379" w:rsidP="004D1379">
            <w:pPr>
              <w:tabs>
                <w:tab w:val="left" w:pos="993"/>
              </w:tabs>
              <w:jc w:val="both"/>
              <w:rPr>
                <w:sz w:val="22"/>
                <w:szCs w:val="22"/>
              </w:rPr>
            </w:pPr>
            <w:r w:rsidRPr="004D1379">
              <w:rPr>
                <w:i/>
                <w:sz w:val="22"/>
                <w:szCs w:val="22"/>
              </w:rPr>
              <w:t>- максимальное использование цифровых инструментов для расчета и предоставления субсидий («</w:t>
            </w:r>
            <w:proofErr w:type="spellStart"/>
            <w:r w:rsidRPr="004D1379">
              <w:rPr>
                <w:i/>
                <w:sz w:val="22"/>
                <w:szCs w:val="22"/>
              </w:rPr>
              <w:t>пуш</w:t>
            </w:r>
            <w:proofErr w:type="spellEnd"/>
            <w:r w:rsidRPr="004D1379">
              <w:rPr>
                <w:i/>
                <w:sz w:val="22"/>
                <w:szCs w:val="22"/>
              </w:rPr>
              <w:t>» подход).»</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lastRenderedPageBreak/>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 xml:space="preserve">Учитывая, что в соответствии с пунктом 6 статьи 33 Федерального закона от 21 декабря 2021 г. № 414-ФЗ «Об общих принципах организации публичной власти в субъектах Российской Федерации» меры по обеспечению государственных гарантий социальной защиты населения, включая социальное обеспечение, адресной социальной поддержки граждан осуществляет высший исполнительный орган субъекта Российской Федерации, передача полномочий по организации </w:t>
            </w:r>
            <w:r w:rsidRPr="004D1379">
              <w:rPr>
                <w:kern w:val="16"/>
                <w:sz w:val="22"/>
                <w:szCs w:val="22"/>
              </w:rPr>
              <w:lastRenderedPageBreak/>
              <w:t>предоставления гражданам субсидий на оплату жилых помещений и коммунальных услуг на федеральный уровень 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 xml:space="preserve">Предложения ТПП РФ могут быть реализованы субъектами РФ самостоятельно </w:t>
            </w:r>
            <w:r w:rsidRPr="004D1379">
              <w:rPr>
                <w:kern w:val="16"/>
                <w:sz w:val="22"/>
                <w:szCs w:val="22"/>
              </w:rPr>
              <w:br/>
              <w:t>в рамках полномочий.</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rPr>
              <w:lastRenderedPageBreak/>
              <w:t>3.4. ТАМОЖЕННО-ТАРИФНОЕ РЕГУЛИРОВАНИЕ</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sz w:val="22"/>
                <w:szCs w:val="22"/>
              </w:rPr>
            </w:pPr>
            <w:r w:rsidRPr="004D1379">
              <w:rPr>
                <w:sz w:val="22"/>
                <w:szCs w:val="22"/>
              </w:rPr>
              <w:t xml:space="preserve">- в части тарифных квот на экспорт пшеницы и </w:t>
            </w:r>
            <w:proofErr w:type="spellStart"/>
            <w:r w:rsidRPr="004D1379">
              <w:rPr>
                <w:sz w:val="22"/>
                <w:szCs w:val="22"/>
              </w:rPr>
              <w:t>меслина</w:t>
            </w:r>
            <w:proofErr w:type="spellEnd"/>
            <w:r w:rsidRPr="004D1379">
              <w:rPr>
                <w:sz w:val="22"/>
                <w:szCs w:val="22"/>
              </w:rPr>
              <w:t>, ячменя и кукурузы предлагается снизить размер и установить плоскую шкалу экспортной пошлины на зерновые, не зависящую от колебания мировых цен на пшеницу (курса доллара).</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Вопросы установления (корректировки) ставок вывозных таможенных пошлин, тарифных квот рассматриваются в порядке, установленном постановлением Правительства Российской Федерации от 30 декабря 2009 г. № 1166 «О Правительственной комиссии по экономическому развитию и интеграции» (далее – постановление № 1166), через подкомиссию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(далее – Подкомиссия), обеспечение деятельности которой возложено на Минэкономразвития России.</w:t>
            </w:r>
          </w:p>
          <w:p w:rsidR="004D1379" w:rsidRPr="004D1379" w:rsidRDefault="004D1379" w:rsidP="004D1379">
            <w:pPr>
              <w:ind w:right="-2" w:firstLine="467"/>
              <w:jc w:val="both"/>
              <w:rPr>
                <w:kern w:val="16"/>
                <w:sz w:val="22"/>
                <w:szCs w:val="22"/>
              </w:rPr>
            </w:pPr>
            <w:r w:rsidRPr="004D1379">
              <w:rPr>
                <w:kern w:val="16"/>
                <w:sz w:val="22"/>
                <w:szCs w:val="22"/>
              </w:rPr>
              <w:t>Рассмотрение указанных вопросов осуществляется Подкомиссией на основании рассмотренных в установленном порядке федеральными органами исполнительной власти обращений предприятий, организаций, отраслевых ассоциаций и союзов, министерств и ведомств, субъектов Российской Федерации, других заинтересованных лиц.</w:t>
            </w:r>
          </w:p>
          <w:p w:rsidR="004D1379" w:rsidRPr="004D1379" w:rsidRDefault="004D1379" w:rsidP="004D1379">
            <w:pPr>
              <w:ind w:right="-2" w:firstLine="467"/>
              <w:jc w:val="both"/>
              <w:rPr>
                <w:sz w:val="22"/>
                <w:szCs w:val="22"/>
              </w:rPr>
            </w:pPr>
            <w:r w:rsidRPr="004D1379">
              <w:rPr>
                <w:kern w:val="16"/>
                <w:sz w:val="22"/>
                <w:szCs w:val="22"/>
              </w:rPr>
              <w:t>Для установления (корректировки) ставок вывозных таможенных пошлин, тарифных квот заинтересованному лицу необходимо обратиться в Подкомиссию по форме, размещенной на официальном сайте Министерства экономического развития Российской Федерации www.economy.gov.ru в разделе «Внешнеэкономическая деятельность» (подраздел Таможенно-тарифное регулирование») с предоставлением соответствующего финансово-экономического обоснования, подтверждающего целесообразность реализации предложений по установлению (корректировке) ставок вывозных таможенных пошлин, тарифных квот.</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rPr>
              <w:t>4.3. ГОСУДАРСТВЕННЫЕ ВНЕБЮДЖЕТНЫЕ ФОНДЫ</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sz w:val="22"/>
                <w:szCs w:val="22"/>
              </w:rPr>
            </w:pPr>
            <w:r w:rsidRPr="004D1379">
              <w:rPr>
                <w:sz w:val="22"/>
                <w:szCs w:val="22"/>
              </w:rPr>
              <w:t xml:space="preserve">- дополнить пункт о формировании расходов в части обязательного пенсионного страхования предложением о введении </w:t>
            </w:r>
            <w:r w:rsidRPr="004D1379">
              <w:rPr>
                <w:sz w:val="22"/>
                <w:szCs w:val="22"/>
              </w:rPr>
              <w:lastRenderedPageBreak/>
              <w:t>повышающего коэффициента при выплате страховой пенсии работникам сельского хозяйства с целью выравнивания разницы между страховыми пенсиями городских и сельских жителей.</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lastRenderedPageBreak/>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lastRenderedPageBreak/>
              <w:t>Вопрос введения повышающего коэффициента</w:t>
            </w:r>
            <w:r w:rsidRPr="004D1379">
              <w:rPr>
                <w:sz w:val="22"/>
                <w:szCs w:val="22"/>
              </w:rPr>
              <w:t xml:space="preserve"> </w:t>
            </w:r>
            <w:r w:rsidRPr="004D1379">
              <w:rPr>
                <w:kern w:val="16"/>
                <w:sz w:val="22"/>
                <w:szCs w:val="22"/>
              </w:rPr>
              <w:t xml:space="preserve">при выплате страховой пенсии работникам сельского хозяйства с целью выравнивания разницы между страховыми пенсиями городских и сельских жителей, в первую очередь потребует нового законодательного регулирования, которому также должна предшествовать комплексная, в том числе финансово-экономическая оценка данных предложений, в связи с чем, учитывая, что такие решения на законодательном уровне не приняты, отражение в </w:t>
            </w:r>
            <w:proofErr w:type="spellStart"/>
            <w:r w:rsidRPr="004D1379">
              <w:rPr>
                <w:kern w:val="16"/>
                <w:sz w:val="22"/>
                <w:szCs w:val="22"/>
              </w:rPr>
              <w:t>ОНБНиТТП</w:t>
            </w:r>
            <w:proofErr w:type="spellEnd"/>
            <w:r w:rsidRPr="004D1379">
              <w:rPr>
                <w:kern w:val="16"/>
                <w:sz w:val="22"/>
                <w:szCs w:val="22"/>
              </w:rPr>
              <w:t xml:space="preserve"> соответствующей информации нецелесообразно.</w:t>
            </w:r>
          </w:p>
          <w:p w:rsidR="004D1379" w:rsidRPr="004D1379" w:rsidRDefault="004D1379" w:rsidP="004D1379">
            <w:pPr>
              <w:ind w:right="-2" w:firstLine="467"/>
              <w:jc w:val="both"/>
              <w:rPr>
                <w:kern w:val="16"/>
                <w:sz w:val="22"/>
                <w:szCs w:val="22"/>
              </w:rPr>
            </w:pPr>
            <w:r w:rsidRPr="004D1379">
              <w:rPr>
                <w:kern w:val="16"/>
                <w:sz w:val="22"/>
                <w:szCs w:val="22"/>
              </w:rPr>
              <w:t xml:space="preserve">Вместе с тем отмечается, что в соответствии с действующим законодательством Российской Федерации в сфере пенсионного обеспечения </w:t>
            </w:r>
            <w:r w:rsidRPr="004D1379">
              <w:rPr>
                <w:i/>
                <w:kern w:val="16"/>
                <w:sz w:val="22"/>
                <w:szCs w:val="22"/>
              </w:rPr>
              <w:t>(ч. 14 ст. 17 Федерального закона от 28.12.2013 № 400-ФЗ «О страховых пенсиях»)</w:t>
            </w:r>
            <w:r w:rsidRPr="004D1379">
              <w:rPr>
                <w:i/>
                <w:sz w:val="22"/>
                <w:szCs w:val="22"/>
              </w:rPr>
              <w:t xml:space="preserve"> </w:t>
            </w:r>
            <w:r w:rsidRPr="004D1379">
              <w:rPr>
                <w:sz w:val="22"/>
                <w:szCs w:val="22"/>
              </w:rPr>
              <w:t>л</w:t>
            </w:r>
            <w:r w:rsidRPr="004D1379">
              <w:rPr>
                <w:kern w:val="16"/>
                <w:sz w:val="22"/>
                <w:szCs w:val="22"/>
              </w:rPr>
              <w:t>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частями 1 и 2 статьи 16 настоящего Федерального закона.</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rPr>
              <w:lastRenderedPageBreak/>
              <w:t>Приложение 2. МЕРЫ НАЛОГОВОЙ ПОЛИТИКИ ПО ВИДАМ НАЛОГОВ</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rPr>
              <w:t>Налог на прибыль организаций</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b/>
                <w:sz w:val="22"/>
                <w:szCs w:val="22"/>
              </w:rPr>
            </w:pPr>
            <w:r w:rsidRPr="004D1379">
              <w:rPr>
                <w:rFonts w:eastAsia="Calibri"/>
                <w:sz w:val="22"/>
                <w:szCs w:val="22"/>
              </w:rPr>
              <w:t xml:space="preserve">- </w:t>
            </w:r>
            <w:r w:rsidRPr="004D1379">
              <w:rPr>
                <w:sz w:val="22"/>
                <w:szCs w:val="22"/>
              </w:rPr>
              <w:t xml:space="preserve">предусмотреть положение об установлении </w:t>
            </w:r>
            <w:r w:rsidRPr="004D1379">
              <w:rPr>
                <w:rFonts w:eastAsia="Calibri"/>
                <w:sz w:val="22"/>
                <w:szCs w:val="22"/>
              </w:rPr>
              <w:t xml:space="preserve">снижения налогооблагаемой базы для исчисления налога на прибыль организаций в случае направления части или всей прибыли на обновление основных средств производства, НИОКР, лабораторного оборудования и программного обеспечения при реализации проектов </w:t>
            </w:r>
            <w:proofErr w:type="spellStart"/>
            <w:r w:rsidRPr="004D1379">
              <w:rPr>
                <w:rFonts w:eastAsia="Calibri"/>
                <w:sz w:val="22"/>
                <w:szCs w:val="22"/>
              </w:rPr>
              <w:t>импортозамещения</w:t>
            </w:r>
            <w:proofErr w:type="spellEnd"/>
            <w:r w:rsidRPr="004D1379">
              <w:rPr>
                <w:rFonts w:eastAsia="Calibri"/>
                <w:sz w:val="22"/>
                <w:szCs w:val="22"/>
              </w:rPr>
              <w:t xml:space="preserve">, </w:t>
            </w:r>
            <w:proofErr w:type="spellStart"/>
            <w:r w:rsidRPr="004D1379">
              <w:rPr>
                <w:rFonts w:eastAsia="Calibri"/>
                <w:sz w:val="22"/>
                <w:szCs w:val="22"/>
              </w:rPr>
              <w:t>цифровизации</w:t>
            </w:r>
            <w:proofErr w:type="spellEnd"/>
            <w:r w:rsidRPr="004D1379">
              <w:rPr>
                <w:rFonts w:eastAsia="Calibri"/>
                <w:sz w:val="22"/>
                <w:szCs w:val="22"/>
              </w:rPr>
              <w:t>, прорывных проектов перспективных технологий.</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rFonts w:eastAsia="Calibri"/>
                <w:sz w:val="22"/>
                <w:szCs w:val="22"/>
              </w:rPr>
            </w:pPr>
            <w:r w:rsidRPr="004D1379">
              <w:rPr>
                <w:kern w:val="16"/>
                <w:sz w:val="22"/>
                <w:szCs w:val="22"/>
              </w:rPr>
              <w:t xml:space="preserve">В настоящее время расходы, связанные с </w:t>
            </w:r>
            <w:r w:rsidRPr="004D1379">
              <w:rPr>
                <w:rFonts w:eastAsia="Calibri"/>
                <w:sz w:val="22"/>
                <w:szCs w:val="22"/>
              </w:rPr>
              <w:t>модернизацией амортизируемого имущества, увеличивают их первоначальную стоимость, которая погашается посредством начисления амортизации, сумма которой учитывается при определении налоговой базы по налогу на прибыль организаций. В свою очередь, расходы на НИОКР также уже учитываются при определении налоговой базы по налогу на прибыль организаций.</w:t>
            </w:r>
          </w:p>
          <w:p w:rsidR="004D1379" w:rsidRPr="004D1379" w:rsidRDefault="004D1379" w:rsidP="004D1379">
            <w:pPr>
              <w:ind w:right="-2" w:firstLine="467"/>
              <w:jc w:val="both"/>
              <w:rPr>
                <w:kern w:val="16"/>
                <w:sz w:val="22"/>
                <w:szCs w:val="22"/>
              </w:rPr>
            </w:pPr>
            <w:r w:rsidRPr="004D1379">
              <w:rPr>
                <w:rFonts w:eastAsia="Calibri"/>
                <w:sz w:val="22"/>
                <w:szCs w:val="22"/>
              </w:rPr>
              <w:t>Кроме того, такие расходы в качестве альтернативы могут учитываться в составе инвестиционного налогового вычета, в рамках механизма которого на сумму таких расходов уменьшается сумма налога на прибыль организаций.</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sz w:val="22"/>
                <w:szCs w:val="22"/>
              </w:rPr>
            </w:pPr>
            <w:r w:rsidRPr="004D1379">
              <w:rPr>
                <w:b/>
                <w:sz w:val="22"/>
                <w:szCs w:val="22"/>
              </w:rPr>
              <w:t xml:space="preserve">- </w:t>
            </w:r>
            <w:r w:rsidRPr="004D1379">
              <w:rPr>
                <w:sz w:val="22"/>
                <w:szCs w:val="22"/>
              </w:rPr>
              <w:t xml:space="preserve">дополнить новым пунктом: «Устранить неопределенность в правовом регулировании судьбы вкладов в имущество, ранее сделанных акционером/участником общества, в случаях реорганизации, </w:t>
            </w:r>
            <w:r w:rsidRPr="004D1379">
              <w:rPr>
                <w:sz w:val="22"/>
                <w:szCs w:val="22"/>
              </w:rPr>
              <w:lastRenderedPageBreak/>
              <w:t xml:space="preserve">а также в случае передачи акций/долей общества в качестве вклада в уставный капитал другого юридического лица». </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lastRenderedPageBreak/>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 xml:space="preserve">Вклад в имущество является безвозмездной передачей учредителя (акционера) обществу и не направлен на формирование каких-то дополнительных прав учредителя </w:t>
            </w:r>
            <w:r w:rsidRPr="004D1379">
              <w:rPr>
                <w:kern w:val="16"/>
                <w:sz w:val="22"/>
                <w:szCs w:val="22"/>
              </w:rPr>
              <w:lastRenderedPageBreak/>
              <w:t>(акционера). Нормы Кодекса, позволяющие не облагать полученные доходы от дочерней организации в пределах ранее перечисленного имущества, не предполагают распространения этих норм на все случаи, возникающие в процессе хозяйственной деятельности, тем более, как сказано выше, передача вклада в имущество, не породила никаких прав и обязанностей между участниками такой сделки.</w:t>
            </w:r>
          </w:p>
          <w:p w:rsidR="004D1379" w:rsidRPr="004D1379" w:rsidRDefault="004D1379" w:rsidP="004D1379">
            <w:pPr>
              <w:ind w:right="-2" w:firstLine="467"/>
              <w:jc w:val="both"/>
              <w:rPr>
                <w:kern w:val="16"/>
                <w:sz w:val="22"/>
                <w:szCs w:val="22"/>
              </w:rPr>
            </w:pPr>
            <w:r w:rsidRPr="004D1379">
              <w:rPr>
                <w:kern w:val="16"/>
                <w:sz w:val="22"/>
                <w:szCs w:val="22"/>
              </w:rPr>
              <w:t>Таким образом, никаких «неопределенностей в правовом регулировании судьбы вкладов»  не возникает.</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sz w:val="22"/>
                <w:szCs w:val="22"/>
              </w:rPr>
            </w:pPr>
            <w:r w:rsidRPr="004D1379">
              <w:rPr>
                <w:sz w:val="22"/>
                <w:szCs w:val="22"/>
              </w:rPr>
              <w:t xml:space="preserve">В 2020 году приняты и с 2021 года действуют (368-ФЗ от 09.11.2020) изменения НК РФ, установившие возможность учета сумм, внесенных в качестве </w:t>
            </w:r>
            <w:r w:rsidRPr="004D1379">
              <w:rPr>
                <w:bCs/>
                <w:sz w:val="22"/>
                <w:szCs w:val="22"/>
              </w:rPr>
              <w:t>вклада в имущество</w:t>
            </w:r>
            <w:r w:rsidRPr="004D1379">
              <w:rPr>
                <w:b/>
                <w:bCs/>
                <w:sz w:val="22"/>
                <w:szCs w:val="22"/>
              </w:rPr>
              <w:t xml:space="preserve"> </w:t>
            </w:r>
            <w:r w:rsidRPr="004D1379">
              <w:rPr>
                <w:bCs/>
                <w:sz w:val="22"/>
                <w:szCs w:val="22"/>
              </w:rPr>
              <w:t>общество</w:t>
            </w:r>
            <w:r w:rsidRPr="004D1379">
              <w:rPr>
                <w:sz w:val="22"/>
                <w:szCs w:val="22"/>
              </w:rPr>
              <w:t>, в составе расходов при реализации долей, при реализации акций, при определении финансового результата при ликвидации общества, а также при выходе (выбытии) акционера (участника) из организации. В то же время при принятии этого пакета поправок не была определена судьба вклада в имущество для других возможных случаев:</w:t>
            </w:r>
          </w:p>
          <w:p w:rsidR="004D1379" w:rsidRPr="004D1379" w:rsidRDefault="004D1379" w:rsidP="004D1379">
            <w:pPr>
              <w:ind w:firstLine="567"/>
              <w:contextualSpacing/>
              <w:jc w:val="both"/>
              <w:rPr>
                <w:sz w:val="22"/>
                <w:szCs w:val="22"/>
              </w:rPr>
            </w:pPr>
            <w:r w:rsidRPr="004D1379">
              <w:rPr>
                <w:sz w:val="22"/>
                <w:szCs w:val="22"/>
              </w:rPr>
              <w:t xml:space="preserve">- если акции/доли общества, которому сделан вклад в имущество, переданы в качестве </w:t>
            </w:r>
            <w:proofErr w:type="spellStart"/>
            <w:r w:rsidRPr="004D1379">
              <w:rPr>
                <w:sz w:val="22"/>
                <w:szCs w:val="22"/>
              </w:rPr>
              <w:t>неденежного</w:t>
            </w:r>
            <w:proofErr w:type="spellEnd"/>
            <w:r w:rsidRPr="004D1379">
              <w:rPr>
                <w:sz w:val="22"/>
                <w:szCs w:val="22"/>
              </w:rPr>
              <w:t xml:space="preserve"> вклада в уставный капитал другого юридического лица;</w:t>
            </w:r>
          </w:p>
          <w:p w:rsidR="004D1379" w:rsidRPr="004D1379" w:rsidRDefault="004D1379" w:rsidP="004D1379">
            <w:pPr>
              <w:ind w:firstLine="567"/>
              <w:contextualSpacing/>
              <w:jc w:val="both"/>
              <w:rPr>
                <w:sz w:val="22"/>
                <w:szCs w:val="22"/>
              </w:rPr>
            </w:pPr>
            <w:r w:rsidRPr="004D1379">
              <w:rPr>
                <w:sz w:val="22"/>
                <w:szCs w:val="22"/>
              </w:rPr>
              <w:t>-</w:t>
            </w:r>
            <w:r w:rsidRPr="004D1379">
              <w:rPr>
                <w:sz w:val="22"/>
                <w:szCs w:val="22"/>
                <w:lang w:val="en-US"/>
              </w:rPr>
              <w:t> </w:t>
            </w:r>
            <w:r w:rsidRPr="004D1379">
              <w:rPr>
                <w:sz w:val="22"/>
                <w:szCs w:val="22"/>
              </w:rPr>
              <w:t>если общество, которому сделан вклад в имущество, реорганизовано любым из предусмотренных законом способов либо реорганизован акционер (участник) общества, сделавший ранее вклад в имущество.</w:t>
            </w:r>
          </w:p>
          <w:p w:rsidR="004D1379" w:rsidRPr="004D1379" w:rsidRDefault="004D1379" w:rsidP="004D1379">
            <w:pPr>
              <w:ind w:firstLine="567"/>
              <w:contextualSpacing/>
              <w:jc w:val="both"/>
              <w:rPr>
                <w:sz w:val="22"/>
                <w:szCs w:val="22"/>
              </w:rPr>
            </w:pPr>
            <w:r w:rsidRPr="004D1379">
              <w:rPr>
                <w:sz w:val="22"/>
                <w:szCs w:val="22"/>
              </w:rPr>
              <w:t>В результате в любом из перечисленных выше сценариев имеется правовая неопределенность в вопросе о том, как учитывать в этих случаях ранее внесенный вклад в имущество (в его невозвращенной части) в целях недопущения потери таких затрат.</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Вклад в имущество является безвозмездной передачей учредителя (акционера) обществу и не направлен на формирование каких-то дополнительных прав учредителя (акционера). Нормы Кодекса, позволяющие не облагать полученные доходы от дочерней организации в пределах ранее перечисленного имущества, не предполагают распространения этих норм на все случаи жизни, тем более, как сказано выше, передача вклада в имущество, не породило никаких прав и обязанностей между участниками такой сделки.</w:t>
            </w:r>
          </w:p>
          <w:p w:rsidR="004D1379" w:rsidRPr="004D1379" w:rsidRDefault="004D1379" w:rsidP="004D1379">
            <w:pPr>
              <w:ind w:right="-2" w:firstLine="467"/>
              <w:jc w:val="both"/>
              <w:rPr>
                <w:kern w:val="16"/>
                <w:sz w:val="22"/>
                <w:szCs w:val="22"/>
              </w:rPr>
            </w:pPr>
            <w:r w:rsidRPr="004D1379">
              <w:rPr>
                <w:kern w:val="16"/>
                <w:sz w:val="22"/>
                <w:szCs w:val="22"/>
              </w:rPr>
              <w:t>Таким образом, никаких «неопределенностей в правовом регулировании судьбы вкладов» не возникает.</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rPr>
              <w:t>Налог на добавленную стоимость</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ind w:firstLine="567"/>
              <w:jc w:val="both"/>
              <w:rPr>
                <w:rFonts w:eastAsia="Calibri"/>
                <w:sz w:val="22"/>
                <w:szCs w:val="22"/>
              </w:rPr>
            </w:pPr>
            <w:r w:rsidRPr="004D1379">
              <w:rPr>
                <w:b/>
                <w:sz w:val="22"/>
                <w:szCs w:val="22"/>
              </w:rPr>
              <w:t xml:space="preserve">- </w:t>
            </w:r>
            <w:r w:rsidRPr="004D1379">
              <w:rPr>
                <w:sz w:val="22"/>
                <w:szCs w:val="22"/>
              </w:rPr>
              <w:t>дополнить</w:t>
            </w:r>
            <w:r w:rsidRPr="004D1379">
              <w:rPr>
                <w:rFonts w:eastAsia="Calibri"/>
                <w:sz w:val="22"/>
                <w:szCs w:val="22"/>
              </w:rPr>
              <w:t xml:space="preserve"> положением об исключении дополнительного начисления 10% налога на добавленную стоимость (далее – НДС) на сделки с поставками семян, прошедших протравливание средствами защиты растений за последние три года.</w:t>
            </w:r>
          </w:p>
        </w:tc>
        <w:tc>
          <w:tcPr>
            <w:tcW w:w="8256" w:type="dxa"/>
          </w:tcPr>
          <w:p w:rsidR="004D1379" w:rsidRPr="004D1379" w:rsidRDefault="004D1379" w:rsidP="004D1379">
            <w:pPr>
              <w:ind w:right="-2" w:firstLine="467"/>
              <w:jc w:val="both"/>
              <w:rPr>
                <w:kern w:val="16"/>
                <w:sz w:val="22"/>
                <w:szCs w:val="22"/>
              </w:rPr>
            </w:pPr>
            <w:r w:rsidRPr="004D1379">
              <w:rPr>
                <w:b/>
                <w:kern w:val="16"/>
                <w:sz w:val="22"/>
                <w:szCs w:val="22"/>
              </w:rPr>
              <w:t>Предложение находится в проработке</w:t>
            </w:r>
            <w:r w:rsidRPr="004D1379">
              <w:rPr>
                <w:kern w:val="16"/>
                <w:sz w:val="22"/>
                <w:szCs w:val="22"/>
              </w:rPr>
              <w:t xml:space="preserve"> в части применения ставки НДС в размере 10 процентов при реализации протравленных семян подсолнечника и кукурузы, с возможностью применения указанных изменений к правоотношениям, возникшим с 01.01.2020 по 31.12.2029 года (письмо Минфина России от 13.10.2023 № 18-03-06/97309).</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sz w:val="22"/>
                <w:szCs w:val="22"/>
              </w:rPr>
            </w:pPr>
            <w:r w:rsidRPr="004D1379">
              <w:rPr>
                <w:rFonts w:eastAsia="Calibri"/>
                <w:sz w:val="22"/>
                <w:szCs w:val="22"/>
              </w:rPr>
              <w:t xml:space="preserve">- отменить </w:t>
            </w:r>
            <w:r w:rsidRPr="004D1379">
              <w:rPr>
                <w:sz w:val="22"/>
                <w:szCs w:val="22"/>
              </w:rPr>
              <w:t xml:space="preserve">ввозные таможенные пошлины на бессрочной основе и НДС при ввозе вторичного и минерального сырья на территорию Российской Федерации с целью загрузки производственных </w:t>
            </w:r>
            <w:r w:rsidRPr="004D1379">
              <w:rPr>
                <w:sz w:val="22"/>
                <w:szCs w:val="22"/>
              </w:rPr>
              <w:lastRenderedPageBreak/>
              <w:t xml:space="preserve">мощностей. Источники сырья в России не обеспечивают загрузку производственных мощностей аффинажных предприятий, которые более чем в 2 раза превышают объемы добычи минерального и сбора вторичного сырья на территории Российской Федерации. При этом таможенные пошлины являются заградительным барьером для ввоза сырья, содержащего драгоценные металлы. Размер таможенных пошлин на сырье (12 - 15%) даже превышает размер пошлин на готовую продукцию (ювелирные изделия - 10%), что нарушает принцип эскалации тарифа. Временная отмена пошлин позволила начать импорт сырья в 2015 году. Однако каждая процедура продления временной отмены пошлин в соответствующих органах Российской Федерации и Евразийского экономического союза (далее - ЕАЭС) занимает до 1,5 лет и может превышать период ее действия. Непредсказуемый размер пошлин не позволяет заключать долгосрочные контракты с поставщиками, приводит к приостановке поставок, разрыву контрактов и экономическим потерям, вредит деловой репутации, снижает конкурентоспособность российских компаний на международном рынке. Кроме того, </w:t>
            </w:r>
            <w:proofErr w:type="spellStart"/>
            <w:r w:rsidRPr="004D1379">
              <w:rPr>
                <w:sz w:val="22"/>
                <w:szCs w:val="22"/>
              </w:rPr>
              <w:t>санкционное</w:t>
            </w:r>
            <w:proofErr w:type="spellEnd"/>
            <w:r w:rsidRPr="004D1379">
              <w:rPr>
                <w:sz w:val="22"/>
                <w:szCs w:val="22"/>
              </w:rPr>
              <w:t xml:space="preserve"> давление, усложнение логистики поставок, затруднение с трансграничными расчетами еще более обострило конкуренцию за поставщиков на международном рынке сырья, содержащего драгоценные металлы.</w:t>
            </w:r>
          </w:p>
          <w:p w:rsidR="004D1379" w:rsidRPr="004D1379" w:rsidRDefault="004D1379" w:rsidP="004D1379">
            <w:pPr>
              <w:ind w:firstLine="567"/>
              <w:jc w:val="both"/>
              <w:rPr>
                <w:sz w:val="22"/>
                <w:szCs w:val="22"/>
              </w:rPr>
            </w:pPr>
            <w:r w:rsidRPr="004D1379">
              <w:rPr>
                <w:sz w:val="22"/>
                <w:szCs w:val="22"/>
              </w:rPr>
              <w:t>Необходимо ответить, что в 2021 году после рассмотрении очередного заявления Красцветмета о продлении действия нулевых ставок ввозной пошлины на лом и отходы драгоценных металлов (код 7112 ТН ВЭД ЕАЭС) рабочей группой по таможенно-тарифному регулированию и ответным мерам во внешней торговле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Минэкономразвития от имени Российской Федерации впервые было предложено Евразийской экономической комиссии (ЕЭК) рассмотреть установление на постоянной основе нулевых ввозных таможенных пошлин. Однако на тот момент не все государства-члены Евразийского экономического союза поддержали указанное предложение, и решение ЕЭК об обнулении ввозных пошлин в очередной раз было принято на временной основе.</w:t>
            </w:r>
          </w:p>
          <w:p w:rsidR="004D1379" w:rsidRPr="004D1379" w:rsidRDefault="004D1379" w:rsidP="004D1379">
            <w:pPr>
              <w:ind w:firstLine="567"/>
              <w:jc w:val="both"/>
              <w:rPr>
                <w:sz w:val="22"/>
                <w:szCs w:val="22"/>
              </w:rPr>
            </w:pPr>
            <w:r w:rsidRPr="004D1379">
              <w:rPr>
                <w:sz w:val="22"/>
                <w:szCs w:val="22"/>
              </w:rPr>
              <w:lastRenderedPageBreak/>
              <w:t>Наличие НДС при ввозе сырья снижает конкурентоспособность российских компаний на международном рынке драгоценных металлов. Формирование цен сделок зависит от международной цены, не учитывающей влияния НДС. Удельный вес сырья в себестоимости (до 99%) требует значительных денежных средств для расчетов как по сырью, так и по НДС. Более высокая стоимость кредитных ресурсов для российских компаний, отвлечение дополнительных оборотных средств в расчеты по НДС приводит к удорожанию сырья до 0,7% его стоимости и снижает рентабельность сделок.</w:t>
            </w:r>
          </w:p>
          <w:p w:rsidR="004D1379" w:rsidRPr="004D1379" w:rsidRDefault="004D1379" w:rsidP="004D1379">
            <w:pPr>
              <w:ind w:firstLine="567"/>
              <w:jc w:val="both"/>
              <w:rPr>
                <w:sz w:val="22"/>
                <w:szCs w:val="22"/>
              </w:rPr>
            </w:pPr>
            <w:r w:rsidRPr="004D1379">
              <w:rPr>
                <w:sz w:val="22"/>
                <w:szCs w:val="22"/>
              </w:rPr>
              <w:t xml:space="preserve">Отмена ввозных таможенных пошлин на бессрочной основе и НДС, по оценкам экспертов, может привлечь в страну до 100 тонн драгоценных металлов, позволит увеличить загрузку производственных мощностей аффинажных предприятий, будет способствовать росту занятости и налоговых платежей. При этом за счет роста объемов ввоза и переработки сырья и, соответственно, налоговых платежей по налогу на прибыль, страховых взносов и НДФЛ, доходы бюджета от отмены НДС не уменьшатся. </w:t>
            </w:r>
          </w:p>
        </w:tc>
        <w:tc>
          <w:tcPr>
            <w:tcW w:w="8256" w:type="dxa"/>
          </w:tcPr>
          <w:p w:rsidR="004D1379" w:rsidRPr="004D1379" w:rsidRDefault="004D1379" w:rsidP="004D1379">
            <w:pPr>
              <w:ind w:right="-2" w:firstLine="467"/>
              <w:jc w:val="both"/>
              <w:rPr>
                <w:b/>
                <w:color w:val="000000" w:themeColor="text1"/>
                <w:kern w:val="16"/>
                <w:sz w:val="22"/>
                <w:szCs w:val="22"/>
              </w:rPr>
            </w:pPr>
            <w:r w:rsidRPr="004D1379">
              <w:rPr>
                <w:b/>
                <w:color w:val="000000" w:themeColor="text1"/>
                <w:kern w:val="16"/>
                <w:sz w:val="22"/>
                <w:szCs w:val="22"/>
              </w:rPr>
              <w:lastRenderedPageBreak/>
              <w:t>Данное предложение требует дополнительной проработки.</w:t>
            </w:r>
          </w:p>
          <w:p w:rsidR="004D1379" w:rsidRPr="004D1379" w:rsidRDefault="004D1379" w:rsidP="004D1379">
            <w:pPr>
              <w:ind w:right="-2" w:firstLine="467"/>
              <w:jc w:val="both"/>
              <w:rPr>
                <w:kern w:val="16"/>
                <w:sz w:val="22"/>
                <w:szCs w:val="22"/>
              </w:rPr>
            </w:pPr>
            <w:r w:rsidRPr="004D1379">
              <w:rPr>
                <w:kern w:val="16"/>
                <w:sz w:val="22"/>
                <w:szCs w:val="22"/>
              </w:rPr>
              <w:lastRenderedPageBreak/>
              <w:t>Предложение направлено на стимулирование увеличения переработки сырья на территории Российской Федерации и производства драгоценных металлов российскими организациями.</w:t>
            </w:r>
          </w:p>
          <w:p w:rsidR="004D1379" w:rsidRPr="004D1379" w:rsidRDefault="004D1379" w:rsidP="004D1379">
            <w:pPr>
              <w:ind w:right="-2" w:firstLine="467"/>
              <w:jc w:val="both"/>
              <w:rPr>
                <w:kern w:val="16"/>
                <w:sz w:val="22"/>
                <w:szCs w:val="22"/>
              </w:rPr>
            </w:pPr>
            <w:r w:rsidRPr="004D1379">
              <w:rPr>
                <w:kern w:val="16"/>
                <w:sz w:val="22"/>
                <w:szCs w:val="22"/>
              </w:rPr>
              <w:t>В настоящее время практически весь объем добываемых в стране драгоценных металлов поступает на переработку на российские аффинажные заводы, а вывоз вторичного сырья, содержащего драгоценные металлы, из Российской Федерации запрещен с 2022 г. При этом загрузка имеющихся мощностей аффинажных заводов не превышает 30 %.</w:t>
            </w:r>
          </w:p>
          <w:p w:rsidR="004D1379" w:rsidRPr="004D1379" w:rsidRDefault="004D1379" w:rsidP="004D1379">
            <w:pPr>
              <w:ind w:right="-2" w:firstLine="467"/>
              <w:jc w:val="both"/>
              <w:rPr>
                <w:kern w:val="16"/>
                <w:sz w:val="22"/>
                <w:szCs w:val="22"/>
              </w:rPr>
            </w:pPr>
            <w:r w:rsidRPr="004D1379">
              <w:rPr>
                <w:kern w:val="16"/>
                <w:sz w:val="22"/>
                <w:szCs w:val="22"/>
              </w:rPr>
              <w:t>Считаем, что отмена таможенных пошлин и НДС на ввоз сырья, содержащего драгоценные металлы, будет способствовать росту производства аффинированных драгоценных металлов, совершенствованию технологий переработки сырья, поддержке российской перерабатывающей отрасли.</w:t>
            </w:r>
          </w:p>
          <w:p w:rsidR="004D1379" w:rsidRPr="004D1379" w:rsidRDefault="004D1379" w:rsidP="004D1379">
            <w:pPr>
              <w:ind w:right="-2" w:firstLine="467"/>
              <w:jc w:val="both"/>
              <w:rPr>
                <w:b/>
                <w:color w:val="FF0000"/>
                <w:kern w:val="16"/>
                <w:sz w:val="22"/>
                <w:szCs w:val="22"/>
              </w:rPr>
            </w:pPr>
            <w:r w:rsidRPr="004D1379">
              <w:rPr>
                <w:kern w:val="16"/>
                <w:sz w:val="22"/>
                <w:szCs w:val="22"/>
              </w:rPr>
              <w:t>Одновременно при принятии решения о целесообразности реализации предложения необходимо провести оценку последствий для бюджета Российской Федерации.</w:t>
            </w:r>
          </w:p>
          <w:p w:rsidR="004D1379" w:rsidRPr="004D1379" w:rsidRDefault="004D1379" w:rsidP="004D1379">
            <w:pPr>
              <w:ind w:right="-2" w:firstLine="467"/>
              <w:jc w:val="both"/>
              <w:rPr>
                <w:kern w:val="16"/>
                <w:sz w:val="22"/>
                <w:szCs w:val="22"/>
              </w:rPr>
            </w:pPr>
            <w:r w:rsidRPr="004D1379">
              <w:rPr>
                <w:color w:val="000000" w:themeColor="text1"/>
                <w:kern w:val="16"/>
                <w:sz w:val="22"/>
                <w:szCs w:val="22"/>
              </w:rPr>
              <w:t xml:space="preserve">Также необходимо отметить, что вопрос установления (корректировки) ставок ввозных таможенных пошлин регулируется </w:t>
            </w:r>
            <w:r w:rsidRPr="004D1379">
              <w:rPr>
                <w:kern w:val="16"/>
                <w:sz w:val="22"/>
                <w:szCs w:val="22"/>
              </w:rPr>
              <w:t>в наднациональном порядке решениями Евразийской экономической комиссии (далее – ЕЭК), на основании предложений государств – членов Евразийского экономического союза (далее – ЕАЭС).</w:t>
            </w:r>
          </w:p>
          <w:p w:rsidR="004D1379" w:rsidRPr="004D1379" w:rsidRDefault="004D1379" w:rsidP="004D1379">
            <w:pPr>
              <w:ind w:right="-2" w:firstLine="467"/>
              <w:jc w:val="both"/>
              <w:rPr>
                <w:kern w:val="16"/>
                <w:sz w:val="22"/>
                <w:szCs w:val="22"/>
              </w:rPr>
            </w:pPr>
            <w:r w:rsidRPr="004D1379">
              <w:rPr>
                <w:kern w:val="16"/>
                <w:sz w:val="22"/>
                <w:szCs w:val="22"/>
              </w:rPr>
              <w:t xml:space="preserve">Порядок взаимодействия с ЕЭК, в том числе при подготовке предложений по установлению (корректировке) ставок ввозных таможенных пошлин, определен Положением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21 октября 2015 г. № 1126 (далее – Положение). </w:t>
            </w:r>
          </w:p>
          <w:p w:rsidR="004D1379" w:rsidRPr="004D1379" w:rsidRDefault="004D1379" w:rsidP="004D1379">
            <w:pPr>
              <w:ind w:right="-2" w:firstLine="467"/>
              <w:jc w:val="both"/>
              <w:rPr>
                <w:kern w:val="16"/>
                <w:sz w:val="22"/>
                <w:szCs w:val="22"/>
              </w:rPr>
            </w:pPr>
            <w:r w:rsidRPr="004D1379">
              <w:rPr>
                <w:kern w:val="16"/>
                <w:sz w:val="22"/>
                <w:szCs w:val="22"/>
              </w:rPr>
              <w:t>В соответствии с пунктом 5 Положения координацию деятельности федеральных органов исполнительной власти по взаимодействию с ЕЭК осуществляет Министерство экономического развития Российской Федерации.</w:t>
            </w:r>
          </w:p>
          <w:p w:rsidR="004D1379" w:rsidRPr="004D1379" w:rsidRDefault="004D1379" w:rsidP="004D1379">
            <w:pPr>
              <w:ind w:right="-2" w:firstLine="467"/>
              <w:jc w:val="both"/>
              <w:rPr>
                <w:kern w:val="16"/>
                <w:sz w:val="22"/>
                <w:szCs w:val="22"/>
              </w:rPr>
            </w:pPr>
            <w:r w:rsidRPr="004D1379">
              <w:rPr>
                <w:kern w:val="16"/>
                <w:sz w:val="22"/>
                <w:szCs w:val="22"/>
              </w:rPr>
              <w:t>Рассмотрение предложений по корректировке ставок ввозных таможенных пошлин осуществляется в порядке, установленном постановлением № 1166 через Подкомиссию.</w:t>
            </w:r>
          </w:p>
          <w:p w:rsidR="004D1379" w:rsidRPr="004D1379" w:rsidRDefault="004D1379" w:rsidP="004D1379">
            <w:pPr>
              <w:ind w:right="-2" w:firstLine="467"/>
              <w:jc w:val="both"/>
              <w:rPr>
                <w:sz w:val="22"/>
                <w:szCs w:val="22"/>
              </w:rPr>
            </w:pP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sz w:val="22"/>
                <w:szCs w:val="22"/>
              </w:rPr>
            </w:pPr>
            <w:r w:rsidRPr="004D1379">
              <w:rPr>
                <w:sz w:val="22"/>
                <w:szCs w:val="22"/>
              </w:rPr>
              <w:t>-Установить 0% ставку НДС при реализации добывающими организациями минерального сырья аффинажным организациям и при реализации аффинажными организациями аффинированных драгоценных металлов из минерального сырья Гохрану РФ и банкам.</w:t>
            </w:r>
          </w:p>
          <w:p w:rsidR="004D1379" w:rsidRPr="004D1379" w:rsidRDefault="004D1379" w:rsidP="004D1379">
            <w:pPr>
              <w:ind w:firstLine="567"/>
              <w:jc w:val="both"/>
              <w:rPr>
                <w:sz w:val="22"/>
                <w:szCs w:val="22"/>
              </w:rPr>
            </w:pPr>
            <w:r w:rsidRPr="004D1379">
              <w:rPr>
                <w:sz w:val="22"/>
                <w:szCs w:val="22"/>
              </w:rPr>
              <w:t xml:space="preserve">Действующая система налогообложения НДС с включением входного «налога» в стоимость затрудняет реализацию минерального сырья добывающими компаниями аффинажным организациям на внутреннем рынке и фактически запрещает реализацию аффинированных драгоценных металлов из минерального сырья аффинажными организациями банкам и Гохрану. Применение ставки НДС 0% при продаже минерального сырья аффинажным организациям позволит мелким и средним добывающим компаниям получать финансовые средства на более ранней стадии и ускорить их оборот, что будет стимулировать добычу драгоценных металлов мелкими и средними компаниями и, соответственно, увеличит загрузку производственных мощностей аффинажных предприятий. Кроме того, возможность приобретения минерального сырья у субъектов добычи при нулевой ставке НДС будет источником драгоценных металлов для аффинажных организаций без наличия «входного» НДС для </w:t>
            </w:r>
            <w:r w:rsidRPr="004D1379">
              <w:rPr>
                <w:sz w:val="22"/>
                <w:szCs w:val="22"/>
              </w:rPr>
              <w:lastRenderedPageBreak/>
              <w:t>последующей продажи инвестиционных слитков физическим лицам. Субъектам добычи также невыгодно осуществлять реализацию минерального сырья аффинажным организациям с учетом действующей статьи 149 НК РФ, так как необходимо включать «входной» НДС в себестоимость.</w:t>
            </w:r>
          </w:p>
          <w:p w:rsidR="004D1379" w:rsidRPr="004D1379" w:rsidRDefault="004D1379" w:rsidP="004D1379">
            <w:pPr>
              <w:ind w:firstLine="567"/>
              <w:jc w:val="both"/>
              <w:rPr>
                <w:sz w:val="22"/>
                <w:szCs w:val="22"/>
              </w:rPr>
            </w:pPr>
            <w:r w:rsidRPr="004D1379">
              <w:rPr>
                <w:sz w:val="22"/>
                <w:szCs w:val="22"/>
              </w:rPr>
              <w:t xml:space="preserve">Банки являются крупнейшими покупателями драгоценных металлов. Действующие условия налогообложения практически лишают аффинажные организации доступа к важнейшему рынку сбыта драгоценных металлов и ограничивают их деятельность. Кроме того, затрудняется и доступ к торговле на бирже, так как стороной таких сделок является кредитная организация (центральный контрагент). Аффинажные организации также не могут реализовать Гохрану России и банкам аффинированные драгоценные металлы из минерального сырья, приобретенного за пределами России, в том числе из стран ЕАЭС, из-за убыточности таких сделок при отнесении «входного» НДС на затраты производства. </w:t>
            </w:r>
          </w:p>
          <w:p w:rsidR="004D1379" w:rsidRPr="004D1379" w:rsidRDefault="004D1379" w:rsidP="004D1379">
            <w:pPr>
              <w:ind w:firstLine="567"/>
              <w:jc w:val="both"/>
              <w:rPr>
                <w:sz w:val="22"/>
                <w:szCs w:val="22"/>
              </w:rPr>
            </w:pPr>
            <w:r w:rsidRPr="004D1379">
              <w:rPr>
                <w:sz w:val="22"/>
                <w:szCs w:val="22"/>
              </w:rPr>
              <w:t>Необходимо отметить, что реализация аналогичных аффинированных драгоценных металлов Гохрану России и банкам, произведенных аффинажными организациями из лома и отходов, облагается ставкой НДС 0%. Также реализация субъектами добычи аффинированных драгоценных металлов из минерального сырья Гохрану России и банкам облагается нулевой ставкой НДС.</w:t>
            </w:r>
          </w:p>
          <w:p w:rsidR="004D1379" w:rsidRPr="004D1379" w:rsidRDefault="004D1379" w:rsidP="004D1379">
            <w:pPr>
              <w:ind w:firstLine="567"/>
              <w:jc w:val="both"/>
              <w:rPr>
                <w:sz w:val="22"/>
                <w:szCs w:val="22"/>
              </w:rPr>
            </w:pPr>
            <w:r w:rsidRPr="004D1379">
              <w:rPr>
                <w:sz w:val="22"/>
                <w:szCs w:val="22"/>
              </w:rPr>
              <w:t xml:space="preserve">При установлении 0 % НДС для аффинажных организаций в целях реализации аффинированных драгоценных металлов из минерального сырья потери для бюджета не предвидятся, так как указанные сделки аффинажными организациями в настоящее время не осуществляются из-за убыточности в размере входного НДС. </w:t>
            </w:r>
          </w:p>
          <w:p w:rsidR="004D1379" w:rsidRPr="004D1379" w:rsidRDefault="004D1379" w:rsidP="004D1379">
            <w:pPr>
              <w:ind w:firstLine="567"/>
              <w:jc w:val="both"/>
              <w:rPr>
                <w:sz w:val="22"/>
                <w:szCs w:val="22"/>
              </w:rPr>
            </w:pPr>
            <w:r w:rsidRPr="004D1379">
              <w:rPr>
                <w:sz w:val="22"/>
                <w:szCs w:val="22"/>
              </w:rPr>
              <w:t>Применение нулевой ставки НДС при продаже аффинажными компаниями аффинированных драгоценных металлов банкам будет способствовать их развитию и росту торговли инвестиционными драгоценными металлами, в том числе в части продажи банками слитков физическим лицам.</w:t>
            </w:r>
          </w:p>
          <w:p w:rsidR="004D1379" w:rsidRPr="004D1379" w:rsidRDefault="004D1379" w:rsidP="004D1379">
            <w:pPr>
              <w:ind w:firstLine="567"/>
              <w:jc w:val="both"/>
              <w:rPr>
                <w:sz w:val="22"/>
                <w:szCs w:val="22"/>
              </w:rPr>
            </w:pPr>
            <w:r w:rsidRPr="004D1379">
              <w:rPr>
                <w:sz w:val="22"/>
                <w:szCs w:val="22"/>
              </w:rPr>
              <w:t>Таким образом, требуется внесение изменений в статьи 149 и 164 НК РФ.</w:t>
            </w:r>
          </w:p>
        </w:tc>
        <w:tc>
          <w:tcPr>
            <w:tcW w:w="8256" w:type="dxa"/>
          </w:tcPr>
          <w:p w:rsidR="004D1379" w:rsidRPr="004D1379" w:rsidRDefault="004D1379" w:rsidP="004D1379">
            <w:pPr>
              <w:ind w:right="-2" w:firstLine="467"/>
              <w:jc w:val="both"/>
              <w:rPr>
                <w:b/>
                <w:color w:val="000000" w:themeColor="text1"/>
                <w:kern w:val="16"/>
                <w:sz w:val="22"/>
                <w:szCs w:val="22"/>
              </w:rPr>
            </w:pPr>
            <w:r w:rsidRPr="004D1379">
              <w:rPr>
                <w:b/>
                <w:color w:val="000000" w:themeColor="text1"/>
                <w:kern w:val="16"/>
                <w:sz w:val="22"/>
                <w:szCs w:val="22"/>
              </w:rPr>
              <w:lastRenderedPageBreak/>
              <w:t>Данное предложение требует дополнительной проработки.</w:t>
            </w:r>
          </w:p>
          <w:p w:rsidR="004D1379" w:rsidRPr="004D1379" w:rsidRDefault="004D1379" w:rsidP="004D1379">
            <w:pPr>
              <w:ind w:right="-2" w:firstLine="467"/>
              <w:jc w:val="both"/>
              <w:rPr>
                <w:kern w:val="16"/>
                <w:sz w:val="22"/>
                <w:szCs w:val="22"/>
              </w:rPr>
            </w:pPr>
            <w:r w:rsidRPr="004D1379">
              <w:rPr>
                <w:kern w:val="16"/>
                <w:sz w:val="22"/>
                <w:szCs w:val="22"/>
              </w:rPr>
              <w:t xml:space="preserve">Отмена НДС на реализацию слитков драгоценных металлов банками, аффинажными организациями и АО «Гознак» физическим лицам позволила сформировать инвестиционный механизм использования драгоценных металлов. </w:t>
            </w:r>
          </w:p>
          <w:p w:rsidR="004D1379" w:rsidRPr="004D1379" w:rsidRDefault="004D1379" w:rsidP="004D1379">
            <w:pPr>
              <w:ind w:right="-2" w:firstLine="467"/>
              <w:jc w:val="both"/>
              <w:rPr>
                <w:kern w:val="16"/>
                <w:sz w:val="22"/>
                <w:szCs w:val="22"/>
              </w:rPr>
            </w:pPr>
            <w:r w:rsidRPr="004D1379">
              <w:rPr>
                <w:kern w:val="16"/>
                <w:sz w:val="22"/>
                <w:szCs w:val="22"/>
              </w:rPr>
              <w:t xml:space="preserve">Рост продаж слитков физическим лицам в 2022 г. превысил аналогичный показатель 2021 г. более чем в 20 раз. Тенденция роста продаж сохраняется и в 2023 г. </w:t>
            </w:r>
          </w:p>
          <w:p w:rsidR="004D1379" w:rsidRPr="004D1379" w:rsidRDefault="004D1379" w:rsidP="004D1379">
            <w:pPr>
              <w:ind w:right="-2" w:firstLine="467"/>
              <w:jc w:val="both"/>
              <w:rPr>
                <w:kern w:val="16"/>
                <w:sz w:val="22"/>
                <w:szCs w:val="22"/>
              </w:rPr>
            </w:pPr>
            <w:r w:rsidRPr="004D1379">
              <w:rPr>
                <w:kern w:val="16"/>
                <w:sz w:val="22"/>
                <w:szCs w:val="22"/>
              </w:rPr>
              <w:t xml:space="preserve">Однако в существующих условиях аффинажные заводы испытывают дефицит сырья, содержащего драгоценные металлы, для производства и продажи инвестиционных слитков. Это связано с действием подпункта 9 пункта 3 статьи 149 Налогового кодекса Российской Федерации, согласно которому такие операции освобождаются от НДС, а так как реализация производится без НДС, то в соответствии со статьей 170 Налогового кодекса суммы НДС по товарам (работам, услугам), используемым при осуществлении операций, освобожденных от НДС, учитываются в стоимости приобретенных товаров (работ, услуг) и к вычету не принимаются («входной» налог). Таким образом, стоимость слитков при реализации физическим лицам аффинажными организациями становится неконкурентоспособной по сравнению с банками. </w:t>
            </w:r>
          </w:p>
          <w:p w:rsidR="004D1379" w:rsidRPr="004D1379" w:rsidRDefault="004D1379" w:rsidP="004D1379">
            <w:pPr>
              <w:ind w:right="-2" w:firstLine="467"/>
              <w:jc w:val="both"/>
              <w:rPr>
                <w:kern w:val="16"/>
                <w:sz w:val="22"/>
                <w:szCs w:val="22"/>
              </w:rPr>
            </w:pPr>
            <w:r w:rsidRPr="004D1379">
              <w:rPr>
                <w:kern w:val="16"/>
                <w:sz w:val="22"/>
                <w:szCs w:val="22"/>
              </w:rPr>
              <w:t xml:space="preserve">Особую актуальность вопрос реализации минерального сырья имеет у малых добывающих компаний, которых в стране насчитывается порядка 420. Небольшие </w:t>
            </w:r>
            <w:r w:rsidRPr="004D1379">
              <w:rPr>
                <w:kern w:val="16"/>
                <w:sz w:val="22"/>
                <w:szCs w:val="22"/>
              </w:rPr>
              <w:lastRenderedPageBreak/>
              <w:t xml:space="preserve">объемы добычи и отсутствие возможности реализации небольших объемов сырья аффинажным заводам приводят к необходимости накопления достаточного количества драгоценных металлов для производства стандартных слитков с целью их последующей реализации коммерческим банкам. Установление ставки НДС в размере 0% при продаже добывающими компаниями минерального сырья аффинажным организациям позволит мелким и средним добывающим компаниям получить финансовые средства на более ранней стадии производства и ускорить их обращение, что будет стимулировать добычу драгоценных металлов и соответственно увеличит загрузку производственных мощностей аффинажных предприятий. </w:t>
            </w:r>
          </w:p>
          <w:p w:rsidR="004D1379" w:rsidRPr="004D1379" w:rsidRDefault="004D1379" w:rsidP="004D1379">
            <w:pPr>
              <w:ind w:right="-2" w:firstLine="467"/>
              <w:jc w:val="both"/>
              <w:rPr>
                <w:kern w:val="16"/>
                <w:sz w:val="22"/>
                <w:szCs w:val="22"/>
              </w:rPr>
            </w:pPr>
            <w:r w:rsidRPr="004D1379">
              <w:rPr>
                <w:b/>
                <w:kern w:val="16"/>
                <w:sz w:val="22"/>
                <w:szCs w:val="22"/>
              </w:rPr>
              <w:t>Предложение об установлении ставки НДС 0%</w:t>
            </w:r>
            <w:r w:rsidRPr="004D1379">
              <w:rPr>
                <w:kern w:val="16"/>
                <w:sz w:val="22"/>
                <w:szCs w:val="22"/>
              </w:rPr>
              <w:t xml:space="preserve"> при реализации аффинажными организациями драгоценных металлов Гохрану России и банкам </w:t>
            </w:r>
            <w:r w:rsidRPr="004D1379">
              <w:rPr>
                <w:b/>
                <w:kern w:val="16"/>
                <w:sz w:val="22"/>
                <w:szCs w:val="22"/>
              </w:rPr>
              <w:t>не поддерживается</w:t>
            </w:r>
            <w:r w:rsidRPr="004D1379">
              <w:rPr>
                <w:kern w:val="16"/>
                <w:sz w:val="22"/>
                <w:szCs w:val="22"/>
              </w:rPr>
              <w:t>. Считаем, что ключевым вопросом в настоящее время должно стать стимулирование развития инвестиционного механизма, в то время как реализация предложения может привести в перераспределению продажи произведенных слитков в сторону банков.</w:t>
            </w:r>
          </w:p>
        </w:tc>
      </w:tr>
      <w:tr w:rsidR="004D1379" w:rsidRPr="004D1379" w:rsidTr="009C6571">
        <w:trPr>
          <w:trHeight w:val="411"/>
        </w:trPr>
        <w:tc>
          <w:tcPr>
            <w:tcW w:w="15735" w:type="dxa"/>
            <w:gridSpan w:val="3"/>
          </w:tcPr>
          <w:p w:rsidR="004D1379" w:rsidRPr="004D1379" w:rsidRDefault="004D1379" w:rsidP="004D1379">
            <w:pPr>
              <w:ind w:right="-2"/>
              <w:jc w:val="both"/>
              <w:rPr>
                <w:b/>
                <w:kern w:val="16"/>
                <w:sz w:val="22"/>
                <w:szCs w:val="22"/>
              </w:rPr>
            </w:pPr>
            <w:r w:rsidRPr="004D1379">
              <w:rPr>
                <w:b/>
                <w:kern w:val="16"/>
                <w:sz w:val="22"/>
                <w:szCs w:val="22"/>
              </w:rPr>
              <w:lastRenderedPageBreak/>
              <w:t>Приложение 4. АКТУАЛЬНЫЕ ВОПРОСЫ НАЛОГООБЛОЖЕНИЯ НА ПЕРСПЕКТИВУ</w:t>
            </w:r>
          </w:p>
        </w:tc>
      </w:tr>
      <w:tr w:rsidR="004D1379" w:rsidRPr="004D1379" w:rsidTr="009C6571">
        <w:trPr>
          <w:trHeight w:val="411"/>
        </w:trPr>
        <w:tc>
          <w:tcPr>
            <w:tcW w:w="15735" w:type="dxa"/>
            <w:gridSpan w:val="3"/>
          </w:tcPr>
          <w:p w:rsidR="004D1379" w:rsidRPr="004D1379" w:rsidRDefault="004D1379" w:rsidP="004D1379">
            <w:pPr>
              <w:ind w:right="-2"/>
              <w:jc w:val="both"/>
              <w:rPr>
                <w:b/>
                <w:kern w:val="16"/>
                <w:sz w:val="22"/>
                <w:szCs w:val="22"/>
              </w:rPr>
            </w:pPr>
            <w:r w:rsidRPr="004D1379">
              <w:rPr>
                <w:b/>
                <w:kern w:val="16"/>
                <w:sz w:val="22"/>
                <w:szCs w:val="22"/>
              </w:rPr>
              <w:lastRenderedPageBreak/>
              <w:t>Налог на прибыль организаций</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i/>
                <w:iCs/>
                <w:sz w:val="22"/>
                <w:szCs w:val="22"/>
              </w:rPr>
            </w:pPr>
            <w:r w:rsidRPr="004D1379">
              <w:rPr>
                <w:sz w:val="22"/>
                <w:szCs w:val="22"/>
              </w:rPr>
              <w:t>-Пункт 2 раздела предлагаем изложить в следующей редакции: «</w:t>
            </w:r>
            <w:r w:rsidRPr="004D1379">
              <w:rPr>
                <w:i/>
                <w:iCs/>
                <w:sz w:val="22"/>
                <w:szCs w:val="22"/>
              </w:rPr>
              <w:t>Предлагается оценить необходимость расширения перечня сомнительных долгов за счет задолженности, в том числе в виде штрафных санкций, возникшей на основании решения суда, вступившего в законную силу».</w:t>
            </w:r>
          </w:p>
          <w:p w:rsidR="004D1379" w:rsidRPr="004D1379" w:rsidRDefault="004D1379" w:rsidP="004D1379">
            <w:pPr>
              <w:ind w:firstLine="567"/>
              <w:jc w:val="both"/>
              <w:rPr>
                <w:sz w:val="22"/>
                <w:szCs w:val="22"/>
              </w:rPr>
            </w:pPr>
            <w:r w:rsidRPr="004D1379">
              <w:rPr>
                <w:sz w:val="22"/>
                <w:szCs w:val="22"/>
              </w:rPr>
              <w:t xml:space="preserve">Положения НК РФ позволяют формировать резерв по сомнительным долгам (далее - РСД) в отношении задолженности перед налогоплательщиком, обладающей признаками сомнительной и связанной с реализацией товаров, оказанием услуг, выполнением работ (ч.1 ст. 266 НК РФ). При этом штрафные санкции, также отвечающие, в свою очередь, критериям сомнительного долга (неуплата в установленный срок или подтверждение судом), не могут быть включены в РСД и подлежат налогообложению даже в случае их фактического неполучения. </w:t>
            </w:r>
          </w:p>
          <w:p w:rsidR="004D1379" w:rsidRPr="004D1379" w:rsidRDefault="004D1379" w:rsidP="004D1379">
            <w:pPr>
              <w:spacing w:line="252" w:lineRule="auto"/>
              <w:ind w:firstLine="567"/>
              <w:jc w:val="both"/>
              <w:rPr>
                <w:rFonts w:eastAsiaTheme="minorHAnsi"/>
                <w:sz w:val="22"/>
                <w:szCs w:val="22"/>
                <w:lang w:eastAsia="en-US"/>
              </w:rPr>
            </w:pPr>
            <w:r w:rsidRPr="004D1379">
              <w:rPr>
                <w:rFonts w:eastAsiaTheme="minorHAnsi"/>
                <w:sz w:val="22"/>
                <w:szCs w:val="22"/>
                <w:lang w:eastAsia="en-US"/>
              </w:rPr>
              <w:t>В целях восстановления баланса экономических интересов представляется целесообразным внести соответствующие изменения в НК РФ в данной части. Ранее предложения направлялись со стороны бизнеса, а именно поставщиков энергетических и коммунальных ресурсов (услуг), в части включения в РСД штрафных санкций по неплательщикам. Данные предложения были концептуально поддержаны Минфином России (письмо №03-03-06/1/88699 от 13.09.2022) и Минэнерго России (письмо №07-4901 от 23.08.2022). Минфин России предлагал рассмотреть данный вопрос в рамках ОННБТ на 2024-2026.</w:t>
            </w:r>
          </w:p>
          <w:p w:rsidR="004D1379" w:rsidRPr="004D1379" w:rsidRDefault="004D1379" w:rsidP="004D1379">
            <w:pPr>
              <w:spacing w:line="252" w:lineRule="auto"/>
              <w:ind w:firstLine="567"/>
              <w:jc w:val="both"/>
              <w:rPr>
                <w:rFonts w:eastAsiaTheme="minorHAnsi"/>
                <w:sz w:val="22"/>
                <w:szCs w:val="22"/>
                <w:lang w:eastAsia="en-US"/>
              </w:rPr>
            </w:pPr>
            <w:r w:rsidRPr="004D1379">
              <w:rPr>
                <w:rFonts w:eastAsiaTheme="minorHAnsi"/>
                <w:sz w:val="22"/>
                <w:szCs w:val="22"/>
                <w:lang w:eastAsia="en-US"/>
              </w:rPr>
              <w:t xml:space="preserve">В настоящее время вопрос оценки необходимости расширения перечня сомнительных долгов рассматривается в рамках вопросов налогообложения на перспективу (приложение №4). Предлагается данный вопрос рассмотреть в рамках мер налоговой политики на 2024 год и перенести в приложение №2. </w:t>
            </w:r>
          </w:p>
          <w:p w:rsidR="004D1379" w:rsidRPr="004D1379" w:rsidRDefault="004D1379" w:rsidP="004D1379">
            <w:pPr>
              <w:spacing w:line="252" w:lineRule="auto"/>
              <w:ind w:firstLine="567"/>
              <w:jc w:val="both"/>
              <w:rPr>
                <w:rFonts w:eastAsiaTheme="minorHAnsi"/>
                <w:sz w:val="22"/>
                <w:szCs w:val="22"/>
                <w:lang w:eastAsia="en-US"/>
              </w:rPr>
            </w:pPr>
            <w:r w:rsidRPr="004D1379">
              <w:rPr>
                <w:rFonts w:eastAsiaTheme="minorHAnsi"/>
                <w:sz w:val="22"/>
                <w:szCs w:val="22"/>
                <w:lang w:eastAsia="en-US"/>
              </w:rPr>
              <w:t xml:space="preserve">В целях устранения различного толкования о расширении перечня сомнительных долгов за счет задолженности, возникшей на основании решения суда изложить пункт в приведенной редакции. </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Не поддерживается.</w:t>
            </w:r>
          </w:p>
          <w:p w:rsidR="004D1379" w:rsidRPr="004D1379" w:rsidRDefault="004D1379" w:rsidP="004D1379">
            <w:pPr>
              <w:ind w:right="-2" w:firstLine="467"/>
              <w:jc w:val="both"/>
              <w:rPr>
                <w:kern w:val="16"/>
                <w:sz w:val="22"/>
                <w:szCs w:val="22"/>
              </w:rPr>
            </w:pPr>
            <w:r w:rsidRPr="004D1379">
              <w:rPr>
                <w:kern w:val="16"/>
                <w:sz w:val="22"/>
                <w:szCs w:val="22"/>
              </w:rPr>
              <w:t>Действующая редакция</w:t>
            </w:r>
            <w:r w:rsidRPr="004D1379">
              <w:rPr>
                <w:sz w:val="22"/>
                <w:szCs w:val="22"/>
              </w:rPr>
              <w:t xml:space="preserve"> </w:t>
            </w:r>
            <w:proofErr w:type="spellStart"/>
            <w:r w:rsidRPr="004D1379">
              <w:rPr>
                <w:kern w:val="16"/>
                <w:sz w:val="22"/>
                <w:szCs w:val="22"/>
              </w:rPr>
              <w:t>ОНБНиТТП</w:t>
            </w:r>
            <w:proofErr w:type="spellEnd"/>
            <w:r w:rsidRPr="004D1379">
              <w:rPr>
                <w:kern w:val="16"/>
                <w:sz w:val="22"/>
                <w:szCs w:val="22"/>
              </w:rPr>
              <w:t xml:space="preserve"> уже предусматривает мероприятия, связанные с оценкой необходимости (целесообразности) расширения перечня сомнительных долгов. В этой связи уточнение редакции считаем избыточным.</w:t>
            </w:r>
          </w:p>
          <w:p w:rsidR="004D1379" w:rsidRPr="004D1379" w:rsidRDefault="004D1379" w:rsidP="004D1379">
            <w:pPr>
              <w:ind w:right="-2" w:firstLine="467"/>
              <w:jc w:val="both"/>
              <w:rPr>
                <w:kern w:val="16"/>
                <w:sz w:val="22"/>
                <w:szCs w:val="22"/>
              </w:rPr>
            </w:pPr>
            <w:r w:rsidRPr="004D1379">
              <w:rPr>
                <w:kern w:val="16"/>
                <w:sz w:val="22"/>
                <w:szCs w:val="22"/>
              </w:rPr>
              <w:t>Также следует отметить, что утверждение ТПП РФ о том, что ранее Минфином России предложение в части включения в резерв по сомнительным долгам штрафных санкций по неплательщикам было концептуально поддержано, не соответствует действительности.</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contextualSpacing/>
              <w:jc w:val="both"/>
              <w:rPr>
                <w:sz w:val="22"/>
                <w:szCs w:val="22"/>
              </w:rPr>
            </w:pPr>
            <w:r w:rsidRPr="004D1379">
              <w:rPr>
                <w:sz w:val="22"/>
                <w:szCs w:val="22"/>
              </w:rPr>
              <w:t>- рассмотреть возможность исключения из объекта налогообложения по налогу на имущество организаций основных средств, отнесенных в соответствии с Общероссийским классификатором основных фондов к самостоятельным объектам в составе группы «Машины и оборудование, включая хозяйственный инвентарь, и другие объекты» - путём дополнения пункта 4 статьи 374 НК РФ соответствующим новым подпунктом. Данное уточнение позволит уйти от неопределённости в установлении объекта налогообложения, обусловленного проблемами квалификации производственных фондов в качестве движимого либо недвижимого имущества, порождающей в настоящее время споры налогоплательщиков с налоговыми органами, по которым складывается противоречивая судебная практика.</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 xml:space="preserve">Не поддерживается. </w:t>
            </w:r>
          </w:p>
          <w:p w:rsidR="004D1379" w:rsidRPr="004D1379" w:rsidRDefault="004D1379" w:rsidP="004D1379">
            <w:pPr>
              <w:ind w:right="-2" w:firstLine="467"/>
              <w:jc w:val="both"/>
              <w:rPr>
                <w:kern w:val="16"/>
                <w:sz w:val="22"/>
                <w:szCs w:val="22"/>
              </w:rPr>
            </w:pPr>
            <w:r w:rsidRPr="004D1379">
              <w:rPr>
                <w:kern w:val="16"/>
                <w:sz w:val="22"/>
                <w:szCs w:val="22"/>
              </w:rPr>
              <w:t>Объектом налогообложения по налогу на имущество организаций признается, в частности, недвижимое имущество, учитываемое на балансе организации в качестве объектов основных средств в порядке, установленном для ведения бухгалтерского учета.</w:t>
            </w:r>
          </w:p>
          <w:p w:rsidR="004D1379" w:rsidRPr="004D1379" w:rsidRDefault="004D1379" w:rsidP="004D1379">
            <w:pPr>
              <w:ind w:right="-2" w:firstLine="467"/>
              <w:jc w:val="both"/>
              <w:rPr>
                <w:kern w:val="16"/>
                <w:sz w:val="22"/>
                <w:szCs w:val="22"/>
              </w:rPr>
            </w:pPr>
            <w:r w:rsidRPr="004D1379">
              <w:rPr>
                <w:kern w:val="16"/>
                <w:sz w:val="22"/>
                <w:szCs w:val="22"/>
              </w:rPr>
              <w:t xml:space="preserve">Понятие недвижимого имущества регулируется Гражданским кодексом Российской Федерации, Градостроительным кодексом Российской Федерации и иными нормативными правовыми актами. </w:t>
            </w:r>
          </w:p>
          <w:p w:rsidR="004D1379" w:rsidRPr="004D1379" w:rsidRDefault="004D1379" w:rsidP="004D1379">
            <w:pPr>
              <w:ind w:right="-2" w:firstLine="467"/>
              <w:jc w:val="both"/>
              <w:rPr>
                <w:kern w:val="16"/>
                <w:sz w:val="22"/>
                <w:szCs w:val="22"/>
              </w:rPr>
            </w:pPr>
            <w:r w:rsidRPr="004D1379">
              <w:rPr>
                <w:kern w:val="16"/>
                <w:sz w:val="22"/>
                <w:szCs w:val="22"/>
              </w:rPr>
              <w:t>В связи с этим комплексное решение вопросов, связанных с правовым положением недвижимости, включая установление ясности в отношении признаков объектов недвижимости должно решаться через гражданское законодательство.</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sz w:val="22"/>
                <w:szCs w:val="22"/>
              </w:rPr>
            </w:pPr>
            <w:r w:rsidRPr="004D1379">
              <w:rPr>
                <w:sz w:val="22"/>
                <w:szCs w:val="22"/>
              </w:rPr>
              <w:t>- в актуальные вопросы налогообложения на перспективу вынесен вопрос о проработке перехода к налогообложению надвижимости организаций исходя из кадастровой стоимости в отношении всех объектов недвижимости (за исключением линейных, технически сложных объектов и т.п.). Вместе с тем, в настоящее время вопрос квалификации линейных объектов, машин и оборудования, устанавливаемых в производственных зданиях как движимого/недвижимого имущества является спорным, судебная практика противоречивой.</w:t>
            </w:r>
          </w:p>
        </w:tc>
        <w:tc>
          <w:tcPr>
            <w:tcW w:w="8256" w:type="dxa"/>
          </w:tcPr>
          <w:p w:rsidR="004D1379" w:rsidRPr="004D1379" w:rsidRDefault="004D1379" w:rsidP="004D1379">
            <w:pPr>
              <w:ind w:right="-2" w:firstLine="467"/>
              <w:jc w:val="both"/>
              <w:rPr>
                <w:b/>
                <w:kern w:val="16"/>
                <w:sz w:val="22"/>
                <w:szCs w:val="22"/>
              </w:rPr>
            </w:pPr>
            <w:r w:rsidRPr="004D1379">
              <w:rPr>
                <w:b/>
                <w:kern w:val="16"/>
                <w:sz w:val="22"/>
                <w:szCs w:val="22"/>
              </w:rPr>
              <w:t xml:space="preserve">Не поддерживается. </w:t>
            </w:r>
          </w:p>
          <w:p w:rsidR="004D1379" w:rsidRPr="004D1379" w:rsidRDefault="004D1379" w:rsidP="004D1379">
            <w:pPr>
              <w:ind w:right="-2" w:firstLine="467"/>
              <w:jc w:val="both"/>
              <w:rPr>
                <w:kern w:val="16"/>
                <w:sz w:val="22"/>
                <w:szCs w:val="22"/>
              </w:rPr>
            </w:pPr>
            <w:r w:rsidRPr="004D1379">
              <w:rPr>
                <w:kern w:val="16"/>
                <w:sz w:val="22"/>
                <w:szCs w:val="22"/>
              </w:rPr>
              <w:t>Объектом налогообложения по налогу на имущество организаций признается, в частности, недвижимое имущество, учитываемое на балансе организации в качестве объектов основных средств в порядке, установленном для ведения бухгалтерского учета.</w:t>
            </w:r>
          </w:p>
          <w:p w:rsidR="004D1379" w:rsidRPr="004D1379" w:rsidRDefault="004D1379" w:rsidP="004D1379">
            <w:pPr>
              <w:ind w:right="-2" w:firstLine="467"/>
              <w:jc w:val="both"/>
              <w:rPr>
                <w:kern w:val="16"/>
                <w:sz w:val="22"/>
                <w:szCs w:val="22"/>
              </w:rPr>
            </w:pPr>
            <w:r w:rsidRPr="004D1379">
              <w:rPr>
                <w:kern w:val="16"/>
                <w:sz w:val="22"/>
                <w:szCs w:val="22"/>
              </w:rPr>
              <w:t xml:space="preserve">Понятие недвижимого имущества регулируется Гражданским кодексом Российской Федерации, Градостроительным кодексом Российской Федерации и иными нормативными правовыми актами. </w:t>
            </w:r>
          </w:p>
          <w:p w:rsidR="004D1379" w:rsidRPr="004D1379" w:rsidRDefault="004D1379" w:rsidP="004D1379">
            <w:pPr>
              <w:ind w:right="-2" w:firstLine="467"/>
              <w:jc w:val="both"/>
              <w:rPr>
                <w:kern w:val="16"/>
                <w:sz w:val="22"/>
                <w:szCs w:val="22"/>
              </w:rPr>
            </w:pPr>
            <w:r w:rsidRPr="004D1379">
              <w:rPr>
                <w:kern w:val="16"/>
                <w:sz w:val="22"/>
                <w:szCs w:val="22"/>
              </w:rPr>
              <w:t>В связи с этим комплексное решение вопросов, связанных с правовым положением недвижимости, включая установление ясности в отношении признаков объектов недвижимости должно решаться через гражданское законодательство.</w:t>
            </w:r>
          </w:p>
        </w:tc>
      </w:tr>
      <w:tr w:rsidR="004D1379" w:rsidRPr="004D1379" w:rsidTr="009C6571">
        <w:trPr>
          <w:trHeight w:val="411"/>
        </w:trPr>
        <w:tc>
          <w:tcPr>
            <w:tcW w:w="15735" w:type="dxa"/>
            <w:gridSpan w:val="3"/>
          </w:tcPr>
          <w:p w:rsidR="004D1379" w:rsidRPr="004D1379" w:rsidRDefault="004D1379" w:rsidP="004D1379">
            <w:pPr>
              <w:ind w:right="-2" w:firstLine="467"/>
              <w:jc w:val="both"/>
              <w:rPr>
                <w:b/>
                <w:kern w:val="16"/>
                <w:sz w:val="22"/>
                <w:szCs w:val="22"/>
              </w:rPr>
            </w:pPr>
            <w:r w:rsidRPr="004D1379">
              <w:rPr>
                <w:b/>
                <w:kern w:val="16"/>
                <w:sz w:val="22"/>
                <w:szCs w:val="22"/>
              </w:rPr>
              <w:t>Приложение 7. ОСНОВНЫЕ РЕЗУЛЬТАТЫ И НАПРАВЛЕНИЯ ГОСУДАРСТВЕННОЙ ПОЛИТИКИ В СФЕРЕ БУХГАЛТЕРСКОГО УЧЕТА</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ind w:firstLine="567"/>
              <w:jc w:val="both"/>
              <w:rPr>
                <w:b/>
                <w:sz w:val="22"/>
                <w:szCs w:val="22"/>
              </w:rPr>
            </w:pPr>
            <w:r w:rsidRPr="004D1379">
              <w:rPr>
                <w:b/>
                <w:sz w:val="22"/>
                <w:szCs w:val="22"/>
              </w:rPr>
              <w:t>В разделе II «Реформирование системы бухгалтерского учета» в качестве одного из принципов реформирования указано «обеспечение стабильности правил, предсказуемости и системности развития регулирования бухгалтерского учета».</w:t>
            </w:r>
          </w:p>
          <w:p w:rsidR="004D1379" w:rsidRPr="004D1379" w:rsidRDefault="004D1379" w:rsidP="004D1379">
            <w:pPr>
              <w:ind w:firstLine="567"/>
              <w:jc w:val="both"/>
              <w:rPr>
                <w:sz w:val="22"/>
                <w:szCs w:val="22"/>
              </w:rPr>
            </w:pPr>
            <w:r w:rsidRPr="004D1379">
              <w:rPr>
                <w:sz w:val="22"/>
                <w:szCs w:val="22"/>
              </w:rPr>
              <w:t>- В качестве примера стабильности указано, в частности, следующее:</w:t>
            </w:r>
            <w:r w:rsidRPr="004D1379">
              <w:rPr>
                <w:sz w:val="22"/>
                <w:szCs w:val="22"/>
              </w:rPr>
              <w:br/>
              <w:t xml:space="preserve"> </w:t>
            </w:r>
            <w:r w:rsidRPr="004D1379">
              <w:rPr>
                <w:i/>
                <w:sz w:val="22"/>
                <w:szCs w:val="22"/>
              </w:rPr>
              <w:t xml:space="preserve">«- с 2011 г. неизменно количество федеральных стандартов бухгалтерского учета. Правила бухгалтерского учета применяются в течение длительного времени (например, «Основные средства» - 21 год, «Аренда» - 25 лет, «Нематериальные активы» – 15 лет). </w:t>
            </w:r>
            <w:r w:rsidRPr="004D1379">
              <w:rPr>
                <w:i/>
                <w:sz w:val="22"/>
                <w:szCs w:val="22"/>
              </w:rPr>
              <w:lastRenderedPageBreak/>
              <w:t xml:space="preserve">Количество содержательных изменений, вносимых в них, незначительно.» </w:t>
            </w:r>
            <w:r w:rsidRPr="004D1379">
              <w:rPr>
                <w:sz w:val="22"/>
                <w:szCs w:val="22"/>
              </w:rPr>
              <w:t xml:space="preserve">(абзац первый, стр.162). </w:t>
            </w:r>
          </w:p>
          <w:p w:rsidR="004D1379" w:rsidRPr="004D1379" w:rsidRDefault="004D1379" w:rsidP="004D1379">
            <w:pPr>
              <w:spacing w:after="120"/>
              <w:ind w:firstLine="567"/>
              <w:jc w:val="both"/>
              <w:rPr>
                <w:sz w:val="22"/>
                <w:szCs w:val="22"/>
              </w:rPr>
            </w:pPr>
            <w:r w:rsidRPr="004D1379">
              <w:rPr>
                <w:sz w:val="22"/>
                <w:szCs w:val="22"/>
              </w:rPr>
              <w:t>Вместе с тем, начиная с бухгалтерской отчетности за 2022 год применяется новый федеральный стандарт «Основные средства» ФСБУ 6/</w:t>
            </w:r>
            <w:proofErr w:type="gramStart"/>
            <w:r w:rsidRPr="004D1379">
              <w:rPr>
                <w:sz w:val="22"/>
                <w:szCs w:val="22"/>
              </w:rPr>
              <w:t>2020;  федеральный</w:t>
            </w:r>
            <w:proofErr w:type="gramEnd"/>
            <w:r w:rsidRPr="004D1379">
              <w:rPr>
                <w:sz w:val="22"/>
                <w:szCs w:val="22"/>
              </w:rPr>
              <w:t xml:space="preserve"> стандарт ФСБУ 25/2018 «Бухгалтерский учет аренды» применяется начиная с бухгалтерской отчетности за 2022 год. Ранее стандарта «Аренда» не было, он не мог действовать 25 лет; стандарт «Нематериальные активы» ПБУ 14/2007 действительно применяется 15 лет, но новый федеральный стандарт ФСБУ 14/2022 «Нематериальные активы» будет обязательным к применению с отчетности за 2024 год. Кроме того, с 2022 года введены в действие федеральные стандарты ФСБУ 26/2020 «Капитальные вложения», ФСБУ 27/2021 «Документы и документооборот в бухгалтерском учете», с 2025 года обязателен к применению федеральный стандарт ФСБУ 28/2023 «Инвентаризация»; ранее таких стандартов не было.</w:t>
            </w:r>
          </w:p>
          <w:p w:rsidR="004D1379" w:rsidRPr="004D1379" w:rsidRDefault="004D1379" w:rsidP="004D1379">
            <w:pPr>
              <w:ind w:firstLine="567"/>
              <w:jc w:val="both"/>
              <w:rPr>
                <w:sz w:val="22"/>
                <w:szCs w:val="22"/>
              </w:rPr>
            </w:pPr>
            <w:r w:rsidRPr="004D1379">
              <w:rPr>
                <w:sz w:val="22"/>
                <w:szCs w:val="22"/>
              </w:rPr>
              <w:t>Приведенные замечания демонстрируют, что с 2011 года изменилось не только количество федеральных стандартов, но и их содержание, которое значительно изменило и продолжает менять сложившиеся правила бухгалтерского учета и отчетности и алгоритмы работы бухгалтеров, делая ее более сложной, требующей более высокой квалификации.</w:t>
            </w:r>
          </w:p>
          <w:p w:rsidR="004D1379" w:rsidRPr="004D1379" w:rsidRDefault="004D1379" w:rsidP="004D1379">
            <w:pPr>
              <w:ind w:firstLine="567"/>
              <w:jc w:val="both"/>
              <w:rPr>
                <w:sz w:val="22"/>
                <w:szCs w:val="22"/>
              </w:rPr>
            </w:pPr>
            <w:r w:rsidRPr="004D1379">
              <w:rPr>
                <w:sz w:val="22"/>
                <w:szCs w:val="22"/>
              </w:rPr>
              <w:t xml:space="preserve"> Учитывая это, по нашему мнению, нецелесообразно в качестве примера обеспечения стабильности правил (помимо неточности в их количестве и продолжительности действия) приводить ссылку на постоянно меняющиеся федеральные стандарты бухгалтерского учета.</w:t>
            </w:r>
          </w:p>
        </w:tc>
        <w:tc>
          <w:tcPr>
            <w:tcW w:w="8256" w:type="dxa"/>
          </w:tcPr>
          <w:p w:rsidR="004D1379" w:rsidRPr="004D1379" w:rsidRDefault="004D1379" w:rsidP="004D1379">
            <w:pPr>
              <w:ind w:firstLine="467"/>
              <w:jc w:val="both"/>
              <w:rPr>
                <w:b/>
                <w:sz w:val="22"/>
                <w:szCs w:val="22"/>
              </w:rPr>
            </w:pPr>
            <w:r w:rsidRPr="004D1379">
              <w:rPr>
                <w:b/>
                <w:sz w:val="22"/>
                <w:szCs w:val="22"/>
              </w:rPr>
              <w:lastRenderedPageBreak/>
              <w:t>Не поддерживается.</w:t>
            </w:r>
          </w:p>
          <w:p w:rsidR="004D1379" w:rsidRPr="004D1379" w:rsidRDefault="004D1379" w:rsidP="004D1379">
            <w:pPr>
              <w:ind w:firstLine="467"/>
              <w:jc w:val="both"/>
              <w:rPr>
                <w:sz w:val="22"/>
                <w:szCs w:val="22"/>
              </w:rPr>
            </w:pPr>
            <w:r w:rsidRPr="004D1379">
              <w:rPr>
                <w:sz w:val="22"/>
                <w:szCs w:val="22"/>
              </w:rPr>
              <w:t xml:space="preserve">Приведенные в Основных направлениях примеры сроков применения правил бухгалтерского учета необходимо рассматривать в контексте описания принципов функционирования системы регулирования бухгалтерского учета, обеспечивающих не только стабильность применения правил бухгалтерского учета, но также предсказуемость и системность их развития. Стабильность системы регулирования бухгалтерского учета не означает ее статичность и неизменность, но предполагает планомерное развитие в соответствии с потребностями пользователей бухгалтерской (финансовой) отчетности, а также уровнем развития науки и практики бухгалтерского учета. Этими факторами обусловлено принятие новых федеральных стандартов </w:t>
            </w:r>
            <w:r w:rsidRPr="004D1379">
              <w:rPr>
                <w:sz w:val="22"/>
                <w:szCs w:val="22"/>
              </w:rPr>
              <w:lastRenderedPageBreak/>
              <w:t>бухгалтерского учета, предусмотренных программой их разработки на пятилетний период. Приведенные примеры показывают, что новые федеральные стандарты бухгалтерского учета приходят на смену правилам бухгалтерского учета соответствующих объектов, действовавшим на протяжении многих лет.</w:t>
            </w:r>
          </w:p>
          <w:p w:rsidR="004D1379" w:rsidRPr="004D1379" w:rsidRDefault="004D1379" w:rsidP="004D1379">
            <w:pPr>
              <w:ind w:firstLine="467"/>
              <w:jc w:val="both"/>
              <w:rPr>
                <w:sz w:val="22"/>
                <w:szCs w:val="22"/>
              </w:rPr>
            </w:pPr>
            <w:r w:rsidRPr="004D1379">
              <w:rPr>
                <w:sz w:val="22"/>
                <w:szCs w:val="22"/>
              </w:rPr>
              <w:t>Кроме того, в указанных примерах речь идет о правилах бухгалтерского учета независимо от того, каким нормативным правовым актом они оформлены. В частности, до утверждения федеральных стандартов бухгалтерского учета правила бухгалтерского учета разных объектов регулировались разными видами нормативных правовых актов, в том числе правила бухгалтерского учета аренды были установлены приказом Минфина России от 17 февраля 1997 г. № 15 «Об отражении в бухгалтерском учете операций по договору лизинга».</w:t>
            </w:r>
          </w:p>
          <w:p w:rsidR="004D1379" w:rsidRPr="004D1379" w:rsidRDefault="004D1379" w:rsidP="004D1379">
            <w:pPr>
              <w:ind w:firstLine="467"/>
              <w:jc w:val="both"/>
              <w:rPr>
                <w:sz w:val="22"/>
                <w:szCs w:val="22"/>
              </w:rPr>
            </w:pPr>
            <w:r w:rsidRPr="004D1379">
              <w:rPr>
                <w:sz w:val="22"/>
                <w:szCs w:val="22"/>
              </w:rPr>
              <w:t>Замечание ТПП России о том, что применение новых федеральных стандартов бухгалтерского учета требует более высокой квалификации бухгалтеров, по нашему мнению, следует трактовать как положительный фактор. Очевидно, что в современных условиях развития российской экономики высокопрофессиональные кадры востребованы во всех сферах деятельности отечественных компаний. Кроме того, востребованность высокого профессионального уровня способствует развитию бухгалтерской и аудиторской профессии, обеспечивает конкурентоспособность российских кадров в условиях развития единых рынков с дружественными странами, национальные системы бухгалтерского учета которых построены на основе международных принципов учета и отчетности, либо предусматривают непосредственное применение международных стандартов финансовой отчетности.</w:t>
            </w:r>
          </w:p>
        </w:tc>
      </w:tr>
      <w:tr w:rsidR="004D1379" w:rsidRPr="004D1379" w:rsidTr="009C6571">
        <w:trPr>
          <w:trHeight w:val="411"/>
        </w:trPr>
        <w:tc>
          <w:tcPr>
            <w:tcW w:w="534" w:type="dxa"/>
          </w:tcPr>
          <w:p w:rsidR="004D1379" w:rsidRPr="004D1379" w:rsidRDefault="004D1379" w:rsidP="004D1379">
            <w:pPr>
              <w:numPr>
                <w:ilvl w:val="0"/>
                <w:numId w:val="1"/>
              </w:numPr>
              <w:ind w:left="0" w:firstLine="0"/>
              <w:jc w:val="center"/>
              <w:rPr>
                <w:kern w:val="16"/>
                <w:sz w:val="22"/>
                <w:szCs w:val="22"/>
              </w:rPr>
            </w:pPr>
          </w:p>
        </w:tc>
        <w:tc>
          <w:tcPr>
            <w:tcW w:w="6945" w:type="dxa"/>
          </w:tcPr>
          <w:p w:rsidR="004D1379" w:rsidRPr="004D1379" w:rsidRDefault="004D1379" w:rsidP="004D1379">
            <w:pPr>
              <w:tabs>
                <w:tab w:val="left" w:pos="993"/>
              </w:tabs>
              <w:jc w:val="both"/>
              <w:rPr>
                <w:sz w:val="22"/>
                <w:szCs w:val="22"/>
              </w:rPr>
            </w:pPr>
            <w:r w:rsidRPr="004D1379">
              <w:rPr>
                <w:sz w:val="22"/>
                <w:szCs w:val="22"/>
              </w:rPr>
              <w:t xml:space="preserve">Кроме того, обращаем внимание на то, что в проекте отсутствуют направления, связанные со сближением норм и правил налогового и бухгалтерского учета.  </w:t>
            </w:r>
          </w:p>
        </w:tc>
        <w:tc>
          <w:tcPr>
            <w:tcW w:w="8256" w:type="dxa"/>
          </w:tcPr>
          <w:p w:rsidR="004D1379" w:rsidRPr="004D1379" w:rsidRDefault="004D1379" w:rsidP="004D1379">
            <w:pPr>
              <w:ind w:firstLine="467"/>
              <w:jc w:val="both"/>
              <w:rPr>
                <w:b/>
                <w:sz w:val="22"/>
                <w:szCs w:val="22"/>
              </w:rPr>
            </w:pPr>
            <w:r w:rsidRPr="004D1379">
              <w:rPr>
                <w:b/>
                <w:sz w:val="22"/>
                <w:szCs w:val="22"/>
              </w:rPr>
              <w:t>Не поддерживается.</w:t>
            </w:r>
          </w:p>
          <w:p w:rsidR="004D1379" w:rsidRPr="004D1379" w:rsidRDefault="004D1379" w:rsidP="004D1379">
            <w:pPr>
              <w:ind w:firstLine="467"/>
              <w:jc w:val="both"/>
              <w:rPr>
                <w:sz w:val="22"/>
                <w:szCs w:val="22"/>
              </w:rPr>
            </w:pPr>
            <w:r w:rsidRPr="004D1379">
              <w:rPr>
                <w:sz w:val="22"/>
                <w:szCs w:val="22"/>
              </w:rPr>
              <w:t xml:space="preserve">Согласно Федеральному закону «О бухгалтерском учете» бухгалтерская (финансовая) отчетность – это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указанным Федеральным законом. В соответствии с Налоговым кодексом Российской Федерации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w:t>
            </w:r>
            <w:r w:rsidRPr="004D1379">
              <w:rPr>
                <w:sz w:val="22"/>
                <w:szCs w:val="22"/>
              </w:rPr>
              <w:lastRenderedPageBreak/>
              <w:t>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4D1379" w:rsidRPr="004D1379" w:rsidRDefault="004D1379" w:rsidP="004D1379">
            <w:pPr>
              <w:ind w:firstLine="467"/>
              <w:jc w:val="both"/>
              <w:rPr>
                <w:sz w:val="22"/>
                <w:szCs w:val="22"/>
              </w:rPr>
            </w:pPr>
            <w:r w:rsidRPr="004D1379">
              <w:rPr>
                <w:sz w:val="22"/>
                <w:szCs w:val="22"/>
              </w:rPr>
              <w:t>Поскольку цели, задачи, принципы и основы построения бухгалтерского и налогового учета различаются, возможность сближения правил бухгалтерского учета и налогового учета не усматривается.</w:t>
            </w:r>
          </w:p>
        </w:tc>
      </w:tr>
    </w:tbl>
    <w:p w:rsidR="004D1379" w:rsidRPr="004D1379" w:rsidRDefault="004D1379" w:rsidP="004D1379">
      <w:pPr>
        <w:rPr>
          <w:sz w:val="22"/>
          <w:szCs w:val="22"/>
        </w:rPr>
      </w:pPr>
    </w:p>
    <w:p w:rsidR="004D1379" w:rsidRPr="00D451EF" w:rsidRDefault="004D1379">
      <w:pPr>
        <w:rPr>
          <w:sz w:val="22"/>
          <w:szCs w:val="22"/>
        </w:rPr>
      </w:pPr>
    </w:p>
    <w:sectPr w:rsidR="004D1379" w:rsidRPr="00D451EF" w:rsidSect="00D451EF">
      <w:headerReference w:type="default" r:id="rId10"/>
      <w:pgSz w:w="16838" w:h="11906" w:orient="landscape"/>
      <w:pgMar w:top="709" w:right="678"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53" w:rsidRDefault="007C7053" w:rsidP="00267379">
      <w:r>
        <w:separator/>
      </w:r>
    </w:p>
  </w:endnote>
  <w:endnote w:type="continuationSeparator" w:id="0">
    <w:p w:rsidR="007C7053" w:rsidRDefault="007C7053" w:rsidP="0026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53" w:rsidRDefault="007C7053" w:rsidP="00267379">
      <w:r>
        <w:separator/>
      </w:r>
    </w:p>
  </w:footnote>
  <w:footnote w:type="continuationSeparator" w:id="0">
    <w:p w:rsidR="007C7053" w:rsidRDefault="007C7053" w:rsidP="0026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0995"/>
      <w:docPartObj>
        <w:docPartGallery w:val="Page Numbers (Top of Page)"/>
        <w:docPartUnique/>
      </w:docPartObj>
    </w:sdtPr>
    <w:sdtEndPr>
      <w:rPr>
        <w:sz w:val="24"/>
        <w:szCs w:val="24"/>
      </w:rPr>
    </w:sdtEndPr>
    <w:sdtContent>
      <w:p w:rsidR="00175701" w:rsidRPr="00175701" w:rsidRDefault="00175701">
        <w:pPr>
          <w:pStyle w:val="aa"/>
          <w:jc w:val="center"/>
          <w:rPr>
            <w:sz w:val="24"/>
            <w:szCs w:val="24"/>
          </w:rPr>
        </w:pPr>
        <w:r w:rsidRPr="00175701">
          <w:rPr>
            <w:sz w:val="24"/>
            <w:szCs w:val="24"/>
          </w:rPr>
          <w:fldChar w:fldCharType="begin"/>
        </w:r>
        <w:r w:rsidRPr="00175701">
          <w:rPr>
            <w:sz w:val="24"/>
            <w:szCs w:val="24"/>
          </w:rPr>
          <w:instrText>PAGE   \* MERGEFORMAT</w:instrText>
        </w:r>
        <w:r w:rsidRPr="00175701">
          <w:rPr>
            <w:sz w:val="24"/>
            <w:szCs w:val="24"/>
          </w:rPr>
          <w:fldChar w:fldCharType="separate"/>
        </w:r>
        <w:r w:rsidR="00661811">
          <w:rPr>
            <w:noProof/>
            <w:sz w:val="24"/>
            <w:szCs w:val="24"/>
          </w:rPr>
          <w:t>54</w:t>
        </w:r>
        <w:r w:rsidRPr="00175701">
          <w:rPr>
            <w:sz w:val="24"/>
            <w:szCs w:val="24"/>
          </w:rPr>
          <w:fldChar w:fldCharType="end"/>
        </w:r>
      </w:p>
    </w:sdtContent>
  </w:sdt>
  <w:p w:rsidR="00175701" w:rsidRDefault="001757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EEF"/>
    <w:multiLevelType w:val="hybridMultilevel"/>
    <w:tmpl w:val="E3E08C66"/>
    <w:lvl w:ilvl="0" w:tplc="980C8A4C">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B6360"/>
    <w:multiLevelType w:val="hybridMultilevel"/>
    <w:tmpl w:val="2AA421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966B64"/>
    <w:multiLevelType w:val="hybridMultilevel"/>
    <w:tmpl w:val="0F0478AE"/>
    <w:lvl w:ilvl="0" w:tplc="AC9EB82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82999"/>
    <w:multiLevelType w:val="hybridMultilevel"/>
    <w:tmpl w:val="1FDA4D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1536BE"/>
    <w:multiLevelType w:val="hybridMultilevel"/>
    <w:tmpl w:val="B05C4AEC"/>
    <w:lvl w:ilvl="0" w:tplc="961E7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D3"/>
    <w:rsid w:val="00050FF0"/>
    <w:rsid w:val="0015239F"/>
    <w:rsid w:val="00171E6F"/>
    <w:rsid w:val="00175701"/>
    <w:rsid w:val="00196332"/>
    <w:rsid w:val="001D2172"/>
    <w:rsid w:val="001E2F69"/>
    <w:rsid w:val="00251FAC"/>
    <w:rsid w:val="00267379"/>
    <w:rsid w:val="003C5E58"/>
    <w:rsid w:val="003D3F37"/>
    <w:rsid w:val="003E6DCA"/>
    <w:rsid w:val="00403ADB"/>
    <w:rsid w:val="004535D8"/>
    <w:rsid w:val="004727D1"/>
    <w:rsid w:val="004A21E6"/>
    <w:rsid w:val="004D1379"/>
    <w:rsid w:val="004D5496"/>
    <w:rsid w:val="004F7CF3"/>
    <w:rsid w:val="005401A0"/>
    <w:rsid w:val="005A1FAB"/>
    <w:rsid w:val="005B2F9B"/>
    <w:rsid w:val="005F1F45"/>
    <w:rsid w:val="00661811"/>
    <w:rsid w:val="006C2B5D"/>
    <w:rsid w:val="00784D78"/>
    <w:rsid w:val="007C7053"/>
    <w:rsid w:val="0080350A"/>
    <w:rsid w:val="0082202E"/>
    <w:rsid w:val="008D6427"/>
    <w:rsid w:val="008D6958"/>
    <w:rsid w:val="00A17C3F"/>
    <w:rsid w:val="00A24933"/>
    <w:rsid w:val="00A97994"/>
    <w:rsid w:val="00AD42E8"/>
    <w:rsid w:val="00B33EA5"/>
    <w:rsid w:val="00BB192C"/>
    <w:rsid w:val="00C10C8D"/>
    <w:rsid w:val="00C24A38"/>
    <w:rsid w:val="00C27878"/>
    <w:rsid w:val="00CD4993"/>
    <w:rsid w:val="00CE0A2C"/>
    <w:rsid w:val="00CE2179"/>
    <w:rsid w:val="00CF58BC"/>
    <w:rsid w:val="00D451EF"/>
    <w:rsid w:val="00D4703E"/>
    <w:rsid w:val="00D67868"/>
    <w:rsid w:val="00DA3DFD"/>
    <w:rsid w:val="00E04357"/>
    <w:rsid w:val="00E304D3"/>
    <w:rsid w:val="00E6064C"/>
    <w:rsid w:val="00E805D5"/>
    <w:rsid w:val="00E825C9"/>
    <w:rsid w:val="00F20D06"/>
    <w:rsid w:val="00FD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1BAB"/>
  <w15:chartTrackingRefBased/>
  <w15:docId w15:val="{1ADF2DCB-9DC7-4DBD-A48B-E674D490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993"/>
    <w:rPr>
      <w:sz w:val="28"/>
    </w:rPr>
  </w:style>
  <w:style w:type="character" w:customStyle="1" w:styleId="a4">
    <w:name w:val="Основной текст Знак"/>
    <w:basedOn w:val="a0"/>
    <w:link w:val="a3"/>
    <w:rsid w:val="00CD4993"/>
    <w:rPr>
      <w:rFonts w:ascii="Times New Roman" w:eastAsia="Times New Roman" w:hAnsi="Times New Roman" w:cs="Times New Roman"/>
      <w:sz w:val="28"/>
      <w:szCs w:val="20"/>
      <w:lang w:eastAsia="ru-RU"/>
    </w:rPr>
  </w:style>
  <w:style w:type="character" w:customStyle="1" w:styleId="CharStyle22">
    <w:name w:val="Char Style 22"/>
    <w:basedOn w:val="a0"/>
    <w:link w:val="Style21"/>
    <w:uiPriority w:val="99"/>
    <w:locked/>
    <w:rsid w:val="00CD4993"/>
    <w:rPr>
      <w:rFonts w:cs="Times New Roman"/>
      <w:shd w:val="clear" w:color="auto" w:fill="FFFFFF"/>
    </w:rPr>
  </w:style>
  <w:style w:type="paragraph" w:customStyle="1" w:styleId="Style21">
    <w:name w:val="Style 21"/>
    <w:basedOn w:val="a"/>
    <w:link w:val="CharStyle22"/>
    <w:uiPriority w:val="99"/>
    <w:rsid w:val="00CD4993"/>
    <w:pPr>
      <w:widowControl w:val="0"/>
      <w:shd w:val="clear" w:color="auto" w:fill="FFFFFF"/>
      <w:spacing w:before="540" w:after="480" w:line="240" w:lineRule="atLeast"/>
      <w:jc w:val="both"/>
    </w:pPr>
    <w:rPr>
      <w:rFonts w:asciiTheme="minorHAnsi" w:eastAsiaTheme="minorHAnsi" w:hAnsiTheme="minorHAnsi"/>
      <w:sz w:val="22"/>
      <w:szCs w:val="22"/>
      <w:lang w:eastAsia="en-US"/>
    </w:rPr>
  </w:style>
  <w:style w:type="paragraph" w:styleId="a5">
    <w:name w:val="footnote text"/>
    <w:basedOn w:val="a"/>
    <w:link w:val="a6"/>
    <w:uiPriority w:val="99"/>
    <w:semiHidden/>
    <w:unhideWhenUsed/>
    <w:rsid w:val="00267379"/>
  </w:style>
  <w:style w:type="character" w:customStyle="1" w:styleId="a6">
    <w:name w:val="Текст сноски Знак"/>
    <w:basedOn w:val="a0"/>
    <w:link w:val="a5"/>
    <w:uiPriority w:val="99"/>
    <w:semiHidden/>
    <w:rsid w:val="00267379"/>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67379"/>
    <w:rPr>
      <w:vertAlign w:val="superscript"/>
    </w:rPr>
  </w:style>
  <w:style w:type="paragraph" w:styleId="a8">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9"/>
    <w:uiPriority w:val="34"/>
    <w:qFormat/>
    <w:rsid w:val="00171E6F"/>
    <w:pPr>
      <w:ind w:left="720"/>
      <w:contextualSpacing/>
    </w:pPr>
    <w:rPr>
      <w:sz w:val="24"/>
      <w:szCs w:val="24"/>
    </w:rPr>
  </w:style>
  <w:style w:type="character" w:customStyle="1" w:styleId="a9">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basedOn w:val="a0"/>
    <w:link w:val="a8"/>
    <w:uiPriority w:val="34"/>
    <w:locked/>
    <w:rsid w:val="00171E6F"/>
    <w:rPr>
      <w:rFonts w:ascii="Times New Roman" w:eastAsia="Times New Roman" w:hAnsi="Times New Roman" w:cs="Times New Roman"/>
      <w:sz w:val="24"/>
      <w:szCs w:val="24"/>
      <w:lang w:eastAsia="ru-RU"/>
    </w:rPr>
  </w:style>
  <w:style w:type="character" w:customStyle="1" w:styleId="wordsection1Char">
    <w:name w:val="wordsection1 Char"/>
    <w:basedOn w:val="a0"/>
    <w:link w:val="wordsection1"/>
    <w:locked/>
    <w:rsid w:val="004535D8"/>
    <w:rPr>
      <w:rFonts w:ascii="Calibri" w:hAnsi="Calibri" w:cs="Calibri"/>
    </w:rPr>
  </w:style>
  <w:style w:type="paragraph" w:customStyle="1" w:styleId="wordsection1">
    <w:name w:val="wordsection1"/>
    <w:basedOn w:val="a"/>
    <w:link w:val="wordsection1Char"/>
    <w:rsid w:val="004535D8"/>
    <w:rPr>
      <w:rFonts w:ascii="Calibri" w:eastAsiaTheme="minorHAnsi" w:hAnsi="Calibri" w:cs="Calibri"/>
      <w:sz w:val="22"/>
      <w:szCs w:val="22"/>
      <w:lang w:eastAsia="en-US"/>
    </w:rPr>
  </w:style>
  <w:style w:type="paragraph" w:styleId="aa">
    <w:name w:val="header"/>
    <w:basedOn w:val="a"/>
    <w:link w:val="ab"/>
    <w:uiPriority w:val="99"/>
    <w:unhideWhenUsed/>
    <w:rsid w:val="00175701"/>
    <w:pPr>
      <w:tabs>
        <w:tab w:val="center" w:pos="4677"/>
        <w:tab w:val="right" w:pos="9355"/>
      </w:tabs>
    </w:pPr>
  </w:style>
  <w:style w:type="character" w:customStyle="1" w:styleId="ab">
    <w:name w:val="Верхний колонтитул Знак"/>
    <w:basedOn w:val="a0"/>
    <w:link w:val="aa"/>
    <w:uiPriority w:val="99"/>
    <w:rsid w:val="0017570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75701"/>
    <w:pPr>
      <w:tabs>
        <w:tab w:val="center" w:pos="4677"/>
        <w:tab w:val="right" w:pos="9355"/>
      </w:tabs>
    </w:pPr>
  </w:style>
  <w:style w:type="character" w:customStyle="1" w:styleId="ad">
    <w:name w:val="Нижний колонтитул Знак"/>
    <w:basedOn w:val="a0"/>
    <w:link w:val="ac"/>
    <w:uiPriority w:val="99"/>
    <w:rsid w:val="00175701"/>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0350A"/>
    <w:rPr>
      <w:rFonts w:ascii="Segoe UI" w:hAnsi="Segoe UI" w:cs="Segoe UI"/>
      <w:sz w:val="18"/>
      <w:szCs w:val="18"/>
    </w:rPr>
  </w:style>
  <w:style w:type="character" w:customStyle="1" w:styleId="af">
    <w:name w:val="Текст выноски Знак"/>
    <w:basedOn w:val="a0"/>
    <w:link w:val="ae"/>
    <w:uiPriority w:val="99"/>
    <w:semiHidden/>
    <w:rsid w:val="0080350A"/>
    <w:rPr>
      <w:rFonts w:ascii="Segoe UI" w:eastAsia="Times New Roman" w:hAnsi="Segoe UI" w:cs="Segoe UI"/>
      <w:sz w:val="18"/>
      <w:szCs w:val="18"/>
      <w:lang w:eastAsia="ru-RU"/>
    </w:rPr>
  </w:style>
  <w:style w:type="character" w:styleId="af0">
    <w:name w:val="annotation reference"/>
    <w:basedOn w:val="a0"/>
    <w:uiPriority w:val="99"/>
    <w:semiHidden/>
    <w:unhideWhenUsed/>
    <w:rsid w:val="003E6DCA"/>
    <w:rPr>
      <w:sz w:val="16"/>
      <w:szCs w:val="16"/>
    </w:rPr>
  </w:style>
  <w:style w:type="paragraph" w:styleId="af1">
    <w:name w:val="annotation text"/>
    <w:basedOn w:val="a"/>
    <w:link w:val="af2"/>
    <w:uiPriority w:val="99"/>
    <w:semiHidden/>
    <w:unhideWhenUsed/>
    <w:rsid w:val="003E6DCA"/>
  </w:style>
  <w:style w:type="character" w:customStyle="1" w:styleId="af2">
    <w:name w:val="Текст примечания Знак"/>
    <w:basedOn w:val="a0"/>
    <w:link w:val="af1"/>
    <w:uiPriority w:val="99"/>
    <w:semiHidden/>
    <w:rsid w:val="003E6DC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E6DCA"/>
    <w:rPr>
      <w:b/>
      <w:bCs/>
    </w:rPr>
  </w:style>
  <w:style w:type="character" w:customStyle="1" w:styleId="af4">
    <w:name w:val="Тема примечания Знак"/>
    <w:basedOn w:val="af2"/>
    <w:link w:val="af3"/>
    <w:uiPriority w:val="99"/>
    <w:semiHidden/>
    <w:rsid w:val="003E6DCA"/>
    <w:rPr>
      <w:rFonts w:ascii="Times New Roman" w:eastAsia="Times New Roman" w:hAnsi="Times New Roman" w:cs="Times New Roman"/>
      <w:b/>
      <w:bCs/>
      <w:sz w:val="20"/>
      <w:szCs w:val="20"/>
      <w:lang w:eastAsia="ru-RU"/>
    </w:rPr>
  </w:style>
  <w:style w:type="paragraph" w:styleId="af5">
    <w:name w:val="Body Text Indent"/>
    <w:basedOn w:val="a"/>
    <w:link w:val="af6"/>
    <w:uiPriority w:val="99"/>
    <w:semiHidden/>
    <w:unhideWhenUsed/>
    <w:rsid w:val="004D1379"/>
    <w:pPr>
      <w:spacing w:after="120"/>
      <w:ind w:left="283"/>
    </w:pPr>
  </w:style>
  <w:style w:type="character" w:customStyle="1" w:styleId="af6">
    <w:name w:val="Основной текст с отступом Знак"/>
    <w:basedOn w:val="a0"/>
    <w:link w:val="af5"/>
    <w:uiPriority w:val="99"/>
    <w:semiHidden/>
    <w:rsid w:val="004D137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4D1379"/>
    <w:pPr>
      <w:spacing w:after="120" w:line="480" w:lineRule="auto"/>
      <w:ind w:left="283"/>
    </w:pPr>
  </w:style>
  <w:style w:type="character" w:customStyle="1" w:styleId="20">
    <w:name w:val="Основной текст с отступом 2 Знак"/>
    <w:basedOn w:val="a0"/>
    <w:link w:val="2"/>
    <w:uiPriority w:val="99"/>
    <w:semiHidden/>
    <w:rsid w:val="004D1379"/>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D1379"/>
    <w:pPr>
      <w:spacing w:after="120"/>
      <w:ind w:left="283"/>
    </w:pPr>
    <w:rPr>
      <w:sz w:val="16"/>
      <w:szCs w:val="16"/>
    </w:rPr>
  </w:style>
  <w:style w:type="character" w:customStyle="1" w:styleId="30">
    <w:name w:val="Основной текст с отступом 3 Знак"/>
    <w:basedOn w:val="a0"/>
    <w:link w:val="3"/>
    <w:uiPriority w:val="99"/>
    <w:semiHidden/>
    <w:rsid w:val="004D137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96648">
      <w:bodyDiv w:val="1"/>
      <w:marLeft w:val="0"/>
      <w:marRight w:val="0"/>
      <w:marTop w:val="0"/>
      <w:marBottom w:val="0"/>
      <w:divBdr>
        <w:top w:val="none" w:sz="0" w:space="0" w:color="auto"/>
        <w:left w:val="none" w:sz="0" w:space="0" w:color="auto"/>
        <w:bottom w:val="none" w:sz="0" w:space="0" w:color="auto"/>
        <w:right w:val="none" w:sz="0" w:space="0" w:color="auto"/>
      </w:divBdr>
    </w:div>
    <w:div w:id="17746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Regulation/Npa/PublicView?npaID=139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0CE2AFF94E466C74C3D734F72B4EA4CDE55D55A1C458B03ADC1043C4F1CCE28F32F9EE298CCEADA1A2FF8E24C252A4ADE00E2100C9D0AEP5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57FE-64DA-4BF6-890E-91B2DD74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17772</Words>
  <Characters>101304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 Николай Дмитриевич</dc:creator>
  <cp:keywords/>
  <dc:description/>
  <cp:lastModifiedBy>Кочетков Николай Дмитриевич</cp:lastModifiedBy>
  <cp:revision>7</cp:revision>
  <dcterms:created xsi:type="dcterms:W3CDTF">2023-10-31T11:35:00Z</dcterms:created>
  <dcterms:modified xsi:type="dcterms:W3CDTF">2023-11-20T09:23:00Z</dcterms:modified>
</cp:coreProperties>
</file>