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FE" w:rsidRDefault="001029FE"/>
    <w:tbl>
      <w:tblPr>
        <w:tblStyle w:val="a3"/>
        <w:tblpPr w:leftFromText="180" w:rightFromText="180" w:vertAnchor="text" w:tblpY="1"/>
        <w:tblOverlap w:val="never"/>
        <w:tblW w:w="10402" w:type="dxa"/>
        <w:tblLayout w:type="fixed"/>
        <w:tblCellMar>
          <w:left w:w="0" w:type="dxa"/>
          <w:right w:w="0" w:type="dxa"/>
        </w:tblCellMar>
        <w:tblLook w:val="04A0" w:firstRow="1" w:lastRow="0" w:firstColumn="1" w:lastColumn="0" w:noHBand="0" w:noVBand="1"/>
      </w:tblPr>
      <w:tblGrid>
        <w:gridCol w:w="2132"/>
        <w:gridCol w:w="378"/>
        <w:gridCol w:w="2381"/>
        <w:gridCol w:w="5511"/>
      </w:tblGrid>
      <w:tr w:rsidR="00736D27" w:rsidTr="001029FE">
        <w:trPr>
          <w:trHeight w:val="47"/>
        </w:trPr>
        <w:tc>
          <w:tcPr>
            <w:tcW w:w="10402" w:type="dxa"/>
            <w:gridSpan w:val="4"/>
            <w:tcBorders>
              <w:top w:val="nil"/>
              <w:left w:val="nil"/>
              <w:bottom w:val="nil"/>
              <w:right w:val="nil"/>
            </w:tcBorders>
            <w:vAlign w:val="bottom"/>
          </w:tcPr>
          <w:p w:rsidR="001029FE" w:rsidRDefault="001029FE" w:rsidP="001029FE">
            <w:pPr>
              <w:pStyle w:val="a4"/>
              <w:tabs>
                <w:tab w:val="left" w:pos="599"/>
              </w:tabs>
              <w:ind w:right="-17"/>
              <w:jc w:val="center"/>
              <w:rPr>
                <w:b/>
                <w:sz w:val="28"/>
              </w:rPr>
            </w:pPr>
            <w:r w:rsidRPr="00522A3C">
              <w:rPr>
                <w:b/>
                <w:sz w:val="28"/>
              </w:rPr>
              <w:t xml:space="preserve">Письмо Минфина </w:t>
            </w:r>
            <w:r w:rsidRPr="001029FE">
              <w:rPr>
                <w:b/>
                <w:sz w:val="28"/>
              </w:rPr>
              <w:t xml:space="preserve">России </w:t>
            </w:r>
            <w:r w:rsidRPr="001029FE">
              <w:rPr>
                <w:b/>
                <w:sz w:val="28"/>
              </w:rPr>
              <w:t>от 09.02.2023</w:t>
            </w:r>
            <w:r w:rsidRPr="001029FE">
              <w:rPr>
                <w:b/>
                <w:sz w:val="28"/>
                <w:lang w:val="en-US"/>
              </w:rPr>
              <w:t xml:space="preserve"> </w:t>
            </w:r>
            <w:r w:rsidRPr="001029FE">
              <w:rPr>
                <w:b/>
                <w:sz w:val="28"/>
              </w:rPr>
              <w:t>№ 03-03-06/2/10565</w:t>
            </w:r>
          </w:p>
          <w:p w:rsidR="00736D27" w:rsidRDefault="001029FE" w:rsidP="001029FE">
            <w:pPr>
              <w:pStyle w:val="a4"/>
              <w:tabs>
                <w:tab w:val="left" w:pos="599"/>
              </w:tabs>
              <w:ind w:right="-17"/>
              <w:jc w:val="center"/>
            </w:pPr>
            <w:r w:rsidRPr="00522A3C">
              <w:rPr>
                <w:b/>
                <w:sz w:val="28"/>
              </w:rPr>
              <w:t xml:space="preserve"> «О</w:t>
            </w:r>
            <w:r>
              <w:rPr>
                <w:b/>
                <w:sz w:val="28"/>
              </w:rPr>
              <w:t xml:space="preserve"> налогообложении</w:t>
            </w:r>
            <w:r w:rsidRPr="002D0C45">
              <w:rPr>
                <w:sz w:val="28"/>
              </w:rPr>
              <w:t xml:space="preserve"> </w:t>
            </w:r>
            <w:r w:rsidRPr="001029FE">
              <w:rPr>
                <w:b/>
                <w:sz w:val="28"/>
              </w:rPr>
              <w:t>еврооблигаци</w:t>
            </w:r>
            <w:r w:rsidRPr="001029FE">
              <w:rPr>
                <w:b/>
                <w:sz w:val="28"/>
              </w:rPr>
              <w:t>й при</w:t>
            </w:r>
            <w:r w:rsidRPr="001029FE">
              <w:rPr>
                <w:b/>
                <w:sz w:val="28"/>
              </w:rPr>
              <w:t xml:space="preserve"> замен</w:t>
            </w:r>
            <w:r w:rsidRPr="001029FE">
              <w:rPr>
                <w:b/>
                <w:sz w:val="28"/>
              </w:rPr>
              <w:t>е</w:t>
            </w:r>
            <w:r w:rsidRPr="001029FE">
              <w:rPr>
                <w:b/>
                <w:sz w:val="28"/>
              </w:rPr>
              <w:t xml:space="preserve"> их на замещающие облигации»</w:t>
            </w:r>
          </w:p>
        </w:tc>
      </w:tr>
      <w:tr w:rsidR="00736D27" w:rsidTr="001029FE">
        <w:tblPrEx>
          <w:tblCellMar>
            <w:left w:w="108" w:type="dxa"/>
            <w:right w:w="108" w:type="dxa"/>
          </w:tblCellMar>
          <w:tblLook w:val="0000" w:firstRow="0" w:lastRow="0" w:firstColumn="0" w:lastColumn="0" w:noHBand="0" w:noVBand="0"/>
        </w:tblPrEx>
        <w:trPr>
          <w:gridAfter w:val="1"/>
          <w:wAfter w:w="5511" w:type="dxa"/>
          <w:trHeight w:val="3"/>
        </w:trPr>
        <w:tc>
          <w:tcPr>
            <w:tcW w:w="2132" w:type="dxa"/>
            <w:tcBorders>
              <w:top w:val="nil"/>
              <w:left w:val="nil"/>
              <w:bottom w:val="nil"/>
              <w:right w:val="nil"/>
            </w:tcBorders>
          </w:tcPr>
          <w:p w:rsidR="00736D27" w:rsidRDefault="00736D27" w:rsidP="00F36243"/>
        </w:tc>
        <w:tc>
          <w:tcPr>
            <w:tcW w:w="378" w:type="dxa"/>
            <w:tcBorders>
              <w:top w:val="nil"/>
              <w:left w:val="nil"/>
              <w:bottom w:val="nil"/>
              <w:right w:val="nil"/>
            </w:tcBorders>
            <w:shd w:val="clear" w:color="auto" w:fill="auto"/>
          </w:tcPr>
          <w:p w:rsidR="00736D27" w:rsidRDefault="00736D27" w:rsidP="00F36243">
            <w:pPr>
              <w:spacing w:before="0" w:after="120"/>
              <w:contextualSpacing w:val="0"/>
            </w:pPr>
          </w:p>
        </w:tc>
        <w:tc>
          <w:tcPr>
            <w:tcW w:w="2381" w:type="dxa"/>
            <w:tcBorders>
              <w:top w:val="nil"/>
              <w:left w:val="nil"/>
              <w:bottom w:val="nil"/>
              <w:right w:val="nil"/>
            </w:tcBorders>
            <w:shd w:val="clear" w:color="auto" w:fill="auto"/>
          </w:tcPr>
          <w:p w:rsidR="00736D27" w:rsidRDefault="00736D27" w:rsidP="00F36243">
            <w:pPr>
              <w:spacing w:before="0" w:after="120"/>
              <w:contextualSpacing w:val="0"/>
            </w:pPr>
          </w:p>
        </w:tc>
      </w:tr>
      <w:tr w:rsidR="00736D27" w:rsidTr="001029FE">
        <w:trPr>
          <w:trHeight w:val="47"/>
        </w:trPr>
        <w:tc>
          <w:tcPr>
            <w:tcW w:w="10402" w:type="dxa"/>
            <w:gridSpan w:val="4"/>
            <w:tcBorders>
              <w:top w:val="nil"/>
              <w:left w:val="nil"/>
              <w:bottom w:val="nil"/>
              <w:right w:val="nil"/>
            </w:tcBorders>
            <w:vAlign w:val="bottom"/>
          </w:tcPr>
          <w:p w:rsidR="00736D27" w:rsidRDefault="00736D27" w:rsidP="00F36243">
            <w:pPr>
              <w:spacing w:line="320" w:lineRule="exact"/>
            </w:pPr>
            <w:bookmarkStart w:id="0" w:name="_GoBack"/>
            <w:bookmarkEnd w:id="0"/>
          </w:p>
        </w:tc>
      </w:tr>
    </w:tbl>
    <w:p w:rsidR="002D0C45" w:rsidRPr="002D0C45" w:rsidRDefault="002D0C45" w:rsidP="002D0C45">
      <w:pPr>
        <w:tabs>
          <w:tab w:val="left" w:pos="4158"/>
        </w:tabs>
        <w:autoSpaceDE w:val="0"/>
        <w:autoSpaceDN w:val="0"/>
        <w:adjustRightInd w:val="0"/>
        <w:spacing w:line="240" w:lineRule="auto"/>
        <w:ind w:firstLine="709"/>
        <w:jc w:val="both"/>
        <w:rPr>
          <w:sz w:val="28"/>
        </w:rPr>
      </w:pPr>
      <w:r w:rsidRPr="002D0C45">
        <w:rPr>
          <w:sz w:val="28"/>
        </w:rPr>
        <w:t xml:space="preserve">Департамент налоговой политики по вопросу </w:t>
      </w:r>
      <w:r w:rsidR="00401998">
        <w:rPr>
          <w:sz w:val="28"/>
        </w:rPr>
        <w:t xml:space="preserve">о </w:t>
      </w:r>
      <w:r w:rsidRPr="002D0C45">
        <w:rPr>
          <w:sz w:val="28"/>
        </w:rPr>
        <w:t>порядк</w:t>
      </w:r>
      <w:r w:rsidR="00401998">
        <w:rPr>
          <w:sz w:val="28"/>
        </w:rPr>
        <w:t>е</w:t>
      </w:r>
      <w:r w:rsidRPr="002D0C45">
        <w:rPr>
          <w:sz w:val="28"/>
        </w:rPr>
        <w:t xml:space="preserve"> обложения налогом на прибыль организаций дохода по еврооблигациям в связи с заменой их на замещающие облигации сообщает следующее.</w:t>
      </w:r>
    </w:p>
    <w:p w:rsidR="002D0C45" w:rsidRPr="002D0C45" w:rsidRDefault="002D0C45" w:rsidP="002D0C45">
      <w:pPr>
        <w:autoSpaceDE w:val="0"/>
        <w:autoSpaceDN w:val="0"/>
        <w:adjustRightInd w:val="0"/>
        <w:spacing w:line="240" w:lineRule="auto"/>
        <w:ind w:firstLine="709"/>
        <w:jc w:val="both"/>
        <w:rPr>
          <w:sz w:val="28"/>
        </w:rPr>
      </w:pPr>
      <w:r w:rsidRPr="002D0C45">
        <w:rPr>
          <w:sz w:val="28"/>
        </w:rPr>
        <w:t>Как указывается в информационном письме Банка России от 30.12.2022             № ИН-018-34/154 «О размещении замещающих облигаций», Федеральным законом от 14.07.2022 №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Федеральным законом от 14.07.2022 № 319-ФЗ «О внесении изменений в отдельные законодательные акты Российской Федерации» и Указом Президента Российской Федерации от 05.07.2022 № 430 «О репатриации резидентами - участниками внешнеэкономической деятельности иностранной валюты и валюты Российской Федерации» предусмотрены возможность и условия исполнения российскими юридическими лицами, имеющими обязательства, связанные с еврооблигациями (далее - российские должники), перед владельцами еврооблигаций и лицами, осуществляющими права по еврооблигациям (далее - держатели еврооблигаций), данных обязательств путем размещения облигаций в пользу держателей еврооблигаций с их оплатой еврооблигациями (далее - замещающие облигации).</w:t>
      </w:r>
    </w:p>
    <w:p w:rsidR="002D0C45" w:rsidRPr="002D0C45" w:rsidRDefault="002D0C45" w:rsidP="002D0C45">
      <w:pPr>
        <w:autoSpaceDE w:val="0"/>
        <w:autoSpaceDN w:val="0"/>
        <w:adjustRightInd w:val="0"/>
        <w:spacing w:line="240" w:lineRule="auto"/>
        <w:ind w:firstLine="709"/>
        <w:jc w:val="both"/>
        <w:rPr>
          <w:sz w:val="28"/>
        </w:rPr>
      </w:pPr>
      <w:r w:rsidRPr="002D0C45">
        <w:rPr>
          <w:sz w:val="28"/>
        </w:rPr>
        <w:t xml:space="preserve">Размещение замещающих облигаций позволяет российским должникам исполнить обязательства, связанные с еврооблигациями, в ситуации, когда держатель еврооблигаций, учет прав которого осуществляется иностранными организациями, не может распоряжаться еврооблигациями, в частности осуществить перевод учета прав держателя еврооблигаций в российскую учетную инфраструктуру и получать выплаты по еврооблигациям. </w:t>
      </w:r>
    </w:p>
    <w:p w:rsidR="002D0C45" w:rsidRPr="002D0C45" w:rsidRDefault="002D0C45" w:rsidP="002D0C45">
      <w:pPr>
        <w:autoSpaceDE w:val="0"/>
        <w:autoSpaceDN w:val="0"/>
        <w:adjustRightInd w:val="0"/>
        <w:spacing w:line="240" w:lineRule="auto"/>
        <w:ind w:firstLine="709"/>
        <w:jc w:val="both"/>
        <w:rPr>
          <w:sz w:val="28"/>
        </w:rPr>
      </w:pPr>
      <w:r w:rsidRPr="002D0C45">
        <w:rPr>
          <w:sz w:val="28"/>
        </w:rPr>
        <w:t>Учитывая указанный механизм обмена еврооблигаций на замещающие облигации считаем, что поскольку в указанном случае у держателя еврооблигаций происходит передача (выбытие) ценных бумаг в обмен на другие ценные бумаги (замещающие облигации), то в данном случае происходит реализация еврооблигаций с определением налоговой базы по налогу на прибыль в соответствии с нормами главы 25 Налогового кодекса Российской Федерации (далее – НК РФ).</w:t>
      </w:r>
    </w:p>
    <w:p w:rsidR="002D0C45" w:rsidRPr="002D0C45" w:rsidRDefault="002D0C45" w:rsidP="002D0C45">
      <w:pPr>
        <w:autoSpaceDE w:val="0"/>
        <w:autoSpaceDN w:val="0"/>
        <w:adjustRightInd w:val="0"/>
        <w:spacing w:line="240" w:lineRule="auto"/>
        <w:ind w:firstLine="709"/>
        <w:jc w:val="both"/>
        <w:rPr>
          <w:sz w:val="28"/>
        </w:rPr>
      </w:pPr>
      <w:r w:rsidRPr="002D0C45">
        <w:rPr>
          <w:sz w:val="28"/>
        </w:rPr>
        <w:t>При этом следует учитывать, что особый порядок признания доходов от операций с еврооблигациями, установленный пунктом 3 статьи 271 НК РФ, применяется только при погашении еврооблигаций, и, следовательно, дата признания дохода от выбытия еврооблигаций в рассматриваемом случае определяется в общеустановленном порядке.</w:t>
      </w:r>
    </w:p>
    <w:p w:rsidR="002D0C45" w:rsidRPr="002D0C45" w:rsidRDefault="002D0C45" w:rsidP="002D0C45">
      <w:pPr>
        <w:autoSpaceDE w:val="0"/>
        <w:autoSpaceDN w:val="0"/>
        <w:adjustRightInd w:val="0"/>
        <w:spacing w:line="240" w:lineRule="auto"/>
        <w:ind w:firstLine="709"/>
        <w:jc w:val="both"/>
        <w:rPr>
          <w:sz w:val="28"/>
        </w:rPr>
      </w:pPr>
      <w:r w:rsidRPr="002D0C45">
        <w:rPr>
          <w:sz w:val="28"/>
        </w:rPr>
        <w:lastRenderedPageBreak/>
        <w:t>В соответствии с пунктом 2 статьи 280 К РФ 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2D0C45" w:rsidRPr="002D0C45" w:rsidRDefault="002D0C45" w:rsidP="002D0C45">
      <w:pPr>
        <w:autoSpaceDE w:val="0"/>
        <w:autoSpaceDN w:val="0"/>
        <w:adjustRightInd w:val="0"/>
        <w:spacing w:line="240" w:lineRule="auto"/>
        <w:ind w:firstLine="709"/>
        <w:jc w:val="both"/>
        <w:rPr>
          <w:sz w:val="28"/>
        </w:rPr>
      </w:pPr>
      <w:r w:rsidRPr="002D0C45">
        <w:rPr>
          <w:sz w:val="28"/>
        </w:rPr>
        <w:t>Пунктом 3 статьи 280 НК РФ установлено, что 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2D0C45" w:rsidRPr="002D0C45" w:rsidRDefault="002D0C45" w:rsidP="002D0C45">
      <w:pPr>
        <w:autoSpaceDE w:val="0"/>
        <w:autoSpaceDN w:val="0"/>
        <w:adjustRightInd w:val="0"/>
        <w:spacing w:line="240" w:lineRule="auto"/>
        <w:ind w:firstLine="709"/>
        <w:jc w:val="both"/>
        <w:rPr>
          <w:sz w:val="28"/>
        </w:rPr>
      </w:pPr>
      <w:r w:rsidRPr="002D0C45">
        <w:rPr>
          <w:sz w:val="28"/>
        </w:rPr>
        <w:t xml:space="preserve">Учитывая указанное, налоговая база при замене (реализации) еврооблигаций на замещающие облигации будет определяться в общем порядке, то есть с применением положений статьи 280 НК РФ. В том случае если налоговая стоимость еврооблигаций равна номинальной стоимости замещающих облигаций, по нашему мнению, налоговая база от реализации еврооблигаций будет равна нулю. </w:t>
      </w:r>
    </w:p>
    <w:p w:rsidR="003D6B5B" w:rsidRDefault="002D0C45" w:rsidP="002D0C45">
      <w:pPr>
        <w:autoSpaceDE w:val="0"/>
        <w:autoSpaceDN w:val="0"/>
        <w:adjustRightInd w:val="0"/>
        <w:spacing w:line="240" w:lineRule="auto"/>
        <w:ind w:firstLine="709"/>
        <w:jc w:val="both"/>
        <w:rPr>
          <w:sz w:val="28"/>
        </w:rPr>
      </w:pPr>
      <w:r w:rsidRPr="002D0C45">
        <w:rPr>
          <w:sz w:val="28"/>
        </w:rPr>
        <w:t xml:space="preserve">В случае если владельцем еврооблигаций является иностранная организация, в соответствии с пунктом 2 статьи 309 НК РФ доходы, полученные такой иностранной организацией от продажи товаров, иного имущества, кроме указанного в подпунктах 5, 6 и 9.1 статьи 309 НК РФ, а также имущественных прав, за исключением указанных в подпункте 9.2. пункта 1 статьи 309 НК РФ, обложению налогом у источника выплаты не подлежат. </w:t>
      </w:r>
    </w:p>
    <w:p w:rsidR="002D0C45" w:rsidRPr="002D0C45" w:rsidRDefault="002D0C45" w:rsidP="002D0C45">
      <w:pPr>
        <w:autoSpaceDE w:val="0"/>
        <w:autoSpaceDN w:val="0"/>
        <w:adjustRightInd w:val="0"/>
        <w:spacing w:line="240" w:lineRule="auto"/>
        <w:ind w:firstLine="709"/>
        <w:jc w:val="both"/>
        <w:rPr>
          <w:sz w:val="28"/>
        </w:rPr>
      </w:pPr>
      <w:r w:rsidRPr="002D0C45">
        <w:rPr>
          <w:sz w:val="28"/>
        </w:rPr>
        <w:t>Таким образом, доходы иностранной организации, полученные от реализации еврооблигаций, обложению налогом у источника выплаты не подлежат.</w:t>
      </w:r>
    </w:p>
    <w:p w:rsidR="002D0C45" w:rsidRPr="002D0C45" w:rsidRDefault="002D0C45" w:rsidP="002D0C45">
      <w:pPr>
        <w:autoSpaceDE w:val="0"/>
        <w:autoSpaceDN w:val="0"/>
        <w:adjustRightInd w:val="0"/>
        <w:spacing w:line="240" w:lineRule="auto"/>
        <w:ind w:firstLine="709"/>
        <w:jc w:val="both"/>
        <w:rPr>
          <w:sz w:val="28"/>
        </w:rPr>
      </w:pPr>
      <w:r w:rsidRPr="002D0C45">
        <w:rPr>
          <w:sz w:val="28"/>
        </w:rPr>
        <w:t xml:space="preserve">С учетом изложенного, по мнению Департамента, получение замещающих облигаций взамен на еврооблигации следует рассматривать как реализацию этих еврооблигаций. Налоговая база при такой замене определяется в общем порядке, установленном положениями главы 25 НК РФ для операций с ценными бумагами.  </w:t>
      </w:r>
    </w:p>
    <w:p w:rsidR="002D0C45" w:rsidRPr="002D0C45" w:rsidRDefault="002D0C45" w:rsidP="002D0C45">
      <w:pPr>
        <w:autoSpaceDE w:val="0"/>
        <w:autoSpaceDN w:val="0"/>
        <w:adjustRightInd w:val="0"/>
        <w:spacing w:line="240" w:lineRule="auto"/>
        <w:ind w:firstLine="709"/>
        <w:jc w:val="both"/>
        <w:rPr>
          <w:sz w:val="28"/>
        </w:rPr>
      </w:pPr>
    </w:p>
    <w:p w:rsidR="002D0C45" w:rsidRPr="002D0C45" w:rsidRDefault="002D0C45" w:rsidP="002D0C45">
      <w:pPr>
        <w:autoSpaceDE w:val="0"/>
        <w:autoSpaceDN w:val="0"/>
        <w:adjustRightInd w:val="0"/>
        <w:spacing w:line="240" w:lineRule="auto"/>
        <w:ind w:firstLine="709"/>
        <w:jc w:val="both"/>
        <w:rPr>
          <w:sz w:val="28"/>
        </w:rPr>
      </w:pPr>
    </w:p>
    <w:p w:rsidR="00834C7F" w:rsidRPr="0057535A" w:rsidRDefault="002D0C45" w:rsidP="002D0C45">
      <w:pPr>
        <w:autoSpaceDE w:val="0"/>
        <w:autoSpaceDN w:val="0"/>
        <w:adjustRightInd w:val="0"/>
        <w:spacing w:line="240" w:lineRule="auto"/>
        <w:jc w:val="both"/>
        <w:rPr>
          <w:sz w:val="28"/>
        </w:rPr>
      </w:pPr>
      <w:r w:rsidRPr="002D0C45">
        <w:rPr>
          <w:sz w:val="28"/>
        </w:rPr>
        <w:t>Директор Департамента                                                                                  Д.В. Волков</w:t>
      </w:r>
    </w:p>
    <w:sectPr w:rsidR="00834C7F" w:rsidRPr="0057535A" w:rsidSect="002D0C45">
      <w:headerReference w:type="default" r:id="rId6"/>
      <w:footerReference w:type="default" r:id="rId7"/>
      <w:pgSz w:w="11906" w:h="16838"/>
      <w:pgMar w:top="284" w:right="567"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E1" w:rsidRDefault="00FE5EE1" w:rsidP="00736D27">
      <w:pPr>
        <w:spacing w:before="0" w:after="0" w:line="240" w:lineRule="auto"/>
      </w:pPr>
      <w:r>
        <w:separator/>
      </w:r>
    </w:p>
  </w:endnote>
  <w:endnote w:type="continuationSeparator" w:id="0">
    <w:p w:rsidR="00FE5EE1" w:rsidRDefault="00FE5EE1" w:rsidP="00736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85" w:rsidRDefault="000D0685" w:rsidP="000D0685">
    <w:r>
      <w:rPr>
        <w:sz w:val="16"/>
        <w:szCs w:val="16"/>
      </w:rPr>
      <w:t xml:space="preserve">Исп. </w:t>
    </w:r>
    <w:r w:rsidRPr="00CC1AD6">
      <w:rPr>
        <w:sz w:val="16"/>
        <w:szCs w:val="16"/>
      </w:rPr>
      <w:t xml:space="preserve">Ковальчук В.В. </w:t>
    </w:r>
    <w:r w:rsidRPr="00754343">
      <w:rPr>
        <w:sz w:val="16"/>
        <w:szCs w:val="16"/>
      </w:rPr>
      <w:t>8-</w:t>
    </w:r>
    <w:r w:rsidRPr="00754343">
      <w:rPr>
        <w:iCs/>
        <w:noProof/>
        <w:sz w:val="16"/>
        <w:szCs w:val="16"/>
      </w:rPr>
      <w:t>495 983 3883 доб.0334</w:t>
    </w:r>
  </w:p>
  <w:p w:rsidR="000D0685" w:rsidRDefault="000D06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E1" w:rsidRDefault="00FE5EE1" w:rsidP="00736D27">
      <w:pPr>
        <w:spacing w:before="0" w:after="0" w:line="240" w:lineRule="auto"/>
      </w:pPr>
      <w:r>
        <w:separator/>
      </w:r>
    </w:p>
  </w:footnote>
  <w:footnote w:type="continuationSeparator" w:id="0">
    <w:p w:rsidR="00FE5EE1" w:rsidRDefault="00FE5EE1" w:rsidP="00736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6681"/>
      <w:docPartObj>
        <w:docPartGallery w:val="Page Numbers (Top of Page)"/>
        <w:docPartUnique/>
      </w:docPartObj>
    </w:sdtPr>
    <w:sdtEndPr/>
    <w:sdtContent>
      <w:p w:rsidR="0057535A" w:rsidRDefault="0057535A">
        <w:pPr>
          <w:pStyle w:val="a4"/>
          <w:jc w:val="center"/>
        </w:pPr>
        <w:r>
          <w:fldChar w:fldCharType="begin"/>
        </w:r>
        <w:r>
          <w:instrText>PAGE   \* MERGEFORMAT</w:instrText>
        </w:r>
        <w:r>
          <w:fldChar w:fldCharType="separate"/>
        </w:r>
        <w:r w:rsidR="001029FE">
          <w:rPr>
            <w:noProof/>
          </w:rPr>
          <w:t>2</w:t>
        </w:r>
        <w:r>
          <w:fldChar w:fldCharType="end"/>
        </w:r>
      </w:p>
    </w:sdtContent>
  </w:sdt>
  <w:p w:rsidR="0057535A" w:rsidRDefault="0057535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27"/>
    <w:rsid w:val="00037012"/>
    <w:rsid w:val="000B7ED1"/>
    <w:rsid w:val="000C306B"/>
    <w:rsid w:val="000D0685"/>
    <w:rsid w:val="001029FE"/>
    <w:rsid w:val="001157F4"/>
    <w:rsid w:val="00161CA0"/>
    <w:rsid w:val="001B320D"/>
    <w:rsid w:val="001C0B73"/>
    <w:rsid w:val="001D6B7C"/>
    <w:rsid w:val="001E1436"/>
    <w:rsid w:val="001E159A"/>
    <w:rsid w:val="00230943"/>
    <w:rsid w:val="00296F1B"/>
    <w:rsid w:val="002A3AA0"/>
    <w:rsid w:val="002A774B"/>
    <w:rsid w:val="002D0C45"/>
    <w:rsid w:val="002F1F8A"/>
    <w:rsid w:val="002F244E"/>
    <w:rsid w:val="0039747F"/>
    <w:rsid w:val="003D6B5B"/>
    <w:rsid w:val="00401998"/>
    <w:rsid w:val="00430DF4"/>
    <w:rsid w:val="0044195F"/>
    <w:rsid w:val="004A2A27"/>
    <w:rsid w:val="004B250C"/>
    <w:rsid w:val="004E2917"/>
    <w:rsid w:val="004F17E2"/>
    <w:rsid w:val="0051282F"/>
    <w:rsid w:val="0053333E"/>
    <w:rsid w:val="0057535A"/>
    <w:rsid w:val="00591F6D"/>
    <w:rsid w:val="0063144E"/>
    <w:rsid w:val="00642231"/>
    <w:rsid w:val="006904C4"/>
    <w:rsid w:val="006D235D"/>
    <w:rsid w:val="006E0720"/>
    <w:rsid w:val="006E1858"/>
    <w:rsid w:val="006E677E"/>
    <w:rsid w:val="00732797"/>
    <w:rsid w:val="00732E42"/>
    <w:rsid w:val="00736D27"/>
    <w:rsid w:val="00740D05"/>
    <w:rsid w:val="007C6B74"/>
    <w:rsid w:val="00834C7F"/>
    <w:rsid w:val="008661B7"/>
    <w:rsid w:val="00883FD9"/>
    <w:rsid w:val="008A4EB4"/>
    <w:rsid w:val="008B6D3C"/>
    <w:rsid w:val="00926769"/>
    <w:rsid w:val="00947B41"/>
    <w:rsid w:val="0097665E"/>
    <w:rsid w:val="009859D4"/>
    <w:rsid w:val="00A14536"/>
    <w:rsid w:val="00A82B41"/>
    <w:rsid w:val="00AA455A"/>
    <w:rsid w:val="00B33207"/>
    <w:rsid w:val="00BB2CEE"/>
    <w:rsid w:val="00BB4077"/>
    <w:rsid w:val="00BE7618"/>
    <w:rsid w:val="00C07DD4"/>
    <w:rsid w:val="00C22056"/>
    <w:rsid w:val="00C3564A"/>
    <w:rsid w:val="00C43EEB"/>
    <w:rsid w:val="00C60404"/>
    <w:rsid w:val="00C936A3"/>
    <w:rsid w:val="00DB0583"/>
    <w:rsid w:val="00E24B7C"/>
    <w:rsid w:val="00E27288"/>
    <w:rsid w:val="00E66273"/>
    <w:rsid w:val="00EB3796"/>
    <w:rsid w:val="00EB6313"/>
    <w:rsid w:val="00EE55DB"/>
    <w:rsid w:val="00F02A68"/>
    <w:rsid w:val="00F6766D"/>
    <w:rsid w:val="00FE4AEB"/>
    <w:rsid w:val="00FE5EE1"/>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ADB4"/>
  <w15:docId w15:val="{D102F33A-A661-46DA-9216-5D2DB9E8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27"/>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D27"/>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D2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736D27"/>
    <w:rPr>
      <w:rFonts w:ascii="Times New Roman" w:hAnsi="Times New Roman" w:cs="Times New Roman"/>
      <w:sz w:val="24"/>
      <w:szCs w:val="28"/>
    </w:rPr>
  </w:style>
  <w:style w:type="paragraph" w:styleId="a6">
    <w:name w:val="footer"/>
    <w:basedOn w:val="a"/>
    <w:link w:val="a7"/>
    <w:uiPriority w:val="99"/>
    <w:unhideWhenUsed/>
    <w:rsid w:val="00736D2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6D27"/>
    <w:rPr>
      <w:rFonts w:ascii="Times New Roman" w:hAnsi="Times New Roman" w:cs="Times New Roman"/>
      <w:sz w:val="24"/>
      <w:szCs w:val="28"/>
    </w:rPr>
  </w:style>
  <w:style w:type="character" w:styleId="a8">
    <w:name w:val="Hyperlink"/>
    <w:basedOn w:val="a0"/>
    <w:uiPriority w:val="99"/>
    <w:unhideWhenUsed/>
    <w:rsid w:val="00FF7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ЗАЧЕСОВ АЛЕКСАНДР ОЛЕГОВИЧ</dc:creator>
  <cp:lastModifiedBy>КОВАЛЬЧУК ВАЛЕРИЯ ВАСИЛЬЕВНА</cp:lastModifiedBy>
  <cp:revision>2</cp:revision>
  <cp:lastPrinted>2022-12-22T10:26:00Z</cp:lastPrinted>
  <dcterms:created xsi:type="dcterms:W3CDTF">2023-02-17T07:10:00Z</dcterms:created>
  <dcterms:modified xsi:type="dcterms:W3CDTF">2023-02-17T07:10:00Z</dcterms:modified>
</cp:coreProperties>
</file>