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79" w:rsidRPr="00D95079" w:rsidRDefault="00D95079" w:rsidP="00D95079">
      <w:pPr>
        <w:autoSpaceDE w:val="0"/>
        <w:autoSpaceDN w:val="0"/>
        <w:adjustRightInd w:val="0"/>
        <w:spacing w:before="0" w:after="0" w:line="233" w:lineRule="auto"/>
        <w:contextualSpacing w:val="0"/>
        <w:jc w:val="both"/>
        <w:rPr>
          <w:b/>
          <w:color w:val="000000" w:themeColor="text1"/>
          <w:sz w:val="28"/>
        </w:rPr>
      </w:pPr>
      <w:r w:rsidRPr="00D95079">
        <w:rPr>
          <w:b/>
          <w:color w:val="000000" w:themeColor="text1"/>
          <w:sz w:val="28"/>
        </w:rPr>
        <w:t>Пись</w:t>
      </w:r>
      <w:bookmarkStart w:id="0" w:name="_GoBack"/>
      <w:bookmarkEnd w:id="0"/>
      <w:r w:rsidRPr="00D95079">
        <w:rPr>
          <w:b/>
          <w:color w:val="000000" w:themeColor="text1"/>
          <w:sz w:val="28"/>
        </w:rPr>
        <w:t xml:space="preserve">мо </w:t>
      </w:r>
      <w:r w:rsidRPr="00D95079">
        <w:rPr>
          <w:b/>
          <w:color w:val="000000" w:themeColor="text1"/>
          <w:sz w:val="28"/>
        </w:rPr>
        <w:t>Департамент</w:t>
      </w:r>
      <w:r w:rsidRPr="00D95079">
        <w:rPr>
          <w:b/>
          <w:color w:val="000000" w:themeColor="text1"/>
          <w:sz w:val="28"/>
        </w:rPr>
        <w:t>а</w:t>
      </w:r>
      <w:r w:rsidRPr="00D95079">
        <w:rPr>
          <w:b/>
          <w:color w:val="000000" w:themeColor="text1"/>
          <w:sz w:val="28"/>
        </w:rPr>
        <w:t xml:space="preserve"> налоговой политики</w:t>
      </w:r>
      <w:r w:rsidRPr="00D95079">
        <w:rPr>
          <w:b/>
          <w:color w:val="000000" w:themeColor="text1"/>
          <w:sz w:val="28"/>
        </w:rPr>
        <w:t xml:space="preserve"> от 14.02.2023 № 03-03-06/1/12385 «О </w:t>
      </w:r>
      <w:r w:rsidRPr="00D95079">
        <w:rPr>
          <w:b/>
          <w:sz w:val="28"/>
          <w:lang w:eastAsia="ru-RU"/>
        </w:rPr>
        <w:t xml:space="preserve">применении пониженной налоговой ставки по налогу на прибыль организаций и </w:t>
      </w:r>
      <w:r w:rsidRPr="00D95079">
        <w:rPr>
          <w:rFonts w:eastAsia="Calibri"/>
          <w:b/>
          <w:sz w:val="28"/>
        </w:rPr>
        <w:t>пониженных тарифов страховых взносов, установленных для</w:t>
      </w:r>
      <w:r w:rsidRPr="00D95079">
        <w:rPr>
          <w:b/>
          <w:sz w:val="28"/>
        </w:rPr>
        <w:t xml:space="preserve"> организаций, осуществляющих деятельность в области информационных технологий,</w:t>
      </w:r>
      <w:r w:rsidRPr="00D95079">
        <w:rPr>
          <w:rFonts w:eastAsia="Calibri"/>
          <w:b/>
          <w:sz w:val="28"/>
        </w:rPr>
        <w:t xml:space="preserve"> организацией, оказывающей банковские услуги с использованием программ для ЭВМ</w:t>
      </w:r>
      <w:r w:rsidRPr="00D95079">
        <w:rPr>
          <w:rFonts w:eastAsia="Calibri"/>
          <w:b/>
          <w:sz w:val="28"/>
        </w:rPr>
        <w:t>»</w:t>
      </w:r>
    </w:p>
    <w:p w:rsidR="00D95079" w:rsidRDefault="00D95079" w:rsidP="00187214">
      <w:pPr>
        <w:autoSpaceDE w:val="0"/>
        <w:autoSpaceDN w:val="0"/>
        <w:adjustRightInd w:val="0"/>
        <w:spacing w:before="0" w:after="0" w:line="240" w:lineRule="auto"/>
        <w:ind w:firstLine="709"/>
        <w:contextualSpacing w:val="0"/>
        <w:jc w:val="both"/>
        <w:rPr>
          <w:color w:val="000000" w:themeColor="text1"/>
          <w:sz w:val="28"/>
        </w:rPr>
      </w:pPr>
    </w:p>
    <w:p w:rsidR="00187214" w:rsidRDefault="00187214" w:rsidP="00187214">
      <w:pPr>
        <w:autoSpaceDE w:val="0"/>
        <w:autoSpaceDN w:val="0"/>
        <w:adjustRightInd w:val="0"/>
        <w:spacing w:before="0" w:after="0" w:line="240" w:lineRule="auto"/>
        <w:ind w:firstLine="709"/>
        <w:contextualSpacing w:val="0"/>
        <w:jc w:val="both"/>
        <w:rPr>
          <w:color w:val="000000" w:themeColor="text1"/>
          <w:sz w:val="28"/>
        </w:rPr>
      </w:pPr>
    </w:p>
    <w:p w:rsidR="00D95079" w:rsidRPr="00C34DC2" w:rsidRDefault="00D95079" w:rsidP="00187214">
      <w:pPr>
        <w:autoSpaceDE w:val="0"/>
        <w:autoSpaceDN w:val="0"/>
        <w:adjustRightInd w:val="0"/>
        <w:spacing w:before="0" w:after="0" w:line="240" w:lineRule="auto"/>
        <w:ind w:firstLine="709"/>
        <w:contextualSpacing w:val="0"/>
        <w:jc w:val="both"/>
        <w:rPr>
          <w:sz w:val="28"/>
        </w:rPr>
      </w:pPr>
      <w:r w:rsidRPr="00C34DC2">
        <w:rPr>
          <w:color w:val="000000" w:themeColor="text1"/>
          <w:sz w:val="28"/>
        </w:rPr>
        <w:t xml:space="preserve">Департамент налоговой политики рассмотрел обращение </w:t>
      </w:r>
      <w:r w:rsidRPr="004C4B01">
        <w:rPr>
          <w:sz w:val="28"/>
          <w:lang w:eastAsia="ru-RU"/>
        </w:rPr>
        <w:t xml:space="preserve">по вопросу о применении </w:t>
      </w:r>
      <w:r>
        <w:rPr>
          <w:sz w:val="28"/>
          <w:lang w:eastAsia="ru-RU"/>
        </w:rPr>
        <w:t xml:space="preserve">пониженной налоговой ставки по налогу на прибыль организаций и </w:t>
      </w:r>
      <w:r w:rsidRPr="004C4B01">
        <w:rPr>
          <w:rFonts w:eastAsia="Calibri"/>
          <w:sz w:val="28"/>
        </w:rPr>
        <w:t>пониженных тарифов страховых взносов</w:t>
      </w:r>
      <w:r>
        <w:rPr>
          <w:rFonts w:eastAsia="Calibri"/>
          <w:sz w:val="28"/>
        </w:rPr>
        <w:t>, установленных для</w:t>
      </w:r>
      <w:r w:rsidRPr="006D5B94">
        <w:rPr>
          <w:sz w:val="28"/>
        </w:rPr>
        <w:t xml:space="preserve"> </w:t>
      </w:r>
      <w:r w:rsidRPr="00DF3A36">
        <w:rPr>
          <w:sz w:val="28"/>
        </w:rPr>
        <w:t>организаций, осуществляющих деятельность в области информационных технологий</w:t>
      </w:r>
      <w:r>
        <w:rPr>
          <w:sz w:val="28"/>
        </w:rPr>
        <w:t xml:space="preserve"> (далее соответственно – ИТ-организация, ИТ-деятельность)</w:t>
      </w:r>
      <w:r w:rsidRPr="00DF3A36">
        <w:rPr>
          <w:sz w:val="28"/>
        </w:rPr>
        <w:t>,</w:t>
      </w:r>
      <w:r w:rsidRPr="004C4B01">
        <w:rPr>
          <w:rFonts w:eastAsia="Calibri"/>
          <w:sz w:val="28"/>
        </w:rPr>
        <w:t xml:space="preserve"> организацией, о</w:t>
      </w:r>
      <w:r>
        <w:rPr>
          <w:rFonts w:eastAsia="Calibri"/>
          <w:sz w:val="28"/>
        </w:rPr>
        <w:t>казыва</w:t>
      </w:r>
      <w:r w:rsidRPr="004C4B01">
        <w:rPr>
          <w:rFonts w:eastAsia="Calibri"/>
          <w:sz w:val="28"/>
        </w:rPr>
        <w:t xml:space="preserve">ющей </w:t>
      </w:r>
      <w:r>
        <w:rPr>
          <w:rFonts w:eastAsia="Calibri"/>
          <w:sz w:val="28"/>
        </w:rPr>
        <w:t>банковские услуги с использованием программ для ЭВМ,</w:t>
      </w:r>
      <w:r w:rsidRPr="00C34DC2">
        <w:rPr>
          <w:color w:val="000000" w:themeColor="text1"/>
          <w:sz w:val="28"/>
        </w:rPr>
        <w:t xml:space="preserve"> </w:t>
      </w:r>
      <w:r w:rsidR="00187214">
        <w:rPr>
          <w:color w:val="000000" w:themeColor="text1"/>
          <w:sz w:val="28"/>
        </w:rPr>
        <w:t xml:space="preserve">и </w:t>
      </w:r>
      <w:r w:rsidRPr="00C34DC2">
        <w:rPr>
          <w:color w:val="000000" w:themeColor="text1"/>
          <w:sz w:val="28"/>
        </w:rPr>
        <w:t>сообщает</w:t>
      </w:r>
      <w:r>
        <w:rPr>
          <w:color w:val="000000" w:themeColor="text1"/>
          <w:sz w:val="28"/>
        </w:rPr>
        <w:t xml:space="preserve"> следующее</w:t>
      </w:r>
      <w:r>
        <w:rPr>
          <w:sz w:val="28"/>
        </w:rPr>
        <w:t>.</w:t>
      </w:r>
    </w:p>
    <w:p w:rsidR="00D95079" w:rsidRPr="00DF3A36" w:rsidRDefault="00D95079" w:rsidP="00187214">
      <w:pPr>
        <w:spacing w:before="0" w:after="0" w:line="240" w:lineRule="auto"/>
        <w:ind w:firstLine="709"/>
        <w:jc w:val="both"/>
        <w:rPr>
          <w:sz w:val="28"/>
        </w:rPr>
      </w:pPr>
      <w:r>
        <w:rPr>
          <w:sz w:val="28"/>
        </w:rPr>
        <w:t>В</w:t>
      </w:r>
      <w:r w:rsidRPr="00DF3A36">
        <w:rPr>
          <w:sz w:val="28"/>
        </w:rPr>
        <w:t xml:space="preserve"> соответствии с пунктом 1.15 статьи 284 Налогового кодекса Российской Федерации </w:t>
      </w:r>
      <w:r>
        <w:rPr>
          <w:sz w:val="28"/>
        </w:rPr>
        <w:t>(</w:t>
      </w:r>
      <w:r w:rsidRPr="00016CF3">
        <w:rPr>
          <w:sz w:val="28"/>
        </w:rPr>
        <w:t>далее</w:t>
      </w:r>
      <w:r>
        <w:rPr>
          <w:sz w:val="28"/>
        </w:rPr>
        <w:t xml:space="preserve"> – Кодекс</w:t>
      </w:r>
      <w:r w:rsidRPr="00016CF3">
        <w:rPr>
          <w:sz w:val="28"/>
        </w:rPr>
        <w:t>)</w:t>
      </w:r>
      <w:r w:rsidRPr="00DF3A36">
        <w:rPr>
          <w:sz w:val="28"/>
        </w:rPr>
        <w:t xml:space="preserve"> для российских организаций, осуществляющих деятельность в области информационных технологий, начиная с налогового периода получения документа о государственной аккредитации организации, осуществляющей деятельность в области информационных технологий, устанавливается налоговая ставка по налогу на прибыль организаций в размере </w:t>
      </w:r>
      <w:r>
        <w:rPr>
          <w:sz w:val="28"/>
        </w:rPr>
        <w:br/>
      </w:r>
      <w:r w:rsidRPr="00DF3A36">
        <w:rPr>
          <w:sz w:val="28"/>
        </w:rPr>
        <w:t>0 процентов в 2022 - 2024 годах.</w:t>
      </w:r>
    </w:p>
    <w:p w:rsidR="00D95079" w:rsidRDefault="00D95079" w:rsidP="00187214">
      <w:pPr>
        <w:autoSpaceDE w:val="0"/>
        <w:autoSpaceDN w:val="0"/>
        <w:adjustRightInd w:val="0"/>
        <w:spacing w:before="0" w:after="0" w:line="240" w:lineRule="auto"/>
        <w:ind w:firstLine="709"/>
        <w:jc w:val="both"/>
        <w:rPr>
          <w:sz w:val="28"/>
        </w:rPr>
      </w:pPr>
      <w:r w:rsidRPr="00DF3A36">
        <w:rPr>
          <w:sz w:val="28"/>
        </w:rPr>
        <w:t xml:space="preserve">Указанная налоговая ставка применяется при условии, что по итогам отчетного (налогового) периода в сумме всех доходов организации, осуществляющей деятельность в области информационных технологий, учитываемых при определении налоговой базы по налогу на прибыль организаций в соответствии </w:t>
      </w:r>
      <w:r w:rsidRPr="00DF3A36">
        <w:rPr>
          <w:rFonts w:eastAsia="Calibri"/>
          <w:sz w:val="28"/>
        </w:rPr>
        <w:t>с главой 25 Кодекса</w:t>
      </w:r>
      <w:r w:rsidRPr="00DF3A36">
        <w:rPr>
          <w:sz w:val="28"/>
        </w:rPr>
        <w:t xml:space="preserve">, не менее 70 процентов составляют </w:t>
      </w:r>
      <w:r w:rsidRPr="00DF3A36">
        <w:rPr>
          <w:rFonts w:eastAsia="Calibri"/>
          <w:sz w:val="28"/>
        </w:rPr>
        <w:t xml:space="preserve">доходы, перечисленные в </w:t>
      </w:r>
      <w:r w:rsidRPr="00DF3A36">
        <w:rPr>
          <w:sz w:val="28"/>
        </w:rPr>
        <w:t xml:space="preserve">пункте 1.15 статьи 284 </w:t>
      </w:r>
      <w:r w:rsidRPr="00DF3A36">
        <w:rPr>
          <w:rFonts w:eastAsia="Calibri"/>
          <w:sz w:val="28"/>
        </w:rPr>
        <w:t>Кодекса</w:t>
      </w:r>
      <w:r w:rsidRPr="00DF3A36">
        <w:rPr>
          <w:sz w:val="28"/>
        </w:rPr>
        <w:t>.</w:t>
      </w:r>
    </w:p>
    <w:p w:rsidR="00D95079" w:rsidRDefault="00D95079" w:rsidP="00187214">
      <w:pPr>
        <w:snapToGrid w:val="0"/>
        <w:spacing w:before="0" w:after="0" w:line="240" w:lineRule="auto"/>
        <w:ind w:firstLine="709"/>
        <w:jc w:val="both"/>
        <w:rPr>
          <w:rFonts w:eastAsia="Times New Roman"/>
          <w:sz w:val="28"/>
          <w:lang w:eastAsia="ru-RU"/>
        </w:rPr>
      </w:pPr>
      <w:r>
        <w:rPr>
          <w:rFonts w:eastAsia="Times New Roman"/>
          <w:sz w:val="28"/>
          <w:lang w:eastAsia="ru-RU"/>
        </w:rPr>
        <w:t xml:space="preserve">При этом на основании пункта 5 статьи 427 Кодекса для российских </w:t>
      </w:r>
      <w:r w:rsidRPr="00DF3A36">
        <w:rPr>
          <w:sz w:val="28"/>
        </w:rPr>
        <w:t xml:space="preserve">организаций, осуществляющих деятельность в области информационных технологий, </w:t>
      </w:r>
      <w:r>
        <w:rPr>
          <w:rFonts w:eastAsia="Times New Roman"/>
          <w:sz w:val="28"/>
          <w:lang w:eastAsia="ru-RU"/>
        </w:rPr>
        <w:t xml:space="preserve">условиями применения пониженных тарифов страховых взносов (в размере 7,6 </w:t>
      </w:r>
      <w:r w:rsidRPr="00DF3A36">
        <w:rPr>
          <w:sz w:val="28"/>
        </w:rPr>
        <w:t>процент</w:t>
      </w:r>
      <w:r>
        <w:rPr>
          <w:sz w:val="28"/>
        </w:rPr>
        <w:t>а)</w:t>
      </w:r>
      <w:r>
        <w:rPr>
          <w:rFonts w:eastAsia="Times New Roman"/>
          <w:sz w:val="28"/>
          <w:lang w:eastAsia="ru-RU"/>
        </w:rPr>
        <w:t xml:space="preserve"> являются:</w:t>
      </w:r>
    </w:p>
    <w:p w:rsidR="00D95079" w:rsidRDefault="00D95079" w:rsidP="00187214">
      <w:pPr>
        <w:autoSpaceDE w:val="0"/>
        <w:autoSpaceDN w:val="0"/>
        <w:adjustRightInd w:val="0"/>
        <w:spacing w:before="0" w:after="0" w:line="240" w:lineRule="auto"/>
        <w:ind w:firstLine="709"/>
        <w:jc w:val="both"/>
        <w:rPr>
          <w:rFonts w:eastAsia="Times New Roman"/>
          <w:sz w:val="28"/>
          <w:lang w:eastAsia="ru-RU"/>
        </w:rPr>
      </w:pPr>
      <w:r>
        <w:rPr>
          <w:rFonts w:eastAsia="Times New Roman"/>
          <w:sz w:val="28"/>
          <w:lang w:eastAsia="ru-RU"/>
        </w:rPr>
        <w:t>1) получение в установленном порядке документа о государственной аккредитации организации, осуществляющей деятельность в области информационных технологий,</w:t>
      </w:r>
      <w:r w:rsidRPr="006D5B94">
        <w:rPr>
          <w:sz w:val="28"/>
        </w:rPr>
        <w:t xml:space="preserve"> </w:t>
      </w:r>
      <w:r w:rsidRPr="008A7760">
        <w:rPr>
          <w:sz w:val="28"/>
        </w:rPr>
        <w:t>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r w:rsidRPr="008A7760">
        <w:rPr>
          <w:rFonts w:eastAsia="Times New Roman"/>
          <w:sz w:val="28"/>
          <w:lang w:eastAsia="ru-RU"/>
        </w:rPr>
        <w:t>;</w:t>
      </w:r>
    </w:p>
    <w:p w:rsidR="00D95079" w:rsidRDefault="00D95079" w:rsidP="00187214">
      <w:pPr>
        <w:autoSpaceDE w:val="0"/>
        <w:autoSpaceDN w:val="0"/>
        <w:adjustRightInd w:val="0"/>
        <w:spacing w:before="0" w:after="0" w:line="240" w:lineRule="auto"/>
        <w:ind w:firstLine="709"/>
        <w:jc w:val="both"/>
        <w:rPr>
          <w:sz w:val="28"/>
        </w:rPr>
      </w:pPr>
      <w:r>
        <w:rPr>
          <w:sz w:val="28"/>
        </w:rPr>
        <w:t>2) по итогам отчетного (расчетного) периода в сумме всех доходов организации,</w:t>
      </w:r>
      <w:r>
        <w:rPr>
          <w:rFonts w:eastAsia="Times New Roman"/>
          <w:sz w:val="28"/>
          <w:lang w:eastAsia="ru-RU"/>
        </w:rPr>
        <w:t xml:space="preserve"> осуществляющей деятельность в области информационных технологий</w:t>
      </w:r>
      <w:r>
        <w:rPr>
          <w:sz w:val="28"/>
        </w:rPr>
        <w:t xml:space="preserve">, учитываемых при определении налоговой базы по налогу на прибыль организаций в соответствии с главой 25 Кодекса, не менее 70 </w:t>
      </w:r>
      <w:r w:rsidRPr="00DF3A36">
        <w:rPr>
          <w:sz w:val="28"/>
        </w:rPr>
        <w:t>процентов</w:t>
      </w:r>
      <w:r>
        <w:rPr>
          <w:sz w:val="28"/>
        </w:rPr>
        <w:t xml:space="preserve"> составляют доходы, перечисленные в пункте 5 статьи 427 Кодекса.</w:t>
      </w:r>
    </w:p>
    <w:p w:rsidR="00D95079" w:rsidRPr="008A7760" w:rsidRDefault="00D95079" w:rsidP="00187214">
      <w:pPr>
        <w:spacing w:before="0" w:after="0" w:line="240" w:lineRule="auto"/>
        <w:ind w:firstLine="709"/>
        <w:jc w:val="both"/>
        <w:rPr>
          <w:sz w:val="28"/>
        </w:rPr>
      </w:pPr>
      <w:r w:rsidRPr="008A7760">
        <w:rPr>
          <w:sz w:val="28"/>
        </w:rPr>
        <w:t xml:space="preserve">Исходя из абзаца </w:t>
      </w:r>
      <w:r>
        <w:rPr>
          <w:sz w:val="28"/>
        </w:rPr>
        <w:t>пят</w:t>
      </w:r>
      <w:r w:rsidRPr="008A7760">
        <w:rPr>
          <w:sz w:val="28"/>
        </w:rPr>
        <w:t xml:space="preserve">надцатого </w:t>
      </w:r>
      <w:r w:rsidRPr="00DF3A36">
        <w:rPr>
          <w:sz w:val="28"/>
        </w:rPr>
        <w:t>пункт</w:t>
      </w:r>
      <w:r>
        <w:rPr>
          <w:sz w:val="28"/>
        </w:rPr>
        <w:t>а</w:t>
      </w:r>
      <w:r w:rsidRPr="00DF3A36">
        <w:rPr>
          <w:sz w:val="28"/>
        </w:rPr>
        <w:t xml:space="preserve"> 1.15 статьи 284 </w:t>
      </w:r>
      <w:r>
        <w:rPr>
          <w:sz w:val="28"/>
        </w:rPr>
        <w:t xml:space="preserve">и </w:t>
      </w:r>
      <w:r w:rsidRPr="008A7760">
        <w:rPr>
          <w:sz w:val="28"/>
        </w:rPr>
        <w:t xml:space="preserve">абзаца </w:t>
      </w:r>
      <w:r>
        <w:rPr>
          <w:sz w:val="28"/>
        </w:rPr>
        <w:t>пят</w:t>
      </w:r>
      <w:r w:rsidRPr="008A7760">
        <w:rPr>
          <w:sz w:val="28"/>
        </w:rPr>
        <w:t xml:space="preserve">надцатого пункта 5 статьи 427 Кодекса, в </w:t>
      </w:r>
      <w:r>
        <w:rPr>
          <w:sz w:val="28"/>
        </w:rPr>
        <w:t>70-процентн</w:t>
      </w:r>
      <w:r w:rsidRPr="008A7760">
        <w:rPr>
          <w:sz w:val="28"/>
        </w:rPr>
        <w:t>ую долю доходов</w:t>
      </w:r>
      <w:r>
        <w:rPr>
          <w:sz w:val="28"/>
        </w:rPr>
        <w:t xml:space="preserve"> от </w:t>
      </w:r>
      <w:r>
        <w:rPr>
          <w:sz w:val="28"/>
        </w:rPr>
        <w:lastRenderedPageBreak/>
        <w:t>ИТ-деятельности</w:t>
      </w:r>
      <w:r w:rsidRPr="008A7760">
        <w:rPr>
          <w:sz w:val="28"/>
        </w:rPr>
        <w:t xml:space="preserve"> включаются доходы</w:t>
      </w:r>
      <w:r>
        <w:rPr>
          <w:sz w:val="28"/>
        </w:rPr>
        <w:t xml:space="preserve"> </w:t>
      </w:r>
      <w:r w:rsidRPr="008A7760">
        <w:rPr>
          <w:sz w:val="28"/>
        </w:rPr>
        <w:t xml:space="preserve">от оказания услуг в сети </w:t>
      </w:r>
      <w:r>
        <w:rPr>
          <w:sz w:val="28"/>
        </w:rPr>
        <w:t>«</w:t>
      </w:r>
      <w:r w:rsidRPr="008A7760">
        <w:rPr>
          <w:sz w:val="28"/>
        </w:rPr>
        <w:t>Интернет</w:t>
      </w:r>
      <w:r>
        <w:rPr>
          <w:sz w:val="28"/>
        </w:rPr>
        <w:t>»</w:t>
      </w:r>
      <w:r w:rsidRPr="008A7760">
        <w:rPr>
          <w:sz w:val="28"/>
        </w:rPr>
        <w:t xml:space="preserve"> с использованием собственных программ для ЭВМ, баз данных, включенных в единый реестр российских программ для электронных вычислительных машин и баз данных (либо в случае, если составная часть собственной программы для ЭВМ включена в единый реестр российских программ для электронных вычислительных машин и баз данных), по размещению и (или) продвижению предложений, объявлений о приобретении (реализации) товаров (работ, услуг), имущественных прав, предложений о трудоустройстве, услуг по осуществлению поиска таких предложений, объявлений (доступа к таким предложениям, объявлениям) и (или) по заключению договоров (</w:t>
      </w:r>
      <w:r w:rsidRPr="000018E8">
        <w:rPr>
          <w:sz w:val="28"/>
        </w:rPr>
        <w:t>за исключением</w:t>
      </w:r>
      <w:r w:rsidRPr="008A7760">
        <w:rPr>
          <w:sz w:val="28"/>
        </w:rPr>
        <w:t xml:space="preserve"> доходов от оказания услуг, указанных в </w:t>
      </w:r>
      <w:r>
        <w:rPr>
          <w:sz w:val="28"/>
        </w:rPr>
        <w:t>данно</w:t>
      </w:r>
      <w:r w:rsidRPr="008A7760">
        <w:rPr>
          <w:sz w:val="28"/>
        </w:rPr>
        <w:t>м абзаце, если эти услуги состоят</w:t>
      </w:r>
      <w:r>
        <w:rPr>
          <w:sz w:val="28"/>
        </w:rPr>
        <w:t xml:space="preserve">, в частности, </w:t>
      </w:r>
      <w:r w:rsidRPr="008A7760">
        <w:rPr>
          <w:sz w:val="28"/>
        </w:rPr>
        <w:t xml:space="preserve">в получении банковских, финансовых услуг, в том числе услуг финансирования под уступку денежного требования, услуг на рынке ценных бумаг (дилерская деятельность, брокерская деятельность, деятельность </w:t>
      </w:r>
      <w:proofErr w:type="spellStart"/>
      <w:r w:rsidRPr="008A7760">
        <w:rPr>
          <w:sz w:val="28"/>
        </w:rPr>
        <w:t>форекс</w:t>
      </w:r>
      <w:proofErr w:type="spellEnd"/>
      <w:r w:rsidRPr="008A7760">
        <w:rPr>
          <w:sz w:val="28"/>
        </w:rPr>
        <w:t>-дилеров), предоставляемых (оказываемых) банками, кредитными организациями, небанковскими кредитными организациями и иными организациями</w:t>
      </w:r>
      <w:r>
        <w:rPr>
          <w:sz w:val="28"/>
        </w:rPr>
        <w:t>)</w:t>
      </w:r>
      <w:r w:rsidRPr="008A7760">
        <w:rPr>
          <w:sz w:val="28"/>
        </w:rPr>
        <w:t>.</w:t>
      </w:r>
    </w:p>
    <w:p w:rsidR="00D95079" w:rsidRDefault="00D95079" w:rsidP="00187214">
      <w:pPr>
        <w:snapToGrid w:val="0"/>
        <w:spacing w:before="0" w:after="0" w:line="240" w:lineRule="auto"/>
        <w:ind w:firstLine="709"/>
        <w:jc w:val="both"/>
        <w:rPr>
          <w:sz w:val="28"/>
        </w:rPr>
      </w:pPr>
      <w:r w:rsidRPr="008A7760">
        <w:rPr>
          <w:sz w:val="28"/>
        </w:rPr>
        <w:t>При этом</w:t>
      </w:r>
      <w:r>
        <w:rPr>
          <w:sz w:val="28"/>
        </w:rPr>
        <w:t xml:space="preserve"> считаем, что к банковским услугам, доходы от оказания которых с использованием собственного программного обеспечения не учитываются в доле доходов от осуществления ИТ-деятельности в соответствии с вышеприведенным исключением, следует относить весь функционал, реализуемый организацией при оказании клиентам различных видов банковских услуг, включая предоставление клиенту возможности оставить заявку на открытие счета или получение кредита, проведение оценки возможных рисков для банка при выдаче кредита или открытии счета конкретному клиенту.</w:t>
      </w:r>
    </w:p>
    <w:p w:rsidR="00D95079" w:rsidRPr="00934DF7" w:rsidRDefault="00D95079" w:rsidP="00187214">
      <w:pPr>
        <w:snapToGrid w:val="0"/>
        <w:spacing w:before="0" w:after="0" w:line="240" w:lineRule="auto"/>
        <w:ind w:firstLine="709"/>
        <w:jc w:val="both"/>
        <w:rPr>
          <w:sz w:val="28"/>
        </w:rPr>
      </w:pPr>
      <w:r>
        <w:rPr>
          <w:sz w:val="28"/>
        </w:rPr>
        <w:t>С</w:t>
      </w:r>
      <w:r w:rsidRPr="008A7760">
        <w:rPr>
          <w:sz w:val="28"/>
        </w:rPr>
        <w:t xml:space="preserve">одержащийся в </w:t>
      </w:r>
      <w:r w:rsidRPr="00DF3A36">
        <w:rPr>
          <w:sz w:val="28"/>
        </w:rPr>
        <w:t>пункт</w:t>
      </w:r>
      <w:r>
        <w:rPr>
          <w:sz w:val="28"/>
        </w:rPr>
        <w:t>е</w:t>
      </w:r>
      <w:r w:rsidRPr="00DF3A36">
        <w:rPr>
          <w:sz w:val="28"/>
        </w:rPr>
        <w:t xml:space="preserve"> 1.15 статьи 284 </w:t>
      </w:r>
      <w:r>
        <w:rPr>
          <w:sz w:val="28"/>
        </w:rPr>
        <w:t xml:space="preserve">и </w:t>
      </w:r>
      <w:r w:rsidRPr="008A7760">
        <w:rPr>
          <w:sz w:val="28"/>
        </w:rPr>
        <w:t xml:space="preserve">пункте 5 статьи 427 Кодекса перечень видов доходов, которые включаются в необходимую долю доходов ИТ-организации от осуществления ИТ-деятельности с целью применения </w:t>
      </w:r>
      <w:r>
        <w:rPr>
          <w:sz w:val="28"/>
          <w:lang w:eastAsia="ru-RU"/>
        </w:rPr>
        <w:t>пониженной налоговой ставки по налогу на прибыль организаций и</w:t>
      </w:r>
      <w:r w:rsidRPr="008A7760">
        <w:rPr>
          <w:sz w:val="28"/>
        </w:rPr>
        <w:t xml:space="preserve"> пониженных</w:t>
      </w:r>
      <w:r w:rsidRPr="008A7760">
        <w:rPr>
          <w:rFonts w:eastAsia="Calibri"/>
          <w:sz w:val="28"/>
        </w:rPr>
        <w:t xml:space="preserve"> </w:t>
      </w:r>
      <w:r w:rsidRPr="008A7760">
        <w:rPr>
          <w:sz w:val="28"/>
        </w:rPr>
        <w:t>тарифов страховых взносов, является исчерпывающим.</w:t>
      </w:r>
    </w:p>
    <w:p w:rsidR="00D95079" w:rsidRPr="001C08CC" w:rsidRDefault="00D95079" w:rsidP="00187214">
      <w:pPr>
        <w:pStyle w:val="ConsPlusNormal"/>
        <w:ind w:firstLine="709"/>
        <w:jc w:val="both"/>
        <w:rPr>
          <w:rFonts w:ascii="Times New Roman" w:hAnsi="Times New Roman"/>
          <w:sz w:val="28"/>
          <w:szCs w:val="28"/>
        </w:rPr>
      </w:pPr>
      <w:r w:rsidRPr="00CD7758">
        <w:rPr>
          <w:rFonts w:ascii="Times New Roman" w:hAnsi="Times New Roman"/>
          <w:color w:val="000000"/>
          <w:sz w:val="28"/>
          <w:szCs w:val="28"/>
        </w:rPr>
        <w:t>Таким образом, в случае если ИТ-организация, имеющая</w:t>
      </w:r>
      <w:r w:rsidRPr="00CD7758">
        <w:rPr>
          <w:rFonts w:ascii="Times New Roman" w:hAnsi="Times New Roman"/>
          <w:sz w:val="28"/>
          <w:szCs w:val="28"/>
        </w:rPr>
        <w:t xml:space="preserve"> документ </w:t>
      </w:r>
      <w:r w:rsidRPr="00CD7758">
        <w:rPr>
          <w:rFonts w:ascii="Times New Roman" w:hAnsi="Times New Roman"/>
          <w:sz w:val="28"/>
        </w:rPr>
        <w:t xml:space="preserve">о государственной аккредитации организации, осуществляющей деятельность в области информационных технологий, </w:t>
      </w:r>
      <w:r w:rsidRPr="00CD7758">
        <w:rPr>
          <w:rFonts w:ascii="Times New Roman" w:hAnsi="Times New Roman"/>
          <w:color w:val="000000"/>
          <w:sz w:val="28"/>
          <w:szCs w:val="28"/>
        </w:rPr>
        <w:t xml:space="preserve">не выполняет условие о необходимой доле доходов от ИТ-деятельности </w:t>
      </w:r>
      <w:r w:rsidRPr="00CD7758">
        <w:rPr>
          <w:rFonts w:ascii="Times New Roman" w:hAnsi="Times New Roman"/>
          <w:sz w:val="28"/>
          <w:szCs w:val="28"/>
        </w:rPr>
        <w:t>по итогам отчетного (</w:t>
      </w:r>
      <w:r>
        <w:rPr>
          <w:rFonts w:ascii="Times New Roman" w:hAnsi="Times New Roman"/>
          <w:sz w:val="28"/>
          <w:szCs w:val="28"/>
        </w:rPr>
        <w:t xml:space="preserve">налогового, </w:t>
      </w:r>
      <w:r w:rsidRPr="00CD7758">
        <w:rPr>
          <w:rFonts w:ascii="Times New Roman" w:hAnsi="Times New Roman"/>
          <w:sz w:val="28"/>
          <w:szCs w:val="28"/>
        </w:rPr>
        <w:t xml:space="preserve">расчетного) периода, то она не вправе применять </w:t>
      </w:r>
      <w:r w:rsidRPr="00CD7758">
        <w:rPr>
          <w:rFonts w:ascii="Times New Roman" w:hAnsi="Times New Roman"/>
          <w:sz w:val="28"/>
        </w:rPr>
        <w:t>пониженную налоговую ставку по налогу на прибыль организаций и</w:t>
      </w:r>
      <w:r w:rsidRPr="00CD7758">
        <w:rPr>
          <w:rFonts w:ascii="Times New Roman" w:hAnsi="Times New Roman"/>
          <w:sz w:val="28"/>
          <w:szCs w:val="28"/>
        </w:rPr>
        <w:t xml:space="preserve"> пониженные</w:t>
      </w:r>
      <w:r w:rsidRPr="00CD7758">
        <w:rPr>
          <w:rFonts w:ascii="Times New Roman" w:eastAsia="Calibri" w:hAnsi="Times New Roman"/>
          <w:sz w:val="28"/>
          <w:szCs w:val="28"/>
        </w:rPr>
        <w:t xml:space="preserve"> </w:t>
      </w:r>
      <w:r w:rsidRPr="00CD7758">
        <w:rPr>
          <w:rFonts w:ascii="Times New Roman" w:hAnsi="Times New Roman"/>
          <w:sz w:val="28"/>
          <w:szCs w:val="28"/>
        </w:rPr>
        <w:t>тарифы страховых взносов</w:t>
      </w:r>
      <w:r w:rsidRPr="001C08CC">
        <w:rPr>
          <w:rFonts w:ascii="Times New Roman" w:hAnsi="Times New Roman"/>
          <w:sz w:val="28"/>
          <w:szCs w:val="28"/>
        </w:rPr>
        <w:t>.</w:t>
      </w:r>
    </w:p>
    <w:p w:rsidR="00D95079" w:rsidRDefault="00D95079" w:rsidP="00187214">
      <w:pPr>
        <w:autoSpaceDE w:val="0"/>
        <w:autoSpaceDN w:val="0"/>
        <w:adjustRightInd w:val="0"/>
        <w:spacing w:before="0" w:after="0" w:line="240" w:lineRule="auto"/>
        <w:ind w:firstLine="709"/>
        <w:contextualSpacing w:val="0"/>
        <w:jc w:val="both"/>
        <w:rPr>
          <w:sz w:val="28"/>
        </w:rPr>
      </w:pPr>
    </w:p>
    <w:p w:rsidR="00D95079" w:rsidRPr="00B10991" w:rsidRDefault="00D95079" w:rsidP="00187214">
      <w:pPr>
        <w:autoSpaceDE w:val="0"/>
        <w:autoSpaceDN w:val="0"/>
        <w:adjustRightInd w:val="0"/>
        <w:spacing w:before="0" w:after="0" w:line="240" w:lineRule="auto"/>
        <w:ind w:firstLine="709"/>
        <w:contextualSpacing w:val="0"/>
        <w:jc w:val="both"/>
        <w:rPr>
          <w:sz w:val="28"/>
        </w:rPr>
      </w:pPr>
    </w:p>
    <w:p w:rsidR="00D95079" w:rsidRPr="00B10991" w:rsidRDefault="00D95079" w:rsidP="00187214">
      <w:pPr>
        <w:autoSpaceDE w:val="0"/>
        <w:autoSpaceDN w:val="0"/>
        <w:adjustRightInd w:val="0"/>
        <w:spacing w:before="0" w:after="0" w:line="240" w:lineRule="auto"/>
        <w:ind w:firstLine="709"/>
        <w:contextualSpacing w:val="0"/>
        <w:jc w:val="both"/>
        <w:rPr>
          <w:sz w:val="28"/>
        </w:rPr>
      </w:pPr>
    </w:p>
    <w:p w:rsidR="007770E8" w:rsidRPr="00D95079" w:rsidRDefault="00D95079" w:rsidP="00187214">
      <w:pPr>
        <w:spacing w:before="0" w:after="0" w:line="240" w:lineRule="auto"/>
        <w:contextualSpacing w:val="0"/>
        <w:jc w:val="both"/>
      </w:pPr>
      <w:r>
        <w:rPr>
          <w:rFonts w:eastAsia="Calibri"/>
          <w:sz w:val="28"/>
        </w:rPr>
        <w:t>Д</w:t>
      </w:r>
      <w:r w:rsidRPr="004212A4">
        <w:rPr>
          <w:rFonts w:eastAsia="Calibri"/>
          <w:sz w:val="28"/>
        </w:rPr>
        <w:t>иректор Департамента</w:t>
      </w:r>
      <w:r w:rsidRPr="004212A4">
        <w:rPr>
          <w:rFonts w:eastAsia="Calibri"/>
          <w:sz w:val="28"/>
        </w:rPr>
        <w:tab/>
      </w:r>
      <w:r w:rsidRPr="004212A4">
        <w:rPr>
          <w:rFonts w:eastAsia="Calibri"/>
          <w:sz w:val="28"/>
        </w:rPr>
        <w:tab/>
      </w:r>
      <w:r w:rsidRPr="004212A4">
        <w:rPr>
          <w:rFonts w:eastAsia="Calibri"/>
          <w:sz w:val="28"/>
        </w:rPr>
        <w:tab/>
      </w:r>
      <w:r>
        <w:rPr>
          <w:rFonts w:eastAsia="Calibri"/>
          <w:sz w:val="28"/>
        </w:rPr>
        <w:tab/>
      </w:r>
      <w:r>
        <w:rPr>
          <w:rFonts w:eastAsia="Calibri"/>
          <w:sz w:val="28"/>
        </w:rPr>
        <w:tab/>
      </w:r>
      <w:r>
        <w:rPr>
          <w:rFonts w:eastAsia="Calibri"/>
          <w:sz w:val="28"/>
        </w:rPr>
        <w:tab/>
      </w:r>
      <w:r>
        <w:rPr>
          <w:rFonts w:eastAsia="Calibri"/>
          <w:sz w:val="28"/>
        </w:rPr>
        <w:tab/>
      </w:r>
      <w:r>
        <w:rPr>
          <w:rFonts w:eastAsia="Calibri"/>
          <w:sz w:val="28"/>
        </w:rPr>
        <w:t xml:space="preserve">  </w:t>
      </w:r>
      <w:r>
        <w:rPr>
          <w:rFonts w:eastAsia="Calibri"/>
          <w:sz w:val="28"/>
        </w:rPr>
        <w:t xml:space="preserve">   Д</w:t>
      </w:r>
      <w:r w:rsidRPr="004212A4">
        <w:rPr>
          <w:rFonts w:eastAsia="Calibri"/>
          <w:sz w:val="28"/>
        </w:rPr>
        <w:t>.</w:t>
      </w:r>
      <w:r>
        <w:rPr>
          <w:rFonts w:eastAsia="Calibri"/>
          <w:sz w:val="28"/>
        </w:rPr>
        <w:t>В</w:t>
      </w:r>
      <w:r w:rsidRPr="004212A4">
        <w:rPr>
          <w:rFonts w:eastAsia="Calibri"/>
          <w:sz w:val="28"/>
        </w:rPr>
        <w:t>. </w:t>
      </w:r>
      <w:r>
        <w:rPr>
          <w:rFonts w:eastAsia="Calibri"/>
          <w:sz w:val="28"/>
        </w:rPr>
        <w:t>Волков</w:t>
      </w:r>
    </w:p>
    <w:sectPr w:rsidR="007770E8" w:rsidRPr="00D95079" w:rsidSect="00187214">
      <w:headerReference w:type="default" r:id="rId7"/>
      <w:pgSz w:w="11906" w:h="16838"/>
      <w:pgMar w:top="1135"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8A" w:rsidRDefault="003A748A" w:rsidP="00041E4A">
      <w:pPr>
        <w:spacing w:after="0" w:line="240" w:lineRule="auto"/>
      </w:pPr>
      <w:r>
        <w:separator/>
      </w:r>
    </w:p>
  </w:endnote>
  <w:endnote w:type="continuationSeparator" w:id="0">
    <w:p w:rsidR="003A748A" w:rsidRDefault="003A748A"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8A" w:rsidRDefault="003A748A" w:rsidP="00041E4A">
      <w:pPr>
        <w:spacing w:after="0" w:line="240" w:lineRule="auto"/>
      </w:pPr>
      <w:r>
        <w:separator/>
      </w:r>
    </w:p>
  </w:footnote>
  <w:footnote w:type="continuationSeparator" w:id="0">
    <w:p w:rsidR="003A748A" w:rsidRDefault="003A748A"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03038"/>
      <w:docPartObj>
        <w:docPartGallery w:val="Page Numbers (Top of Page)"/>
        <w:docPartUnique/>
      </w:docPartObj>
    </w:sdtPr>
    <w:sdtEndPr/>
    <w:sdtContent>
      <w:p w:rsidR="0045656B" w:rsidRDefault="0045656B">
        <w:pPr>
          <w:pStyle w:val="a3"/>
          <w:jc w:val="center"/>
        </w:pPr>
        <w:r>
          <w:fldChar w:fldCharType="begin"/>
        </w:r>
        <w:r>
          <w:instrText>PAGE   \* MERGEFORMAT</w:instrText>
        </w:r>
        <w:r>
          <w:fldChar w:fldCharType="separate"/>
        </w:r>
        <w:r w:rsidR="00187214">
          <w:rPr>
            <w:noProof/>
          </w:rPr>
          <w:t>2</w:t>
        </w:r>
        <w:r>
          <w:fldChar w:fldCharType="end"/>
        </w:r>
      </w:p>
    </w:sdtContent>
  </w:sdt>
  <w:p w:rsidR="0045656B" w:rsidRDefault="004565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34"/>
  <w:drawingGridVerticalSpacing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D"/>
    <w:rsid w:val="000018E8"/>
    <w:rsid w:val="000034D0"/>
    <w:rsid w:val="00003502"/>
    <w:rsid w:val="0000441E"/>
    <w:rsid w:val="0000628F"/>
    <w:rsid w:val="0000770F"/>
    <w:rsid w:val="00025628"/>
    <w:rsid w:val="00036937"/>
    <w:rsid w:val="00041E4A"/>
    <w:rsid w:val="0004300C"/>
    <w:rsid w:val="00043FF0"/>
    <w:rsid w:val="000478A3"/>
    <w:rsid w:val="0006184D"/>
    <w:rsid w:val="00064601"/>
    <w:rsid w:val="000710BC"/>
    <w:rsid w:val="0008092B"/>
    <w:rsid w:val="00082512"/>
    <w:rsid w:val="00082F76"/>
    <w:rsid w:val="0008330F"/>
    <w:rsid w:val="000863F8"/>
    <w:rsid w:val="000864BE"/>
    <w:rsid w:val="0009254B"/>
    <w:rsid w:val="00095328"/>
    <w:rsid w:val="00096282"/>
    <w:rsid w:val="00096F3D"/>
    <w:rsid w:val="000A38F9"/>
    <w:rsid w:val="000A41B2"/>
    <w:rsid w:val="000B201F"/>
    <w:rsid w:val="000C0E5F"/>
    <w:rsid w:val="000C293D"/>
    <w:rsid w:val="000C6D5D"/>
    <w:rsid w:val="000D2C70"/>
    <w:rsid w:val="000D4AA2"/>
    <w:rsid w:val="000D7087"/>
    <w:rsid w:val="000F7384"/>
    <w:rsid w:val="00104FB0"/>
    <w:rsid w:val="001103E3"/>
    <w:rsid w:val="0011310E"/>
    <w:rsid w:val="001147E4"/>
    <w:rsid w:val="00114D61"/>
    <w:rsid w:val="00115A25"/>
    <w:rsid w:val="0011703E"/>
    <w:rsid w:val="0012070E"/>
    <w:rsid w:val="00124C9F"/>
    <w:rsid w:val="0013454E"/>
    <w:rsid w:val="00135694"/>
    <w:rsid w:val="00141998"/>
    <w:rsid w:val="0014250E"/>
    <w:rsid w:val="001432F5"/>
    <w:rsid w:val="00151A8B"/>
    <w:rsid w:val="0015273E"/>
    <w:rsid w:val="001560BC"/>
    <w:rsid w:val="00156F3C"/>
    <w:rsid w:val="00161137"/>
    <w:rsid w:val="00162BC7"/>
    <w:rsid w:val="00163A50"/>
    <w:rsid w:val="001709CB"/>
    <w:rsid w:val="00171814"/>
    <w:rsid w:val="001752B8"/>
    <w:rsid w:val="00180B4F"/>
    <w:rsid w:val="0018497D"/>
    <w:rsid w:val="001863EB"/>
    <w:rsid w:val="00187214"/>
    <w:rsid w:val="001917AF"/>
    <w:rsid w:val="00192067"/>
    <w:rsid w:val="00193A96"/>
    <w:rsid w:val="001945D0"/>
    <w:rsid w:val="00194C2C"/>
    <w:rsid w:val="001A0B27"/>
    <w:rsid w:val="001A19CA"/>
    <w:rsid w:val="001A5BA4"/>
    <w:rsid w:val="001B18C0"/>
    <w:rsid w:val="001B4C05"/>
    <w:rsid w:val="001C1BC3"/>
    <w:rsid w:val="001C3023"/>
    <w:rsid w:val="001C38FF"/>
    <w:rsid w:val="001C77B5"/>
    <w:rsid w:val="001D3B9E"/>
    <w:rsid w:val="001E137B"/>
    <w:rsid w:val="001E15E4"/>
    <w:rsid w:val="001E70FE"/>
    <w:rsid w:val="001F0BB8"/>
    <w:rsid w:val="001F26D9"/>
    <w:rsid w:val="002020AD"/>
    <w:rsid w:val="00202C9D"/>
    <w:rsid w:val="002042C5"/>
    <w:rsid w:val="00211A88"/>
    <w:rsid w:val="002132B4"/>
    <w:rsid w:val="0021353B"/>
    <w:rsid w:val="00215BC5"/>
    <w:rsid w:val="00216B80"/>
    <w:rsid w:val="00216F5C"/>
    <w:rsid w:val="00237D7F"/>
    <w:rsid w:val="00253863"/>
    <w:rsid w:val="00255954"/>
    <w:rsid w:val="00262843"/>
    <w:rsid w:val="0027124E"/>
    <w:rsid w:val="0027327A"/>
    <w:rsid w:val="0028127F"/>
    <w:rsid w:val="0029124D"/>
    <w:rsid w:val="00294545"/>
    <w:rsid w:val="002A4B40"/>
    <w:rsid w:val="002A5961"/>
    <w:rsid w:val="002A7D56"/>
    <w:rsid w:val="002B029F"/>
    <w:rsid w:val="002B42B7"/>
    <w:rsid w:val="002C4E80"/>
    <w:rsid w:val="002D2B0A"/>
    <w:rsid w:val="002D61C8"/>
    <w:rsid w:val="002E00BF"/>
    <w:rsid w:val="002E030E"/>
    <w:rsid w:val="002E1194"/>
    <w:rsid w:val="002E3557"/>
    <w:rsid w:val="002E4350"/>
    <w:rsid w:val="002E7B88"/>
    <w:rsid w:val="002F1D90"/>
    <w:rsid w:val="002F2EF7"/>
    <w:rsid w:val="002F670D"/>
    <w:rsid w:val="002F7E09"/>
    <w:rsid w:val="00301A50"/>
    <w:rsid w:val="0031296A"/>
    <w:rsid w:val="003159F2"/>
    <w:rsid w:val="00324458"/>
    <w:rsid w:val="003251E1"/>
    <w:rsid w:val="0033031C"/>
    <w:rsid w:val="00332593"/>
    <w:rsid w:val="003331AD"/>
    <w:rsid w:val="00334A42"/>
    <w:rsid w:val="00337B23"/>
    <w:rsid w:val="00337E1D"/>
    <w:rsid w:val="0034540A"/>
    <w:rsid w:val="00346EE7"/>
    <w:rsid w:val="00351A6A"/>
    <w:rsid w:val="00360757"/>
    <w:rsid w:val="00360FA9"/>
    <w:rsid w:val="003648C2"/>
    <w:rsid w:val="00364B88"/>
    <w:rsid w:val="0037326E"/>
    <w:rsid w:val="00374C2E"/>
    <w:rsid w:val="00385B72"/>
    <w:rsid w:val="00391225"/>
    <w:rsid w:val="00397310"/>
    <w:rsid w:val="003A3AF9"/>
    <w:rsid w:val="003A7136"/>
    <w:rsid w:val="003A748A"/>
    <w:rsid w:val="003A7F6F"/>
    <w:rsid w:val="003B554A"/>
    <w:rsid w:val="003B7B6D"/>
    <w:rsid w:val="003C6134"/>
    <w:rsid w:val="003C6CF4"/>
    <w:rsid w:val="003C7434"/>
    <w:rsid w:val="003E3713"/>
    <w:rsid w:val="003E5BFF"/>
    <w:rsid w:val="003E65D8"/>
    <w:rsid w:val="003F5F4B"/>
    <w:rsid w:val="00405D00"/>
    <w:rsid w:val="00406EE4"/>
    <w:rsid w:val="00407C1C"/>
    <w:rsid w:val="004101DA"/>
    <w:rsid w:val="00413D5A"/>
    <w:rsid w:val="004143F9"/>
    <w:rsid w:val="00416629"/>
    <w:rsid w:val="00417657"/>
    <w:rsid w:val="004212A4"/>
    <w:rsid w:val="00423112"/>
    <w:rsid w:val="00424D2F"/>
    <w:rsid w:val="00432BE1"/>
    <w:rsid w:val="004343BF"/>
    <w:rsid w:val="00434AEF"/>
    <w:rsid w:val="00436E12"/>
    <w:rsid w:val="004477C2"/>
    <w:rsid w:val="00452447"/>
    <w:rsid w:val="0045656B"/>
    <w:rsid w:val="004611D2"/>
    <w:rsid w:val="0046279C"/>
    <w:rsid w:val="004637CB"/>
    <w:rsid w:val="0046459B"/>
    <w:rsid w:val="00465839"/>
    <w:rsid w:val="004663C3"/>
    <w:rsid w:val="00482FD3"/>
    <w:rsid w:val="004835CA"/>
    <w:rsid w:val="00485041"/>
    <w:rsid w:val="00485A85"/>
    <w:rsid w:val="004900E1"/>
    <w:rsid w:val="004914E3"/>
    <w:rsid w:val="00494927"/>
    <w:rsid w:val="00494C45"/>
    <w:rsid w:val="004B58DA"/>
    <w:rsid w:val="004E09C5"/>
    <w:rsid w:val="004E2C5A"/>
    <w:rsid w:val="004F4E98"/>
    <w:rsid w:val="004F6DCB"/>
    <w:rsid w:val="004F7BCE"/>
    <w:rsid w:val="00502F8A"/>
    <w:rsid w:val="005035E1"/>
    <w:rsid w:val="00506522"/>
    <w:rsid w:val="005068A2"/>
    <w:rsid w:val="00523A5A"/>
    <w:rsid w:val="00524C2F"/>
    <w:rsid w:val="00531447"/>
    <w:rsid w:val="00531EDE"/>
    <w:rsid w:val="005412C7"/>
    <w:rsid w:val="00550152"/>
    <w:rsid w:val="0055169B"/>
    <w:rsid w:val="00567AAF"/>
    <w:rsid w:val="00577641"/>
    <w:rsid w:val="0058115D"/>
    <w:rsid w:val="005855FA"/>
    <w:rsid w:val="00590D33"/>
    <w:rsid w:val="00594319"/>
    <w:rsid w:val="005946DF"/>
    <w:rsid w:val="005A0FE0"/>
    <w:rsid w:val="005A3C40"/>
    <w:rsid w:val="005A52B7"/>
    <w:rsid w:val="005A7233"/>
    <w:rsid w:val="005B372B"/>
    <w:rsid w:val="005C1280"/>
    <w:rsid w:val="005C5936"/>
    <w:rsid w:val="005D02D0"/>
    <w:rsid w:val="005D25C8"/>
    <w:rsid w:val="005E311B"/>
    <w:rsid w:val="005E54A5"/>
    <w:rsid w:val="006009AE"/>
    <w:rsid w:val="00603E2D"/>
    <w:rsid w:val="00604D0C"/>
    <w:rsid w:val="00613280"/>
    <w:rsid w:val="00615882"/>
    <w:rsid w:val="00615CC0"/>
    <w:rsid w:val="00617E74"/>
    <w:rsid w:val="006217AC"/>
    <w:rsid w:val="0062183C"/>
    <w:rsid w:val="00623ADE"/>
    <w:rsid w:val="00633B3A"/>
    <w:rsid w:val="0066074A"/>
    <w:rsid w:val="0066474F"/>
    <w:rsid w:val="00664C5E"/>
    <w:rsid w:val="006667C6"/>
    <w:rsid w:val="006767F9"/>
    <w:rsid w:val="00676E9A"/>
    <w:rsid w:val="00677A3A"/>
    <w:rsid w:val="006803DA"/>
    <w:rsid w:val="00687255"/>
    <w:rsid w:val="006A0DAB"/>
    <w:rsid w:val="006A4BFF"/>
    <w:rsid w:val="006A6674"/>
    <w:rsid w:val="006B095B"/>
    <w:rsid w:val="006B4180"/>
    <w:rsid w:val="006B7640"/>
    <w:rsid w:val="006C0D11"/>
    <w:rsid w:val="006C4477"/>
    <w:rsid w:val="006C6865"/>
    <w:rsid w:val="006D1256"/>
    <w:rsid w:val="006D1FC8"/>
    <w:rsid w:val="006D403E"/>
    <w:rsid w:val="006D5B94"/>
    <w:rsid w:val="006D5D8A"/>
    <w:rsid w:val="006E26D2"/>
    <w:rsid w:val="006E2D4E"/>
    <w:rsid w:val="006E6BC6"/>
    <w:rsid w:val="006E7065"/>
    <w:rsid w:val="006F141D"/>
    <w:rsid w:val="006F6EA6"/>
    <w:rsid w:val="006F7ED5"/>
    <w:rsid w:val="0070089B"/>
    <w:rsid w:val="00701619"/>
    <w:rsid w:val="007017A2"/>
    <w:rsid w:val="00701C13"/>
    <w:rsid w:val="00705788"/>
    <w:rsid w:val="00714586"/>
    <w:rsid w:val="007174BC"/>
    <w:rsid w:val="00720FF2"/>
    <w:rsid w:val="00722E3D"/>
    <w:rsid w:val="00724FB3"/>
    <w:rsid w:val="00725946"/>
    <w:rsid w:val="0072743B"/>
    <w:rsid w:val="00735588"/>
    <w:rsid w:val="0074288D"/>
    <w:rsid w:val="00743F1B"/>
    <w:rsid w:val="0075252E"/>
    <w:rsid w:val="00752A10"/>
    <w:rsid w:val="00754F8C"/>
    <w:rsid w:val="00757993"/>
    <w:rsid w:val="007620A8"/>
    <w:rsid w:val="00764BBC"/>
    <w:rsid w:val="00766CAB"/>
    <w:rsid w:val="0077233A"/>
    <w:rsid w:val="00776545"/>
    <w:rsid w:val="00776EBB"/>
    <w:rsid w:val="007770E8"/>
    <w:rsid w:val="0078205F"/>
    <w:rsid w:val="0078423A"/>
    <w:rsid w:val="00785AC7"/>
    <w:rsid w:val="007C0ECA"/>
    <w:rsid w:val="007C199F"/>
    <w:rsid w:val="007C4BC8"/>
    <w:rsid w:val="007D07EF"/>
    <w:rsid w:val="007D2721"/>
    <w:rsid w:val="007D4722"/>
    <w:rsid w:val="007D5AAF"/>
    <w:rsid w:val="007D6CF8"/>
    <w:rsid w:val="007D75E5"/>
    <w:rsid w:val="007E04CB"/>
    <w:rsid w:val="00800A4B"/>
    <w:rsid w:val="00803D26"/>
    <w:rsid w:val="00805861"/>
    <w:rsid w:val="00825C86"/>
    <w:rsid w:val="00840950"/>
    <w:rsid w:val="0084586E"/>
    <w:rsid w:val="00846C0B"/>
    <w:rsid w:val="0084719B"/>
    <w:rsid w:val="008546AF"/>
    <w:rsid w:val="008653A6"/>
    <w:rsid w:val="00870356"/>
    <w:rsid w:val="00874A21"/>
    <w:rsid w:val="008759FE"/>
    <w:rsid w:val="00880004"/>
    <w:rsid w:val="0088091C"/>
    <w:rsid w:val="00885656"/>
    <w:rsid w:val="008873FB"/>
    <w:rsid w:val="00893F95"/>
    <w:rsid w:val="00897B84"/>
    <w:rsid w:val="008A21E3"/>
    <w:rsid w:val="008A220C"/>
    <w:rsid w:val="008A4212"/>
    <w:rsid w:val="008B0A44"/>
    <w:rsid w:val="008B1936"/>
    <w:rsid w:val="008B2B49"/>
    <w:rsid w:val="008B2BB0"/>
    <w:rsid w:val="008C28FD"/>
    <w:rsid w:val="008C2E4E"/>
    <w:rsid w:val="008C3187"/>
    <w:rsid w:val="008C6469"/>
    <w:rsid w:val="008E7EA6"/>
    <w:rsid w:val="008F0F78"/>
    <w:rsid w:val="008F6B4F"/>
    <w:rsid w:val="00902069"/>
    <w:rsid w:val="00902245"/>
    <w:rsid w:val="009052CE"/>
    <w:rsid w:val="00911EE6"/>
    <w:rsid w:val="00914039"/>
    <w:rsid w:val="00923561"/>
    <w:rsid w:val="00934DAF"/>
    <w:rsid w:val="009377D6"/>
    <w:rsid w:val="00937850"/>
    <w:rsid w:val="00937B46"/>
    <w:rsid w:val="00941B8A"/>
    <w:rsid w:val="00941E94"/>
    <w:rsid w:val="0094211F"/>
    <w:rsid w:val="00945E9A"/>
    <w:rsid w:val="00951C20"/>
    <w:rsid w:val="0095203E"/>
    <w:rsid w:val="0095385D"/>
    <w:rsid w:val="009551DB"/>
    <w:rsid w:val="00956EDD"/>
    <w:rsid w:val="009600B5"/>
    <w:rsid w:val="009660C2"/>
    <w:rsid w:val="0097015D"/>
    <w:rsid w:val="009702C7"/>
    <w:rsid w:val="00971BAD"/>
    <w:rsid w:val="009863B9"/>
    <w:rsid w:val="0099222D"/>
    <w:rsid w:val="009A0F6E"/>
    <w:rsid w:val="009A7A6A"/>
    <w:rsid w:val="009B1DAF"/>
    <w:rsid w:val="009C57C6"/>
    <w:rsid w:val="009D1795"/>
    <w:rsid w:val="009D24FC"/>
    <w:rsid w:val="009D4C22"/>
    <w:rsid w:val="009D4F39"/>
    <w:rsid w:val="009D79E9"/>
    <w:rsid w:val="009E6F47"/>
    <w:rsid w:val="00A04E15"/>
    <w:rsid w:val="00A16960"/>
    <w:rsid w:val="00A174D0"/>
    <w:rsid w:val="00A261D3"/>
    <w:rsid w:val="00A31898"/>
    <w:rsid w:val="00A327E5"/>
    <w:rsid w:val="00A33791"/>
    <w:rsid w:val="00A4022C"/>
    <w:rsid w:val="00A45948"/>
    <w:rsid w:val="00A45A4C"/>
    <w:rsid w:val="00A53A74"/>
    <w:rsid w:val="00A669CE"/>
    <w:rsid w:val="00A66B89"/>
    <w:rsid w:val="00A72543"/>
    <w:rsid w:val="00A728D2"/>
    <w:rsid w:val="00A770BB"/>
    <w:rsid w:val="00A8022A"/>
    <w:rsid w:val="00A81568"/>
    <w:rsid w:val="00A835F6"/>
    <w:rsid w:val="00A8409A"/>
    <w:rsid w:val="00A865D7"/>
    <w:rsid w:val="00AA1FFD"/>
    <w:rsid w:val="00AB65CF"/>
    <w:rsid w:val="00AB7979"/>
    <w:rsid w:val="00AD6FE3"/>
    <w:rsid w:val="00AE0F06"/>
    <w:rsid w:val="00AE34D7"/>
    <w:rsid w:val="00AE4382"/>
    <w:rsid w:val="00AF7DB6"/>
    <w:rsid w:val="00B0360A"/>
    <w:rsid w:val="00B03B03"/>
    <w:rsid w:val="00B06AD4"/>
    <w:rsid w:val="00B10991"/>
    <w:rsid w:val="00B13085"/>
    <w:rsid w:val="00B17958"/>
    <w:rsid w:val="00B211AD"/>
    <w:rsid w:val="00B23ACD"/>
    <w:rsid w:val="00B273FD"/>
    <w:rsid w:val="00B3170C"/>
    <w:rsid w:val="00B3393B"/>
    <w:rsid w:val="00B41189"/>
    <w:rsid w:val="00B43337"/>
    <w:rsid w:val="00B435CF"/>
    <w:rsid w:val="00B43770"/>
    <w:rsid w:val="00B44087"/>
    <w:rsid w:val="00B4441A"/>
    <w:rsid w:val="00B44ED2"/>
    <w:rsid w:val="00B52ABD"/>
    <w:rsid w:val="00B56CF2"/>
    <w:rsid w:val="00B62C4B"/>
    <w:rsid w:val="00B62DDC"/>
    <w:rsid w:val="00B67C52"/>
    <w:rsid w:val="00B67FB8"/>
    <w:rsid w:val="00B70696"/>
    <w:rsid w:val="00B73372"/>
    <w:rsid w:val="00B75E16"/>
    <w:rsid w:val="00B82278"/>
    <w:rsid w:val="00B8235E"/>
    <w:rsid w:val="00B87AD6"/>
    <w:rsid w:val="00BA1251"/>
    <w:rsid w:val="00BA2AAF"/>
    <w:rsid w:val="00BA4F7D"/>
    <w:rsid w:val="00BA7FE2"/>
    <w:rsid w:val="00BB5168"/>
    <w:rsid w:val="00BB5D17"/>
    <w:rsid w:val="00BC0B18"/>
    <w:rsid w:val="00BC182E"/>
    <w:rsid w:val="00BC2FE0"/>
    <w:rsid w:val="00BC3661"/>
    <w:rsid w:val="00BC49D3"/>
    <w:rsid w:val="00BD0283"/>
    <w:rsid w:val="00BD7E7C"/>
    <w:rsid w:val="00BE2D3F"/>
    <w:rsid w:val="00BE31A6"/>
    <w:rsid w:val="00BE397A"/>
    <w:rsid w:val="00BE7D83"/>
    <w:rsid w:val="00BF25D8"/>
    <w:rsid w:val="00BF65F9"/>
    <w:rsid w:val="00BF72B6"/>
    <w:rsid w:val="00C27618"/>
    <w:rsid w:val="00C34DC2"/>
    <w:rsid w:val="00C40D38"/>
    <w:rsid w:val="00C41B18"/>
    <w:rsid w:val="00C423A8"/>
    <w:rsid w:val="00C4294D"/>
    <w:rsid w:val="00C50BE7"/>
    <w:rsid w:val="00C54985"/>
    <w:rsid w:val="00C62962"/>
    <w:rsid w:val="00C64C40"/>
    <w:rsid w:val="00C67BFD"/>
    <w:rsid w:val="00C86CD6"/>
    <w:rsid w:val="00CA2D60"/>
    <w:rsid w:val="00CB3F90"/>
    <w:rsid w:val="00CC74FE"/>
    <w:rsid w:val="00CD16AF"/>
    <w:rsid w:val="00CD7758"/>
    <w:rsid w:val="00CD7ACE"/>
    <w:rsid w:val="00CE577D"/>
    <w:rsid w:val="00CF0365"/>
    <w:rsid w:val="00CF1B67"/>
    <w:rsid w:val="00CF2479"/>
    <w:rsid w:val="00CF42C1"/>
    <w:rsid w:val="00D02399"/>
    <w:rsid w:val="00D056BA"/>
    <w:rsid w:val="00D05C86"/>
    <w:rsid w:val="00D0641F"/>
    <w:rsid w:val="00D10B71"/>
    <w:rsid w:val="00D12631"/>
    <w:rsid w:val="00D12CC5"/>
    <w:rsid w:val="00D14E8A"/>
    <w:rsid w:val="00D166C3"/>
    <w:rsid w:val="00D16CA0"/>
    <w:rsid w:val="00D2307C"/>
    <w:rsid w:val="00D264AD"/>
    <w:rsid w:val="00D455E5"/>
    <w:rsid w:val="00D4565E"/>
    <w:rsid w:val="00D52206"/>
    <w:rsid w:val="00D53185"/>
    <w:rsid w:val="00D560B6"/>
    <w:rsid w:val="00D60938"/>
    <w:rsid w:val="00D65177"/>
    <w:rsid w:val="00D6534C"/>
    <w:rsid w:val="00D66AD7"/>
    <w:rsid w:val="00D70C89"/>
    <w:rsid w:val="00D7208D"/>
    <w:rsid w:val="00D7395E"/>
    <w:rsid w:val="00D750A7"/>
    <w:rsid w:val="00D773CD"/>
    <w:rsid w:val="00D77960"/>
    <w:rsid w:val="00D77D02"/>
    <w:rsid w:val="00D93E36"/>
    <w:rsid w:val="00D95079"/>
    <w:rsid w:val="00D96248"/>
    <w:rsid w:val="00DA1E87"/>
    <w:rsid w:val="00DA2C0C"/>
    <w:rsid w:val="00DA4FC5"/>
    <w:rsid w:val="00DB56F9"/>
    <w:rsid w:val="00DB57C0"/>
    <w:rsid w:val="00DC5CF7"/>
    <w:rsid w:val="00DD53A2"/>
    <w:rsid w:val="00DD64C0"/>
    <w:rsid w:val="00DD6825"/>
    <w:rsid w:val="00DE04BA"/>
    <w:rsid w:val="00DE0739"/>
    <w:rsid w:val="00DE15F2"/>
    <w:rsid w:val="00DF53E8"/>
    <w:rsid w:val="00E023BE"/>
    <w:rsid w:val="00E03595"/>
    <w:rsid w:val="00E036F7"/>
    <w:rsid w:val="00E041C4"/>
    <w:rsid w:val="00E05B6D"/>
    <w:rsid w:val="00E1106B"/>
    <w:rsid w:val="00E11817"/>
    <w:rsid w:val="00E12AB7"/>
    <w:rsid w:val="00E16084"/>
    <w:rsid w:val="00E16E2E"/>
    <w:rsid w:val="00E177B8"/>
    <w:rsid w:val="00E21B00"/>
    <w:rsid w:val="00E30481"/>
    <w:rsid w:val="00E32DAC"/>
    <w:rsid w:val="00E34400"/>
    <w:rsid w:val="00E41CC9"/>
    <w:rsid w:val="00E47D14"/>
    <w:rsid w:val="00E54A5D"/>
    <w:rsid w:val="00E56DBC"/>
    <w:rsid w:val="00E64651"/>
    <w:rsid w:val="00E70C41"/>
    <w:rsid w:val="00E70EFD"/>
    <w:rsid w:val="00E74F7F"/>
    <w:rsid w:val="00E77521"/>
    <w:rsid w:val="00E85125"/>
    <w:rsid w:val="00E91744"/>
    <w:rsid w:val="00E93029"/>
    <w:rsid w:val="00EA1FE8"/>
    <w:rsid w:val="00EA3BB7"/>
    <w:rsid w:val="00EA77DB"/>
    <w:rsid w:val="00EB56F2"/>
    <w:rsid w:val="00EB7343"/>
    <w:rsid w:val="00ED253F"/>
    <w:rsid w:val="00ED4AB4"/>
    <w:rsid w:val="00ED7354"/>
    <w:rsid w:val="00EE3458"/>
    <w:rsid w:val="00EE6CAA"/>
    <w:rsid w:val="00EF2490"/>
    <w:rsid w:val="00EF2B09"/>
    <w:rsid w:val="00EF6AFB"/>
    <w:rsid w:val="00EF7D08"/>
    <w:rsid w:val="00F0255A"/>
    <w:rsid w:val="00F03548"/>
    <w:rsid w:val="00F039C1"/>
    <w:rsid w:val="00F06AAB"/>
    <w:rsid w:val="00F1160C"/>
    <w:rsid w:val="00F30BE9"/>
    <w:rsid w:val="00F34C5F"/>
    <w:rsid w:val="00F356B0"/>
    <w:rsid w:val="00F36CC9"/>
    <w:rsid w:val="00F41160"/>
    <w:rsid w:val="00F411CC"/>
    <w:rsid w:val="00F47FCB"/>
    <w:rsid w:val="00F73028"/>
    <w:rsid w:val="00F74F47"/>
    <w:rsid w:val="00F77D6B"/>
    <w:rsid w:val="00F906FA"/>
    <w:rsid w:val="00FB0DDD"/>
    <w:rsid w:val="00FB3279"/>
    <w:rsid w:val="00FB32F9"/>
    <w:rsid w:val="00FB786C"/>
    <w:rsid w:val="00FC4BE1"/>
    <w:rsid w:val="00FC644E"/>
    <w:rsid w:val="00FC65B0"/>
    <w:rsid w:val="00FD74CF"/>
    <w:rsid w:val="00FE1215"/>
    <w:rsid w:val="00FE22BC"/>
    <w:rsid w:val="00FE4452"/>
    <w:rsid w:val="00FF127F"/>
    <w:rsid w:val="00FF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330D"/>
  <w14:defaultImageDpi w14:val="32767"/>
  <w15:docId w15:val="{B88A8B98-23CB-460F-AB47-1877D94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paragraph" w:styleId="1">
    <w:name w:val="heading 1"/>
    <w:basedOn w:val="a"/>
    <w:link w:val="10"/>
    <w:uiPriority w:val="9"/>
    <w:qFormat/>
    <w:rsid w:val="00115A25"/>
    <w:pPr>
      <w:spacing w:before="100" w:beforeAutospacing="1" w:after="100" w:afterAutospacing="1" w:line="240" w:lineRule="auto"/>
      <w:contextualSpacing w:val="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character" w:styleId="aa">
    <w:name w:val="Hyperlink"/>
    <w:basedOn w:val="a0"/>
    <w:uiPriority w:val="99"/>
    <w:unhideWhenUsed/>
    <w:rsid w:val="00385B72"/>
    <w:rPr>
      <w:color w:val="0563C1" w:themeColor="hyperlink"/>
      <w:u w:val="single"/>
    </w:rPr>
  </w:style>
  <w:style w:type="paragraph" w:customStyle="1" w:styleId="ConsNormal">
    <w:name w:val="ConsNormal"/>
    <w:rsid w:val="007D75E5"/>
    <w:pPr>
      <w:widowControl w:val="0"/>
      <w:spacing w:after="0" w:line="240" w:lineRule="auto"/>
      <w:ind w:right="19772" w:firstLine="720"/>
    </w:pPr>
    <w:rPr>
      <w:rFonts w:ascii="Arial" w:eastAsia="Times New Roman" w:hAnsi="Arial"/>
      <w:snapToGrid w:val="0"/>
      <w:sz w:val="20"/>
      <w:szCs w:val="20"/>
      <w:lang w:eastAsia="ru-RU"/>
    </w:rPr>
  </w:style>
  <w:style w:type="paragraph" w:styleId="ab">
    <w:name w:val="Body Text"/>
    <w:basedOn w:val="a"/>
    <w:link w:val="ac"/>
    <w:rsid w:val="007D75E5"/>
    <w:pPr>
      <w:spacing w:before="0" w:after="0" w:line="240" w:lineRule="auto"/>
      <w:ind w:right="-335"/>
      <w:contextualSpacing w:val="0"/>
      <w:jc w:val="both"/>
    </w:pPr>
    <w:rPr>
      <w:rFonts w:eastAsia="Times New Roman"/>
      <w:sz w:val="28"/>
      <w:szCs w:val="20"/>
      <w:lang w:eastAsia="ru-RU"/>
    </w:rPr>
  </w:style>
  <w:style w:type="character" w:customStyle="1" w:styleId="ac">
    <w:name w:val="Основной текст Знак"/>
    <w:basedOn w:val="a0"/>
    <w:link w:val="ab"/>
    <w:rsid w:val="007D75E5"/>
    <w:rPr>
      <w:rFonts w:eastAsia="Times New Roman"/>
      <w:sz w:val="28"/>
      <w:szCs w:val="20"/>
      <w:lang w:eastAsia="ru-RU"/>
    </w:rPr>
  </w:style>
  <w:style w:type="paragraph" w:styleId="ad">
    <w:name w:val="Balloon Text"/>
    <w:basedOn w:val="a"/>
    <w:link w:val="ae"/>
    <w:uiPriority w:val="99"/>
    <w:semiHidden/>
    <w:unhideWhenUsed/>
    <w:rsid w:val="00776EBB"/>
    <w:pPr>
      <w:spacing w:before="0"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6EBB"/>
    <w:rPr>
      <w:rFonts w:ascii="Segoe UI" w:hAnsi="Segoe UI" w:cs="Segoe UI"/>
      <w:sz w:val="18"/>
      <w:szCs w:val="18"/>
    </w:rPr>
  </w:style>
  <w:style w:type="paragraph" w:customStyle="1" w:styleId="ConsPlusNormal">
    <w:name w:val="ConsPlusNormal"/>
    <w:rsid w:val="00902245"/>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harStyle7">
    <w:name w:val="Char Style 7"/>
    <w:link w:val="Style6"/>
    <w:uiPriority w:val="99"/>
    <w:locked/>
    <w:rsid w:val="002B42B7"/>
    <w:rPr>
      <w:shd w:val="clear" w:color="auto" w:fill="FFFFFF"/>
    </w:rPr>
  </w:style>
  <w:style w:type="paragraph" w:customStyle="1" w:styleId="Style6">
    <w:name w:val="Style 6"/>
    <w:basedOn w:val="a"/>
    <w:link w:val="CharStyle7"/>
    <w:uiPriority w:val="99"/>
    <w:rsid w:val="002B42B7"/>
    <w:pPr>
      <w:widowControl w:val="0"/>
      <w:shd w:val="clear" w:color="auto" w:fill="FFFFFF"/>
      <w:spacing w:before="0" w:after="0" w:line="324" w:lineRule="exact"/>
      <w:contextualSpacing w:val="0"/>
      <w:jc w:val="both"/>
    </w:pPr>
  </w:style>
  <w:style w:type="character" w:styleId="af">
    <w:name w:val="Strong"/>
    <w:basedOn w:val="a0"/>
    <w:uiPriority w:val="22"/>
    <w:qFormat/>
    <w:rsid w:val="00115A25"/>
    <w:rPr>
      <w:b/>
      <w:bCs/>
    </w:rPr>
  </w:style>
  <w:style w:type="character" w:customStyle="1" w:styleId="10">
    <w:name w:val="Заголовок 1 Знак"/>
    <w:basedOn w:val="a0"/>
    <w:link w:val="1"/>
    <w:uiPriority w:val="9"/>
    <w:rsid w:val="00115A25"/>
    <w:rPr>
      <w:rFonts w:eastAsia="Times New Roman"/>
      <w:b/>
      <w:bCs/>
      <w:kern w:val="36"/>
      <w:sz w:val="48"/>
      <w:szCs w:val="48"/>
      <w:lang w:eastAsia="ru-RU"/>
    </w:rPr>
  </w:style>
  <w:style w:type="paragraph" w:styleId="2">
    <w:name w:val="Body Text Indent 2"/>
    <w:basedOn w:val="a"/>
    <w:link w:val="20"/>
    <w:rsid w:val="009C57C6"/>
    <w:pPr>
      <w:spacing w:before="0" w:after="120" w:line="480" w:lineRule="auto"/>
      <w:ind w:left="283"/>
      <w:contextualSpacing w:val="0"/>
    </w:pPr>
    <w:rPr>
      <w:rFonts w:eastAsia="Times New Roman"/>
      <w:szCs w:val="24"/>
      <w:lang w:eastAsia="ru-RU"/>
    </w:rPr>
  </w:style>
  <w:style w:type="character" w:customStyle="1" w:styleId="20">
    <w:name w:val="Основной текст с отступом 2 Знак"/>
    <w:basedOn w:val="a0"/>
    <w:link w:val="2"/>
    <w:rsid w:val="009C57C6"/>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995">
      <w:bodyDiv w:val="1"/>
      <w:marLeft w:val="0"/>
      <w:marRight w:val="0"/>
      <w:marTop w:val="0"/>
      <w:marBottom w:val="0"/>
      <w:divBdr>
        <w:top w:val="none" w:sz="0" w:space="0" w:color="auto"/>
        <w:left w:val="none" w:sz="0" w:space="0" w:color="auto"/>
        <w:bottom w:val="none" w:sz="0" w:space="0" w:color="auto"/>
        <w:right w:val="none" w:sz="0" w:space="0" w:color="auto"/>
      </w:divBdr>
    </w:div>
    <w:div w:id="116873569">
      <w:bodyDiv w:val="1"/>
      <w:marLeft w:val="0"/>
      <w:marRight w:val="0"/>
      <w:marTop w:val="0"/>
      <w:marBottom w:val="0"/>
      <w:divBdr>
        <w:top w:val="none" w:sz="0" w:space="0" w:color="auto"/>
        <w:left w:val="none" w:sz="0" w:space="0" w:color="auto"/>
        <w:bottom w:val="none" w:sz="0" w:space="0" w:color="auto"/>
        <w:right w:val="none" w:sz="0" w:space="0" w:color="auto"/>
      </w:divBdr>
    </w:div>
    <w:div w:id="243691065">
      <w:bodyDiv w:val="1"/>
      <w:marLeft w:val="0"/>
      <w:marRight w:val="0"/>
      <w:marTop w:val="0"/>
      <w:marBottom w:val="0"/>
      <w:divBdr>
        <w:top w:val="none" w:sz="0" w:space="0" w:color="auto"/>
        <w:left w:val="none" w:sz="0" w:space="0" w:color="auto"/>
        <w:bottom w:val="none" w:sz="0" w:space="0" w:color="auto"/>
        <w:right w:val="none" w:sz="0" w:space="0" w:color="auto"/>
      </w:divBdr>
    </w:div>
    <w:div w:id="342705983">
      <w:bodyDiv w:val="1"/>
      <w:marLeft w:val="0"/>
      <w:marRight w:val="0"/>
      <w:marTop w:val="0"/>
      <w:marBottom w:val="0"/>
      <w:divBdr>
        <w:top w:val="none" w:sz="0" w:space="0" w:color="auto"/>
        <w:left w:val="none" w:sz="0" w:space="0" w:color="auto"/>
        <w:bottom w:val="none" w:sz="0" w:space="0" w:color="auto"/>
        <w:right w:val="none" w:sz="0" w:space="0" w:color="auto"/>
      </w:divBdr>
    </w:div>
    <w:div w:id="440034495">
      <w:bodyDiv w:val="1"/>
      <w:marLeft w:val="0"/>
      <w:marRight w:val="0"/>
      <w:marTop w:val="0"/>
      <w:marBottom w:val="0"/>
      <w:divBdr>
        <w:top w:val="none" w:sz="0" w:space="0" w:color="auto"/>
        <w:left w:val="none" w:sz="0" w:space="0" w:color="auto"/>
        <w:bottom w:val="none" w:sz="0" w:space="0" w:color="auto"/>
        <w:right w:val="none" w:sz="0" w:space="0" w:color="auto"/>
      </w:divBdr>
    </w:div>
    <w:div w:id="473453838">
      <w:bodyDiv w:val="1"/>
      <w:marLeft w:val="0"/>
      <w:marRight w:val="0"/>
      <w:marTop w:val="0"/>
      <w:marBottom w:val="0"/>
      <w:divBdr>
        <w:top w:val="none" w:sz="0" w:space="0" w:color="auto"/>
        <w:left w:val="none" w:sz="0" w:space="0" w:color="auto"/>
        <w:bottom w:val="none" w:sz="0" w:space="0" w:color="auto"/>
        <w:right w:val="none" w:sz="0" w:space="0" w:color="auto"/>
      </w:divBdr>
    </w:div>
    <w:div w:id="573587340">
      <w:bodyDiv w:val="1"/>
      <w:marLeft w:val="0"/>
      <w:marRight w:val="0"/>
      <w:marTop w:val="0"/>
      <w:marBottom w:val="0"/>
      <w:divBdr>
        <w:top w:val="none" w:sz="0" w:space="0" w:color="auto"/>
        <w:left w:val="none" w:sz="0" w:space="0" w:color="auto"/>
        <w:bottom w:val="none" w:sz="0" w:space="0" w:color="auto"/>
        <w:right w:val="none" w:sz="0" w:space="0" w:color="auto"/>
      </w:divBdr>
    </w:div>
    <w:div w:id="1023019315">
      <w:bodyDiv w:val="1"/>
      <w:marLeft w:val="0"/>
      <w:marRight w:val="0"/>
      <w:marTop w:val="0"/>
      <w:marBottom w:val="0"/>
      <w:divBdr>
        <w:top w:val="none" w:sz="0" w:space="0" w:color="auto"/>
        <w:left w:val="none" w:sz="0" w:space="0" w:color="auto"/>
        <w:bottom w:val="none" w:sz="0" w:space="0" w:color="auto"/>
        <w:right w:val="none" w:sz="0" w:space="0" w:color="auto"/>
      </w:divBdr>
    </w:div>
    <w:div w:id="1598711758">
      <w:bodyDiv w:val="1"/>
      <w:marLeft w:val="0"/>
      <w:marRight w:val="0"/>
      <w:marTop w:val="0"/>
      <w:marBottom w:val="0"/>
      <w:divBdr>
        <w:top w:val="none" w:sz="0" w:space="0" w:color="auto"/>
        <w:left w:val="none" w:sz="0" w:space="0" w:color="auto"/>
        <w:bottom w:val="none" w:sz="0" w:space="0" w:color="auto"/>
        <w:right w:val="none" w:sz="0" w:space="0" w:color="auto"/>
      </w:divBdr>
    </w:div>
    <w:div w:id="1599101085">
      <w:bodyDiv w:val="1"/>
      <w:marLeft w:val="0"/>
      <w:marRight w:val="0"/>
      <w:marTop w:val="0"/>
      <w:marBottom w:val="0"/>
      <w:divBdr>
        <w:top w:val="none" w:sz="0" w:space="0" w:color="auto"/>
        <w:left w:val="none" w:sz="0" w:space="0" w:color="auto"/>
        <w:bottom w:val="none" w:sz="0" w:space="0" w:color="auto"/>
        <w:right w:val="none" w:sz="0" w:space="0" w:color="auto"/>
      </w:divBdr>
    </w:div>
    <w:div w:id="1927954849">
      <w:bodyDiv w:val="1"/>
      <w:marLeft w:val="0"/>
      <w:marRight w:val="0"/>
      <w:marTop w:val="0"/>
      <w:marBottom w:val="0"/>
      <w:divBdr>
        <w:top w:val="none" w:sz="0" w:space="0" w:color="auto"/>
        <w:left w:val="none" w:sz="0" w:space="0" w:color="auto"/>
        <w:bottom w:val="none" w:sz="0" w:space="0" w:color="auto"/>
        <w:right w:val="none" w:sz="0" w:space="0" w:color="auto"/>
      </w:divBdr>
    </w:div>
    <w:div w:id="20661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D99D-1D1B-4CF3-A73E-AE7A92E3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Rais Afanasyev</dc:creator>
  <cp:lastModifiedBy>Карасева Елена Владимировна</cp:lastModifiedBy>
  <cp:revision>4</cp:revision>
  <cp:lastPrinted>2023-02-14T14:14:00Z</cp:lastPrinted>
  <dcterms:created xsi:type="dcterms:W3CDTF">2023-02-14T13:34:00Z</dcterms:created>
  <dcterms:modified xsi:type="dcterms:W3CDTF">2023-02-16T07:39:00Z</dcterms:modified>
</cp:coreProperties>
</file>