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31"/>
        <w:gridCol w:w="4138"/>
        <w:gridCol w:w="4881"/>
        <w:gridCol w:w="4520"/>
      </w:tblGrid>
      <w:tr w:rsidR="00691546" w:rsidRPr="003C3719" w:rsidTr="00435D5C">
        <w:trPr>
          <w:trHeight w:val="430"/>
        </w:trPr>
        <w:tc>
          <w:tcPr>
            <w:tcW w:w="354" w:type="pct"/>
            <w:shd w:val="clear" w:color="auto" w:fill="auto"/>
            <w:vAlign w:val="center"/>
            <w:hideMark/>
          </w:tcPr>
          <w:p w:rsidR="00691546" w:rsidRPr="00691546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91546" w:rsidRPr="00691546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691546" w:rsidRPr="00691546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1546" w:rsidRPr="003C3719" w:rsidTr="00435D5C">
        <w:trPr>
          <w:trHeight w:val="375"/>
        </w:trPr>
        <w:tc>
          <w:tcPr>
            <w:tcW w:w="354" w:type="pct"/>
            <w:shd w:val="clear" w:color="auto" w:fill="auto"/>
            <w:vAlign w:val="center"/>
            <w:hideMark/>
          </w:tcPr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2:E327"/>
            <w:bookmarkEnd w:id="1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Первый заместитель </w:t>
            </w:r>
          </w:p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Министра финансов </w:t>
            </w:r>
          </w:p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691546" w:rsidRPr="003C3719" w:rsidTr="00435D5C">
        <w:trPr>
          <w:trHeight w:val="493"/>
        </w:trPr>
        <w:tc>
          <w:tcPr>
            <w:tcW w:w="354" w:type="pct"/>
            <w:shd w:val="clear" w:color="auto" w:fill="auto"/>
            <w:vAlign w:val="bottom"/>
            <w:hideMark/>
          </w:tcPr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pct"/>
            <w:shd w:val="clear" w:color="auto" w:fill="auto"/>
            <w:vAlign w:val="bottom"/>
            <w:hideMark/>
          </w:tcPr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bottom"/>
            <w:hideMark/>
          </w:tcPr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bottom"/>
            <w:hideMark/>
          </w:tcPr>
          <w:p w:rsidR="00691546" w:rsidRPr="003C3719" w:rsidRDefault="00691546" w:rsidP="002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______________ </w:t>
            </w:r>
            <w:r w:rsidR="002C7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="002C7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Горнин</w:t>
            </w:r>
            <w:proofErr w:type="spellEnd"/>
          </w:p>
        </w:tc>
      </w:tr>
      <w:tr w:rsidR="00691546" w:rsidRPr="003C3719" w:rsidTr="00435D5C">
        <w:trPr>
          <w:trHeight w:val="375"/>
        </w:trPr>
        <w:tc>
          <w:tcPr>
            <w:tcW w:w="354" w:type="pct"/>
            <w:shd w:val="clear" w:color="auto" w:fill="auto"/>
            <w:vAlign w:val="center"/>
            <w:hideMark/>
          </w:tcPr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691546" w:rsidRPr="003C3719" w:rsidRDefault="00691546" w:rsidP="0043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691546" w:rsidRPr="003C3719" w:rsidRDefault="00691546" w:rsidP="00AB3AEE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«____» __________________ </w:t>
            </w:r>
            <w:r w:rsidR="00AB3AEE"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AB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="00AB3AEE"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C37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691546" w:rsidRPr="003C3719" w:rsidRDefault="00691546" w:rsidP="00691546">
      <w:pPr>
        <w:spacing w:after="0" w:line="240" w:lineRule="auto"/>
        <w:ind w:right="-314"/>
        <w:jc w:val="center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:rsidR="00691546" w:rsidRPr="003C3719" w:rsidRDefault="00691546" w:rsidP="00691546">
      <w:pPr>
        <w:spacing w:after="0" w:line="240" w:lineRule="auto"/>
        <w:ind w:right="-314"/>
        <w:jc w:val="center"/>
        <w:rPr>
          <w:rStyle w:val="CharStyle13"/>
          <w:rFonts w:ascii="Times New Roman" w:hAnsi="Times New Roman"/>
          <w:color w:val="000000"/>
          <w:sz w:val="28"/>
          <w:szCs w:val="28"/>
        </w:rPr>
      </w:pPr>
    </w:p>
    <w:p w:rsidR="00691546" w:rsidRPr="003C3719" w:rsidRDefault="00691546" w:rsidP="00691546">
      <w:pPr>
        <w:spacing w:after="0" w:line="240" w:lineRule="auto"/>
        <w:ind w:right="-314"/>
        <w:jc w:val="center"/>
        <w:rPr>
          <w:rStyle w:val="CharStyle13"/>
          <w:rFonts w:ascii="Times New Roman" w:hAnsi="Times New Roman"/>
          <w:color w:val="000000"/>
          <w:sz w:val="28"/>
          <w:szCs w:val="28"/>
        </w:rPr>
      </w:pPr>
      <w:r w:rsidRPr="003C3719">
        <w:rPr>
          <w:rStyle w:val="CharStyle13"/>
          <w:rFonts w:ascii="Times New Roman" w:hAnsi="Times New Roman"/>
          <w:color w:val="000000"/>
          <w:sz w:val="28"/>
          <w:szCs w:val="28"/>
        </w:rPr>
        <w:t xml:space="preserve">Отчет </w:t>
      </w:r>
    </w:p>
    <w:p w:rsidR="00691546" w:rsidRPr="003C3719" w:rsidRDefault="00575FD3" w:rsidP="00691546">
      <w:pPr>
        <w:spacing w:after="0" w:line="240" w:lineRule="auto"/>
        <w:ind w:right="-314"/>
        <w:jc w:val="center"/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</w:pPr>
      <w:r w:rsidRPr="003C3719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о ходе выполнения в 20</w:t>
      </w:r>
      <w:r w:rsidR="003C3719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2</w:t>
      </w:r>
      <w:r w:rsidR="005C1630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2</w:t>
      </w:r>
      <w:r w:rsidR="00691546" w:rsidRPr="003C3719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 xml:space="preserve"> году Плана Министерства финансов Российской Федерации по реализации мероприятий в области открытых данных в 20</w:t>
      </w:r>
      <w:r w:rsidR="003C3719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2</w:t>
      </w:r>
      <w:r w:rsidR="005C1630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2</w:t>
      </w:r>
      <w:r w:rsidR="00691546" w:rsidRPr="003C3719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-20</w:t>
      </w:r>
      <w:r w:rsidR="003C3719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2</w:t>
      </w:r>
      <w:r w:rsidR="005C1630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>3</w:t>
      </w:r>
      <w:r w:rsidR="00691546" w:rsidRPr="003C3719">
        <w:rPr>
          <w:rStyle w:val="CharStyle13"/>
          <w:rFonts w:ascii="Times New Roman" w:hAnsi="Times New Roman"/>
          <w:b w:val="0"/>
          <w:color w:val="000000"/>
          <w:sz w:val="28"/>
          <w:szCs w:val="28"/>
        </w:rPr>
        <w:t xml:space="preserve"> годах</w:t>
      </w:r>
    </w:p>
    <w:p w:rsidR="009430C5" w:rsidRPr="003C3719" w:rsidRDefault="009430C5" w:rsidP="0094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5713"/>
        <w:gridCol w:w="3685"/>
        <w:gridCol w:w="2557"/>
        <w:gridCol w:w="2433"/>
      </w:tblGrid>
      <w:tr w:rsidR="00117A66" w:rsidRPr="003C3719" w:rsidTr="004E5CEC">
        <w:trPr>
          <w:trHeight w:val="543"/>
          <w:tblHeader/>
        </w:trPr>
        <w:tc>
          <w:tcPr>
            <w:tcW w:w="1488" w:type="dxa"/>
            <w:shd w:val="clear" w:color="auto" w:fill="auto"/>
            <w:vAlign w:val="center"/>
          </w:tcPr>
          <w:p w:rsidR="0052350A" w:rsidRPr="003C3719" w:rsidRDefault="007B51F6" w:rsidP="0035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2350A" w:rsidRPr="003C3719" w:rsidRDefault="0052350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350A" w:rsidRPr="003C3719" w:rsidRDefault="0052350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2350A" w:rsidRPr="003C3719" w:rsidRDefault="0052350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2350A" w:rsidRPr="003C3719" w:rsidRDefault="0052350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  <w:p w:rsidR="00FF385A" w:rsidRPr="003C3719" w:rsidRDefault="00FF385A" w:rsidP="00F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52350A" w:rsidRPr="003C3719" w:rsidTr="004E5CEC">
        <w:trPr>
          <w:trHeight w:val="537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52350A" w:rsidRPr="003C3719" w:rsidRDefault="0052350A" w:rsidP="0043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Обеспечение </w:t>
            </w:r>
            <w:r w:rsidR="0043073D"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доступности, актуальности</w:t>
            </w: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 качества опубликованных наборов открытых данных</w:t>
            </w:r>
          </w:p>
        </w:tc>
      </w:tr>
      <w:tr w:rsidR="00117A66" w:rsidRPr="003C3719" w:rsidTr="004E5CEC">
        <w:trPr>
          <w:trHeight w:val="231"/>
        </w:trPr>
        <w:tc>
          <w:tcPr>
            <w:tcW w:w="1488" w:type="dxa"/>
            <w:shd w:val="clear" w:color="auto" w:fill="auto"/>
            <w:vAlign w:val="center"/>
          </w:tcPr>
          <w:p w:rsidR="0052350A" w:rsidRPr="003C3719" w:rsidRDefault="0052350A" w:rsidP="00BC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2350A" w:rsidRPr="003C3719" w:rsidRDefault="00032BA3" w:rsidP="000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Обеспечивается актуализация опубликованных наборов открытых данных Минфина России в соответствии с установленными сроками актуализации и в порядке, предусмотренном приказом Минфина России от 31 декабря 2014 г. № 625: проводятся периодические выборочные и сплошные мониторинги актуальности сведений, включенных в реестр открытых данных </w:t>
            </w:r>
            <w:r w:rsidR="00A82BCB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части их соответствия установленным срокам актуализации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350A" w:rsidRPr="003C3719" w:rsidRDefault="00032BA3" w:rsidP="00AB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Поддерживается в актуальном состоянии реестр открытых данных Минфина России (</w:t>
            </w:r>
            <w:hyperlink r:id="rId8" w:history="1">
              <w:r w:rsidR="00AB3AEE" w:rsidRPr="003C1BF5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minfin.gov.ru/</w:t>
              </w:r>
              <w:proofErr w:type="spellStart"/>
              <w:r w:rsidR="00AB3AEE" w:rsidRPr="003C1BF5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opendata</w:t>
              </w:r>
              <w:proofErr w:type="spellEnd"/>
            </w:hyperlink>
            <w:r w:rsidR="00BF4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2350A" w:rsidRPr="003C3719" w:rsidRDefault="0052350A" w:rsidP="00A6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  <w:r w:rsidR="00B52EB3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соответствии с установленными сроками актуализации</w:t>
            </w:r>
            <w:r w:rsidR="00A20330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наборов открытых данных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B52EB3" w:rsidRPr="003C3719" w:rsidRDefault="0052350A" w:rsidP="00B5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</w:t>
            </w:r>
            <w:r w:rsidR="00D41002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амент информационных технологий </w:t>
            </w:r>
            <w:r w:rsidR="00B7324E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сфере управления государственными и муниципальными финансами и информационного обеспечения бюджетного процесса (далее – Департамент информационных технологий),</w:t>
            </w:r>
          </w:p>
          <w:p w:rsidR="0052350A" w:rsidRPr="003C3719" w:rsidRDefault="00B7324E" w:rsidP="00B7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департаменты </w:t>
            </w:r>
          </w:p>
        </w:tc>
      </w:tr>
      <w:tr w:rsidR="00FB583F" w:rsidRPr="003C3719" w:rsidTr="004E5CEC">
        <w:trPr>
          <w:trHeight w:val="231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3C3719" w:rsidRDefault="00FB583F" w:rsidP="006F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Актуализация наборов открытых данных, опубликованных на официальном сайте Минфин</w:t>
            </w:r>
            <w:r w:rsidR="006F1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C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регулярно </w:t>
            </w:r>
            <w:r w:rsidRPr="002C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заявок </w:t>
            </w:r>
            <w:r w:rsidRPr="002C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Департаментов Минфина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формируемых в соответствии с приказом Минфина </w:t>
            </w:r>
            <w:r w:rsidR="006F5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России от 19 февраля 2019 г. № 76 «Об официальном сайте Министерства финансов Российской Федерации в информационно-телекоммуникационной сети «Интернет»</w:t>
            </w:r>
            <w:r w:rsidR="006F1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B583F" w:rsidRPr="003C3719" w:rsidTr="004E5CEC">
        <w:trPr>
          <w:trHeight w:val="492"/>
        </w:trPr>
        <w:tc>
          <w:tcPr>
            <w:tcW w:w="1488" w:type="dxa"/>
            <w:shd w:val="clear" w:color="auto" w:fill="auto"/>
            <w:vAlign w:val="center"/>
          </w:tcPr>
          <w:p w:rsidR="00FB583F" w:rsidRPr="006F5E7C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Проводится мониторинг изменений в нормативных правовых актах об обязательном размещении информации в форме открытых данных: Федерального закона от 9 февраля 2009 г. № 8-ФЗ, распоряжения Правительства Российской Федерации от 10 июля 2013 г. № 1187-р, и др. в части перечней сведений, обязательных к публикации в форме открытых данных.</w:t>
            </w:r>
          </w:p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Обеспечено соответствие состава реестра открытых данных Минфина России требованиям нормативных правовых актов об обязательном размещении информации в форме открытых данных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основе, по мере внесения изменений в соответствующие нормативные правовые акты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заинтересованные департаменты</w:t>
            </w:r>
          </w:p>
        </w:tc>
      </w:tr>
      <w:tr w:rsidR="00FB583F" w:rsidRPr="003C3719" w:rsidTr="004E5CEC">
        <w:trPr>
          <w:trHeight w:val="492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3C3719" w:rsidRDefault="00F96B4A" w:rsidP="00F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Внесенные и</w:t>
            </w:r>
            <w:r w:rsidR="00FB583F" w:rsidRPr="00DE42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зменения в 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ый</w:t>
            </w:r>
            <w:r w:rsidR="00FB583F" w:rsidRPr="00DE42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закон от 9 февраля 2009 г. № 8-ФЗ </w:t>
            </w:r>
            <w:r w:rsidR="00FB583F" w:rsidRPr="00DE4292">
              <w:rPr>
                <w:rFonts w:ascii="Times New Roman" w:hAnsi="Times New Roman" w:cs="Times New Roman"/>
                <w:sz w:val="26"/>
                <w:szCs w:val="26"/>
              </w:rPr>
              <w:t xml:space="preserve">«Об обеспечении доступа к информации о деятельности государственных органов и органов местного самоуправления»,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также иные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нормативно-правовые акты, регламентирующие</w:t>
            </w:r>
            <w:r w:rsidRPr="00DE42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обязательное размещение информации в форме открытых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DE4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583F" w:rsidRPr="00DE42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касаются вопросов, затрагивающих перечень сведений, обязательных к публикации в форме открытых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B583F" w:rsidRPr="003C3719" w:rsidTr="004E5CEC">
        <w:trPr>
          <w:trHeight w:val="633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Паспорта и наборы открытых данных формируются и публикуются в соответствии с положениями Методических рекомендаций по публикации открытых данных государственными органами и органами местного самоуправления и Технических требований к публикации открытых данных, утвержденных протоколом заседания Правительственной комиссии по координации деятельности открытого Правительства от 29 мая 2014 г. № 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Обеспечено соответствие наборов открытых данных Минфина России правилам публикации открытых данных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постоянной основе, по мере внесения изменений в Методические рекомендации 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 </w:t>
            </w:r>
          </w:p>
        </w:tc>
      </w:tr>
      <w:tr w:rsidR="00FB583F" w:rsidRPr="003C3719" w:rsidTr="004E5CEC">
        <w:trPr>
          <w:trHeight w:val="633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целях повышения качества опубликованных наборов открытых данных Департаментом информационных технологий проводится соответствующий регулярный мониторинг размещенных файлов.</w:t>
            </w:r>
          </w:p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постоянной основе сотрудником Департамента информационных технологий проводится предварительный анализ поступающих заявок от ответственных Департаментов на публикацию наборов открытых данных (актуализация существующих или размещение новых наборов) в части методологической корректности конвертации данных, содержащихся в исходном файле, в машиночитаемый формат.</w:t>
            </w:r>
          </w:p>
        </w:tc>
      </w:tr>
      <w:tr w:rsidR="00FB583F" w:rsidRPr="003C3719" w:rsidTr="004E5CEC">
        <w:trPr>
          <w:trHeight w:val="633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Обогащение размещенных наборов открытых данных в целях обеспечения возможности их связывания с данными других владельцев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Размещенные наборы открытых данных дополнены универсальными идентификаторами, позволяющими впоследствии обеспечить их связывание с данными других государственных органов и организаций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основе, по мере необходимости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технологий, заинтересованные департаменты Минфина России</w:t>
            </w:r>
          </w:p>
        </w:tc>
      </w:tr>
      <w:tr w:rsidR="00FB583F" w:rsidRPr="003C3719" w:rsidTr="004E5CEC">
        <w:trPr>
          <w:trHeight w:val="633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целях обеспечения возможности связывания </w:t>
            </w:r>
            <w:proofErr w:type="gramStart"/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наборов</w:t>
            </w:r>
            <w:proofErr w:type="gramEnd"/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открытых данных, опубликованных на официальном сайте Минфина России, с данными других владельцев осуществляется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дополнение структуры наборов открытых данных 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справочник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классификатор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(ОКАТО, ОКЕИ, данные ЕГРЮЛ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 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актуальных версий опубликованных наборов открытых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так и публикации новых наборов открытых данных.</w:t>
            </w:r>
          </w:p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583F" w:rsidRPr="003C3719" w:rsidTr="004E5CEC">
        <w:trPr>
          <w:trHeight w:val="633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.5.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Расширение дополнительного описания наборов открытых данных в целях повышения понятности и методологической корректности их использования в проектах и продуктах (минимально – указание номера набора в Реестре открытых данных на странице размещения его паспорта; расширение </w:t>
            </w:r>
            <w:proofErr w:type="spellStart"/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метаописания</w:t>
            </w:r>
            <w:proofErr w:type="spellEnd"/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наборов указанием на нормативные правовые акты, регламентирующие порядок формирования сведений, на основе которых формируются соответствующие наборы открытых данных)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удобства представления и информативности страниц паспортов наборов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основе, по мере необходимости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технологий,</w:t>
            </w:r>
          </w:p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заинтересованные департаменты Минфина России</w:t>
            </w:r>
          </w:p>
        </w:tc>
      </w:tr>
      <w:tr w:rsidR="00FB583F" w:rsidRPr="003C3719" w:rsidTr="004E5CEC">
        <w:trPr>
          <w:trHeight w:val="633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Получаемая от ответственных структурных подразделений дополнительная информация добавлена в описание всех актуальных наборов открытых данных.</w:t>
            </w:r>
          </w:p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583F" w:rsidRPr="003C3719" w:rsidTr="004E5CEC">
        <w:trPr>
          <w:trHeight w:val="633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.6.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Включение в технические задания на разработку информационных систем Минфина России, а также на доработку существующих информационных систем требований об обеспечении возможности автоматической выгрузки информации в форме открытых данных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Обеспечивается своевременное и качественное размещение наборов открытых данных, формируемых в информационных системах Минфина России, на официальном сайте 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основе, по мере подготовки технических заданий на создание (развитие) информационных систем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FB583F" w:rsidRPr="003C3719" w:rsidTr="004E5CEC">
        <w:trPr>
          <w:trHeight w:val="633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261F7C" w:rsidRDefault="00261F7C" w:rsidP="005C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2022 году в рамках запуска новой версии официального сайта Минфина России осуществлялись следующие мероприятия по доработке информационных систем  в части открытых данных:</w:t>
            </w:r>
            <w:r w:rsidR="00215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15B23" w:rsidRPr="00215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 анализ наборов данных на предмет ошибок и соответствию форматам, реализовано автоматизированное формирование, обновление и поддержание в актуальном состоянии страниц сайта паспортов открытых данных на основе мета информации самих наборов данных, реорганизовано хранение файлов наборов данных, реализован модуль визуализации наборов данных на базе официального сайта Минфина России с использованием ядра </w:t>
            </w:r>
            <w:proofErr w:type="spellStart"/>
            <w:r w:rsidR="00215B23" w:rsidRPr="00215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MF.Core</w:t>
            </w:r>
            <w:proofErr w:type="spellEnd"/>
            <w:r w:rsidR="00215B23" w:rsidRPr="00215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отказ от визуализации наборов данных смежной системой СКАД.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FB583F" w:rsidRPr="003C3719" w:rsidTr="004E5CEC">
        <w:trPr>
          <w:trHeight w:val="999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I.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визуализации наборов открытых данных, опубликованных на официальном сайте Минфина России, в иных форматах (диаграммы, графики, картографическая основа)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Опубликованные на официальном сайте Минфина России наборы открытых данных представлены в более наглядных формах для широкого круга пользователей 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5A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202</w:t>
            </w:r>
            <w:r w:rsidR="005A0A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далее по мере необходимости.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FB583F" w:rsidRPr="003C3719" w:rsidTr="004E5CEC">
        <w:trPr>
          <w:trHeight w:val="999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3C3719" w:rsidRDefault="00F96B4A" w:rsidP="00F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FB5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FB5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наборов открытых данных  реализован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FB5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официальном сайте Минфина России </w:t>
            </w:r>
            <w:r w:rsidR="00686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разделе «Открытые данные»</w:t>
            </w:r>
            <w:r w:rsidR="00FB5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hyperlink r:id="rId9" w:history="1">
              <w:r w:rsidR="00FB583F" w:rsidRPr="003C3719">
                <w:rPr>
                  <w:rStyle w:val="af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https://minfin.gov.ru/opendata/</w:t>
              </w:r>
            </w:hyperlink>
            <w:r w:rsidR="00FB5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686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Кроме того, </w:t>
            </w:r>
            <w:r w:rsidR="006866B5" w:rsidRPr="0026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рамках запуска новой версии официального сайта Минфина России</w:t>
            </w:r>
            <w:r w:rsidR="00686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866B5" w:rsidRPr="00686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реализованы следующие новые информационные «</w:t>
            </w:r>
            <w:proofErr w:type="spellStart"/>
            <w:r w:rsidR="006866B5" w:rsidRPr="00686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виджеты</w:t>
            </w:r>
            <w:proofErr w:type="spellEnd"/>
            <w:r w:rsidR="006866B5" w:rsidRPr="00686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»: «Размер фонда национального благосостояния», «Размер государственного внутреннего долга», «Размер государственного внешнего долга», «Консолидированные бюджеты субъектов РФ», «Исполнение федерального бюджета по налогам», Интерактивная карта «Государственный долг регионов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формируемые на основе открытых данных Минфина России в иных разделах сайта</w:t>
            </w:r>
            <w:r w:rsidR="006866B5" w:rsidRPr="006866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B583F" w:rsidRPr="003C3719" w:rsidTr="004E5CEC">
        <w:trPr>
          <w:trHeight w:val="999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.8.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Исправление технических ошибок в размещенных на официальном сайте Минфина России  наборах открытых данных в случае их обнаружения в исходной версии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официальном сайте Минфина России размещены корректные наборы открытых данных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FB583F" w:rsidRPr="003C3719" w:rsidTr="004E5CEC">
        <w:trPr>
          <w:trHeight w:val="999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3C3719" w:rsidRDefault="00FB583F" w:rsidP="005C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 протяжении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26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 проводился мониторинг технических ошибок в размещенных на официальном сайте Минфина России наборах открытых данных, все обнаруженные ошибки были оперативно устранены.</w:t>
            </w:r>
          </w:p>
        </w:tc>
      </w:tr>
      <w:tr w:rsidR="00FB583F" w:rsidRPr="003C3719" w:rsidTr="004E5CEC">
        <w:trPr>
          <w:trHeight w:val="1901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.9.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представляемых сведений о деятельности Минфина России к публикации в форме открытых данных, в том числе, перевод в необходимый формат, структурирование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Информация, владельцем которой является Минфин России, подлежащая размещению в форме открытых данных, вне зависимости от ее первоначального вида корректно переводится в формат открытых данных и соответствует требованиям </w:t>
            </w:r>
            <w:proofErr w:type="spellStart"/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машиночитаемости</w:t>
            </w:r>
            <w:proofErr w:type="spellEnd"/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FB583F" w:rsidRPr="003C3719" w:rsidTr="004E5CEC">
        <w:trPr>
          <w:trHeight w:val="1237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 сотрудником Департамента информационных технологий проводится предварительный анализ поступающих заявок от ответственных Департаментов на публикацию наборов открытых данных (актуализация существующих или размещение новых наборов) в части методологической корректности конвертации данных, содержащихся в исходном файле, в машиночитаемый формат.</w:t>
            </w:r>
          </w:p>
        </w:tc>
      </w:tr>
      <w:tr w:rsidR="00FB583F" w:rsidRPr="003C3719" w:rsidTr="004E5CEC">
        <w:trPr>
          <w:trHeight w:val="1901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.10.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585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сообщениями, поступающими</w:t>
            </w:r>
            <w:r w:rsidR="00585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«Обратной связи» в разделе «Открытые данные» официального сайта Минфина России о качестве размещенных наборов открытых данных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Обрабатываются поступающие сообщения о выявленных недочетах в размещенных наборах открытых данных, выявленные недочеты устраняются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FB583F" w:rsidRPr="00DE4292" w:rsidTr="004E5CEC">
        <w:trPr>
          <w:trHeight w:val="1073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6F19F2" w:rsidRDefault="00FB583F" w:rsidP="00585892">
            <w:pPr>
              <w:shd w:val="clear" w:color="auto" w:fill="FFFFFF"/>
              <w:spacing w:after="0" w:line="312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8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период с 1 января 202</w:t>
            </w:r>
            <w:r w:rsidR="005C1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5B08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п</w:t>
            </w:r>
            <w:r w:rsidR="006F1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31 декабря 202</w:t>
            </w:r>
            <w:r w:rsidR="005C16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F19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</w:t>
            </w:r>
            <w:r w:rsidR="00585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обращений </w:t>
            </w:r>
            <w:r w:rsidRPr="005B08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качестве размещенных на официальном сайте Минфина России наборов открытых данных не </w:t>
            </w:r>
            <w:r w:rsidR="00585892" w:rsidRPr="005B08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поступал</w:t>
            </w:r>
            <w:r w:rsidR="00585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B08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hyperlink r:id="rId10" w:history="1"/>
          </w:p>
        </w:tc>
      </w:tr>
      <w:tr w:rsidR="00FB583F" w:rsidRPr="003C3719" w:rsidTr="004E5CEC">
        <w:trPr>
          <w:trHeight w:val="70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.11.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05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опроса об оценке качества опубликованных наборов открытых данных Минфина России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05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Проведена оценка качества опубликованных наборов открытых данных Минфина России заинтересованными пользователями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Ежегодно, </w:t>
            </w:r>
          </w:p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6F19F2" w:rsidRPr="003C3719" w:rsidTr="003127F2">
        <w:trPr>
          <w:trHeight w:val="70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6F19F2" w:rsidRPr="003C3719" w:rsidRDefault="006F19F2" w:rsidP="007C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B5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 об оценке качества опубликованных наборов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открытых данных Минфина России был проведен с 1</w:t>
            </w:r>
            <w:r w:rsidR="00570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70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ноября 2022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года по </w:t>
            </w:r>
            <w:r w:rsidR="00570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декаб</w:t>
            </w:r>
            <w:r w:rsidR="00B8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570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года, результаты размещены</w:t>
            </w:r>
            <w:r w:rsidR="00570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адресу</w:t>
            </w:r>
            <w:r w:rsidR="007C7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" w:history="1">
              <w:r w:rsidR="007C78C4" w:rsidRPr="003B745C">
                <w:rPr>
                  <w:rStyle w:val="af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https://minfin.gov.ru/ru/votes/archive_votes/opendata_qual_2022/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B583F" w:rsidRPr="003C3719" w:rsidTr="004E5CEC">
        <w:trPr>
          <w:trHeight w:val="563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II. Раскрытие дополнительных сведений в форме открытых данных </w:t>
            </w:r>
          </w:p>
        </w:tc>
      </w:tr>
      <w:tr w:rsidR="00FB583F" w:rsidRPr="003C3719" w:rsidTr="004E5CEC">
        <w:trPr>
          <w:trHeight w:val="690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B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8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Публикация на официальном сайте Минфина России дополнительных сведений в форме открытых данных в соответствии с поступающими запросами/ проведенными опросами о востребованности информации Минфина России.</w:t>
            </w:r>
          </w:p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Обеспечено раскрытие дополнительных ведений в соответствии с поступающими запросами от заинтересованных сторон и по итогам самостоятельного выявления подлежащих или возможных к раскрытию сведений 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основе, по мере рассмотрения соответствующих запросов/по отдельному плану при наличии</w:t>
            </w:r>
          </w:p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заинтересованные департаменты</w:t>
            </w:r>
          </w:p>
        </w:tc>
      </w:tr>
      <w:tr w:rsidR="00FB583F" w:rsidRPr="003F5BC7" w:rsidTr="004E5CEC">
        <w:trPr>
          <w:trHeight w:val="690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A13A21" w:rsidRDefault="006F5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13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</w:t>
            </w:r>
            <w:r w:rsidR="000B6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A13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 был проведен опрос о востребованности информации Минфина России (опрос размещен по ссылке</w:t>
            </w:r>
            <w:r w:rsidR="000B6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2" w:history="1">
              <w:r w:rsidR="003C1BF5" w:rsidRPr="00181E92">
                <w:rPr>
                  <w:rStyle w:val="af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https://minfin.gov.ru/ru/votes/archive_votes/form_2022/</w:t>
              </w:r>
            </w:hyperlink>
            <w:r w:rsidR="003C1B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 По итогам данного о</w:t>
            </w:r>
            <w:r w:rsidR="001D4F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проса </w:t>
            </w:r>
            <w:r w:rsidR="000B6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предложений </w:t>
            </w:r>
            <w:r w:rsidR="00A13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раскрытию дополнительной информации не </w:t>
            </w:r>
            <w:r w:rsidR="000B61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поступало</w:t>
            </w:r>
            <w:r w:rsidR="00A13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FB583F" w:rsidRPr="003F5BC7" w:rsidRDefault="007F4A26" w:rsidP="007F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B583F" w:rsidRPr="003C3719" w:rsidTr="004E5CEC">
        <w:trPr>
          <w:trHeight w:val="690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III. Развитие организационных механизмов работы с открытыми данными в Минфине России и находящихся в его ведении федеральных службах и подведомственных организациях </w:t>
            </w:r>
          </w:p>
        </w:tc>
      </w:tr>
      <w:tr w:rsidR="00FB583F" w:rsidRPr="003F5BC7" w:rsidTr="004E5CEC">
        <w:trPr>
          <w:trHeight w:val="114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B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8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Подготовка, утверждение, размещение на</w:t>
            </w:r>
            <w:r w:rsidRPr="003C3719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официальном сайте Минфина России и поддержание в актуальном состоянии Плана по реализации мероприятий области открытых данных, с учетом двухлетнего горизонта планирования.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Утвержденный План по реализации мероприятий в области открытых данных размещен на официальном сайте Минфина России и 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поддерживается в актуальном состоянии.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3C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Ноябрь 202</w:t>
            </w:r>
            <w:r w:rsidR="003C1B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внесение изменений – по мере необходимости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544EF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технологий,</w:t>
            </w:r>
          </w:p>
          <w:p w:rsidR="00FB583F" w:rsidRPr="003F5BC7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44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заинтересованные департаменты</w:t>
            </w:r>
          </w:p>
        </w:tc>
      </w:tr>
      <w:tr w:rsidR="00FB583F" w:rsidRPr="003F5BC7" w:rsidTr="004E5CEC">
        <w:trPr>
          <w:trHeight w:val="114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E16CFA" w:rsidRDefault="00FB583F" w:rsidP="00B8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16CF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План Министерства финансов Российской Федерации по реализации мероприятий в области открытых данных в 202</w:t>
            </w:r>
            <w:r w:rsidR="00B85547" w:rsidRPr="00E16CF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3</w:t>
            </w:r>
            <w:r w:rsidRPr="00E16CF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-202</w:t>
            </w:r>
            <w:r w:rsidR="00B85547" w:rsidRPr="00E16CF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4</w:t>
            </w:r>
            <w:r w:rsidRPr="00E16CF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годах размещен по ссылке </w:t>
            </w:r>
            <w:hyperlink r:id="rId13" w:history="1">
              <w:r w:rsidRPr="00E16CFA">
                <w:rPr>
                  <w:rStyle w:val="af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https://minfin.gov.ru/ru/opendata/work/events/</w:t>
              </w:r>
            </w:hyperlink>
            <w:r w:rsidRPr="00E16CF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FB583F" w:rsidRPr="003C3719" w:rsidTr="004E5CEC">
        <w:trPr>
          <w:trHeight w:val="114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B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III</w:t>
            </w:r>
            <w:r w:rsidRPr="003C37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B855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3C37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запросов на раскрытие данных в подведомственные Минфина России федеральные службы по запросам потребителей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Обеспечено раскрытие подведомственными федеральными службами востребованных потребителями сведений в форме открытых данных для создания общественно полезных проектов  продуктов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получения запросов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технологий,</w:t>
            </w:r>
          </w:p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заинтересованные департаменты</w:t>
            </w:r>
          </w:p>
        </w:tc>
      </w:tr>
      <w:tr w:rsidR="00FB583F" w:rsidRPr="003F5BC7" w:rsidTr="004E5CEC">
        <w:trPr>
          <w:trHeight w:val="114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7F4A26" w:rsidRDefault="00E77C6C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состоянию на 31 декабря </w:t>
            </w:r>
            <w:r w:rsidR="00FB583F" w:rsidRPr="007F4A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B855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B583F" w:rsidRPr="007F4A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года </w:t>
            </w:r>
            <w:r w:rsidR="00FB583F" w:rsidRPr="007F4A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запросы от потребителей </w:t>
            </w:r>
            <w:r w:rsidR="00FB583F" w:rsidRPr="003C1B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поступали.</w:t>
            </w:r>
          </w:p>
          <w:p w:rsidR="00FB583F" w:rsidRPr="007F4A26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583F" w:rsidRPr="003C3719" w:rsidTr="004E5CEC">
        <w:trPr>
          <w:trHeight w:val="721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IV</w:t>
            </w:r>
            <w:r w:rsidRPr="003C37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Повышение востребованности информации и открытых данных Минфина России и информации об открытых данных Минфина России</w:t>
            </w:r>
          </w:p>
        </w:tc>
      </w:tr>
      <w:tr w:rsidR="00FB583F" w:rsidRPr="003C3719" w:rsidTr="004E5CEC">
        <w:trPr>
          <w:trHeight w:val="539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и распространение материалов об открытых данных Минфина России и о работе Минфина России по популяризации открытых финансовых данных для публикации в СМИ и на других информационных площадках (по согласованию с </w:t>
            </w:r>
            <w:r w:rsidR="00352E84" w:rsidRPr="00352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Департаментом информационно-аналитической деятельности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Материалы по открытым данным Минфина России и о работе Минфина России по популяризации открытых финансовых данных размещены на публичных информационных ресурсах (страницы социальных сетей, по согласованию с </w:t>
            </w:r>
            <w:r w:rsidR="00352E84" w:rsidRPr="00352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Департаментом информационно-аналитической деятельности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FB583F" w:rsidRPr="003C3719" w:rsidRDefault="00352E84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</w:t>
            </w:r>
            <w:r w:rsidRPr="00352E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информационно-аналитической деятельности</w:t>
            </w:r>
            <w:r w:rsidR="00FB583F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заинтересованные департаменты</w:t>
            </w:r>
          </w:p>
        </w:tc>
      </w:tr>
      <w:tr w:rsidR="00FB583F" w:rsidRPr="00544EF9" w:rsidTr="004E5CEC">
        <w:trPr>
          <w:trHeight w:val="539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E2567F" w:rsidRDefault="00E2567F" w:rsidP="004E5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Информация об открытых данных в разделе «Пресс-центр» </w:t>
            </w:r>
            <w:r w:rsidRPr="004E5C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официального сайта Минфина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2022 году не размещалась.</w:t>
            </w:r>
          </w:p>
          <w:p w:rsidR="00FB583F" w:rsidRPr="00544EF9" w:rsidRDefault="00FB583F" w:rsidP="003C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E5C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целях повышения востребованности заинтересованными сторонами открытых данных Минфином России на официальном сайте Минфина России был проведен опрос об оценке качества опубликованных наборов</w:t>
            </w:r>
            <w:r w:rsidR="003C1B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открытых данных Минфина России</w:t>
            </w:r>
            <w:r w:rsidRPr="004E5C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4E5CEC" w:rsidRPr="004E5C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 проведения опроса с 15 ноября 202</w:t>
            </w:r>
            <w:r w:rsidR="003C1B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4E5CEC" w:rsidRPr="004E5C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по </w:t>
            </w:r>
            <w:r w:rsidR="003C1B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4E5CEC" w:rsidRPr="004E5C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</w:t>
            </w:r>
            <w:r w:rsidR="003C1B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4E5CEC" w:rsidRPr="004E5C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года.</w:t>
            </w:r>
          </w:p>
        </w:tc>
      </w:tr>
      <w:tr w:rsidR="00FB583F" w:rsidRPr="003C3719" w:rsidTr="004E5CEC">
        <w:trPr>
          <w:trHeight w:val="690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IV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E2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пресс-релизов о публикации новых наборов открытых данных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E2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Обеспечено размещение пресс-релизов о публикации новых наборов открытых данных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E2567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6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информационно-аналитической деятельности</w:t>
            </w:r>
            <w:r w:rsidR="00FB583F"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Департамент информационных технологий, </w:t>
            </w:r>
          </w:p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заинтересованные департаменты </w:t>
            </w:r>
          </w:p>
        </w:tc>
      </w:tr>
      <w:tr w:rsidR="00FB583F" w:rsidRPr="00544EF9" w:rsidTr="004E5CEC">
        <w:trPr>
          <w:trHeight w:val="690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E2567F" w:rsidRDefault="00E2567F" w:rsidP="004E5C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Новые наборы открытых данных в 2022 году не размещались.</w:t>
            </w:r>
          </w:p>
          <w:p w:rsidR="00FB583F" w:rsidRPr="00544EF9" w:rsidRDefault="00FB583F" w:rsidP="004E5C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B583F" w:rsidRPr="003C3719" w:rsidTr="004E5CEC">
        <w:trPr>
          <w:trHeight w:val="690"/>
        </w:trPr>
        <w:tc>
          <w:tcPr>
            <w:tcW w:w="1488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публикации наборов открытых данных Минфина России на иных сайтах (сайтах третьих сторон), включая единый портал бюджетной системы Российской Федерации, портал открытых данных Российской Федерации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Повышена доступность открытых данных Минфина России за счет их публикации на сторонних информационных площадках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FB583F" w:rsidRPr="003C3719" w:rsidRDefault="00FB583F" w:rsidP="00FB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информационных технологий</w:t>
            </w:r>
          </w:p>
        </w:tc>
      </w:tr>
      <w:tr w:rsidR="00FB583F" w:rsidRPr="00A51C20" w:rsidTr="004E5CEC">
        <w:trPr>
          <w:trHeight w:val="690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FB583F" w:rsidRPr="003C3719" w:rsidRDefault="00FB583F" w:rsidP="003C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наборов открытых данных, размещенных в 202</w:t>
            </w:r>
            <w:r w:rsidR="00AE39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 на едином портале бюджетной системы Российской Федерации: </w:t>
            </w:r>
            <w:r w:rsidR="003C1B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C3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hyperlink r:id="rId14" w:history="1">
              <w:r w:rsidR="00AE3965" w:rsidRPr="00AE3965">
                <w:rPr>
                  <w:rStyle w:val="af"/>
                  <w:rFonts w:ascii="Times New Roman" w:hAnsi="Times New Roman" w:cs="Times New Roman"/>
                  <w:sz w:val="26"/>
                  <w:szCs w:val="26"/>
                </w:rPr>
                <w:t>http://budget.gov.ru/Открытые-данные?_adf.ctrl-state=xac6tsm6o_78&amp;regionId=45</w:t>
              </w:r>
            </w:hyperlink>
            <w:r w:rsidR="00AE3965">
              <w:t xml:space="preserve"> </w:t>
            </w:r>
          </w:p>
        </w:tc>
      </w:tr>
    </w:tbl>
    <w:p w:rsidR="00423451" w:rsidRPr="004C2060" w:rsidRDefault="00423451" w:rsidP="0052350A">
      <w:pPr>
        <w:rPr>
          <w:sz w:val="28"/>
          <w:szCs w:val="28"/>
        </w:rPr>
      </w:pPr>
    </w:p>
    <w:sectPr w:rsidR="00423451" w:rsidRPr="004C2060" w:rsidSect="00691546">
      <w:headerReference w:type="default" r:id="rId15"/>
      <w:pgSz w:w="16838" w:h="11906" w:orient="landscape"/>
      <w:pgMar w:top="567" w:right="1134" w:bottom="709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FA" w:rsidRDefault="00724BFA" w:rsidP="008D2A47">
      <w:pPr>
        <w:spacing w:after="0" w:line="240" w:lineRule="auto"/>
      </w:pPr>
      <w:r>
        <w:separator/>
      </w:r>
    </w:p>
  </w:endnote>
  <w:endnote w:type="continuationSeparator" w:id="0">
    <w:p w:rsidR="00724BFA" w:rsidRDefault="00724BFA" w:rsidP="008D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FA" w:rsidRDefault="00724BFA" w:rsidP="008D2A47">
      <w:pPr>
        <w:spacing w:after="0" w:line="240" w:lineRule="auto"/>
      </w:pPr>
      <w:r>
        <w:separator/>
      </w:r>
    </w:p>
  </w:footnote>
  <w:footnote w:type="continuationSeparator" w:id="0">
    <w:p w:rsidR="00724BFA" w:rsidRDefault="00724BFA" w:rsidP="008D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1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27E6" w:rsidRPr="008D2A47" w:rsidRDefault="00A627E6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A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A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A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58A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D2A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27E6" w:rsidRDefault="00A627E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10AB"/>
    <w:multiLevelType w:val="hybridMultilevel"/>
    <w:tmpl w:val="D7542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C99"/>
    <w:multiLevelType w:val="hybridMultilevel"/>
    <w:tmpl w:val="9A8C99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6587"/>
    <w:multiLevelType w:val="hybridMultilevel"/>
    <w:tmpl w:val="16ECB286"/>
    <w:lvl w:ilvl="0" w:tplc="9AF88D5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80FEF2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557D0"/>
    <w:multiLevelType w:val="hybridMultilevel"/>
    <w:tmpl w:val="D8220AE8"/>
    <w:lvl w:ilvl="0" w:tplc="5442D468">
      <w:start w:val="1"/>
      <w:numFmt w:val="upperRoman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C0C26"/>
    <w:multiLevelType w:val="hybridMultilevel"/>
    <w:tmpl w:val="304A0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841BF"/>
    <w:multiLevelType w:val="hybridMultilevel"/>
    <w:tmpl w:val="0D96A474"/>
    <w:lvl w:ilvl="0" w:tplc="5442D468">
      <w:start w:val="1"/>
      <w:numFmt w:val="upperRoman"/>
      <w:lvlText w:val="%1.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F5"/>
    <w:rsid w:val="00000FF4"/>
    <w:rsid w:val="000012C2"/>
    <w:rsid w:val="00007A71"/>
    <w:rsid w:val="00012A71"/>
    <w:rsid w:val="00013B60"/>
    <w:rsid w:val="000171BC"/>
    <w:rsid w:val="00017F07"/>
    <w:rsid w:val="00023D27"/>
    <w:rsid w:val="00027284"/>
    <w:rsid w:val="00027497"/>
    <w:rsid w:val="00030B39"/>
    <w:rsid w:val="000314A7"/>
    <w:rsid w:val="00032BA3"/>
    <w:rsid w:val="00032DBC"/>
    <w:rsid w:val="00033D4B"/>
    <w:rsid w:val="000340F4"/>
    <w:rsid w:val="000345A0"/>
    <w:rsid w:val="00040D7C"/>
    <w:rsid w:val="00044BD4"/>
    <w:rsid w:val="000511CC"/>
    <w:rsid w:val="00054233"/>
    <w:rsid w:val="00067C4E"/>
    <w:rsid w:val="00067FC6"/>
    <w:rsid w:val="000705D4"/>
    <w:rsid w:val="00071BD4"/>
    <w:rsid w:val="00072130"/>
    <w:rsid w:val="00085EE4"/>
    <w:rsid w:val="00087F6F"/>
    <w:rsid w:val="0009124A"/>
    <w:rsid w:val="000941C7"/>
    <w:rsid w:val="00094B59"/>
    <w:rsid w:val="00097DE7"/>
    <w:rsid w:val="000A4AB0"/>
    <w:rsid w:val="000B2ABC"/>
    <w:rsid w:val="000B4364"/>
    <w:rsid w:val="000B6189"/>
    <w:rsid w:val="000B71B7"/>
    <w:rsid w:val="000C0EDD"/>
    <w:rsid w:val="000C3B13"/>
    <w:rsid w:val="000E02C6"/>
    <w:rsid w:val="000E045E"/>
    <w:rsid w:val="000E519D"/>
    <w:rsid w:val="000F658B"/>
    <w:rsid w:val="000F737C"/>
    <w:rsid w:val="000F7737"/>
    <w:rsid w:val="0010344F"/>
    <w:rsid w:val="00112689"/>
    <w:rsid w:val="00114041"/>
    <w:rsid w:val="001148B8"/>
    <w:rsid w:val="00117A66"/>
    <w:rsid w:val="00123760"/>
    <w:rsid w:val="001305D5"/>
    <w:rsid w:val="00142FDE"/>
    <w:rsid w:val="00145A38"/>
    <w:rsid w:val="001464B8"/>
    <w:rsid w:val="00147EBC"/>
    <w:rsid w:val="001504EE"/>
    <w:rsid w:val="00161147"/>
    <w:rsid w:val="001616EA"/>
    <w:rsid w:val="00163439"/>
    <w:rsid w:val="00173A4F"/>
    <w:rsid w:val="00195403"/>
    <w:rsid w:val="00196CAE"/>
    <w:rsid w:val="001978D7"/>
    <w:rsid w:val="001B408A"/>
    <w:rsid w:val="001C0AD9"/>
    <w:rsid w:val="001C6AE3"/>
    <w:rsid w:val="001D2EE5"/>
    <w:rsid w:val="001D3F0F"/>
    <w:rsid w:val="001D4FAC"/>
    <w:rsid w:val="001D7225"/>
    <w:rsid w:val="001E0163"/>
    <w:rsid w:val="001E0FDA"/>
    <w:rsid w:val="001E329D"/>
    <w:rsid w:val="001E7109"/>
    <w:rsid w:val="001E7371"/>
    <w:rsid w:val="001F6545"/>
    <w:rsid w:val="001F6682"/>
    <w:rsid w:val="001F78A6"/>
    <w:rsid w:val="00200EC0"/>
    <w:rsid w:val="00206997"/>
    <w:rsid w:val="0021051C"/>
    <w:rsid w:val="00211796"/>
    <w:rsid w:val="00215B23"/>
    <w:rsid w:val="0022191E"/>
    <w:rsid w:val="00230C46"/>
    <w:rsid w:val="00233D9B"/>
    <w:rsid w:val="002368C3"/>
    <w:rsid w:val="0024069F"/>
    <w:rsid w:val="00241D53"/>
    <w:rsid w:val="0024639A"/>
    <w:rsid w:val="002509D1"/>
    <w:rsid w:val="00251E64"/>
    <w:rsid w:val="0025460E"/>
    <w:rsid w:val="00257EE0"/>
    <w:rsid w:val="00261F7C"/>
    <w:rsid w:val="002649D7"/>
    <w:rsid w:val="00265AD8"/>
    <w:rsid w:val="0027511B"/>
    <w:rsid w:val="002763E6"/>
    <w:rsid w:val="002769B1"/>
    <w:rsid w:val="00277BB8"/>
    <w:rsid w:val="002804B3"/>
    <w:rsid w:val="0028185E"/>
    <w:rsid w:val="002835D1"/>
    <w:rsid w:val="00283878"/>
    <w:rsid w:val="002841B4"/>
    <w:rsid w:val="00287AD0"/>
    <w:rsid w:val="002A09FA"/>
    <w:rsid w:val="002A750B"/>
    <w:rsid w:val="002B15B9"/>
    <w:rsid w:val="002B3E47"/>
    <w:rsid w:val="002B3EEB"/>
    <w:rsid w:val="002C0D03"/>
    <w:rsid w:val="002C7346"/>
    <w:rsid w:val="002D0EBC"/>
    <w:rsid w:val="002D197A"/>
    <w:rsid w:val="002D2630"/>
    <w:rsid w:val="002D6D53"/>
    <w:rsid w:val="002E0B86"/>
    <w:rsid w:val="002F1FE3"/>
    <w:rsid w:val="002F5CA5"/>
    <w:rsid w:val="002F616E"/>
    <w:rsid w:val="0030661B"/>
    <w:rsid w:val="0031323D"/>
    <w:rsid w:val="0031651E"/>
    <w:rsid w:val="00316F8C"/>
    <w:rsid w:val="003209C7"/>
    <w:rsid w:val="0032389F"/>
    <w:rsid w:val="00326C57"/>
    <w:rsid w:val="00327B8A"/>
    <w:rsid w:val="003374BC"/>
    <w:rsid w:val="00350E60"/>
    <w:rsid w:val="00352E84"/>
    <w:rsid w:val="00357803"/>
    <w:rsid w:val="0036136C"/>
    <w:rsid w:val="0037099C"/>
    <w:rsid w:val="00371769"/>
    <w:rsid w:val="00371C99"/>
    <w:rsid w:val="00381708"/>
    <w:rsid w:val="003863BA"/>
    <w:rsid w:val="00387F62"/>
    <w:rsid w:val="003916EA"/>
    <w:rsid w:val="003948C5"/>
    <w:rsid w:val="00396650"/>
    <w:rsid w:val="00397A32"/>
    <w:rsid w:val="003A3E83"/>
    <w:rsid w:val="003A4DD4"/>
    <w:rsid w:val="003B162F"/>
    <w:rsid w:val="003B1C4E"/>
    <w:rsid w:val="003B2B9A"/>
    <w:rsid w:val="003B3ED5"/>
    <w:rsid w:val="003C1BF5"/>
    <w:rsid w:val="003C2FC8"/>
    <w:rsid w:val="003C3719"/>
    <w:rsid w:val="003D10E1"/>
    <w:rsid w:val="003D14E0"/>
    <w:rsid w:val="003D4D40"/>
    <w:rsid w:val="003D5A29"/>
    <w:rsid w:val="003E6EB6"/>
    <w:rsid w:val="003F11B8"/>
    <w:rsid w:val="003F2141"/>
    <w:rsid w:val="003F244F"/>
    <w:rsid w:val="003F4910"/>
    <w:rsid w:val="003F5BC7"/>
    <w:rsid w:val="00413A85"/>
    <w:rsid w:val="00415E40"/>
    <w:rsid w:val="00415F17"/>
    <w:rsid w:val="00416994"/>
    <w:rsid w:val="00423451"/>
    <w:rsid w:val="0042685C"/>
    <w:rsid w:val="004279E0"/>
    <w:rsid w:val="0043073D"/>
    <w:rsid w:val="00434FEE"/>
    <w:rsid w:val="00442343"/>
    <w:rsid w:val="004426DF"/>
    <w:rsid w:val="00442FA8"/>
    <w:rsid w:val="0044722C"/>
    <w:rsid w:val="00451B22"/>
    <w:rsid w:val="00452EC4"/>
    <w:rsid w:val="00461FA8"/>
    <w:rsid w:val="00463F5B"/>
    <w:rsid w:val="00467DB6"/>
    <w:rsid w:val="00474C86"/>
    <w:rsid w:val="00480ED5"/>
    <w:rsid w:val="0048609B"/>
    <w:rsid w:val="00491736"/>
    <w:rsid w:val="00495012"/>
    <w:rsid w:val="00495CCC"/>
    <w:rsid w:val="004969C0"/>
    <w:rsid w:val="004A5879"/>
    <w:rsid w:val="004A58D2"/>
    <w:rsid w:val="004A5FD4"/>
    <w:rsid w:val="004B0BC5"/>
    <w:rsid w:val="004B18FF"/>
    <w:rsid w:val="004B4EF7"/>
    <w:rsid w:val="004C17E3"/>
    <w:rsid w:val="004C2060"/>
    <w:rsid w:val="004D0C59"/>
    <w:rsid w:val="004D152A"/>
    <w:rsid w:val="004D272B"/>
    <w:rsid w:val="004D6954"/>
    <w:rsid w:val="004D7347"/>
    <w:rsid w:val="004E57DA"/>
    <w:rsid w:val="004E5CEC"/>
    <w:rsid w:val="004E7226"/>
    <w:rsid w:val="004F1AF0"/>
    <w:rsid w:val="004F6458"/>
    <w:rsid w:val="004F71A5"/>
    <w:rsid w:val="0051320E"/>
    <w:rsid w:val="00514C9A"/>
    <w:rsid w:val="0052016D"/>
    <w:rsid w:val="0052350A"/>
    <w:rsid w:val="00532F09"/>
    <w:rsid w:val="00535069"/>
    <w:rsid w:val="0053658F"/>
    <w:rsid w:val="00540A32"/>
    <w:rsid w:val="00544EF9"/>
    <w:rsid w:val="00545066"/>
    <w:rsid w:val="00553DD7"/>
    <w:rsid w:val="00556659"/>
    <w:rsid w:val="00565133"/>
    <w:rsid w:val="00570DC1"/>
    <w:rsid w:val="00574775"/>
    <w:rsid w:val="00575FD3"/>
    <w:rsid w:val="00576DF0"/>
    <w:rsid w:val="005772EF"/>
    <w:rsid w:val="005857DE"/>
    <w:rsid w:val="00585892"/>
    <w:rsid w:val="00587C1C"/>
    <w:rsid w:val="00591D3A"/>
    <w:rsid w:val="0059450C"/>
    <w:rsid w:val="005974E7"/>
    <w:rsid w:val="005A065D"/>
    <w:rsid w:val="005A0AAE"/>
    <w:rsid w:val="005A16A0"/>
    <w:rsid w:val="005A7ED7"/>
    <w:rsid w:val="005B0837"/>
    <w:rsid w:val="005B3BCB"/>
    <w:rsid w:val="005B7C4C"/>
    <w:rsid w:val="005C0D52"/>
    <w:rsid w:val="005C1630"/>
    <w:rsid w:val="005C284E"/>
    <w:rsid w:val="005C60DC"/>
    <w:rsid w:val="005C72BC"/>
    <w:rsid w:val="005D5650"/>
    <w:rsid w:val="005D77F2"/>
    <w:rsid w:val="005E1B08"/>
    <w:rsid w:val="005E3F3D"/>
    <w:rsid w:val="005F3FEE"/>
    <w:rsid w:val="005F5E03"/>
    <w:rsid w:val="00604DE9"/>
    <w:rsid w:val="006078B0"/>
    <w:rsid w:val="00613933"/>
    <w:rsid w:val="0061463E"/>
    <w:rsid w:val="006176EF"/>
    <w:rsid w:val="00617BF9"/>
    <w:rsid w:val="00623AA3"/>
    <w:rsid w:val="00624A90"/>
    <w:rsid w:val="00627439"/>
    <w:rsid w:val="00632F28"/>
    <w:rsid w:val="00633D9A"/>
    <w:rsid w:val="006356E9"/>
    <w:rsid w:val="006403BC"/>
    <w:rsid w:val="00640CA5"/>
    <w:rsid w:val="0065371D"/>
    <w:rsid w:val="00653CCD"/>
    <w:rsid w:val="00662A07"/>
    <w:rsid w:val="00667FDB"/>
    <w:rsid w:val="006706BA"/>
    <w:rsid w:val="00672498"/>
    <w:rsid w:val="00672F5D"/>
    <w:rsid w:val="006750F4"/>
    <w:rsid w:val="00684DA1"/>
    <w:rsid w:val="006866B5"/>
    <w:rsid w:val="00691546"/>
    <w:rsid w:val="0069321A"/>
    <w:rsid w:val="00695C5D"/>
    <w:rsid w:val="006A0527"/>
    <w:rsid w:val="006A1E19"/>
    <w:rsid w:val="006A37BF"/>
    <w:rsid w:val="006A447B"/>
    <w:rsid w:val="006A5BFC"/>
    <w:rsid w:val="006A69CA"/>
    <w:rsid w:val="006A7577"/>
    <w:rsid w:val="006A7AA2"/>
    <w:rsid w:val="006C0C10"/>
    <w:rsid w:val="006C1F17"/>
    <w:rsid w:val="006C4D22"/>
    <w:rsid w:val="006E145F"/>
    <w:rsid w:val="006E2B6D"/>
    <w:rsid w:val="006E6ED4"/>
    <w:rsid w:val="006F19F2"/>
    <w:rsid w:val="006F5E7C"/>
    <w:rsid w:val="006F6013"/>
    <w:rsid w:val="00701419"/>
    <w:rsid w:val="00710F51"/>
    <w:rsid w:val="007126F6"/>
    <w:rsid w:val="00724BFA"/>
    <w:rsid w:val="00725357"/>
    <w:rsid w:val="00727F30"/>
    <w:rsid w:val="00741DF1"/>
    <w:rsid w:val="0075593A"/>
    <w:rsid w:val="00761AEC"/>
    <w:rsid w:val="00764052"/>
    <w:rsid w:val="007658AF"/>
    <w:rsid w:val="00765EB1"/>
    <w:rsid w:val="007733E2"/>
    <w:rsid w:val="00773FCD"/>
    <w:rsid w:val="0078312C"/>
    <w:rsid w:val="0078375C"/>
    <w:rsid w:val="00783AF3"/>
    <w:rsid w:val="00783ED8"/>
    <w:rsid w:val="00786CFC"/>
    <w:rsid w:val="00790EB6"/>
    <w:rsid w:val="007954E8"/>
    <w:rsid w:val="00797139"/>
    <w:rsid w:val="007A223E"/>
    <w:rsid w:val="007A253D"/>
    <w:rsid w:val="007A43B0"/>
    <w:rsid w:val="007A4988"/>
    <w:rsid w:val="007A6392"/>
    <w:rsid w:val="007A6ED3"/>
    <w:rsid w:val="007B018E"/>
    <w:rsid w:val="007B23E9"/>
    <w:rsid w:val="007B51F6"/>
    <w:rsid w:val="007C1D60"/>
    <w:rsid w:val="007C78C4"/>
    <w:rsid w:val="007D2D39"/>
    <w:rsid w:val="007D3E8F"/>
    <w:rsid w:val="007D6302"/>
    <w:rsid w:val="007D749F"/>
    <w:rsid w:val="007D795C"/>
    <w:rsid w:val="007E1698"/>
    <w:rsid w:val="007E26DC"/>
    <w:rsid w:val="007E36B2"/>
    <w:rsid w:val="007F23B6"/>
    <w:rsid w:val="007F25B6"/>
    <w:rsid w:val="007F316A"/>
    <w:rsid w:val="007F41AE"/>
    <w:rsid w:val="007F4A26"/>
    <w:rsid w:val="007F588A"/>
    <w:rsid w:val="007F70F3"/>
    <w:rsid w:val="007F7255"/>
    <w:rsid w:val="00811C35"/>
    <w:rsid w:val="00817F15"/>
    <w:rsid w:val="0082113E"/>
    <w:rsid w:val="00824ADA"/>
    <w:rsid w:val="008253E3"/>
    <w:rsid w:val="00825AEC"/>
    <w:rsid w:val="0082735A"/>
    <w:rsid w:val="008277D5"/>
    <w:rsid w:val="00836D1C"/>
    <w:rsid w:val="00836EE7"/>
    <w:rsid w:val="00843F7D"/>
    <w:rsid w:val="0084417F"/>
    <w:rsid w:val="00846E02"/>
    <w:rsid w:val="008510E9"/>
    <w:rsid w:val="00853645"/>
    <w:rsid w:val="00860EA8"/>
    <w:rsid w:val="0086585A"/>
    <w:rsid w:val="00872537"/>
    <w:rsid w:val="00872F6F"/>
    <w:rsid w:val="00873CEF"/>
    <w:rsid w:val="00875C78"/>
    <w:rsid w:val="00877BA9"/>
    <w:rsid w:val="00880763"/>
    <w:rsid w:val="00880836"/>
    <w:rsid w:val="00882F02"/>
    <w:rsid w:val="00894329"/>
    <w:rsid w:val="0089675C"/>
    <w:rsid w:val="00896F48"/>
    <w:rsid w:val="008A5FF7"/>
    <w:rsid w:val="008B19B2"/>
    <w:rsid w:val="008B1E79"/>
    <w:rsid w:val="008B2CF2"/>
    <w:rsid w:val="008B3B2D"/>
    <w:rsid w:val="008B4449"/>
    <w:rsid w:val="008C0AD8"/>
    <w:rsid w:val="008C3952"/>
    <w:rsid w:val="008C73AB"/>
    <w:rsid w:val="008D2A47"/>
    <w:rsid w:val="008D76FD"/>
    <w:rsid w:val="008D7C90"/>
    <w:rsid w:val="008E07F9"/>
    <w:rsid w:val="008E239F"/>
    <w:rsid w:val="008E4879"/>
    <w:rsid w:val="008E7E30"/>
    <w:rsid w:val="008F1435"/>
    <w:rsid w:val="00900FC9"/>
    <w:rsid w:val="0090346A"/>
    <w:rsid w:val="009035DF"/>
    <w:rsid w:val="00904B49"/>
    <w:rsid w:val="00905501"/>
    <w:rsid w:val="00907D81"/>
    <w:rsid w:val="00910B2F"/>
    <w:rsid w:val="009208D7"/>
    <w:rsid w:val="00922A04"/>
    <w:rsid w:val="00923C5F"/>
    <w:rsid w:val="00923FB2"/>
    <w:rsid w:val="00924ABC"/>
    <w:rsid w:val="0093389B"/>
    <w:rsid w:val="00936098"/>
    <w:rsid w:val="009401D2"/>
    <w:rsid w:val="009412D7"/>
    <w:rsid w:val="009430C5"/>
    <w:rsid w:val="009436DB"/>
    <w:rsid w:val="0094420C"/>
    <w:rsid w:val="00944A16"/>
    <w:rsid w:val="00944EFC"/>
    <w:rsid w:val="009528F9"/>
    <w:rsid w:val="00953240"/>
    <w:rsid w:val="00956042"/>
    <w:rsid w:val="009654CF"/>
    <w:rsid w:val="0097159F"/>
    <w:rsid w:val="00971663"/>
    <w:rsid w:val="00975103"/>
    <w:rsid w:val="0097739D"/>
    <w:rsid w:val="009847F7"/>
    <w:rsid w:val="00985382"/>
    <w:rsid w:val="009909E3"/>
    <w:rsid w:val="009944E5"/>
    <w:rsid w:val="009A38E7"/>
    <w:rsid w:val="009A4A4A"/>
    <w:rsid w:val="009A5031"/>
    <w:rsid w:val="009A5766"/>
    <w:rsid w:val="009A6358"/>
    <w:rsid w:val="009A7D7E"/>
    <w:rsid w:val="009B0579"/>
    <w:rsid w:val="009B21AD"/>
    <w:rsid w:val="009C3261"/>
    <w:rsid w:val="009C4BBA"/>
    <w:rsid w:val="009C5275"/>
    <w:rsid w:val="009C5335"/>
    <w:rsid w:val="009D409B"/>
    <w:rsid w:val="009D59E0"/>
    <w:rsid w:val="009D7CE4"/>
    <w:rsid w:val="009E0DF5"/>
    <w:rsid w:val="009F2ACC"/>
    <w:rsid w:val="009F39F4"/>
    <w:rsid w:val="009F5F38"/>
    <w:rsid w:val="00A01DA4"/>
    <w:rsid w:val="00A11B0C"/>
    <w:rsid w:val="00A13A21"/>
    <w:rsid w:val="00A13AFC"/>
    <w:rsid w:val="00A13EE1"/>
    <w:rsid w:val="00A13F6A"/>
    <w:rsid w:val="00A15BC0"/>
    <w:rsid w:val="00A20330"/>
    <w:rsid w:val="00A205EC"/>
    <w:rsid w:val="00A20F7F"/>
    <w:rsid w:val="00A24937"/>
    <w:rsid w:val="00A25C98"/>
    <w:rsid w:val="00A329D6"/>
    <w:rsid w:val="00A3687B"/>
    <w:rsid w:val="00A41786"/>
    <w:rsid w:val="00A418E9"/>
    <w:rsid w:val="00A429A1"/>
    <w:rsid w:val="00A45E67"/>
    <w:rsid w:val="00A51C20"/>
    <w:rsid w:val="00A573BB"/>
    <w:rsid w:val="00A574AC"/>
    <w:rsid w:val="00A57FD2"/>
    <w:rsid w:val="00A61B63"/>
    <w:rsid w:val="00A621D8"/>
    <w:rsid w:val="00A627E6"/>
    <w:rsid w:val="00A64D1D"/>
    <w:rsid w:val="00A65EB9"/>
    <w:rsid w:val="00A67C96"/>
    <w:rsid w:val="00A76C42"/>
    <w:rsid w:val="00A801F5"/>
    <w:rsid w:val="00A82BCB"/>
    <w:rsid w:val="00A85A9D"/>
    <w:rsid w:val="00A9269F"/>
    <w:rsid w:val="00AA07F1"/>
    <w:rsid w:val="00AB0AF3"/>
    <w:rsid w:val="00AB3AEE"/>
    <w:rsid w:val="00AB54E1"/>
    <w:rsid w:val="00AC5473"/>
    <w:rsid w:val="00AC5F2D"/>
    <w:rsid w:val="00AD3677"/>
    <w:rsid w:val="00AD529E"/>
    <w:rsid w:val="00AE13BD"/>
    <w:rsid w:val="00AE24DD"/>
    <w:rsid w:val="00AE3965"/>
    <w:rsid w:val="00AE51F6"/>
    <w:rsid w:val="00AE7C60"/>
    <w:rsid w:val="00AF1CB5"/>
    <w:rsid w:val="00B02717"/>
    <w:rsid w:val="00B040C3"/>
    <w:rsid w:val="00B060ED"/>
    <w:rsid w:val="00B06FC8"/>
    <w:rsid w:val="00B12639"/>
    <w:rsid w:val="00B17DF5"/>
    <w:rsid w:val="00B216E8"/>
    <w:rsid w:val="00B21CF0"/>
    <w:rsid w:val="00B31166"/>
    <w:rsid w:val="00B312F0"/>
    <w:rsid w:val="00B34FDE"/>
    <w:rsid w:val="00B427C3"/>
    <w:rsid w:val="00B45815"/>
    <w:rsid w:val="00B47610"/>
    <w:rsid w:val="00B50CFE"/>
    <w:rsid w:val="00B52EB3"/>
    <w:rsid w:val="00B65E1D"/>
    <w:rsid w:val="00B7324E"/>
    <w:rsid w:val="00B85547"/>
    <w:rsid w:val="00B87309"/>
    <w:rsid w:val="00B96F92"/>
    <w:rsid w:val="00BA467C"/>
    <w:rsid w:val="00BB6A74"/>
    <w:rsid w:val="00BC2BC3"/>
    <w:rsid w:val="00BC6D70"/>
    <w:rsid w:val="00BD0092"/>
    <w:rsid w:val="00BD06EA"/>
    <w:rsid w:val="00BD392D"/>
    <w:rsid w:val="00BE12CC"/>
    <w:rsid w:val="00BE3638"/>
    <w:rsid w:val="00BF1000"/>
    <w:rsid w:val="00BF36BA"/>
    <w:rsid w:val="00BF44CF"/>
    <w:rsid w:val="00C00B2C"/>
    <w:rsid w:val="00C03B91"/>
    <w:rsid w:val="00C05C30"/>
    <w:rsid w:val="00C21074"/>
    <w:rsid w:val="00C21A51"/>
    <w:rsid w:val="00C222FC"/>
    <w:rsid w:val="00C22D59"/>
    <w:rsid w:val="00C23715"/>
    <w:rsid w:val="00C426D8"/>
    <w:rsid w:val="00C53778"/>
    <w:rsid w:val="00C57195"/>
    <w:rsid w:val="00C574A3"/>
    <w:rsid w:val="00C61998"/>
    <w:rsid w:val="00C625C8"/>
    <w:rsid w:val="00C6642B"/>
    <w:rsid w:val="00C718E8"/>
    <w:rsid w:val="00C77E83"/>
    <w:rsid w:val="00C81542"/>
    <w:rsid w:val="00C909BD"/>
    <w:rsid w:val="00CA1672"/>
    <w:rsid w:val="00CA1763"/>
    <w:rsid w:val="00CA4557"/>
    <w:rsid w:val="00CA6A11"/>
    <w:rsid w:val="00CB36F6"/>
    <w:rsid w:val="00CC05EF"/>
    <w:rsid w:val="00CC3DFA"/>
    <w:rsid w:val="00CD7456"/>
    <w:rsid w:val="00CE176D"/>
    <w:rsid w:val="00CE3CAC"/>
    <w:rsid w:val="00CE7BAE"/>
    <w:rsid w:val="00CF0E75"/>
    <w:rsid w:val="00D00D9E"/>
    <w:rsid w:val="00D048EB"/>
    <w:rsid w:val="00D22AAD"/>
    <w:rsid w:val="00D25133"/>
    <w:rsid w:val="00D25A0D"/>
    <w:rsid w:val="00D27F69"/>
    <w:rsid w:val="00D30FA6"/>
    <w:rsid w:val="00D3133B"/>
    <w:rsid w:val="00D314D0"/>
    <w:rsid w:val="00D31B37"/>
    <w:rsid w:val="00D32280"/>
    <w:rsid w:val="00D36F86"/>
    <w:rsid w:val="00D41002"/>
    <w:rsid w:val="00D41B34"/>
    <w:rsid w:val="00D427A0"/>
    <w:rsid w:val="00D42FB2"/>
    <w:rsid w:val="00D45C58"/>
    <w:rsid w:val="00D50E92"/>
    <w:rsid w:val="00D52F71"/>
    <w:rsid w:val="00D563AB"/>
    <w:rsid w:val="00D607CB"/>
    <w:rsid w:val="00D64AE8"/>
    <w:rsid w:val="00D66162"/>
    <w:rsid w:val="00D70B7D"/>
    <w:rsid w:val="00D84E6A"/>
    <w:rsid w:val="00D8615B"/>
    <w:rsid w:val="00D86273"/>
    <w:rsid w:val="00D87ECB"/>
    <w:rsid w:val="00DA2CA6"/>
    <w:rsid w:val="00DA4128"/>
    <w:rsid w:val="00DB0C0A"/>
    <w:rsid w:val="00DB125F"/>
    <w:rsid w:val="00DC72B6"/>
    <w:rsid w:val="00DD71DD"/>
    <w:rsid w:val="00DE1430"/>
    <w:rsid w:val="00DE1561"/>
    <w:rsid w:val="00DE3254"/>
    <w:rsid w:val="00DE4292"/>
    <w:rsid w:val="00DE72F0"/>
    <w:rsid w:val="00DF25C3"/>
    <w:rsid w:val="00DF370B"/>
    <w:rsid w:val="00E0025A"/>
    <w:rsid w:val="00E066CC"/>
    <w:rsid w:val="00E075FD"/>
    <w:rsid w:val="00E101B0"/>
    <w:rsid w:val="00E10F36"/>
    <w:rsid w:val="00E16CFA"/>
    <w:rsid w:val="00E178A4"/>
    <w:rsid w:val="00E2567F"/>
    <w:rsid w:val="00E303E0"/>
    <w:rsid w:val="00E354B2"/>
    <w:rsid w:val="00E365D6"/>
    <w:rsid w:val="00E420AA"/>
    <w:rsid w:val="00E427E1"/>
    <w:rsid w:val="00E50719"/>
    <w:rsid w:val="00E52C90"/>
    <w:rsid w:val="00E5382B"/>
    <w:rsid w:val="00E62C42"/>
    <w:rsid w:val="00E648A8"/>
    <w:rsid w:val="00E66BEB"/>
    <w:rsid w:val="00E70975"/>
    <w:rsid w:val="00E717B7"/>
    <w:rsid w:val="00E728FB"/>
    <w:rsid w:val="00E72B30"/>
    <w:rsid w:val="00E7685C"/>
    <w:rsid w:val="00E77C6C"/>
    <w:rsid w:val="00E803D4"/>
    <w:rsid w:val="00E835B9"/>
    <w:rsid w:val="00E86C57"/>
    <w:rsid w:val="00E97A73"/>
    <w:rsid w:val="00EA088E"/>
    <w:rsid w:val="00EA1EA7"/>
    <w:rsid w:val="00EA4F50"/>
    <w:rsid w:val="00EB3448"/>
    <w:rsid w:val="00EB3E77"/>
    <w:rsid w:val="00EB5877"/>
    <w:rsid w:val="00EC7044"/>
    <w:rsid w:val="00ED0863"/>
    <w:rsid w:val="00ED2157"/>
    <w:rsid w:val="00ED5888"/>
    <w:rsid w:val="00EE08F8"/>
    <w:rsid w:val="00EE4267"/>
    <w:rsid w:val="00EE57F4"/>
    <w:rsid w:val="00EE5B83"/>
    <w:rsid w:val="00EF1094"/>
    <w:rsid w:val="00EF2E0D"/>
    <w:rsid w:val="00EF373E"/>
    <w:rsid w:val="00EF4E7F"/>
    <w:rsid w:val="00F06FDB"/>
    <w:rsid w:val="00F163AB"/>
    <w:rsid w:val="00F17447"/>
    <w:rsid w:val="00F21CDF"/>
    <w:rsid w:val="00F22ED4"/>
    <w:rsid w:val="00F23C97"/>
    <w:rsid w:val="00F249CA"/>
    <w:rsid w:val="00F33B7C"/>
    <w:rsid w:val="00F36CA0"/>
    <w:rsid w:val="00F5358C"/>
    <w:rsid w:val="00F54BE8"/>
    <w:rsid w:val="00F54EA6"/>
    <w:rsid w:val="00F570EB"/>
    <w:rsid w:val="00F60D9E"/>
    <w:rsid w:val="00F67046"/>
    <w:rsid w:val="00F700B4"/>
    <w:rsid w:val="00F73143"/>
    <w:rsid w:val="00F73B7A"/>
    <w:rsid w:val="00F74CA4"/>
    <w:rsid w:val="00F76B0F"/>
    <w:rsid w:val="00F771F7"/>
    <w:rsid w:val="00F81D47"/>
    <w:rsid w:val="00F8316A"/>
    <w:rsid w:val="00F84C99"/>
    <w:rsid w:val="00F85548"/>
    <w:rsid w:val="00F8663A"/>
    <w:rsid w:val="00F8756E"/>
    <w:rsid w:val="00F878EB"/>
    <w:rsid w:val="00F9626C"/>
    <w:rsid w:val="00F96B4A"/>
    <w:rsid w:val="00FB1D68"/>
    <w:rsid w:val="00FB4B90"/>
    <w:rsid w:val="00FB583F"/>
    <w:rsid w:val="00FB673A"/>
    <w:rsid w:val="00FC6350"/>
    <w:rsid w:val="00FD1E5D"/>
    <w:rsid w:val="00FD40A5"/>
    <w:rsid w:val="00FF385A"/>
    <w:rsid w:val="00FF45FC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F700C-3B3B-4094-9453-B73B3C6E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065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A06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A06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06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06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65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D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2A47"/>
  </w:style>
  <w:style w:type="paragraph" w:styleId="ad">
    <w:name w:val="footer"/>
    <w:basedOn w:val="a"/>
    <w:link w:val="ae"/>
    <w:uiPriority w:val="99"/>
    <w:unhideWhenUsed/>
    <w:rsid w:val="008D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2A47"/>
  </w:style>
  <w:style w:type="character" w:styleId="af">
    <w:name w:val="Hyperlink"/>
    <w:basedOn w:val="a0"/>
    <w:uiPriority w:val="99"/>
    <w:unhideWhenUsed/>
    <w:rsid w:val="00F54EA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73C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1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Style13">
    <w:name w:val="Char Style 13"/>
    <w:basedOn w:val="a0"/>
    <w:link w:val="Style12"/>
    <w:uiPriority w:val="99"/>
    <w:locked/>
    <w:rsid w:val="00691546"/>
    <w:rPr>
      <w:rFonts w:cs="Times New Roman"/>
      <w:b/>
      <w:bCs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691546"/>
    <w:pPr>
      <w:widowControl w:val="0"/>
      <w:shd w:val="clear" w:color="auto" w:fill="FFFFFF"/>
      <w:spacing w:after="780" w:line="324" w:lineRule="exact"/>
      <w:jc w:val="center"/>
    </w:pPr>
    <w:rPr>
      <w:rFonts w:cs="Times New Roman"/>
      <w:b/>
      <w:bCs/>
    </w:rPr>
  </w:style>
  <w:style w:type="paragraph" w:styleId="af1">
    <w:name w:val="Revision"/>
    <w:hidden/>
    <w:uiPriority w:val="99"/>
    <w:semiHidden/>
    <w:rsid w:val="00386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opendata" TargetMode="External"/><Relationship Id="rId13" Type="http://schemas.openxmlformats.org/officeDocument/2006/relationships/hyperlink" Target="https://minfin.gov.ru/ru/opendata/work/ev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fin.gov.ru/ru/votes/archive_votes/form_202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fin.gov.ru/ru/votes/archive_votes/opendata_qual_202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0200\Documents\&#1054;&#1090;%20&#1048;&#1088;&#1099;%20&#1056;&#1072;&#1094;&#1080;&#1085;&#1086;&#1081;\&#1054;&#1090;&#1082;&#1088;&#1099;&#1090;&#1099;&#1077;%20&#1076;&#1072;&#1085;&#1085;&#1099;&#1077;%202019\&#1087;&#1083;&#1072;&#1085;&#1099;%20&#1052;&#1080;&#1085;&#1092;&#1080;&#1085;&#1072;%20&#1087;&#1086;%20&#1088;&#1077;&#1072;&#1083;&#1080;&#1079;&#1072;&#1094;&#1080;&#1080;%20&#1084;&#1077;&#1088;&#1086;&#1087;&#1088;&#1080;&#1103;&#1090;&#1080;&#1081;%20&#1074;%20&#1086;&#1073;&#1083;&#1072;&#1089;&#1090;&#1080;%20&#1086;&#1090;&#1082;&#1088;&#1099;&#1090;&#1099;&#1093;%20&#1076;&#1072;&#1085;&#1085;&#1099;&#1093;\&#1047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fin.gov.ru/opendata/" TargetMode="External"/><Relationship Id="rId14" Type="http://schemas.openxmlformats.org/officeDocument/2006/relationships/hyperlink" Target="http://budget.gov.ru/&#1054;&#1090;&#1082;&#1088;&#1099;&#1090;&#1099;&#1077;-&#1076;&#1072;&#1085;&#1085;&#1099;&#1077;?_adf.ctrl-state=xac6tsm6o_78&amp;regionId=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7E66-3C69-44D6-8288-4AB0E433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Черникова Елена Александровна</dc:creator>
  <cp:lastModifiedBy>Лахина Ольга Андреевна</cp:lastModifiedBy>
  <cp:revision>7</cp:revision>
  <cp:lastPrinted>2021-01-11T14:55:00Z</cp:lastPrinted>
  <dcterms:created xsi:type="dcterms:W3CDTF">2023-01-19T16:19:00Z</dcterms:created>
  <dcterms:modified xsi:type="dcterms:W3CDTF">2023-01-20T08:44:00Z</dcterms:modified>
</cp:coreProperties>
</file>