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C63338" w:rsidRPr="00FB0708" w:rsidRDefault="00C63338" w:rsidP="00936B14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>Министерство финансов Российской Федерации сообщает</w:t>
      </w:r>
      <w:r w:rsidRPr="00C63338">
        <w:rPr>
          <w:rFonts w:eastAsia="Times New Roman"/>
          <w:sz w:val="28"/>
          <w:szCs w:val="20"/>
          <w:lang w:eastAsia="ru-RU"/>
        </w:rPr>
        <w:t xml:space="preserve"> об издании приказа Министерства финансов Российской Федерации </w:t>
      </w:r>
      <w:r w:rsidR="000B1599">
        <w:rPr>
          <w:rFonts w:eastAsia="Times New Roman"/>
          <w:sz w:val="28"/>
          <w:szCs w:val="20"/>
          <w:lang w:eastAsia="ru-RU"/>
        </w:rPr>
        <w:t xml:space="preserve">от </w:t>
      </w:r>
      <w:r w:rsidR="00494F80">
        <w:rPr>
          <w:rFonts w:eastAsia="Times New Roman"/>
          <w:sz w:val="28"/>
          <w:szCs w:val="20"/>
          <w:lang w:eastAsia="ru-RU"/>
        </w:rPr>
        <w:t>27</w:t>
      </w:r>
      <w:r w:rsidR="000B1599">
        <w:rPr>
          <w:rFonts w:eastAsia="Times New Roman"/>
          <w:sz w:val="28"/>
          <w:szCs w:val="20"/>
          <w:lang w:eastAsia="ru-RU"/>
        </w:rPr>
        <w:t xml:space="preserve"> </w:t>
      </w:r>
      <w:r w:rsidR="00494F80">
        <w:rPr>
          <w:rFonts w:eastAsia="Times New Roman"/>
          <w:sz w:val="28"/>
          <w:szCs w:val="20"/>
          <w:lang w:eastAsia="ru-RU"/>
        </w:rPr>
        <w:t>дека</w:t>
      </w:r>
      <w:r w:rsidR="00A23380">
        <w:rPr>
          <w:rFonts w:eastAsia="Times New Roman"/>
          <w:sz w:val="28"/>
          <w:szCs w:val="20"/>
          <w:lang w:eastAsia="ru-RU"/>
        </w:rPr>
        <w:t>бря</w:t>
      </w:r>
      <w:r w:rsidR="000B1599">
        <w:rPr>
          <w:rFonts w:eastAsia="Times New Roman"/>
          <w:sz w:val="28"/>
          <w:szCs w:val="20"/>
          <w:lang w:eastAsia="ru-RU"/>
        </w:rPr>
        <w:t xml:space="preserve"> 2022</w:t>
      </w:r>
      <w:r w:rsidR="000B1599" w:rsidRPr="004E4D29">
        <w:rPr>
          <w:rFonts w:eastAsia="Times New Roman"/>
          <w:sz w:val="28"/>
          <w:szCs w:val="20"/>
          <w:lang w:eastAsia="ru-RU"/>
        </w:rPr>
        <w:t xml:space="preserve"> г</w:t>
      </w:r>
      <w:r w:rsidR="000B1599">
        <w:rPr>
          <w:rFonts w:eastAsia="Times New Roman"/>
          <w:sz w:val="28"/>
          <w:szCs w:val="20"/>
          <w:lang w:eastAsia="ru-RU"/>
        </w:rPr>
        <w:t xml:space="preserve">. № </w:t>
      </w:r>
      <w:r w:rsidR="00A23380">
        <w:rPr>
          <w:rFonts w:eastAsia="Times New Roman"/>
          <w:sz w:val="28"/>
          <w:szCs w:val="20"/>
          <w:lang w:eastAsia="ru-RU"/>
        </w:rPr>
        <w:t>1</w:t>
      </w:r>
      <w:r w:rsidR="00494F80">
        <w:rPr>
          <w:rFonts w:eastAsia="Times New Roman"/>
          <w:sz w:val="28"/>
          <w:szCs w:val="20"/>
          <w:lang w:eastAsia="ru-RU"/>
        </w:rPr>
        <w:t>96</w:t>
      </w:r>
      <w:r w:rsidR="000B1599">
        <w:rPr>
          <w:rFonts w:eastAsia="Times New Roman"/>
          <w:sz w:val="28"/>
          <w:szCs w:val="20"/>
          <w:lang w:eastAsia="ru-RU"/>
        </w:rPr>
        <w:t xml:space="preserve">н                                 </w:t>
      </w:r>
      <w:r w:rsidR="003D6191">
        <w:rPr>
          <w:rStyle w:val="CharStyle7"/>
          <w:sz w:val="28"/>
        </w:rPr>
        <w:t>"</w:t>
      </w:r>
      <w:r w:rsidR="00494F80" w:rsidRPr="000374E2">
        <w:rPr>
          <w:color w:val="000000"/>
          <w:sz w:val="28"/>
        </w:rPr>
        <w:t xml:space="preserve">О внесении изменений в </w:t>
      </w:r>
      <w:r w:rsidR="00494F80">
        <w:rPr>
          <w:color w:val="000000"/>
          <w:sz w:val="28"/>
        </w:rPr>
        <w:t>коды</w:t>
      </w:r>
      <w:r w:rsidR="00494F80" w:rsidRPr="000374E2">
        <w:rPr>
          <w:color w:val="000000"/>
          <w:sz w:val="28"/>
        </w:rPr>
        <w:t xml:space="preserve"> (перечн</w:t>
      </w:r>
      <w:r w:rsidR="00494F80">
        <w:rPr>
          <w:color w:val="000000"/>
          <w:sz w:val="28"/>
        </w:rPr>
        <w:t>и</w:t>
      </w:r>
      <w:r w:rsidR="00494F80" w:rsidRPr="000374E2">
        <w:rPr>
          <w:color w:val="000000"/>
          <w:sz w:val="28"/>
        </w:rPr>
        <w:t xml:space="preserve"> кодов) бюджетной классификации Р</w:t>
      </w:r>
      <w:r w:rsidR="00494F80">
        <w:rPr>
          <w:color w:val="000000"/>
          <w:sz w:val="28"/>
        </w:rPr>
        <w:t xml:space="preserve">оссийской Федерации на 2022 год </w:t>
      </w:r>
      <w:r w:rsidR="00494F80" w:rsidRPr="000374E2">
        <w:rPr>
          <w:color w:val="000000"/>
          <w:sz w:val="28"/>
        </w:rPr>
        <w:t>(на 2022 год и на пла</w:t>
      </w:r>
      <w:r w:rsidR="00494F80">
        <w:rPr>
          <w:color w:val="000000"/>
          <w:sz w:val="28"/>
        </w:rPr>
        <w:t xml:space="preserve">новый период 2023 и 2024 годов), утвержденные приказом Министерства финансов Российской Федерации </w:t>
      </w:r>
      <w:r w:rsidR="00567A5D">
        <w:rPr>
          <w:color w:val="000000"/>
          <w:sz w:val="28"/>
        </w:rPr>
        <w:t xml:space="preserve">                   </w:t>
      </w:r>
      <w:bookmarkStart w:id="0" w:name="_GoBack"/>
      <w:bookmarkEnd w:id="0"/>
      <w:r w:rsidR="00494F80">
        <w:rPr>
          <w:color w:val="000000"/>
          <w:sz w:val="28"/>
        </w:rPr>
        <w:t>от 8 июня 2021 г. № 75н</w:t>
      </w:r>
      <w:r w:rsidR="00A23380">
        <w:rPr>
          <w:color w:val="000000"/>
          <w:sz w:val="28"/>
        </w:rPr>
        <w:t>"</w:t>
      </w:r>
      <w:r w:rsidRPr="00C63338">
        <w:rPr>
          <w:rFonts w:eastAsia="Times New Roman"/>
          <w:sz w:val="28"/>
          <w:lang w:eastAsia="ru-RU"/>
        </w:rPr>
        <w:t>*</w:t>
      </w:r>
      <w:r w:rsidRPr="00C63338">
        <w:rPr>
          <w:rFonts w:eastAsia="Times New Roman"/>
          <w:color w:val="FFFFFF"/>
          <w:sz w:val="28"/>
          <w:vertAlign w:val="superscript"/>
          <w:lang w:eastAsia="ru-RU"/>
        </w:rPr>
        <w:footnoteReference w:id="1"/>
      </w:r>
      <w:r w:rsidRPr="00C63338">
        <w:rPr>
          <w:rFonts w:eastAsia="Times New Roman"/>
          <w:sz w:val="28"/>
          <w:lang w:eastAsia="ru-RU"/>
        </w:rPr>
        <w:t xml:space="preserve">(далее - Приказ № </w:t>
      </w:r>
      <w:r w:rsidR="00A23380">
        <w:rPr>
          <w:rFonts w:eastAsia="Times New Roman"/>
          <w:sz w:val="28"/>
          <w:lang w:eastAsia="ru-RU"/>
        </w:rPr>
        <w:t>1</w:t>
      </w:r>
      <w:r w:rsidR="00494F80">
        <w:rPr>
          <w:rFonts w:eastAsia="Times New Roman"/>
          <w:sz w:val="28"/>
          <w:lang w:eastAsia="ru-RU"/>
        </w:rPr>
        <w:t>96</w:t>
      </w:r>
      <w:r w:rsidR="007D33AF">
        <w:rPr>
          <w:rFonts w:eastAsia="Times New Roman"/>
          <w:sz w:val="28"/>
          <w:lang w:eastAsia="ru-RU"/>
        </w:rPr>
        <w:t>н</w:t>
      </w:r>
      <w:r w:rsidRPr="00C63338">
        <w:rPr>
          <w:rFonts w:eastAsia="Times New Roman"/>
          <w:sz w:val="28"/>
          <w:lang w:eastAsia="ru-RU"/>
        </w:rPr>
        <w:t>)</w:t>
      </w:r>
      <w:r w:rsidR="00936B14">
        <w:rPr>
          <w:rFonts w:eastAsia="Times New Roman"/>
          <w:sz w:val="28"/>
          <w:lang w:eastAsia="ru-RU"/>
        </w:rPr>
        <w:t>.</w:t>
      </w:r>
    </w:p>
    <w:p w:rsidR="00EA0057" w:rsidRDefault="00C63338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A23380">
        <w:rPr>
          <w:rFonts w:eastAsia="Times New Roman"/>
          <w:sz w:val="28"/>
          <w:lang w:eastAsia="ru-RU"/>
        </w:rPr>
        <w:t>1</w:t>
      </w:r>
      <w:r w:rsidR="00494F80">
        <w:rPr>
          <w:rFonts w:eastAsia="Times New Roman"/>
          <w:sz w:val="28"/>
          <w:lang w:eastAsia="ru-RU"/>
        </w:rPr>
        <w:t>96</w:t>
      </w:r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 w:rsidR="00E753E1"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 w:rsidR="00E753E1"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265DCE" w:rsidRPr="00C63338">
        <w:rPr>
          <w:rFonts w:eastAsia="Times New Roman"/>
          <w:sz w:val="28"/>
          <w:lang w:eastAsia="ru-RU"/>
        </w:rPr>
        <w:t>(</w:t>
      </w:r>
      <w:proofErr w:type="spellStart"/>
      <w:r w:rsidR="00265DCE" w:rsidRPr="00C63338">
        <w:rPr>
          <w:rFonts w:eastAsia="Times New Roman"/>
          <w:sz w:val="28"/>
          <w:lang w:eastAsia="ru-RU"/>
        </w:rPr>
        <w:t>http</w:t>
      </w:r>
      <w:proofErr w:type="spellEnd"/>
      <w:r w:rsidR="00265DCE">
        <w:rPr>
          <w:rFonts w:eastAsia="Times New Roman"/>
          <w:sz w:val="28"/>
          <w:lang w:val="en-US" w:eastAsia="ru-RU"/>
        </w:rPr>
        <w:t>s</w:t>
      </w:r>
      <w:r w:rsidR="00265DCE">
        <w:rPr>
          <w:rFonts w:eastAsia="Times New Roman"/>
          <w:sz w:val="28"/>
          <w:lang w:eastAsia="ru-RU"/>
        </w:rPr>
        <w:t>://</w:t>
      </w:r>
      <w:proofErr w:type="spellStart"/>
      <w:r w:rsidR="00265DCE" w:rsidRPr="00C63338">
        <w:rPr>
          <w:rFonts w:eastAsia="Times New Roman"/>
          <w:sz w:val="28"/>
          <w:lang w:eastAsia="ru-RU"/>
        </w:rPr>
        <w:t>minfin</w:t>
      </w:r>
      <w:proofErr w:type="spellEnd"/>
      <w:r w:rsidR="00265DCE" w:rsidRPr="00C63338">
        <w:rPr>
          <w:rFonts w:eastAsia="Times New Roman"/>
          <w:sz w:val="28"/>
          <w:lang w:eastAsia="ru-RU"/>
        </w:rPr>
        <w:t>.</w:t>
      </w:r>
      <w:proofErr w:type="spellStart"/>
      <w:r w:rsidR="00265DCE" w:rsidRPr="00C63338">
        <w:rPr>
          <w:rFonts w:eastAsia="Times New Roman"/>
          <w:sz w:val="28"/>
          <w:lang w:val="en-US" w:eastAsia="ru-RU"/>
        </w:rPr>
        <w:t>gov</w:t>
      </w:r>
      <w:proofErr w:type="spellEnd"/>
      <w:r w:rsidR="00265DCE">
        <w:rPr>
          <w:rFonts w:eastAsia="Times New Roman"/>
          <w:sz w:val="28"/>
          <w:lang w:eastAsia="ru-RU"/>
        </w:rPr>
        <w:t>.</w:t>
      </w:r>
      <w:proofErr w:type="spellStart"/>
      <w:r w:rsidR="00265DCE">
        <w:rPr>
          <w:rFonts w:eastAsia="Times New Roman"/>
          <w:sz w:val="28"/>
          <w:lang w:eastAsia="ru-RU"/>
        </w:rPr>
        <w:t>ru</w:t>
      </w:r>
      <w:proofErr w:type="spellEnd"/>
      <w:r w:rsidR="00265DCE">
        <w:rPr>
          <w:rFonts w:eastAsia="Times New Roman"/>
          <w:sz w:val="28"/>
          <w:lang w:eastAsia="ru-RU"/>
        </w:rPr>
        <w:t>/)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CC0719"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 w:rsidR="00EA0057"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        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FE22BC" w:rsidRPr="00EA0057" w:rsidRDefault="00CE5EBA" w:rsidP="00EA0057">
      <w:pPr>
        <w:spacing w:before="0" w:after="0"/>
        <w:ind w:firstLine="709"/>
        <w:contextualSpacing w:val="0"/>
        <w:jc w:val="right"/>
        <w:rPr>
          <w:rFonts w:eastAsia="Calibri"/>
          <w:sz w:val="28"/>
        </w:rPr>
      </w:pPr>
      <w:r>
        <w:rPr>
          <w:sz w:val="28"/>
        </w:rPr>
        <w:t>А</w:t>
      </w:r>
      <w:r w:rsidR="00A86970">
        <w:rPr>
          <w:sz w:val="28"/>
        </w:rPr>
        <w:t>.</w:t>
      </w:r>
      <w:r>
        <w:rPr>
          <w:sz w:val="28"/>
        </w:rPr>
        <w:t>М</w:t>
      </w:r>
      <w:r w:rsidR="00F57BF5">
        <w:rPr>
          <w:sz w:val="28"/>
        </w:rPr>
        <w:t xml:space="preserve">. </w:t>
      </w:r>
      <w:r>
        <w:rPr>
          <w:sz w:val="28"/>
        </w:rPr>
        <w:t>Лавров</w:t>
      </w:r>
    </w:p>
    <w:sectPr w:rsidR="00FE22BC" w:rsidRPr="00EA0057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E4" w:rsidRDefault="005837E4" w:rsidP="00041E4A">
      <w:pPr>
        <w:spacing w:after="0" w:line="240" w:lineRule="auto"/>
      </w:pPr>
      <w:r>
        <w:separator/>
      </w:r>
    </w:p>
  </w:endnote>
  <w:endnote w:type="continuationSeparator" w:id="0">
    <w:p w:rsidR="005837E4" w:rsidRDefault="005837E4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E4" w:rsidRDefault="005837E4" w:rsidP="00041E4A">
      <w:pPr>
        <w:spacing w:after="0" w:line="240" w:lineRule="auto"/>
      </w:pPr>
      <w:r>
        <w:separator/>
      </w:r>
    </w:p>
  </w:footnote>
  <w:footnote w:type="continuationSeparator" w:id="0">
    <w:p w:rsidR="005837E4" w:rsidRDefault="005837E4" w:rsidP="00041E4A">
      <w:pPr>
        <w:spacing w:after="0" w:line="240" w:lineRule="auto"/>
      </w:pPr>
      <w:r>
        <w:continuationSeparator/>
      </w:r>
    </w:p>
  </w:footnote>
  <w:footnote w:id="1">
    <w:p w:rsidR="00C63338" w:rsidRDefault="00C63338" w:rsidP="00E753E1">
      <w:pPr>
        <w:pStyle w:val="aa"/>
        <w:ind w:firstLine="0"/>
      </w:pPr>
      <w:r>
        <w:t>*</w:t>
      </w:r>
      <w:r w:rsidRPr="0065658A">
        <w:rPr>
          <w:rFonts w:eastAsia="Calibri"/>
          <w:sz w:val="24"/>
          <w:szCs w:val="28"/>
        </w:rPr>
        <w:t xml:space="preserve"> </w:t>
      </w:r>
      <w:r w:rsidRPr="0065658A">
        <w:rPr>
          <w:rFonts w:eastAsia="Calibri"/>
          <w:sz w:val="22"/>
          <w:szCs w:val="22"/>
        </w:rPr>
        <w:t>Приказ находится на государственной регистрации в Министерстве юстиции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657C3"/>
    <w:rsid w:val="00087CF6"/>
    <w:rsid w:val="00095328"/>
    <w:rsid w:val="000A08E3"/>
    <w:rsid w:val="000B1599"/>
    <w:rsid w:val="000C293D"/>
    <w:rsid w:val="0011310E"/>
    <w:rsid w:val="0017521C"/>
    <w:rsid w:val="00192067"/>
    <w:rsid w:val="001945D0"/>
    <w:rsid w:val="001C38FF"/>
    <w:rsid w:val="001E70FE"/>
    <w:rsid w:val="001F0565"/>
    <w:rsid w:val="00207AA9"/>
    <w:rsid w:val="00215BC5"/>
    <w:rsid w:val="00237CE7"/>
    <w:rsid w:val="00265DCE"/>
    <w:rsid w:val="0028127F"/>
    <w:rsid w:val="00282B44"/>
    <w:rsid w:val="0029124D"/>
    <w:rsid w:val="002F29D5"/>
    <w:rsid w:val="003B7B6D"/>
    <w:rsid w:val="003D6191"/>
    <w:rsid w:val="003F31FB"/>
    <w:rsid w:val="00414F65"/>
    <w:rsid w:val="00436059"/>
    <w:rsid w:val="004365BF"/>
    <w:rsid w:val="00445D53"/>
    <w:rsid w:val="0045067A"/>
    <w:rsid w:val="00474D7F"/>
    <w:rsid w:val="00485A85"/>
    <w:rsid w:val="00494F80"/>
    <w:rsid w:val="004A7F9F"/>
    <w:rsid w:val="004E4D29"/>
    <w:rsid w:val="004F1E33"/>
    <w:rsid w:val="00521F14"/>
    <w:rsid w:val="00567A5D"/>
    <w:rsid w:val="005807E8"/>
    <w:rsid w:val="005837E4"/>
    <w:rsid w:val="00691829"/>
    <w:rsid w:val="00695DEE"/>
    <w:rsid w:val="006A2B47"/>
    <w:rsid w:val="006B0BB2"/>
    <w:rsid w:val="006C2E35"/>
    <w:rsid w:val="006C65D1"/>
    <w:rsid w:val="006E7065"/>
    <w:rsid w:val="007177AC"/>
    <w:rsid w:val="00724FB3"/>
    <w:rsid w:val="00725946"/>
    <w:rsid w:val="00745E52"/>
    <w:rsid w:val="007561E4"/>
    <w:rsid w:val="007D0CD9"/>
    <w:rsid w:val="007D33AF"/>
    <w:rsid w:val="0082229D"/>
    <w:rsid w:val="00831EBA"/>
    <w:rsid w:val="00841452"/>
    <w:rsid w:val="008A5EAA"/>
    <w:rsid w:val="008B2BB0"/>
    <w:rsid w:val="00900579"/>
    <w:rsid w:val="00914039"/>
    <w:rsid w:val="00934C97"/>
    <w:rsid w:val="00936B14"/>
    <w:rsid w:val="00941E94"/>
    <w:rsid w:val="009519B2"/>
    <w:rsid w:val="00951C20"/>
    <w:rsid w:val="00961616"/>
    <w:rsid w:val="00981697"/>
    <w:rsid w:val="009B7C48"/>
    <w:rsid w:val="009E46AF"/>
    <w:rsid w:val="009E6F47"/>
    <w:rsid w:val="00A23380"/>
    <w:rsid w:val="00A33791"/>
    <w:rsid w:val="00A35C2D"/>
    <w:rsid w:val="00A55217"/>
    <w:rsid w:val="00A75A63"/>
    <w:rsid w:val="00A83002"/>
    <w:rsid w:val="00A86970"/>
    <w:rsid w:val="00A9635D"/>
    <w:rsid w:val="00AB709A"/>
    <w:rsid w:val="00AC46F4"/>
    <w:rsid w:val="00AD7A42"/>
    <w:rsid w:val="00B273FD"/>
    <w:rsid w:val="00B32923"/>
    <w:rsid w:val="00B435CF"/>
    <w:rsid w:val="00B923B3"/>
    <w:rsid w:val="00BC449B"/>
    <w:rsid w:val="00BE0683"/>
    <w:rsid w:val="00BF25D8"/>
    <w:rsid w:val="00C06D13"/>
    <w:rsid w:val="00C63338"/>
    <w:rsid w:val="00C74986"/>
    <w:rsid w:val="00CC0719"/>
    <w:rsid w:val="00CD16AF"/>
    <w:rsid w:val="00CE5EBA"/>
    <w:rsid w:val="00D77960"/>
    <w:rsid w:val="00D947AA"/>
    <w:rsid w:val="00DD6825"/>
    <w:rsid w:val="00DF37E2"/>
    <w:rsid w:val="00E31D71"/>
    <w:rsid w:val="00E47D14"/>
    <w:rsid w:val="00E74F7F"/>
    <w:rsid w:val="00E753E1"/>
    <w:rsid w:val="00E85BDE"/>
    <w:rsid w:val="00EA0057"/>
    <w:rsid w:val="00EC1480"/>
    <w:rsid w:val="00EF2490"/>
    <w:rsid w:val="00F12E0A"/>
    <w:rsid w:val="00F201AB"/>
    <w:rsid w:val="00F30BE9"/>
    <w:rsid w:val="00F54DD9"/>
    <w:rsid w:val="00F57BF5"/>
    <w:rsid w:val="00F610D2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A3CE8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A8697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86970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B9BB-CD5B-4B4F-8909-D1E545B1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3</cp:revision>
  <cp:lastPrinted>2021-06-24T07:37:00Z</cp:lastPrinted>
  <dcterms:created xsi:type="dcterms:W3CDTF">2023-01-10T08:23:00Z</dcterms:created>
  <dcterms:modified xsi:type="dcterms:W3CDTF">2023-01-10T08:24:00Z</dcterms:modified>
</cp:coreProperties>
</file>