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432892C7" w:rsidR="005E253B" w:rsidRPr="007D6294" w:rsidRDefault="006946C9" w:rsidP="007B7B02">
            <w:pPr>
              <w:spacing w:after="120"/>
              <w:ind w:firstLine="0"/>
              <w:jc w:val="left"/>
              <w:rPr>
                <w:szCs w:val="28"/>
              </w:rPr>
            </w:pPr>
            <w:r w:rsidRPr="006946C9">
              <w:rPr>
                <w:szCs w:val="28"/>
                <w:lang w:val="en-US"/>
              </w:rPr>
              <w:t xml:space="preserve">23 – 30 </w:t>
            </w:r>
            <w:r w:rsidRPr="005046CE">
              <w:rPr>
                <w:szCs w:val="28"/>
              </w:rPr>
              <w:t>ноября</w:t>
            </w:r>
            <w:r w:rsidR="00D51644" w:rsidRPr="007D6294">
              <w:rPr>
                <w:szCs w:val="28"/>
              </w:rPr>
              <w:t xml:space="preserve"> 202</w:t>
            </w:r>
            <w:r w:rsidR="00D51644">
              <w:rPr>
                <w:szCs w:val="28"/>
              </w:rPr>
              <w:t>2</w:t>
            </w:r>
            <w:r w:rsidR="00D51644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0693BD7B" w:rsidR="005E253B" w:rsidRPr="008144BD" w:rsidRDefault="005E253B" w:rsidP="007B7B02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6946C9">
              <w:rPr>
                <w:szCs w:val="28"/>
              </w:rPr>
              <w:t>12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1474AC51" w:rsidR="00E14421" w:rsidRPr="002E6165" w:rsidRDefault="0080164B" w:rsidP="0082290F">
            <w:pPr>
              <w:spacing w:before="60"/>
              <w:ind w:firstLine="0"/>
              <w:rPr>
                <w:szCs w:val="28"/>
              </w:rPr>
            </w:pPr>
            <w:r w:rsidRPr="00EB6E26">
              <w:t>Акиндинова</w:t>
            </w:r>
            <w:r>
              <w:t> </w:t>
            </w:r>
            <w:r w:rsidRPr="00EB6E26">
              <w:t>Н.В.</w:t>
            </w:r>
            <w:r>
              <w:t xml:space="preserve">, </w:t>
            </w: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Гурвич</w:t>
            </w:r>
            <w:r>
              <w:t> </w:t>
            </w:r>
            <w:r w:rsidRPr="00EB6E26">
              <w:t>Е.Т.</w:t>
            </w:r>
            <w:r>
              <w:t xml:space="preserve">, </w:t>
            </w:r>
            <w:r w:rsidRPr="00EB6E26">
              <w:t>Зверев</w:t>
            </w:r>
            <w:r>
              <w:t> </w:t>
            </w:r>
            <w:r w:rsidRPr="00EB6E26">
              <w:t>С.А.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Курляндская</w:t>
            </w:r>
            <w:r>
              <w:t> </w:t>
            </w:r>
            <w:r w:rsidRPr="00EB6E26">
              <w:t>Г.В.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Мурычев</w:t>
            </w:r>
            <w:r>
              <w:t> </w:t>
            </w:r>
            <w:r w:rsidRPr="00EB6E26">
              <w:t>А.В.</w:t>
            </w:r>
            <w:r>
              <w:t xml:space="preserve">, </w:t>
            </w:r>
            <w:r w:rsidRPr="00EB6E26">
              <w:t>Русакова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Синельников-Мурылёв</w:t>
            </w:r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r w:rsidRPr="00EB6E26">
              <w:t>Хоружий</w:t>
            </w:r>
            <w:r>
              <w:t> </w:t>
            </w:r>
            <w:r w:rsidRPr="00EB6E26">
              <w:t>Л.И.</w:t>
            </w:r>
            <w:r>
              <w:t xml:space="preserve">, </w:t>
            </w:r>
            <w:r w:rsidRPr="00EB6E26">
              <w:t>Эскиндаров</w:t>
            </w:r>
            <w:r>
              <w:t> </w:t>
            </w:r>
            <w:r w:rsidRPr="00EB6E26">
              <w:t>М.А.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62815BFB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6946C9" w:rsidRPr="006946C9">
        <w:rPr>
          <w:szCs w:val="28"/>
        </w:rPr>
        <w:t xml:space="preserve">23 </w:t>
      </w:r>
      <w:r w:rsidR="006946C9">
        <w:rPr>
          <w:szCs w:val="28"/>
        </w:rPr>
        <w:t>по</w:t>
      </w:r>
      <w:r w:rsidR="006946C9" w:rsidRPr="006946C9">
        <w:rPr>
          <w:szCs w:val="28"/>
        </w:rPr>
        <w:t xml:space="preserve"> 30 ноября</w:t>
      </w:r>
      <w:r w:rsidR="003277B8" w:rsidRPr="007A3F20">
        <w:rPr>
          <w:szCs w:val="28"/>
        </w:rPr>
        <w:t xml:space="preserve"> </w:t>
      </w:r>
      <w:r w:rsidR="00D51644" w:rsidRPr="00A54D8E">
        <w:rPr>
          <w:szCs w:val="28"/>
        </w:rPr>
        <w:t>20</w:t>
      </w:r>
      <w:r w:rsidR="00D51644">
        <w:rPr>
          <w:szCs w:val="28"/>
        </w:rPr>
        <w:t>22</w:t>
      </w:r>
      <w:r w:rsidR="00D51644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6A23292B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7D6294" w:rsidRPr="00A54D8E">
        <w:rPr>
          <w:szCs w:val="28"/>
        </w:rPr>
        <w:t>2</w:t>
      </w:r>
      <w:r w:rsidR="0033558D">
        <w:rPr>
          <w:szCs w:val="28"/>
        </w:rPr>
        <w:t>4</w:t>
      </w:r>
      <w:r w:rsidR="007D6294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6946C9" w:rsidRPr="00A54D8E">
        <w:rPr>
          <w:szCs w:val="28"/>
        </w:rPr>
        <w:t>1</w:t>
      </w:r>
      <w:r w:rsidR="0080164B">
        <w:rPr>
          <w:szCs w:val="28"/>
        </w:rPr>
        <w:t>5</w:t>
      </w:r>
      <w:r w:rsidR="006946C9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5D6FF11F" w:rsidR="00657291" w:rsidRPr="00A54D8E" w:rsidRDefault="006946C9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9F51DD">
        <w:rPr>
          <w:szCs w:val="28"/>
        </w:rPr>
        <w:t>О рассмотрении информации о результатах работы Минфина России с обращениями и запросами информации граждан</w:t>
      </w:r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1B29CDD4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</w:t>
      </w:r>
      <w:r w:rsidR="006946C9" w:rsidRPr="006946C9">
        <w:t>отчет по итогам рассмотрения информации о результатах работы Минфина России с обращениями и запросами информации граждан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lastRenderedPageBreak/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51D64935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«за»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80164B">
        <w:rPr>
          <w:szCs w:val="28"/>
        </w:rPr>
        <w:t>13</w:t>
      </w:r>
      <w:r w:rsidR="0080164B" w:rsidRPr="002E6165">
        <w:rPr>
          <w:szCs w:val="28"/>
        </w:rPr>
        <w:t xml:space="preserve"> </w:t>
      </w:r>
      <w:r w:rsidR="008915FC" w:rsidRPr="002E6165">
        <w:rPr>
          <w:szCs w:val="28"/>
        </w:rPr>
        <w:t>(</w:t>
      </w:r>
      <w:r w:rsidR="0080164B">
        <w:rPr>
          <w:szCs w:val="28"/>
        </w:rPr>
        <w:t>Тринадцать</w:t>
      </w:r>
      <w:r w:rsidR="008915FC" w:rsidRPr="002E6165">
        <w:rPr>
          <w:szCs w:val="28"/>
        </w:rPr>
        <w:t>)</w:t>
      </w:r>
    </w:p>
    <w:p w14:paraId="2A63FD1A" w14:textId="764E7E95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«против»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80164B">
        <w:rPr>
          <w:szCs w:val="28"/>
        </w:rPr>
        <w:t xml:space="preserve">1 </w:t>
      </w:r>
      <w:r w:rsidR="008915FC" w:rsidRPr="002E6165">
        <w:rPr>
          <w:szCs w:val="28"/>
        </w:rPr>
        <w:t>(</w:t>
      </w:r>
      <w:r w:rsidR="0080164B">
        <w:rPr>
          <w:szCs w:val="28"/>
        </w:rPr>
        <w:t>Один</w:t>
      </w:r>
      <w:r w:rsidR="008915FC" w:rsidRPr="002E6165">
        <w:rPr>
          <w:szCs w:val="28"/>
        </w:rPr>
        <w:t>)</w:t>
      </w:r>
      <w:bookmarkStart w:id="0" w:name="_GoBack"/>
      <w:bookmarkEnd w:id="0"/>
    </w:p>
    <w:p w14:paraId="58F197A6" w14:textId="19173AA1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</w:t>
      </w:r>
      <w:r w:rsidR="00264CFC" w:rsidRPr="00A54D8E">
        <w:rPr>
          <w:szCs w:val="28"/>
        </w:rPr>
        <w:t>воздержался»</w:t>
      </w:r>
      <w:r w:rsidRPr="00A54D8E">
        <w:rPr>
          <w:szCs w:val="28"/>
        </w:rPr>
        <w:tab/>
      </w:r>
      <w:r w:rsidR="0080164B">
        <w:rPr>
          <w:szCs w:val="28"/>
        </w:rPr>
        <w:t>1</w:t>
      </w:r>
      <w:r w:rsidR="0080164B" w:rsidRPr="002E6165">
        <w:rPr>
          <w:szCs w:val="28"/>
        </w:rPr>
        <w:t xml:space="preserve"> </w:t>
      </w:r>
      <w:r w:rsidR="0000731B" w:rsidRPr="002E6165">
        <w:rPr>
          <w:szCs w:val="28"/>
        </w:rPr>
        <w:t>(</w:t>
      </w:r>
      <w:r w:rsidR="0080164B">
        <w:rPr>
          <w:szCs w:val="28"/>
        </w:rPr>
        <w:t>Один</w:t>
      </w:r>
      <w:r w:rsidR="0000731B" w:rsidRPr="002E6165">
        <w:rPr>
          <w:szCs w:val="28"/>
        </w:rPr>
        <w:t>)</w:t>
      </w:r>
    </w:p>
    <w:p w14:paraId="4753A6E7" w14:textId="77777777" w:rsidR="00BA0196" w:rsidRPr="00A54D8E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171858A1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6946C9" w:rsidRPr="006946C9">
        <w:t>отчет по итогам рассмотрения информации о результатах работы Минфина России с обращениями и запросами информации граждан</w:t>
      </w:r>
      <w:r w:rsidRPr="00A54D8E">
        <w:rPr>
          <w:szCs w:val="28"/>
        </w:rPr>
        <w:t>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32E269EE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6946C9">
        <w:rPr>
          <w:szCs w:val="28"/>
        </w:rPr>
        <w:t>12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6463D896" w:rsidR="007D6294" w:rsidRPr="00E36261" w:rsidRDefault="006946C9" w:rsidP="007D6294">
      <w:pPr>
        <w:ind w:firstLine="0"/>
        <w:jc w:val="right"/>
        <w:rPr>
          <w:szCs w:val="28"/>
        </w:rPr>
      </w:pPr>
      <w:r w:rsidRPr="006946C9">
        <w:rPr>
          <w:szCs w:val="28"/>
        </w:rPr>
        <w:t>23 – 30 ноября</w:t>
      </w:r>
      <w:r w:rsidR="003277B8" w:rsidRPr="007D6294">
        <w:rPr>
          <w:szCs w:val="28"/>
        </w:rPr>
        <w:t xml:space="preserve"> </w:t>
      </w:r>
      <w:r w:rsidR="00D51644" w:rsidRPr="00E36261">
        <w:rPr>
          <w:szCs w:val="28"/>
        </w:rPr>
        <w:t>20</w:t>
      </w:r>
      <w:r w:rsidR="00D51644">
        <w:rPr>
          <w:szCs w:val="28"/>
        </w:rPr>
        <w:t>22</w:t>
      </w:r>
      <w:r w:rsidR="00D51644" w:rsidRPr="00E36261">
        <w:rPr>
          <w:szCs w:val="28"/>
        </w:rPr>
        <w:t xml:space="preserve"> </w:t>
      </w:r>
      <w:r w:rsidR="007D6294" w:rsidRPr="00E36261">
        <w:rPr>
          <w:szCs w:val="28"/>
        </w:rPr>
        <w:t>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5ED2DC7C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6946C9" w:rsidRPr="006946C9">
        <w:rPr>
          <w:szCs w:val="28"/>
        </w:rPr>
        <w:t>отчет</w:t>
      </w:r>
      <w:r w:rsidR="006946C9">
        <w:rPr>
          <w:szCs w:val="28"/>
        </w:rPr>
        <w:t>а</w:t>
      </w:r>
      <w:r w:rsidR="006946C9" w:rsidRPr="006946C9">
        <w:rPr>
          <w:szCs w:val="28"/>
        </w:rPr>
        <w:t xml:space="preserve"> по итогам рассмотрения информации о результатах работы Минфина России с обращениями и запросами информации граждан</w:t>
      </w:r>
      <w:r w:rsidRPr="00E36261">
        <w:rPr>
          <w:szCs w:val="28"/>
        </w:rPr>
        <w:t>.</w:t>
      </w:r>
    </w:p>
    <w:p w14:paraId="21648C96" w14:textId="322722A4" w:rsidR="007D6294" w:rsidRDefault="007D6294" w:rsidP="007D6294"/>
    <w:p w14:paraId="06A40660" w14:textId="77777777" w:rsidR="0000672F" w:rsidRPr="00E36261" w:rsidRDefault="0000672F" w:rsidP="007D6294"/>
    <w:p w14:paraId="40C9F838" w14:textId="0EDEBBCD" w:rsidR="0000672F" w:rsidRPr="00F81336" w:rsidRDefault="0080164B" w:rsidP="0000672F">
      <w:pPr>
        <w:keepNext/>
        <w:ind w:firstLine="0"/>
        <w:outlineLvl w:val="1"/>
        <w:rPr>
          <w:b/>
          <w:szCs w:val="28"/>
        </w:rPr>
      </w:pPr>
      <w:r w:rsidRPr="0080164B">
        <w:rPr>
          <w:b/>
          <w:szCs w:val="28"/>
        </w:rPr>
        <w:t>Мурычев А.В.</w:t>
      </w:r>
      <w:r w:rsidR="0000672F">
        <w:rPr>
          <w:b/>
          <w:szCs w:val="28"/>
        </w:rPr>
        <w:t>:</w:t>
      </w:r>
    </w:p>
    <w:p w14:paraId="1F445177" w14:textId="77777777" w:rsidR="0000672F" w:rsidRPr="00F81336" w:rsidRDefault="0000672F" w:rsidP="0000672F">
      <w:pPr>
        <w:keepNext/>
        <w:ind w:firstLine="0"/>
        <w:outlineLvl w:val="1"/>
        <w:rPr>
          <w:b/>
          <w:szCs w:val="28"/>
        </w:rPr>
      </w:pPr>
    </w:p>
    <w:p w14:paraId="1AF602E5" w14:textId="7825ACFF" w:rsidR="0000672F" w:rsidRDefault="00D50A0E" w:rsidP="0000672F">
      <w:r w:rsidRPr="00D50A0E">
        <w:t>Представленную информацию необходимо дополнить итогами рассмотрения обращений граждан, в том числе в отношении повторных обращений.</w:t>
      </w:r>
    </w:p>
    <w:p w14:paraId="160EB7D8" w14:textId="77777777" w:rsidR="00D50A0E" w:rsidRDefault="00D50A0E" w:rsidP="0000672F"/>
    <w:p w14:paraId="6AD9DBA9" w14:textId="77777777" w:rsidR="0000672F" w:rsidRDefault="0000672F" w:rsidP="0000672F"/>
    <w:p w14:paraId="25E108CC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  <w:r w:rsidRPr="00D855B2">
        <w:rPr>
          <w:b/>
          <w:szCs w:val="28"/>
        </w:rPr>
        <w:t>Лисин В.С.:</w:t>
      </w:r>
    </w:p>
    <w:p w14:paraId="451B3740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</w:p>
    <w:p w14:paraId="0FA4BD2C" w14:textId="77777777" w:rsidR="0080164B" w:rsidRPr="0080164B" w:rsidRDefault="0080164B" w:rsidP="0080164B">
      <w:pPr>
        <w:rPr>
          <w:szCs w:val="28"/>
        </w:rPr>
      </w:pPr>
      <w:r w:rsidRPr="0080164B">
        <w:rPr>
          <w:szCs w:val="28"/>
        </w:rPr>
        <w:t>Несмотря на незначительную доработку отчета (добавление статистики по динамике и темам поступивших обращений, уточнение причин поступления повторных обращений), отчет по-прежнему неинформативен и лишен практической составляющей.</w:t>
      </w:r>
    </w:p>
    <w:p w14:paraId="389A2ABF" w14:textId="77777777" w:rsidR="0080164B" w:rsidRPr="0080164B" w:rsidRDefault="0080164B" w:rsidP="0080164B">
      <w:pPr>
        <w:rPr>
          <w:szCs w:val="28"/>
        </w:rPr>
      </w:pPr>
      <w:r w:rsidRPr="0080164B">
        <w:rPr>
          <w:szCs w:val="28"/>
        </w:rPr>
        <w:t>В частности в отчете:</w:t>
      </w:r>
    </w:p>
    <w:p w14:paraId="0D66C0C6" w14:textId="3BDAE691" w:rsidR="0080164B" w:rsidRPr="0080164B" w:rsidRDefault="0080164B" w:rsidP="0080164B">
      <w:pPr>
        <w:rPr>
          <w:szCs w:val="28"/>
        </w:rPr>
      </w:pPr>
      <w:r>
        <w:rPr>
          <w:szCs w:val="28"/>
        </w:rPr>
        <w:t>–</w:t>
      </w:r>
      <w:r w:rsidRPr="0080164B">
        <w:rPr>
          <w:szCs w:val="28"/>
        </w:rPr>
        <w:t xml:space="preserve"> не раскрыты меры контроля за качеством ответов по существу поставленных вопросов;</w:t>
      </w:r>
    </w:p>
    <w:p w14:paraId="39FE282C" w14:textId="7F1B32A5" w:rsidR="0080164B" w:rsidRPr="0080164B" w:rsidRDefault="0080164B" w:rsidP="0080164B">
      <w:pPr>
        <w:rPr>
          <w:szCs w:val="28"/>
        </w:rPr>
      </w:pPr>
      <w:r>
        <w:rPr>
          <w:szCs w:val="28"/>
        </w:rPr>
        <w:t>–</w:t>
      </w:r>
      <w:r w:rsidRPr="0080164B">
        <w:rPr>
          <w:szCs w:val="28"/>
        </w:rPr>
        <w:t xml:space="preserve"> не упомянуто, формируются и доводятся ли до ответственных исполнителей блоки часто задаваемых вопросов, что позволило бы сократить время на подготовку и получение ответа (для информационных целей вопросы-ответы также целесообразно размещать на сайте Минфина России);</w:t>
      </w:r>
    </w:p>
    <w:p w14:paraId="6657FB52" w14:textId="4D43E4B7" w:rsidR="0080164B" w:rsidRPr="0080164B" w:rsidRDefault="0080164B" w:rsidP="0080164B">
      <w:pPr>
        <w:rPr>
          <w:szCs w:val="28"/>
        </w:rPr>
      </w:pPr>
      <w:r>
        <w:rPr>
          <w:szCs w:val="28"/>
        </w:rPr>
        <w:t>–</w:t>
      </w:r>
      <w:r w:rsidRPr="0080164B">
        <w:rPr>
          <w:szCs w:val="28"/>
        </w:rPr>
        <w:t xml:space="preserve"> нет информации, были ли приняты решения по изменению нормативно-правовой базы по итогам рассмотренных обращений</w:t>
      </w:r>
      <w:r>
        <w:rPr>
          <w:szCs w:val="28"/>
        </w:rPr>
        <w:t>.</w:t>
      </w:r>
    </w:p>
    <w:p w14:paraId="4D4D0BD8" w14:textId="77777777" w:rsidR="0080164B" w:rsidRDefault="0080164B" w:rsidP="0080164B">
      <w:pPr>
        <w:rPr>
          <w:szCs w:val="28"/>
        </w:rPr>
      </w:pPr>
      <w:r w:rsidRPr="0080164B">
        <w:rPr>
          <w:szCs w:val="28"/>
        </w:rPr>
        <w:t>Отчет необходимо переработать с учетом комментариев выше, а также замечаний, направленных ранее (приложены).</w:t>
      </w:r>
    </w:p>
    <w:p w14:paraId="311E3CB6" w14:textId="77777777" w:rsidR="0080164B" w:rsidRDefault="0080164B" w:rsidP="0080164B">
      <w:pPr>
        <w:rPr>
          <w:szCs w:val="28"/>
        </w:rPr>
      </w:pPr>
    </w:p>
    <w:p w14:paraId="71E9B5E3" w14:textId="4A6449AC" w:rsidR="00D50A0E" w:rsidRPr="005046CE" w:rsidRDefault="00D50A0E" w:rsidP="00D50A0E">
      <w:pPr>
        <w:rPr>
          <w:i/>
          <w:iCs/>
          <w:szCs w:val="28"/>
        </w:rPr>
      </w:pPr>
      <w:r w:rsidRPr="005046CE">
        <w:rPr>
          <w:i/>
          <w:iCs/>
          <w:szCs w:val="28"/>
        </w:rPr>
        <w:t xml:space="preserve">Замечания </w:t>
      </w:r>
      <w:r>
        <w:rPr>
          <w:i/>
          <w:iCs/>
          <w:szCs w:val="28"/>
        </w:rPr>
        <w:t>к первому варианту</w:t>
      </w:r>
      <w:r w:rsidRPr="005046CE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отчета за</w:t>
      </w:r>
      <w:r w:rsidRPr="005046CE">
        <w:rPr>
          <w:i/>
          <w:iCs/>
          <w:szCs w:val="28"/>
        </w:rPr>
        <w:t xml:space="preserve"> 202</w:t>
      </w:r>
      <w:r>
        <w:rPr>
          <w:i/>
          <w:iCs/>
          <w:szCs w:val="28"/>
        </w:rPr>
        <w:t>2</w:t>
      </w:r>
      <w:r w:rsidRPr="005046CE">
        <w:rPr>
          <w:i/>
          <w:iCs/>
          <w:szCs w:val="28"/>
        </w:rPr>
        <w:t xml:space="preserve"> г.:</w:t>
      </w:r>
    </w:p>
    <w:p w14:paraId="3EA52AE5" w14:textId="1E3A27A5" w:rsidR="0000672F" w:rsidRPr="0000672F" w:rsidRDefault="0000672F" w:rsidP="0080164B">
      <w:pPr>
        <w:rPr>
          <w:szCs w:val="28"/>
        </w:rPr>
      </w:pPr>
      <w:r w:rsidRPr="0000672F">
        <w:rPr>
          <w:szCs w:val="28"/>
        </w:rPr>
        <w:t>Несмотря на замечания к отчетам за предыдущие годы (</w:t>
      </w:r>
      <w:r w:rsidR="00A81968">
        <w:rPr>
          <w:szCs w:val="28"/>
        </w:rPr>
        <w:t>см. ниже</w:t>
      </w:r>
      <w:r w:rsidRPr="0000672F">
        <w:rPr>
          <w:szCs w:val="28"/>
        </w:rPr>
        <w:t xml:space="preserve"> замечания к отчету за 2021 год), отчет по-прежнему подготовлен крайне формально. В частности, отсутствует информация об обращениях юридических лиц, не раскрыты меры контроля за качеством ответов по существу, а также работа с приведенной в отчете статистикой.</w:t>
      </w:r>
    </w:p>
    <w:p w14:paraId="616B7053" w14:textId="77777777" w:rsidR="0000672F" w:rsidRPr="0000672F" w:rsidRDefault="0000672F" w:rsidP="0000672F">
      <w:pPr>
        <w:rPr>
          <w:szCs w:val="28"/>
        </w:rPr>
      </w:pPr>
      <w:r w:rsidRPr="0000672F">
        <w:rPr>
          <w:szCs w:val="28"/>
        </w:rPr>
        <w:lastRenderedPageBreak/>
        <w:t>Например, никак не раскрывается, почему 26% обращений граждан являются повторными и какая работа проводилась, чтобы граждане получали исчерпывающий ответ с первого раза. Также неясно, как мероприятие «ежемесячное формирование перечня неисполненных документов с истекшим сроком» влияет на выполнение задачи «уменьшение количества обращений граждан, исполненных с нарушением срока».</w:t>
      </w:r>
    </w:p>
    <w:p w14:paraId="45320BCA" w14:textId="34D0D4F8" w:rsidR="00A81968" w:rsidRDefault="0000672F" w:rsidP="0000672F">
      <w:pPr>
        <w:rPr>
          <w:szCs w:val="28"/>
        </w:rPr>
      </w:pPr>
      <w:r w:rsidRPr="0000672F">
        <w:rPr>
          <w:szCs w:val="28"/>
        </w:rPr>
        <w:t>Отчет необходимо переработать с учетом комментариев выше, а также замечаний, направленных ранее.</w:t>
      </w:r>
    </w:p>
    <w:p w14:paraId="0EF5C0D9" w14:textId="46424D17" w:rsidR="00A81968" w:rsidRDefault="00A81968" w:rsidP="0000672F">
      <w:pPr>
        <w:rPr>
          <w:szCs w:val="28"/>
        </w:rPr>
      </w:pPr>
    </w:p>
    <w:p w14:paraId="789445F1" w14:textId="7C4C38EC" w:rsidR="00A81968" w:rsidRPr="005046CE" w:rsidRDefault="00A81968" w:rsidP="0000672F">
      <w:pPr>
        <w:rPr>
          <w:i/>
          <w:iCs/>
          <w:szCs w:val="28"/>
        </w:rPr>
      </w:pPr>
      <w:r w:rsidRPr="005046CE">
        <w:rPr>
          <w:i/>
          <w:iCs/>
          <w:szCs w:val="28"/>
        </w:rPr>
        <w:t xml:space="preserve">Замечания </w:t>
      </w:r>
      <w:r>
        <w:rPr>
          <w:i/>
          <w:iCs/>
          <w:szCs w:val="28"/>
        </w:rPr>
        <w:t>по</w:t>
      </w:r>
      <w:r w:rsidRPr="005046CE">
        <w:rPr>
          <w:i/>
          <w:iCs/>
          <w:szCs w:val="28"/>
        </w:rPr>
        <w:t xml:space="preserve"> аналогичному </w:t>
      </w:r>
      <w:r>
        <w:rPr>
          <w:i/>
          <w:iCs/>
          <w:szCs w:val="28"/>
        </w:rPr>
        <w:t>отчету за</w:t>
      </w:r>
      <w:r w:rsidRPr="005046CE">
        <w:rPr>
          <w:i/>
          <w:iCs/>
          <w:szCs w:val="28"/>
        </w:rPr>
        <w:t xml:space="preserve"> 2021 г.:</w:t>
      </w:r>
    </w:p>
    <w:p w14:paraId="0BEA7183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Предлагается доработать отчет, дополнив следующей информацией:</w:t>
      </w:r>
    </w:p>
    <w:p w14:paraId="3C1158B3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1. Если статистика касается только обращений граждан (физических лиц), предлагается дополнить отчет статистикой по рассмотрению обращений юридических лиц, а также информацией о принимаемых мерах по улучшению качества и сроков рассмотрения.</w:t>
      </w:r>
    </w:p>
    <w:p w14:paraId="0084A804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2. Необходимо раскрыть, как построена работа с приведенной в отчете статистикой:</w:t>
      </w:r>
    </w:p>
    <w:p w14:paraId="7C2E64E3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- выбираются ли на основе анализа обращений частые вопросы?</w:t>
      </w:r>
    </w:p>
    <w:p w14:paraId="1AE14497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- формируются ли какие-то руководства/обобщения/методические рекомендации?</w:t>
      </w:r>
    </w:p>
    <w:p w14:paraId="4F111811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- готовятся ли подробные отчёты с анализом типовых и сложных вопросов?</w:t>
      </w:r>
    </w:p>
    <w:p w14:paraId="5DD51B64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- принимаются ли решения о нормативных изменениях по итогам рассмотрения, если необходимо?</w:t>
      </w:r>
    </w:p>
    <w:p w14:paraId="5388B5A7" w14:textId="77777777" w:rsidR="00A81968" w:rsidRPr="00135F82" w:rsidRDefault="00A81968" w:rsidP="00A81968">
      <w:pPr>
        <w:rPr>
          <w:szCs w:val="28"/>
        </w:rPr>
      </w:pPr>
      <w:r w:rsidRPr="00135F82">
        <w:rPr>
          <w:szCs w:val="28"/>
        </w:rPr>
        <w:t>3. Необходимо пояснить, каким образом контролируется качество ответов по существу.</w:t>
      </w:r>
    </w:p>
    <w:p w14:paraId="611AF0D1" w14:textId="7D885C63" w:rsidR="00F420E5" w:rsidRPr="001479AB" w:rsidRDefault="00F420E5" w:rsidP="0000672F"/>
    <w:sectPr w:rsidR="00F420E5" w:rsidRPr="001479A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55BC" w14:textId="77777777" w:rsidR="00695656" w:rsidRDefault="00695656">
      <w:r>
        <w:separator/>
      </w:r>
    </w:p>
    <w:p w14:paraId="530EDF58" w14:textId="77777777" w:rsidR="00695656" w:rsidRDefault="00695656"/>
  </w:endnote>
  <w:endnote w:type="continuationSeparator" w:id="0">
    <w:p w14:paraId="62AED9B9" w14:textId="77777777" w:rsidR="00695656" w:rsidRDefault="00695656">
      <w:r>
        <w:continuationSeparator/>
      </w:r>
    </w:p>
    <w:p w14:paraId="68E38245" w14:textId="77777777" w:rsidR="00695656" w:rsidRDefault="00695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883" w14:textId="6C444EE3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4F3">
      <w:rPr>
        <w:rStyle w:val="a8"/>
        <w:noProof/>
      </w:rPr>
      <w:t>4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4B96" w14:textId="77777777" w:rsidR="00695656" w:rsidRDefault="00695656">
      <w:r>
        <w:separator/>
      </w:r>
    </w:p>
    <w:p w14:paraId="6EABB6FF" w14:textId="77777777" w:rsidR="00695656" w:rsidRDefault="00695656"/>
  </w:footnote>
  <w:footnote w:type="continuationSeparator" w:id="0">
    <w:p w14:paraId="06ABBF84" w14:textId="77777777" w:rsidR="00695656" w:rsidRDefault="00695656">
      <w:r>
        <w:continuationSeparator/>
      </w:r>
    </w:p>
    <w:p w14:paraId="05DEEE8B" w14:textId="77777777" w:rsidR="00695656" w:rsidRDefault="00695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9E518E8"/>
    <w:multiLevelType w:val="hybridMultilevel"/>
    <w:tmpl w:val="F8DCDBF6"/>
    <w:lvl w:ilvl="0" w:tplc="256E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46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4"/>
  </w:num>
  <w:num w:numId="13">
    <w:abstractNumId w:val="5"/>
  </w:num>
  <w:num w:numId="14">
    <w:abstractNumId w:val="42"/>
  </w:num>
  <w:num w:numId="15">
    <w:abstractNumId w:val="3"/>
  </w:num>
  <w:num w:numId="16">
    <w:abstractNumId w:val="43"/>
  </w:num>
  <w:num w:numId="17">
    <w:abstractNumId w:val="27"/>
  </w:num>
  <w:num w:numId="18">
    <w:abstractNumId w:val="2"/>
  </w:num>
  <w:num w:numId="19">
    <w:abstractNumId w:val="34"/>
  </w:num>
  <w:num w:numId="20">
    <w:abstractNumId w:val="7"/>
  </w:num>
  <w:num w:numId="21">
    <w:abstractNumId w:val="20"/>
  </w:num>
  <w:num w:numId="22">
    <w:abstractNumId w:val="26"/>
  </w:num>
  <w:num w:numId="23">
    <w:abstractNumId w:val="37"/>
  </w:num>
  <w:num w:numId="24">
    <w:abstractNumId w:val="9"/>
  </w:num>
  <w:num w:numId="25">
    <w:abstractNumId w:val="39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7"/>
  </w:num>
  <w:num w:numId="31">
    <w:abstractNumId w:val="45"/>
  </w:num>
  <w:num w:numId="32">
    <w:abstractNumId w:val="4"/>
  </w:num>
  <w:num w:numId="33">
    <w:abstractNumId w:val="33"/>
  </w:num>
  <w:num w:numId="34">
    <w:abstractNumId w:val="36"/>
  </w:num>
  <w:num w:numId="35">
    <w:abstractNumId w:val="1"/>
  </w:num>
  <w:num w:numId="36">
    <w:abstractNumId w:val="38"/>
  </w:num>
  <w:num w:numId="37">
    <w:abstractNumId w:val="21"/>
  </w:num>
  <w:num w:numId="38">
    <w:abstractNumId w:val="25"/>
  </w:num>
  <w:num w:numId="39">
    <w:abstractNumId w:val="29"/>
  </w:num>
  <w:num w:numId="40">
    <w:abstractNumId w:val="35"/>
  </w:num>
  <w:num w:numId="41">
    <w:abstractNumId w:val="12"/>
  </w:num>
  <w:num w:numId="42">
    <w:abstractNumId w:val="41"/>
  </w:num>
  <w:num w:numId="43">
    <w:abstractNumId w:val="28"/>
  </w:num>
  <w:num w:numId="44">
    <w:abstractNumId w:val="18"/>
  </w:num>
  <w:num w:numId="45">
    <w:abstractNumId w:val="15"/>
  </w:num>
  <w:num w:numId="46">
    <w:abstractNumId w:val="40"/>
  </w:num>
  <w:num w:numId="47">
    <w:abstractNumId w:val="19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672F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479AB"/>
    <w:rsid w:val="00155A6A"/>
    <w:rsid w:val="001562C5"/>
    <w:rsid w:val="00156BC8"/>
    <w:rsid w:val="00157A3D"/>
    <w:rsid w:val="00161CDB"/>
    <w:rsid w:val="00162791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4322"/>
    <w:rsid w:val="00264CFC"/>
    <w:rsid w:val="00265955"/>
    <w:rsid w:val="00266042"/>
    <w:rsid w:val="00266326"/>
    <w:rsid w:val="002664EA"/>
    <w:rsid w:val="00273D63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277B8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2B1B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3F760D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D1263"/>
    <w:rsid w:val="004D31F6"/>
    <w:rsid w:val="004D5746"/>
    <w:rsid w:val="004E2417"/>
    <w:rsid w:val="004E3F4C"/>
    <w:rsid w:val="004E4BB3"/>
    <w:rsid w:val="004F05BB"/>
    <w:rsid w:val="004F19D3"/>
    <w:rsid w:val="004F3DFC"/>
    <w:rsid w:val="004F669B"/>
    <w:rsid w:val="004F7DB4"/>
    <w:rsid w:val="005001C7"/>
    <w:rsid w:val="00500932"/>
    <w:rsid w:val="005014F3"/>
    <w:rsid w:val="005015B5"/>
    <w:rsid w:val="00502EAE"/>
    <w:rsid w:val="0050364F"/>
    <w:rsid w:val="005046CE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5140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46C9"/>
    <w:rsid w:val="0069548E"/>
    <w:rsid w:val="00695656"/>
    <w:rsid w:val="00696634"/>
    <w:rsid w:val="00696FF8"/>
    <w:rsid w:val="006A116F"/>
    <w:rsid w:val="006A5116"/>
    <w:rsid w:val="006A5F0D"/>
    <w:rsid w:val="006A69BD"/>
    <w:rsid w:val="006B1015"/>
    <w:rsid w:val="006B2062"/>
    <w:rsid w:val="006B25A0"/>
    <w:rsid w:val="006B3A7F"/>
    <w:rsid w:val="006B3DFA"/>
    <w:rsid w:val="006B5EE0"/>
    <w:rsid w:val="006B5FA7"/>
    <w:rsid w:val="006B630F"/>
    <w:rsid w:val="006B6FB5"/>
    <w:rsid w:val="006C0764"/>
    <w:rsid w:val="006C1EF0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64B"/>
    <w:rsid w:val="00801BE2"/>
    <w:rsid w:val="00802BB8"/>
    <w:rsid w:val="00803425"/>
    <w:rsid w:val="008069D2"/>
    <w:rsid w:val="008144BD"/>
    <w:rsid w:val="0081626F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1968"/>
    <w:rsid w:val="00A82579"/>
    <w:rsid w:val="00A8552F"/>
    <w:rsid w:val="00A868CA"/>
    <w:rsid w:val="00A92BBB"/>
    <w:rsid w:val="00A9667F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0A0E"/>
    <w:rsid w:val="00D51644"/>
    <w:rsid w:val="00D56B7A"/>
    <w:rsid w:val="00D609A4"/>
    <w:rsid w:val="00D66316"/>
    <w:rsid w:val="00D71066"/>
    <w:rsid w:val="00D73902"/>
    <w:rsid w:val="00D86A2F"/>
    <w:rsid w:val="00D86CCB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85FC-6C3B-441C-98A9-0E14DCE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2022-12-27T06:18:00Z</dcterms:created>
  <dcterms:modified xsi:type="dcterms:W3CDTF">2022-12-27T06:18:00Z</dcterms:modified>
</cp:coreProperties>
</file>