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843" w:type="dxa"/>
        <w:tblLayout w:type="fixed"/>
        <w:tblCellMar>
          <w:left w:w="0" w:type="dxa"/>
          <w:right w:w="0" w:type="dxa"/>
        </w:tblCellMar>
        <w:tblLook w:val="04A0" w:firstRow="1" w:lastRow="0" w:firstColumn="1" w:lastColumn="0" w:noHBand="0" w:noVBand="1"/>
      </w:tblPr>
      <w:tblGrid>
        <w:gridCol w:w="4635"/>
        <w:gridCol w:w="30"/>
        <w:gridCol w:w="30"/>
        <w:gridCol w:w="5506"/>
      </w:tblGrid>
      <w:tr w:rsidR="0095703E" w:rsidRPr="00684314" w:rsidTr="0095703E">
        <w:trPr>
          <w:trHeight w:val="4365"/>
        </w:trPr>
        <w:tc>
          <w:tcPr>
            <w:tcW w:w="4635" w:type="dxa"/>
            <w:shd w:val="clear" w:color="auto" w:fill="auto"/>
          </w:tcPr>
          <w:p w:rsidR="0095703E" w:rsidRDefault="005E252A" w:rsidP="0031759B">
            <w:pPr>
              <w:pStyle w:val="a4"/>
            </w:pPr>
            <w:r>
              <w:rPr>
                <w:lang w:eastAsia="ru-RU"/>
              </w:rPr>
              <w:drawing>
                <wp:anchor distT="0" distB="0" distL="114300" distR="114300" simplePos="0" relativeHeight="251660288" behindDoc="1" locked="0" layoutInCell="1" allowOverlap="1">
                  <wp:simplePos x="0" y="0"/>
                  <wp:positionH relativeFrom="column">
                    <wp:posOffset>93345</wp:posOffset>
                  </wp:positionH>
                  <wp:positionV relativeFrom="paragraph">
                    <wp:posOffset>-106680</wp:posOffset>
                  </wp:positionV>
                  <wp:extent cx="6115685" cy="3550920"/>
                  <wp:effectExtent l="0" t="0" r="0" b="0"/>
                  <wp:wrapNone/>
                  <wp:docPr id="1" name="Рисунок 1" descr="Zam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_minist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685" cy="355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03E" w:rsidRPr="00F8602C" w:rsidRDefault="0095703E" w:rsidP="0031759B"/>
          <w:p w:rsidR="0095703E" w:rsidRDefault="0095703E" w:rsidP="0031759B"/>
          <w:p w:rsidR="0095703E" w:rsidRDefault="0095703E" w:rsidP="0031759B"/>
          <w:p w:rsidR="0095703E" w:rsidRDefault="0095703E" w:rsidP="0031759B"/>
          <w:p w:rsidR="0095703E" w:rsidRPr="00F8602C" w:rsidRDefault="0095703E" w:rsidP="0031759B"/>
        </w:tc>
        <w:tc>
          <w:tcPr>
            <w:tcW w:w="30" w:type="dxa"/>
            <w:shd w:val="clear" w:color="auto" w:fill="auto"/>
          </w:tcPr>
          <w:p w:rsidR="0095703E" w:rsidRDefault="0095703E" w:rsidP="0031759B">
            <w:pPr>
              <w:pStyle w:val="a4"/>
            </w:pPr>
          </w:p>
        </w:tc>
        <w:tc>
          <w:tcPr>
            <w:tcW w:w="30" w:type="dxa"/>
            <w:shd w:val="clear" w:color="auto" w:fill="auto"/>
          </w:tcPr>
          <w:p w:rsidR="0095703E" w:rsidRDefault="0095703E" w:rsidP="0031759B">
            <w:pPr>
              <w:pStyle w:val="a4"/>
            </w:pPr>
          </w:p>
        </w:tc>
        <w:tc>
          <w:tcPr>
            <w:tcW w:w="5506" w:type="dxa"/>
            <w:shd w:val="clear" w:color="auto" w:fill="auto"/>
          </w:tcPr>
          <w:p w:rsidR="0095703E" w:rsidRPr="00007FEF" w:rsidRDefault="0095703E" w:rsidP="0031759B">
            <w:pPr>
              <w:tabs>
                <w:tab w:val="left" w:pos="1493"/>
              </w:tabs>
              <w:spacing w:after="0"/>
              <w:rPr>
                <w:sz w:val="28"/>
              </w:rPr>
            </w:pPr>
          </w:p>
          <w:p w:rsidR="0095703E" w:rsidRPr="00684314" w:rsidRDefault="0095703E" w:rsidP="0031759B">
            <w:pPr>
              <w:tabs>
                <w:tab w:val="left" w:pos="1493"/>
              </w:tabs>
              <w:spacing w:after="0"/>
              <w:jc w:val="center"/>
              <w:rPr>
                <w:sz w:val="28"/>
              </w:rPr>
            </w:pPr>
            <w:r w:rsidRPr="00684314">
              <w:rPr>
                <w:noProof/>
                <w:lang w:eastAsia="ru-RU"/>
              </w:rPr>
              <mc:AlternateContent>
                <mc:Choice Requires="wps">
                  <w:drawing>
                    <wp:anchor distT="0" distB="0" distL="114300" distR="114300" simplePos="0" relativeHeight="251659264" behindDoc="0" locked="0" layoutInCell="1" allowOverlap="1" wp14:anchorId="5063E808" wp14:editId="23C94A68">
                      <wp:simplePos x="0" y="0"/>
                      <wp:positionH relativeFrom="column">
                        <wp:posOffset>779145</wp:posOffset>
                      </wp:positionH>
                      <wp:positionV relativeFrom="paragraph">
                        <wp:posOffset>220981</wp:posOffset>
                      </wp:positionV>
                      <wp:extent cx="1765300" cy="114300"/>
                      <wp:effectExtent l="0" t="0" r="2540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300" cy="1143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F1724" id="Прямоугольник 7" o:spid="_x0000_s1026" style="position:absolute;margin-left:61.35pt;margin-top:17.4pt;width:13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AWkwIAACQFAAAOAAAAZHJzL2Uyb0RvYy54bWysVEtu2zAQ3RfoHQjuG1muE7dC5MBI4KKA&#10;kQRIiqwZirKEUhyWpC27qwLdBugReohuin5yBvlGHVLyJ2lXQbUQZjjD4bzHNzw+WVaSLISxJaiU&#10;xgc9SoTikJVqltJ315MXryixjqmMSVAipSth6cno+bPjWieiDwXITBiCRZRNap3SwjmdRJHlhaiY&#10;PQAtFAZzMBVz6JpZlBlWY/VKRv1e7yiqwWTaABfW4upZG6SjUD/PBXcXeW6FIzKl2JsLfxP+t/4f&#10;jY5ZMjNMFyXv2mBP6KJipcJDt6XOmGNkbsq/SlUlN2AhdwccqgjyvOQiYEA0ce8RmquCaRGwIDlW&#10;b2my/68sP19cGlJmKR1SoliFV9R8XX9af2l+Nffrz8235r75ub5rfjffmx9k6PmqtU1w25W+NB6x&#10;1VPg7y0GogcR79guZ5mbyuciXrIM5K+25IulIxwX4+HR4cse3hHHWBwPvO2LsmSzWxvr3gioiDdS&#10;avByA+dsMbWuTd2khMZAltmklDI4K3sqDVkw1AHKJ4OaEsmsw8WUTsLXnWb3t0lF6pT2DwehMYYC&#10;zSVz2GOlkTKrZpQwOUPlc2dCLw9226cd6kGcMVu03YaKXW9SeSwi6LrDvKPZW7eQrfA+DbRCt5pP&#10;Sqw2RaSXzKCykV+cVneBv1wCYoPOoqQA8/Ff6z4fBYdRSmqcFMT9Yc6MQALfKpTi63gw8KMVnMHh&#10;sI+O2Y/c7kfUvDoFvIQY3wXNg+nzndyYuYHqBod67E/FEFMcz24Z7pxT104wPgtcjMchDcdJMzdV&#10;V5r74p4nz+P18oYZ3SnGodbOYTNVLHkknDbX71QwnjvIy6CqHa+dxHEUgy67Z8PP+r4fsnaP2+gP&#10;AAAA//8DAFBLAwQUAAYACAAAACEAMGnVYeEAAAAJAQAADwAAAGRycy9kb3ducmV2LnhtbEyPwU7D&#10;MBBE70j8g7VIXBC1a0obhThVBEJI9FDRhgM3N16SiNiOYrdJ/57tCY4z+zQ7k60n27ETDqH1TsF8&#10;JoChq7xpXa2g3L/eJ8BC1M7ozjtUcMYA6/z6KtOp8aP7wNMu1oxCXEi1gibGPuU8VA1aHWa+R0e3&#10;bz9YHUkONTeDHincdlwKseRWt44+NLrH5warn93RKsAwv/vaJue3oiy27+XLuFnKz41StzdT8QQs&#10;4hT/YLjUp+qQU6eDPzoTWEdayhWhCh4WNIGAhRBkHBQ8ygR4nvH/C/JfAAAA//8DAFBLAQItABQA&#10;BgAIAAAAIQC2gziS/gAAAOEBAAATAAAAAAAAAAAAAAAAAAAAAABbQ29udGVudF9UeXBlc10ueG1s&#10;UEsBAi0AFAAGAAgAAAAhADj9If/WAAAAlAEAAAsAAAAAAAAAAAAAAAAALwEAAF9yZWxzLy5yZWxz&#10;UEsBAi0AFAAGAAgAAAAhANSGoBaTAgAAJAUAAA4AAAAAAAAAAAAAAAAALgIAAGRycy9lMm9Eb2Mu&#10;eG1sUEsBAi0AFAAGAAgAAAAhADBp1WHhAAAACQEAAA8AAAAAAAAAAAAAAAAA7QQAAGRycy9kb3du&#10;cmV2LnhtbFBLBQYAAAAABAAEAPMAAAD7BQAAAAA=&#10;" fillcolor="window" strokecolor="window" strokeweight="2pt">
                      <v:path arrowok="t"/>
                    </v:rect>
                  </w:pict>
                </mc:Fallback>
              </mc:AlternateContent>
            </w:r>
          </w:p>
          <w:p w:rsidR="0095703E" w:rsidRPr="00684314" w:rsidRDefault="0095703E" w:rsidP="0031759B">
            <w:pPr>
              <w:tabs>
                <w:tab w:val="left" w:pos="1493"/>
              </w:tabs>
              <w:spacing w:after="0"/>
              <w:jc w:val="center"/>
              <w:rPr>
                <w:sz w:val="28"/>
              </w:rPr>
            </w:pPr>
          </w:p>
          <w:p w:rsidR="005E252A" w:rsidRDefault="005E252A" w:rsidP="0031759B">
            <w:pPr>
              <w:tabs>
                <w:tab w:val="left" w:pos="1493"/>
              </w:tabs>
              <w:spacing w:after="0"/>
              <w:jc w:val="center"/>
              <w:rPr>
                <w:rFonts w:ascii="Times New Roman" w:hAnsi="Times New Roman" w:cs="Times New Roman"/>
                <w:sz w:val="28"/>
              </w:rPr>
            </w:pPr>
          </w:p>
          <w:p w:rsidR="0095703E" w:rsidRPr="00684314" w:rsidRDefault="0095703E" w:rsidP="0031759B">
            <w:pPr>
              <w:tabs>
                <w:tab w:val="left" w:pos="1493"/>
              </w:tabs>
              <w:spacing w:after="0"/>
              <w:jc w:val="center"/>
              <w:rPr>
                <w:rFonts w:ascii="Times New Roman" w:hAnsi="Times New Roman" w:cs="Times New Roman"/>
                <w:sz w:val="28"/>
              </w:rPr>
            </w:pPr>
            <w:r w:rsidRPr="00684314">
              <w:rPr>
                <w:rFonts w:ascii="Times New Roman" w:hAnsi="Times New Roman" w:cs="Times New Roman"/>
                <w:sz w:val="28"/>
              </w:rPr>
              <w:t xml:space="preserve">Главные распорядители средств </w:t>
            </w:r>
          </w:p>
          <w:p w:rsidR="0095703E" w:rsidRPr="00684314" w:rsidRDefault="0095703E" w:rsidP="0031759B">
            <w:pPr>
              <w:tabs>
                <w:tab w:val="left" w:pos="1493"/>
              </w:tabs>
              <w:spacing w:after="0"/>
              <w:jc w:val="center"/>
              <w:rPr>
                <w:rFonts w:ascii="Times New Roman" w:hAnsi="Times New Roman" w:cs="Times New Roman"/>
                <w:sz w:val="28"/>
              </w:rPr>
            </w:pPr>
            <w:r w:rsidRPr="00684314">
              <w:rPr>
                <w:rFonts w:ascii="Times New Roman" w:hAnsi="Times New Roman" w:cs="Times New Roman"/>
                <w:sz w:val="28"/>
              </w:rPr>
              <w:t>федерального бюджета</w:t>
            </w:r>
          </w:p>
          <w:p w:rsidR="0095703E" w:rsidRPr="00684314" w:rsidRDefault="0095703E" w:rsidP="0031759B">
            <w:pPr>
              <w:tabs>
                <w:tab w:val="left" w:pos="1493"/>
              </w:tabs>
              <w:spacing w:after="0"/>
              <w:jc w:val="center"/>
              <w:rPr>
                <w:rFonts w:ascii="Times New Roman" w:hAnsi="Times New Roman" w:cs="Times New Roman"/>
                <w:sz w:val="28"/>
              </w:rPr>
            </w:pPr>
          </w:p>
          <w:p w:rsidR="0095703E" w:rsidRPr="00684314" w:rsidRDefault="0095703E" w:rsidP="0031759B">
            <w:pPr>
              <w:tabs>
                <w:tab w:val="left" w:pos="1493"/>
              </w:tabs>
              <w:spacing w:after="0"/>
              <w:jc w:val="center"/>
              <w:rPr>
                <w:rFonts w:ascii="Times New Roman" w:hAnsi="Times New Roman" w:cs="Times New Roman"/>
                <w:sz w:val="28"/>
              </w:rPr>
            </w:pPr>
            <w:r w:rsidRPr="00684314">
              <w:rPr>
                <w:rFonts w:ascii="Times New Roman" w:hAnsi="Times New Roman" w:cs="Times New Roman"/>
                <w:sz w:val="28"/>
              </w:rPr>
              <w:t xml:space="preserve">Финансовые органы субъектов </w:t>
            </w:r>
          </w:p>
          <w:p w:rsidR="0095703E" w:rsidRPr="00684314" w:rsidRDefault="0095703E" w:rsidP="0031759B">
            <w:pPr>
              <w:tabs>
                <w:tab w:val="left" w:pos="1493"/>
              </w:tabs>
              <w:spacing w:after="0"/>
              <w:jc w:val="center"/>
              <w:rPr>
                <w:rFonts w:ascii="Times New Roman" w:hAnsi="Times New Roman" w:cs="Times New Roman"/>
                <w:sz w:val="28"/>
              </w:rPr>
            </w:pPr>
            <w:r w:rsidRPr="00684314">
              <w:rPr>
                <w:rFonts w:ascii="Times New Roman" w:hAnsi="Times New Roman" w:cs="Times New Roman"/>
                <w:sz w:val="28"/>
              </w:rPr>
              <w:t>Российской Федерации</w:t>
            </w:r>
          </w:p>
          <w:p w:rsidR="0095703E" w:rsidRPr="00684314" w:rsidRDefault="0095703E" w:rsidP="0031759B">
            <w:pPr>
              <w:tabs>
                <w:tab w:val="left" w:pos="1493"/>
              </w:tabs>
              <w:spacing w:after="0"/>
              <w:jc w:val="center"/>
              <w:rPr>
                <w:rFonts w:ascii="Times New Roman" w:hAnsi="Times New Roman" w:cs="Times New Roman"/>
                <w:sz w:val="28"/>
              </w:rPr>
            </w:pPr>
          </w:p>
          <w:p w:rsidR="00B861F2" w:rsidRDefault="0095703E" w:rsidP="0031759B">
            <w:pPr>
              <w:tabs>
                <w:tab w:val="left" w:pos="1493"/>
              </w:tabs>
              <w:spacing w:after="0"/>
              <w:jc w:val="center"/>
              <w:rPr>
                <w:rFonts w:ascii="Times New Roman" w:hAnsi="Times New Roman" w:cs="Times New Roman"/>
                <w:sz w:val="28"/>
              </w:rPr>
            </w:pPr>
            <w:r w:rsidRPr="00684314">
              <w:rPr>
                <w:rFonts w:ascii="Times New Roman" w:hAnsi="Times New Roman" w:cs="Times New Roman"/>
                <w:sz w:val="28"/>
              </w:rPr>
              <w:t xml:space="preserve">Органы управления государственными внебюджетными фондами </w:t>
            </w:r>
          </w:p>
          <w:p w:rsidR="0095703E" w:rsidRPr="00684314" w:rsidRDefault="0095703E" w:rsidP="0031759B">
            <w:pPr>
              <w:tabs>
                <w:tab w:val="left" w:pos="1493"/>
              </w:tabs>
              <w:spacing w:after="0"/>
              <w:jc w:val="center"/>
              <w:rPr>
                <w:rFonts w:ascii="Times New Roman" w:hAnsi="Times New Roman" w:cs="Times New Roman"/>
                <w:sz w:val="28"/>
              </w:rPr>
            </w:pPr>
            <w:r w:rsidRPr="00684314">
              <w:rPr>
                <w:rFonts w:ascii="Times New Roman" w:hAnsi="Times New Roman" w:cs="Times New Roman"/>
                <w:sz w:val="28"/>
              </w:rPr>
              <w:t>Российской Федерации</w:t>
            </w:r>
          </w:p>
          <w:p w:rsidR="0095703E" w:rsidRPr="00684314" w:rsidRDefault="0095703E" w:rsidP="0031759B">
            <w:pPr>
              <w:pStyle w:val="a4"/>
              <w:jc w:val="center"/>
            </w:pPr>
          </w:p>
        </w:tc>
      </w:tr>
    </w:tbl>
    <w:p w:rsidR="0095703E" w:rsidRPr="00684314" w:rsidRDefault="0095703E" w:rsidP="0095703E">
      <w:pPr>
        <w:pStyle w:val="a3"/>
        <w:ind w:firstLine="567"/>
        <w:rPr>
          <w:rFonts w:ascii="Times New Roman" w:hAnsi="Times New Roman" w:cs="Times New Roman"/>
          <w:sz w:val="28"/>
          <w:szCs w:val="28"/>
        </w:rPr>
      </w:pPr>
    </w:p>
    <w:p w:rsidR="0095703E" w:rsidRPr="00684314" w:rsidRDefault="0095703E" w:rsidP="0095703E"/>
    <w:p w:rsidR="00CC6C5A" w:rsidRPr="00CC6C5A" w:rsidRDefault="0041617F" w:rsidP="00CC6C5A">
      <w:pPr>
        <w:ind w:firstLine="567"/>
        <w:jc w:val="both"/>
        <w:rPr>
          <w:rFonts w:ascii="Times New Roman" w:hAnsi="Times New Roman" w:cs="Times New Roman"/>
          <w:sz w:val="28"/>
          <w:szCs w:val="28"/>
        </w:rPr>
      </w:pPr>
      <w:r w:rsidRPr="00684314">
        <w:rPr>
          <w:rFonts w:ascii="Times New Roman" w:hAnsi="Times New Roman" w:cs="Times New Roman"/>
          <w:sz w:val="28"/>
          <w:szCs w:val="28"/>
        </w:rPr>
        <w:t xml:space="preserve">Министерство финансов Российской Федерации в целях методологического сопровождения применения </w:t>
      </w:r>
      <w:r w:rsidR="00AA39C3" w:rsidRPr="00EC761E">
        <w:rPr>
          <w:rFonts w:ascii="Times New Roman" w:hAnsi="Times New Roman" w:cs="Times New Roman"/>
          <w:sz w:val="28"/>
          <w:szCs w:val="28"/>
        </w:rPr>
        <w:t>федерального стандарта бухгалтерского учета государственных финансов «Учетная политика, оценочные значения и ошибки», утвержденного приказом Минфина России от 30.12.2017 № 274н</w:t>
      </w:r>
      <w:r w:rsidRPr="00684314">
        <w:rPr>
          <w:rFonts w:ascii="Times New Roman" w:hAnsi="Times New Roman" w:cs="Times New Roman"/>
          <w:sz w:val="28"/>
          <w:szCs w:val="28"/>
        </w:rPr>
        <w:t xml:space="preserve"> (зарегистри</w:t>
      </w:r>
      <w:r>
        <w:rPr>
          <w:rFonts w:ascii="Times New Roman" w:hAnsi="Times New Roman" w:cs="Times New Roman"/>
          <w:sz w:val="28"/>
          <w:szCs w:val="28"/>
        </w:rPr>
        <w:t xml:space="preserve">рован </w:t>
      </w:r>
      <w:r w:rsidRPr="00684314">
        <w:rPr>
          <w:rFonts w:ascii="Times New Roman" w:hAnsi="Times New Roman" w:cs="Times New Roman"/>
          <w:sz w:val="28"/>
          <w:szCs w:val="28"/>
        </w:rPr>
        <w:t>Министерст</w:t>
      </w:r>
      <w:r>
        <w:rPr>
          <w:rFonts w:ascii="Times New Roman" w:hAnsi="Times New Roman" w:cs="Times New Roman"/>
          <w:sz w:val="28"/>
          <w:szCs w:val="28"/>
        </w:rPr>
        <w:t xml:space="preserve">вом юстиции Российской Федерации </w:t>
      </w:r>
      <w:r w:rsidR="00CC6C5A">
        <w:rPr>
          <w:rFonts w:ascii="Times New Roman" w:hAnsi="Times New Roman" w:cs="Times New Roman"/>
          <w:sz w:val="28"/>
          <w:szCs w:val="28"/>
        </w:rPr>
        <w:t>18</w:t>
      </w:r>
      <w:r>
        <w:rPr>
          <w:rFonts w:ascii="Times New Roman" w:hAnsi="Times New Roman" w:cs="Times New Roman"/>
          <w:sz w:val="28"/>
          <w:szCs w:val="28"/>
        </w:rPr>
        <w:t xml:space="preserve"> </w:t>
      </w:r>
      <w:r w:rsidR="00CC6C5A">
        <w:rPr>
          <w:rFonts w:ascii="Times New Roman" w:hAnsi="Times New Roman" w:cs="Times New Roman"/>
          <w:sz w:val="28"/>
          <w:szCs w:val="28"/>
        </w:rPr>
        <w:t>мая</w:t>
      </w:r>
      <w:r>
        <w:rPr>
          <w:rFonts w:ascii="Times New Roman" w:hAnsi="Times New Roman" w:cs="Times New Roman"/>
          <w:sz w:val="28"/>
          <w:szCs w:val="28"/>
        </w:rPr>
        <w:t xml:space="preserve"> 201</w:t>
      </w:r>
      <w:r w:rsidR="00CC6C5A">
        <w:rPr>
          <w:rFonts w:ascii="Times New Roman" w:hAnsi="Times New Roman" w:cs="Times New Roman"/>
          <w:sz w:val="28"/>
          <w:szCs w:val="28"/>
        </w:rPr>
        <w:t>8</w:t>
      </w:r>
      <w:r w:rsidRPr="00684314">
        <w:rPr>
          <w:rFonts w:ascii="Times New Roman" w:hAnsi="Times New Roman" w:cs="Times New Roman"/>
          <w:sz w:val="28"/>
          <w:szCs w:val="28"/>
        </w:rPr>
        <w:t xml:space="preserve"> г., регистрационный номер </w:t>
      </w:r>
      <w:r w:rsidR="00CC6C5A">
        <w:rPr>
          <w:rFonts w:ascii="Times New Roman" w:hAnsi="Times New Roman" w:cs="Times New Roman"/>
          <w:sz w:val="28"/>
          <w:szCs w:val="28"/>
        </w:rPr>
        <w:t>51123</w:t>
      </w:r>
      <w:r>
        <w:rPr>
          <w:rFonts w:ascii="Times New Roman" w:hAnsi="Times New Roman" w:cs="Times New Roman"/>
          <w:sz w:val="28"/>
          <w:szCs w:val="28"/>
        </w:rPr>
        <w:t>),</w:t>
      </w:r>
      <w:r w:rsidRPr="00684314">
        <w:rPr>
          <w:rFonts w:ascii="Times New Roman" w:hAnsi="Times New Roman" w:cs="Times New Roman"/>
          <w:sz w:val="28"/>
          <w:szCs w:val="28"/>
        </w:rPr>
        <w:t xml:space="preserve"> направляет для руководства </w:t>
      </w:r>
      <w:r w:rsidR="00FD0A90">
        <w:rPr>
          <w:rFonts w:ascii="Times New Roman" w:hAnsi="Times New Roman" w:cs="Times New Roman"/>
          <w:sz w:val="28"/>
          <w:szCs w:val="28"/>
        </w:rPr>
        <w:t>Р</w:t>
      </w:r>
      <w:r w:rsidR="00CC6C5A" w:rsidRPr="00CC6C5A">
        <w:rPr>
          <w:rFonts w:ascii="Times New Roman" w:hAnsi="Times New Roman" w:cs="Times New Roman"/>
          <w:sz w:val="28"/>
          <w:szCs w:val="28"/>
        </w:rPr>
        <w:t>екомендации</w:t>
      </w:r>
      <w:r w:rsidR="00CC6C5A">
        <w:rPr>
          <w:rFonts w:ascii="Times New Roman" w:hAnsi="Times New Roman" w:cs="Times New Roman"/>
          <w:sz w:val="28"/>
          <w:szCs w:val="28"/>
        </w:rPr>
        <w:t xml:space="preserve"> </w:t>
      </w:r>
      <w:r w:rsidR="00CC6C5A" w:rsidRPr="00CC6C5A">
        <w:rPr>
          <w:rFonts w:ascii="Times New Roman" w:hAnsi="Times New Roman" w:cs="Times New Roman"/>
          <w:sz w:val="28"/>
          <w:szCs w:val="28"/>
        </w:rPr>
        <w:t>по организации и обеспечению (осуществлению) внутреннего контроля совершаемых фактов хозяйственной жизни и ведения бухгалтерского учета и составления бухгалтерской (финансовой) отчетности, включая проведение инвентаризации в целях составления годовой бухгалтерской (финансовой) отчетности</w:t>
      </w:r>
      <w:r w:rsidR="00CC6C5A">
        <w:rPr>
          <w:rFonts w:ascii="Times New Roman" w:hAnsi="Times New Roman" w:cs="Times New Roman"/>
          <w:sz w:val="28"/>
          <w:szCs w:val="28"/>
        </w:rPr>
        <w:t>.</w:t>
      </w:r>
    </w:p>
    <w:p w:rsidR="005E252A" w:rsidRDefault="005E252A" w:rsidP="00B861F2">
      <w:pPr>
        <w:ind w:firstLine="567"/>
        <w:rPr>
          <w:rFonts w:ascii="Times New Roman" w:hAnsi="Times New Roman" w:cs="Times New Roman"/>
          <w:sz w:val="28"/>
          <w:szCs w:val="28"/>
        </w:rPr>
      </w:pPr>
    </w:p>
    <w:p w:rsidR="0095703E" w:rsidRDefault="0095703E" w:rsidP="00B861F2">
      <w:pPr>
        <w:ind w:firstLine="567"/>
        <w:rPr>
          <w:rFonts w:ascii="Times New Roman" w:hAnsi="Times New Roman" w:cs="Times New Roman"/>
          <w:sz w:val="28"/>
          <w:szCs w:val="28"/>
        </w:rPr>
      </w:pPr>
      <w:r w:rsidRPr="00684314">
        <w:rPr>
          <w:rFonts w:ascii="Times New Roman" w:hAnsi="Times New Roman" w:cs="Times New Roman"/>
          <w:sz w:val="28"/>
          <w:szCs w:val="28"/>
        </w:rPr>
        <w:t xml:space="preserve">Приложение: </w:t>
      </w:r>
      <w:r w:rsidR="00A076E6">
        <w:rPr>
          <w:rFonts w:ascii="Times New Roman" w:hAnsi="Times New Roman" w:cs="Times New Roman"/>
          <w:sz w:val="28"/>
          <w:szCs w:val="28"/>
        </w:rPr>
        <w:t xml:space="preserve">на </w:t>
      </w:r>
      <w:r w:rsidR="005E252A">
        <w:rPr>
          <w:rFonts w:ascii="Times New Roman" w:hAnsi="Times New Roman" w:cs="Times New Roman"/>
          <w:sz w:val="28"/>
          <w:szCs w:val="28"/>
        </w:rPr>
        <w:t>10</w:t>
      </w:r>
      <w:r w:rsidR="00684314">
        <w:rPr>
          <w:rFonts w:ascii="Times New Roman" w:hAnsi="Times New Roman" w:cs="Times New Roman"/>
          <w:sz w:val="28"/>
          <w:szCs w:val="28"/>
        </w:rPr>
        <w:t xml:space="preserve"> л</w:t>
      </w:r>
      <w:r w:rsidRPr="00684314">
        <w:rPr>
          <w:rFonts w:ascii="Times New Roman" w:hAnsi="Times New Roman" w:cs="Times New Roman"/>
          <w:sz w:val="28"/>
          <w:szCs w:val="28"/>
        </w:rPr>
        <w:t>.</w:t>
      </w:r>
      <w:r w:rsidR="00A076E6" w:rsidRPr="00A076E6">
        <w:rPr>
          <w:rFonts w:ascii="Times New Roman" w:hAnsi="Times New Roman" w:cs="Times New Roman"/>
          <w:sz w:val="28"/>
          <w:szCs w:val="28"/>
        </w:rPr>
        <w:t xml:space="preserve"> </w:t>
      </w:r>
      <w:r w:rsidR="00A076E6" w:rsidRPr="00684314">
        <w:rPr>
          <w:rFonts w:ascii="Times New Roman" w:hAnsi="Times New Roman" w:cs="Times New Roman"/>
          <w:sz w:val="28"/>
          <w:szCs w:val="28"/>
        </w:rPr>
        <w:t>в 1 экз.</w:t>
      </w:r>
    </w:p>
    <w:p w:rsidR="00A076E6" w:rsidRPr="00A076E6" w:rsidRDefault="00A076E6" w:rsidP="00A076E6"/>
    <w:p w:rsidR="0095703E" w:rsidRPr="00684314" w:rsidRDefault="00FD6D9E" w:rsidP="009A66F3">
      <w:pPr>
        <w:ind w:firstLine="567"/>
        <w:jc w:val="right"/>
      </w:pPr>
      <w:r>
        <w:rPr>
          <w:rFonts w:ascii="Times New Roman" w:hAnsi="Times New Roman" w:cs="Times New Roman"/>
          <w:sz w:val="28"/>
          <w:szCs w:val="28"/>
        </w:rPr>
        <w:t>А.М. Лавров</w:t>
      </w:r>
    </w:p>
    <w:p w:rsidR="0093777C" w:rsidRDefault="0093777C" w:rsidP="0095703E">
      <w:pPr>
        <w:spacing w:after="0"/>
        <w:rPr>
          <w:rFonts w:ascii="Times New Roman" w:hAnsi="Times New Roman" w:cs="Times New Roman"/>
          <w:sz w:val="18"/>
        </w:rPr>
      </w:pPr>
    </w:p>
    <w:p w:rsidR="005E252A" w:rsidRDefault="005E252A" w:rsidP="0095703E">
      <w:pPr>
        <w:spacing w:after="0"/>
        <w:rPr>
          <w:rFonts w:ascii="Times New Roman" w:hAnsi="Times New Roman" w:cs="Times New Roman"/>
          <w:sz w:val="18"/>
        </w:rPr>
      </w:pPr>
    </w:p>
    <w:p w:rsidR="005E252A" w:rsidRDefault="005E252A" w:rsidP="0095703E">
      <w:pPr>
        <w:spacing w:after="0"/>
        <w:rPr>
          <w:rFonts w:ascii="Times New Roman" w:hAnsi="Times New Roman" w:cs="Times New Roman"/>
          <w:sz w:val="18"/>
        </w:rPr>
      </w:pPr>
    </w:p>
    <w:p w:rsidR="005E252A" w:rsidRDefault="005E252A" w:rsidP="0095703E">
      <w:pPr>
        <w:spacing w:after="0"/>
        <w:rPr>
          <w:rFonts w:ascii="Times New Roman" w:hAnsi="Times New Roman" w:cs="Times New Roman"/>
          <w:sz w:val="18"/>
        </w:rPr>
      </w:pPr>
    </w:p>
    <w:p w:rsidR="005E252A" w:rsidRDefault="005E252A" w:rsidP="0095703E">
      <w:pPr>
        <w:spacing w:after="0"/>
        <w:rPr>
          <w:rFonts w:ascii="Times New Roman" w:hAnsi="Times New Roman" w:cs="Times New Roman"/>
          <w:sz w:val="18"/>
        </w:rPr>
      </w:pPr>
    </w:p>
    <w:p w:rsidR="005E252A" w:rsidRDefault="005E252A" w:rsidP="0095703E">
      <w:pPr>
        <w:spacing w:after="0"/>
        <w:rPr>
          <w:rFonts w:ascii="Times New Roman" w:hAnsi="Times New Roman" w:cs="Times New Roman"/>
          <w:sz w:val="18"/>
        </w:rPr>
      </w:pPr>
    </w:p>
    <w:p w:rsidR="00B861F2" w:rsidRDefault="00FD0A90" w:rsidP="0095703E">
      <w:pPr>
        <w:spacing w:after="0"/>
        <w:rPr>
          <w:rFonts w:ascii="Times New Roman" w:hAnsi="Times New Roman" w:cs="Times New Roman"/>
          <w:sz w:val="18"/>
        </w:rPr>
      </w:pPr>
      <w:r w:rsidRPr="00FD0A90">
        <w:rPr>
          <w:rFonts w:ascii="Times New Roman" w:hAnsi="Times New Roman" w:cs="Times New Roman"/>
          <w:sz w:val="18"/>
        </w:rPr>
        <w:t>Исп.:</w:t>
      </w:r>
      <w:r>
        <w:rPr>
          <w:rFonts w:ascii="Times New Roman" w:hAnsi="Times New Roman" w:cs="Times New Roman"/>
          <w:sz w:val="18"/>
        </w:rPr>
        <w:t xml:space="preserve"> </w:t>
      </w:r>
      <w:proofErr w:type="spellStart"/>
      <w:r>
        <w:rPr>
          <w:rFonts w:ascii="Times New Roman" w:hAnsi="Times New Roman" w:cs="Times New Roman"/>
          <w:sz w:val="18"/>
        </w:rPr>
        <w:t>Метелькова</w:t>
      </w:r>
      <w:proofErr w:type="spellEnd"/>
      <w:r>
        <w:rPr>
          <w:rFonts w:ascii="Times New Roman" w:hAnsi="Times New Roman" w:cs="Times New Roman"/>
          <w:sz w:val="18"/>
        </w:rPr>
        <w:t xml:space="preserve"> Е.О., 8</w:t>
      </w:r>
      <w:r w:rsidR="005E252A">
        <w:rPr>
          <w:rFonts w:ascii="Times New Roman" w:hAnsi="Times New Roman" w:cs="Times New Roman"/>
          <w:sz w:val="18"/>
        </w:rPr>
        <w:t xml:space="preserve"> </w:t>
      </w:r>
      <w:r>
        <w:rPr>
          <w:rFonts w:ascii="Times New Roman" w:hAnsi="Times New Roman" w:cs="Times New Roman"/>
          <w:sz w:val="18"/>
        </w:rPr>
        <w:t>(495) 983-38-83 доб. 0233</w:t>
      </w:r>
    </w:p>
    <w:p w:rsidR="00FD0A90" w:rsidRDefault="00FD0A90" w:rsidP="0095703E">
      <w:pPr>
        <w:spacing w:after="0"/>
        <w:rPr>
          <w:rFonts w:ascii="Times New Roman" w:hAnsi="Times New Roman" w:cs="Times New Roman"/>
          <w:sz w:val="18"/>
        </w:rPr>
      </w:pPr>
      <w:r>
        <w:rPr>
          <w:rFonts w:ascii="Times New Roman" w:hAnsi="Times New Roman" w:cs="Times New Roman"/>
          <w:sz w:val="18"/>
        </w:rPr>
        <w:t xml:space="preserve">          Карачева Н.В., 8</w:t>
      </w:r>
      <w:r w:rsidR="005E252A">
        <w:rPr>
          <w:rFonts w:ascii="Times New Roman" w:hAnsi="Times New Roman" w:cs="Times New Roman"/>
          <w:sz w:val="18"/>
        </w:rPr>
        <w:t xml:space="preserve"> </w:t>
      </w:r>
      <w:r>
        <w:rPr>
          <w:rFonts w:ascii="Times New Roman" w:hAnsi="Times New Roman" w:cs="Times New Roman"/>
          <w:sz w:val="18"/>
        </w:rPr>
        <w:t>(495) 983-38-83 доб. 0261</w:t>
      </w:r>
    </w:p>
    <w:p w:rsidR="00996AA7" w:rsidRDefault="00996AA7" w:rsidP="00996AA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Рекомендации</w:t>
      </w:r>
    </w:p>
    <w:p w:rsidR="00996AA7" w:rsidRDefault="00996AA7" w:rsidP="00996A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по организации и обеспечению (осуществлению) внутреннего контроля совершаемых фактов хозяйственной жизни и ведения бухгалтерского учета и составления бухгалтерской (финансовой) отчетности, включая проведение инвентаризации в целях составления годовой бухгалтерской (финансовой) отчетности</w:t>
      </w:r>
    </w:p>
    <w:p w:rsidR="00996AA7" w:rsidRDefault="00996AA7" w:rsidP="00996AA7">
      <w:pPr>
        <w:spacing w:after="0"/>
        <w:jc w:val="center"/>
        <w:rPr>
          <w:rFonts w:ascii="Times New Roman" w:hAnsi="Times New Roman" w:cs="Times New Roman"/>
          <w:b/>
          <w:sz w:val="28"/>
          <w:szCs w:val="28"/>
        </w:rPr>
      </w:pPr>
    </w:p>
    <w:p w:rsidR="00996AA7" w:rsidRDefault="00996AA7" w:rsidP="00996AA7">
      <w:pPr>
        <w:autoSpaceDE w:val="0"/>
        <w:autoSpaceDN w:val="0"/>
        <w:adjustRightInd w:val="0"/>
        <w:spacing w:after="0" w:line="240" w:lineRule="auto"/>
        <w:ind w:firstLine="720"/>
        <w:jc w:val="both"/>
        <w:rPr>
          <w:rFonts w:ascii="Times New Roman" w:hAnsi="Times New Roman" w:cs="Times New Roman"/>
          <w:sz w:val="28"/>
          <w:szCs w:val="28"/>
        </w:rPr>
      </w:pP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Положениями Федерального закона от 06.12.2011 № 402-ФЗ «О бухгалтерском учете» (далее – Закон № 402-ФЗ) определены единые требования к бухгалтерскому учету в Российской Федерации, в том числе бухгалтерской (финансовой) отчетности, а также правовой механизм регулирования бухгалтерского учета в Российской Федерации. </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государственными (муниципальными) бюджетными и автономными учреждениями) (далее – бухгалтерский учет), а также при составлении, представлении, рассмотрении и утверждении бюджетной отчетности (бухгалтерской (финансовой) отчетности государственных (муниципальных) бюджетных и автономных учреждений) (далее - бухгалтерская (финансовая) отчетность) положения Закона № 402-ФЗ применяются с учетом положений бюджетного законодательства Российской Федерации.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 учетом положений статьи 19 Закона № 402-ФЗ субъект учета обязан орган</w:t>
      </w:r>
      <w:bookmarkStart w:id="0" w:name="_GoBack"/>
      <w:bookmarkEnd w:id="0"/>
      <w:r>
        <w:rPr>
          <w:rFonts w:ascii="Times New Roman" w:hAnsi="Times New Roman" w:cs="Times New Roman"/>
          <w:sz w:val="28"/>
          <w:szCs w:val="28"/>
        </w:rPr>
        <w:t>изовать и осуществлять внутренний контроль:</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совершаемых фактов хозяйственной жизни;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ведения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и составления бюджетной отчетности;</w:t>
      </w:r>
    </w:p>
    <w:p w:rsidR="00996AA7" w:rsidRP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ведения бухгалтерского учета государственных (муниципальных) бюджетных и автономных учреждений и составления бухгалтерской (финансовой) отчетности в случаях, когда бухгалтерская (финансовая) отчетность государственных (муниципальных) бюджетных и автономных учреждений субъекта учета подлежит </w:t>
      </w:r>
      <w:hyperlink r:id="rId7" w:history="1">
        <w:r w:rsidRPr="00996AA7">
          <w:rPr>
            <w:rStyle w:val="a9"/>
            <w:rFonts w:ascii="Times New Roman" w:hAnsi="Times New Roman" w:cs="Times New Roman"/>
            <w:color w:val="auto"/>
            <w:sz w:val="28"/>
            <w:szCs w:val="28"/>
            <w:u w:val="none"/>
          </w:rPr>
          <w:t>обязательному аудиту</w:t>
        </w:r>
      </w:hyperlink>
      <w:r w:rsidRPr="00996AA7">
        <w:rPr>
          <w:rFonts w:ascii="Times New Roman" w:hAnsi="Times New Roman" w:cs="Times New Roman"/>
          <w:sz w:val="28"/>
          <w:szCs w:val="28"/>
        </w:rPr>
        <w:t>.</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ведении бухгалтерского учета, раскрытии информации в бухгалтерской (финансовой) отчетности применяются федеральные стандарты бухгалтерского учета государственных финансов, единая методология бюджетного учета и бюджетной отчетности, установленная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нормативные правовые акты, регулирующие ведение бухгалтерского учета и составление бухгалтерской (финансовой) отчетности).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статьи 160.2-1 Бюджетного кодекса Российской Федерации внутренний финансовый контроль определяется как внутренний процесс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осуществляемый в целях соблюдения требований к исполнению своих бюджетных полномочий, установленных правовыми актами, регулирующими бюджетные правоотношения, к которым также относятся нормативные правовые акты, регулирующие ведение бухгалтерского учета и составление бухгалтерской (финансовой) отчетности.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Положениями федерального стандарта бухгалтерского учета государственных финансов «Учетная политика, оценочные значения и ошибки», утвержденного приказом Минфина России от 30.12.2017 № 274н (далее – СГС «Учетная политика»),</w:t>
      </w:r>
      <w:r>
        <w:rPr>
          <w:rFonts w:ascii="Times New Roman" w:hAnsi="Times New Roman" w:cs="Times New Roman"/>
          <w:b/>
          <w:sz w:val="28"/>
          <w:szCs w:val="28"/>
        </w:rPr>
        <w:t xml:space="preserve"> </w:t>
      </w:r>
      <w:r>
        <w:rPr>
          <w:rFonts w:ascii="Times New Roman" w:hAnsi="Times New Roman" w:cs="Times New Roman"/>
          <w:sz w:val="28"/>
          <w:szCs w:val="28"/>
        </w:rPr>
        <w:t>для организаций бюджетной сферы определены единые требования по регулированию организации реализации полномочий по ведению бухгалтерского учета (составлению бухгалтерской (финансовой) отчетности) – требования к документам учетной политики.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Pr>
          <w:rFonts w:ascii="Times New Roman" w:hAnsi="Times New Roman" w:cs="Times New Roman"/>
          <w:b/>
          <w:sz w:val="28"/>
          <w:szCs w:val="28"/>
        </w:rPr>
        <w:t xml:space="preserve"> </w:t>
      </w:r>
      <w:r>
        <w:rPr>
          <w:rFonts w:ascii="Times New Roman" w:hAnsi="Times New Roman" w:cs="Times New Roman"/>
          <w:sz w:val="28"/>
          <w:szCs w:val="28"/>
        </w:rPr>
        <w:t xml:space="preserve">подпункту «е» пункта 9 СГС «Учетная политика» актами субъекта учета, устанавливающими в целях организации и ведения бухгалтерского учета учетную политику субъекта учета, утверждаются положения об организации и обеспечении (осуществлении) внутреннего контроля, под которым понимается внутренний контроль (в том числе внутренний финансовый контроль) совершаемых фактов хозяйственной жизни и внутренних процессов субъекта учета (казенного, бюджетного или автономного учреждения), осуществляемых в целях соблюдения установленных нормативными правовыми актами, регулирующими ведение бухгалтерского учета и составление бухгалтерской (финансовой) отчетности, </w:t>
      </w:r>
      <w:r>
        <w:rPr>
          <w:rFonts w:ascii="Times New Roman" w:hAnsi="Times New Roman" w:cs="Times New Roman"/>
          <w:sz w:val="28"/>
          <w:szCs w:val="28"/>
        </w:rPr>
        <w:lastRenderedPageBreak/>
        <w:t>требований к ведению бухгалтерского учета и составлению бухгалтерской (финансовой) отчетности.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 фактов хозяйственной жизни (сделок, событий, операций, которые оказывают или способны оказать влияние на финансовое положение субъекта учета, финансовый результат его деятельности и (или) движение денежных средств) и возникающие при их осуществлении объекты бухгалтерского учета определяются полномочиями субъекта учета (далее – полномочия субъекта учета), реализуемыми в соответствии с бюджетным законодательством Российской Федерации и (или) уставом учреждения.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Учитывая вышеизложенное:</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b/>
          <w:sz w:val="28"/>
          <w:szCs w:val="28"/>
        </w:rPr>
        <w:t>объектам внутреннего контроля</w:t>
      </w:r>
      <w:r>
        <w:rPr>
          <w:rFonts w:ascii="Times New Roman" w:hAnsi="Times New Roman" w:cs="Times New Roman"/>
          <w:sz w:val="28"/>
          <w:szCs w:val="28"/>
        </w:rPr>
        <w:t xml:space="preserve"> относятся мероприятия, направленные на реализацию полномочий субъекта учета и обеспечивающие осуществление фактов хозяйственной жизни, в том числе осуществляемые в целях соблюдения требований, установленных нормативными правовыми актами, регулирующими ведение бухгалтерского учета и составление бухгалтерской (финансовой) отчетности (далее – операции по исполнению полномочий субъекта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Pr>
          <w:rFonts w:ascii="Times New Roman" w:hAnsi="Times New Roman" w:cs="Times New Roman"/>
          <w:b/>
          <w:sz w:val="28"/>
          <w:szCs w:val="28"/>
        </w:rPr>
        <w:t>субъектом внутреннего контроля</w:t>
      </w:r>
      <w:r>
        <w:rPr>
          <w:rFonts w:ascii="Times New Roman" w:hAnsi="Times New Roman" w:cs="Times New Roman"/>
          <w:sz w:val="28"/>
          <w:szCs w:val="28"/>
        </w:rPr>
        <w:t xml:space="preserve"> понимаются должностные лица (работники) субъекта учета, которые реализуют операции по исполнению полномочий субъекта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Внутренний контроль осуществляется в целях обеспечения: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достоверности данных о фактах хозяйственной жизни при оформлении, соблюдения установленных законодательством Российской Федерации требований к формированию, полноты и своевременности передачи для отражения на счетах бухгалтерского учета первичных учетных документов;</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полноты, своевременности отражения и соблюдения установленных требований к отражению на счетах бухгалтерского учета объектов бухгалтерского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подтверждения действительного существования, оценки состояния, обоснованности нахождения у субъекта учета и отражения в бухгалтерском учете активов, обязательств и иных объектов бухгалтерского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своевременности и отсутствия существенных ошибок и искажений при составлении, утверждении и представлении бухгалтерской (финансовой) отчетности.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достижения целей внутреннего контроля деятельность субъекта учета должна быть направлена на решение, в частности, следующих задач:</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недопущение отражения в бухгалтерском учете мнимого (в том числе неосуществленных расходов, несуществующих обязательств, не имевших </w:t>
      </w:r>
      <w:r>
        <w:rPr>
          <w:rFonts w:ascii="Times New Roman" w:hAnsi="Times New Roman" w:cs="Times New Roman"/>
          <w:sz w:val="28"/>
          <w:szCs w:val="28"/>
        </w:rPr>
        <w:lastRenderedPageBreak/>
        <w:t>места фактов хозяйственной жизни) или притворного объекта бухгалтерского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проверка полноты отражения в бухгалтерском учете фактов хозяйственной жизни в том отчетном периоде, в котором они имели место быть;</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правильности стоимостного измерения объектов бухгалтерского учета и их отражения на соответствующих счетах бухгалтерского учета и в соответствующих регистрах бухгалтерского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проверка фактического существования и состояния активов и обязательств, отраженных в бухгалтерском учете.</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Регламентация обеспечения (осуществления) внутреннего контроля и применяемых способов его организации устанавливается актами субъекта учета, в том числе документами учетной политики, иными документами, регламентирующими осуществление субъектом учета возложенных на него полномочий (осуществление соответствующих фактов хозяйственной жизни).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способов организации и обеспечения (осуществления) мероприятий по внутреннему контролю объекты внутреннего контроля детализируются (дополняются) путем указания последовательности (периодичности, сроков осуществления) и разграничения полномочий (ротации обязанностей) при осуществлении операций хозяйственной жизни, в том числе момента и способа осуществления в их отношении контрольных действий с применением сервисов или прикладных программных средств автоматизации.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состав мероприятий внутреннего контроля включаются контрольные действия, осуществляемые с использованием сервисов и (или) прикладных программных средств автоматизации (например, выверка показателей счетов бухгалтерского учета по установленным контрольным соотношениям; автоматическое указание реквизитов юридических лиц в электронных первичных учетных документах при интеграции с Единым государственным реестром юридических лиц).</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этапа проведения операций по исполнению полномочий субъекта учета мероприятия внутреннего контроля должны предусматривать:</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предупреждение нарушений установленного порядка осуществления операций по исполнению полномочий субъекта учета – предварительный внутренний контроль;</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нарушений установленного порядка осуществления операций по исполнению полномочий субъекта учета в момент совершения и </w:t>
      </w:r>
      <w:r>
        <w:rPr>
          <w:rFonts w:ascii="Times New Roman" w:hAnsi="Times New Roman" w:cs="Times New Roman"/>
          <w:sz w:val="28"/>
          <w:szCs w:val="28"/>
        </w:rPr>
        <w:lastRenderedPageBreak/>
        <w:t>предупреждение появления негативных последствий – текущий внутренний контроль;</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выявление ошибок и нарушений установленного порядка осуществления операций по исполнению полномочий субъекта учета (при этом средства контроля должны быть направлены на выявление нежелательных последствий и смягчение их негативного влияния) – последующий внутренний контроль.</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применяемым способам мероприятия внутреннего контроля реализуются: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сплошным способом, при котором контрольные действия осуществляются в отношении каждого объекта внутреннего контроля;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выборочным способом, при котором контрольные действия осуществляются в отношении отдельных объектов внутреннего контроля.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д и осуществления мероприятий внутреннего контроля должностные лица (работники) субъекта учета могут осуществлять следующие контрольные действия: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документальное оформление (оформление первичных учетных документов с соблюдением требований к формированию и заполнению унифицированных форм, указание реквизитов при составлении первичных учетных документов, процедурное подтверждение факта хозяйственной жизни) – например, указание информации об организации в карточке учета имущества в личном пользовании (код формы по ОКУД 0509097) в соответствии с данными Единого государственного реестра юридических лиц; контроль соответствия формирования Решения о признании объектов нефинансовых активов (код формы по ОКУД 0510441) установленным требованиям; отражение в бюджетном учете поступлений (увеличений) нефинансовых активов (счет бюджетного учета 030200000 «Расчеты по принятым обязательствам») при наличии факта приемки поставленного товара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или отражении в бухгалтерском учете соответствующего денежного обязательства (счет бюджетного учета 050212000 «Денежные обязательства, принятые на текущий финансовый год»);</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подтверждение соответствия между объектами внутреннего контроля (сверка данных) или их соответствия установленным требованиям – например, недопущение отражения в бухгалтерском учете факта выдачи канцелярских товаров при отсутствии отражения на счетах бухгалтерского учета факта их приобретения (получения), поступления доходов от аренды при отсутствии </w:t>
      </w:r>
      <w:r>
        <w:rPr>
          <w:rFonts w:ascii="Times New Roman" w:hAnsi="Times New Roman" w:cs="Times New Roman"/>
          <w:sz w:val="28"/>
          <w:szCs w:val="28"/>
        </w:rPr>
        <w:lastRenderedPageBreak/>
        <w:t>отражения объектов аренды в бухгалтерском учете, в составе нематериальных активов затрат на создание государственной интегрированной информационной системы, в отношении которой отсутствует свидетельство о регистрации права;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санкционирование (подтверждение) операций (подтверждение правомочности совершения операций) – например, утверждение Отчета о расходах подотчетного лица (код формы по ОКУД 0504520) сотрудника его руководителем;</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разграничение полномочий и ротация обязанностей – например, применение графика документооборота и (или) порядка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надзор – например, проверка отражения объектов бухгалтерского учета на счетах бухгалтерского учета с соблюдением требований, установленных нормативными правовыми актами, регулирующими ведение бухгалтерского учета и составление бухгалтерской (финансовой) отчетности, соблюдения установленных сроков составления бухгалтерской (финансовой) отчетности;</w:t>
      </w:r>
    </w:p>
    <w:p w:rsidR="00996AA7" w:rsidRDefault="00996AA7" w:rsidP="00996AA7">
      <w:pPr>
        <w:spacing w:after="0"/>
        <w:ind w:firstLine="709"/>
        <w:jc w:val="both"/>
        <w:rPr>
          <w:rFonts w:ascii="Times New Roman" w:hAnsi="Times New Roman" w:cs="Times New Roman"/>
          <w:sz w:val="28"/>
          <w:szCs w:val="28"/>
          <w:highlight w:val="green"/>
        </w:rPr>
      </w:pPr>
      <w:r>
        <w:rPr>
          <w:rFonts w:ascii="Times New Roman" w:hAnsi="Times New Roman" w:cs="Times New Roman"/>
          <w:sz w:val="28"/>
          <w:szCs w:val="28"/>
        </w:rPr>
        <w:t>коммуникация в целях получения достоверной информации об экономической сущности операции хозяйственной жизни для обеспечения ее корректного отражения в бухгалтерском учете – например, взаимодействие с лицом, ответственным за оформление факта хозяйственной жизни, для определения экономической сущности операции по приобретению книг в целях корректного отражения их по подстатьям классификации операций сектора государственного управления (книги библиотечного фонда относятся на подстатью 310 «Увеличение стоимости основных средств», предназначенные для использования в учебном процессе и бесплатной раздачи книги относятся на подстатью 346 «Увеличение стоимости прочих материальных запасов», книги как сувенирная (подарочная) продукция относятся на подстатью 349 «Увеличение стоимости прочих материальных запасов однократного применения»);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мониторинг (регулярное наблюдение за операциями хозяйственной жизни и сбор информации об их выполнении в целях определения их эффективности (результативности) – например, проверка своевременности отражения фактов хозяйственной жизни в бухгалтерском учете;</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 фактического наличия и состояния объектов бухгалтерского учета – например, проведение инвентаризации объектов бухгалтерского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иные контрольные действия, предусмотренные документами учетной политики.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пунктом 3 статьи 11 Закона № 402-ФЗ случаи, сроки и порядок проведения инвентаризации, а также перечень объектов, подлежащих инвентаризации, определяются субъектом учета,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80 федерального стандарта бухгалтерского учета государственных финансов «Концептуальные основы бухгалтерского учета и отчетности организаций государственного сектора», утвержденного приказом Минфина России от 31.12.2016 № 256н (далее - «Концептуальные основы») инвентаризация активов и обязательств проводится по основаниям, в сроки и в порядке, установленными субъектом учета в рамках формирования своей учетной политики, а также в случаях, когда проведение инвентаризации является обязательным.</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Пунктом 81 СГС «Концептуальные основы» поименованы случаи проведения обязательной инвентаризации: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хищений или злоупотреблений, а также порчи имущества;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стихийного бедствия, пожара, аварии или других чрезвычайных ситуаций, в том числе вызванных экстремальными условиями;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смене материально ответственных лиц (на день приемки-передачи дел);</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 других случаях, предусмотренных законодательством Российской Федерации, иными нормативными правовыми актами Российской Федерации.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Положениями нормативных правовых актов, регулирующих ведение бухгалтерского учета и составление бухгалтерской (финансовой) отчетности, определено, что в целях составления годовой бухгалтерской (финансовой) отчетности проводится инвентаризация активов и обязательств в порядке, установленном в рамках формирования учетной политики субъекта учета (далее – годовая инвентаризация).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СГС «Концептуальные основы» и СГС «Учетная политика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порядок и условия проведения инвентаризаций, в том числе выборочных инвентаризаций, проводимых в </w:t>
      </w:r>
      <w:proofErr w:type="spellStart"/>
      <w:r>
        <w:rPr>
          <w:rFonts w:ascii="Times New Roman" w:hAnsi="Times New Roman" w:cs="Times New Roman"/>
          <w:sz w:val="28"/>
          <w:szCs w:val="28"/>
        </w:rPr>
        <w:t>межинвентаризационный</w:t>
      </w:r>
      <w:proofErr w:type="spellEnd"/>
      <w:r>
        <w:rPr>
          <w:rFonts w:ascii="Times New Roman" w:hAnsi="Times New Roman" w:cs="Times New Roman"/>
          <w:sz w:val="28"/>
          <w:szCs w:val="28"/>
        </w:rPr>
        <w:t xml:space="preserve"> (между обязательными инвентаризациями) период, состав объектов инвентаризации, способы проведения инвентаризации (сплошная, выборочная, </w:t>
      </w:r>
      <w:r>
        <w:rPr>
          <w:rFonts w:ascii="Times New Roman" w:hAnsi="Times New Roman" w:cs="Times New Roman"/>
          <w:sz w:val="28"/>
          <w:szCs w:val="28"/>
        </w:rPr>
        <w:lastRenderedPageBreak/>
        <w:t>технологическая, путем осмотра и иные способы) устанавливаются субъектом учета актами, принимаемыми в рамках формирования его учетной политики.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повышения достоверности показателей, отражаемых в годовой бухгалтерской (финансовой) отчетности, обязательной инвентаризации подлежат активы и обязательства, некорректное раскрытие информации о которых существенным образом может повлиять на достоверность отчетности. </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Например, к такой информации, относится:</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информация о качественном состоянии дебиторской и кредиторской задолженности (просроченной задолженности). В связи с чем, проведение годовой инвентаризации в целях выявления просроченной задолженности (урегулирования указанной задолженности), квалификации объектов, не являющихся балансовыми объектами бухгалтерского учета (сомнительная задолженность по доходам, кредиторская задолженность, не востребованная кредиторами), является обязательным;</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информация об объектах произведенных капитальных вложений (затрат, понесенных на незавершенное строительство объектов капитального строительства, а также капитальных вложений в объекты незавершенного строительства). В связи с чем проведение годовой инвентаризации в целях выявления статусов (целевых функций) произведенных капитальных вложений (с учетом требований по раскрытию информации, предусмотренных при составлении годовой бухгалтерской (финансовой) отчетности за 2022 год, утвержденных приказом Минфина России 01.12.2022 № 183н «О внесении изменений в 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 приказом Минфина России от 09.12.2022 № 186н «О внесении изменений в 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является обязательным;</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об объектах налогообложения (в частности, налога на имущества организаций). В связи с чем проведение годовой инвентаризации в целях подтверждения корректного отражения стоимостных оценок объектов недвижимого имущества, является обязательным. Следует отметить, что наиболее эффективным способом проведения инвентаризации объектов недвижимости является осуществление выверки информации об объектах </w:t>
      </w:r>
      <w:r>
        <w:rPr>
          <w:rFonts w:ascii="Times New Roman" w:hAnsi="Times New Roman" w:cs="Times New Roman"/>
          <w:sz w:val="28"/>
          <w:szCs w:val="28"/>
        </w:rPr>
        <w:lastRenderedPageBreak/>
        <w:t>недвижимости, отраженных в бухгалтерском учете и в государственных реестрах (способом технологической выверки (интеграции);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информация об объектах бухгалтерского учета, формирующих показатели, в отношении которых законодательством Российской Федерации установлены ограничения (например, установленный на соответствующий финансовый год федеральным законом о федеральном бюджете на очередной финансовый год и плановый период верхний предел государственного внутреннего (внешнего) долга Российской Федерации; установленные законодательством Российской Федерации о некоммерческих организациях требования к сделкам с особо ценным имуществом, крупным сделкам). В связи с чем проведение годовой инвентаризации объектов бухгалтерского учета, формирующих такие показатели, является обязательным;</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об объектах бухгалтерского учета, в отношении которых по результатам сверок (выверок) данных с другими субъектами учета, организациями, проведенных в течение финансового года, выявлены расхождения (например,  выявленные по результатам выверки неурегулированные консолидируемые расчеты (письмо Минфина России от 11.11.2022 </w:t>
      </w:r>
      <w:r>
        <w:rPr>
          <w:rFonts w:ascii="Times New Roman" w:hAnsi="Times New Roman" w:cs="Times New Roman"/>
          <w:sz w:val="28"/>
          <w:szCs w:val="28"/>
        </w:rPr>
        <w:br/>
        <w:t>№ 02-06-09/110261).  В связи с чем проведение годовой инвентаризации в целях подтверждения корректного отражения стоимостных оценок таких объектов бухгалтерского учета является обязательным.</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отношении объектов бухгалтерского учета, возникших при осуществлении полномочий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в отношении которых по результатам осуществления внутреннего финансового аудита выявлены факты и (или) признаки, влияющие на достоверность бюджетной отчетности и порядок ведения бюджетного учета, проведение инвентаризаций в течение финансового года, в котором выявлены указанные факты и (или) признаки, или годовой инвентаризации является обязательным. </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передачи субъектом учета полномочий по ведению бухгалтерского учета и составлению и представлению бухгалтерской (финансовой) отчетности иной организации (централизованной бухгалтерии) внутренний контроль осуществляется субъектом учета и организацией (централизованной бухгалтерией) в отношении операций по исполнению полномочий субъекта учета в соответствии с положениями о разграничении ответственности, установленными соответствующим решением </w:t>
      </w:r>
      <w:r>
        <w:rPr>
          <w:rFonts w:ascii="Times New Roman" w:hAnsi="Times New Roman" w:cs="Times New Roman"/>
          <w:sz w:val="28"/>
          <w:szCs w:val="28"/>
        </w:rPr>
        <w:lastRenderedPageBreak/>
        <w:t>(соглашением, договором) о передаче полномочий с учетом положений графика документооборота и (или) порядка взаимодействия субъекта учета и организации (централизованной бухгалтерии).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Мероприятия внутреннего контроля в таком случае подразделяются на контрольные действия, осуществляемые:</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субъектом учета или организацией (централизованной бухгалтерией) в зависимости от положений о разграничении ответственности (например, подтверждение соответствия между объектами внутреннего контроля - поступления (увеличения) нефинансовых активов и соответствующего денежного обязательства осуществляются на основе данных бухгалтерского учета организацией, обеспечивающей регистрацию содержащихся в первичных учетных документах данных в регистрах бухгалтерского учета).</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субъектом учета и организацией (централизованной бухгалтерией) – например, при документальном оформлении факта хозяйственной жизни.</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Внутренний контроль за соблюдением своевременности передачи первичных учетных документов, в том числе бухгалтерских справок (код формы по ОКУД 0504883) для регистрации содержащихся в них данных в регистрах бухгалтерского учета и обеспечения достоверности содержащихся в них данных о фактах хозяйственной жизни, осуществляется лицами, ответственными за оформление факта хозяйственной жизни</w:t>
      </w:r>
      <w:r>
        <w:rPr>
          <w:rStyle w:val="a8"/>
          <w:rFonts w:ascii="Times New Roman" w:hAnsi="Times New Roman" w:cs="Times New Roman"/>
          <w:sz w:val="28"/>
          <w:szCs w:val="28"/>
        </w:rPr>
        <w:footnoteReference w:id="1"/>
      </w:r>
      <w:r>
        <w:rPr>
          <w:rFonts w:ascii="Times New Roman" w:hAnsi="Times New Roman" w:cs="Times New Roman"/>
          <w:sz w:val="28"/>
          <w:szCs w:val="28"/>
        </w:rPr>
        <w:t>.</w:t>
      </w:r>
    </w:p>
    <w:p w:rsidR="00996AA7" w:rsidRDefault="00996AA7" w:rsidP="00996AA7">
      <w:pPr>
        <w:spacing w:after="0"/>
        <w:ind w:firstLine="709"/>
        <w:jc w:val="both"/>
        <w:rPr>
          <w:rFonts w:ascii="Times New Roman" w:hAnsi="Times New Roman" w:cs="Times New Roman"/>
          <w:sz w:val="28"/>
          <w:szCs w:val="28"/>
        </w:rPr>
      </w:pPr>
      <w:r>
        <w:rPr>
          <w:rFonts w:ascii="Times New Roman" w:hAnsi="Times New Roman" w:cs="Times New Roman"/>
          <w:sz w:val="28"/>
          <w:szCs w:val="28"/>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Pr>
          <w:rStyle w:val="a8"/>
          <w:rFonts w:ascii="Times New Roman" w:hAnsi="Times New Roman" w:cs="Times New Roman"/>
          <w:sz w:val="28"/>
          <w:szCs w:val="28"/>
        </w:rPr>
        <w:footnoteReference w:id="2"/>
      </w:r>
      <w:r>
        <w:rPr>
          <w:rFonts w:ascii="Times New Roman" w:hAnsi="Times New Roman" w:cs="Times New Roman"/>
          <w:sz w:val="28"/>
          <w:szCs w:val="28"/>
        </w:rPr>
        <w:t>. При этом внутренний контроль за соблюдением требований к оформлению первичных учетных документов также осуществляется организацией, обеспечивающей регистрацию содержащихся в них данных в регистрах бухгалтерского учета.</w:t>
      </w:r>
    </w:p>
    <w:p w:rsidR="00996AA7" w:rsidRPr="00684314" w:rsidRDefault="00996AA7" w:rsidP="0095703E">
      <w:pPr>
        <w:spacing w:after="0"/>
        <w:rPr>
          <w:rFonts w:ascii="Times New Roman" w:hAnsi="Times New Roman" w:cs="Times New Roman"/>
          <w:sz w:val="18"/>
        </w:rPr>
      </w:pPr>
    </w:p>
    <w:sectPr w:rsidR="00996AA7" w:rsidRPr="0068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28" w:rsidRDefault="00785B28" w:rsidP="00996AA7">
      <w:pPr>
        <w:spacing w:after="0" w:line="240" w:lineRule="auto"/>
      </w:pPr>
      <w:r>
        <w:separator/>
      </w:r>
    </w:p>
  </w:endnote>
  <w:endnote w:type="continuationSeparator" w:id="0">
    <w:p w:rsidR="00785B28" w:rsidRDefault="00785B28" w:rsidP="0099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28" w:rsidRDefault="00785B28" w:rsidP="00996AA7">
      <w:pPr>
        <w:spacing w:after="0" w:line="240" w:lineRule="auto"/>
      </w:pPr>
      <w:r>
        <w:separator/>
      </w:r>
    </w:p>
  </w:footnote>
  <w:footnote w:type="continuationSeparator" w:id="0">
    <w:p w:rsidR="00785B28" w:rsidRDefault="00785B28" w:rsidP="00996AA7">
      <w:pPr>
        <w:spacing w:after="0" w:line="240" w:lineRule="auto"/>
      </w:pPr>
      <w:r>
        <w:continuationSeparator/>
      </w:r>
    </w:p>
  </w:footnote>
  <w:footnote w:id="1">
    <w:p w:rsidR="00996AA7" w:rsidRDefault="00996AA7" w:rsidP="00996AA7">
      <w:pPr>
        <w:pStyle w:val="a6"/>
        <w:rPr>
          <w:sz w:val="16"/>
          <w:szCs w:val="16"/>
        </w:rPr>
      </w:pPr>
      <w:r>
        <w:rPr>
          <w:rStyle w:val="a8"/>
          <w:rFonts w:ascii="Times New Roman" w:hAnsi="Times New Roman" w:cs="Times New Roman"/>
          <w:sz w:val="16"/>
          <w:szCs w:val="16"/>
        </w:rPr>
        <w:footnoteRef/>
      </w:r>
      <w:r>
        <w:rPr>
          <w:rFonts w:ascii="Times New Roman" w:hAnsi="Times New Roman" w:cs="Times New Roman"/>
          <w:sz w:val="16"/>
          <w:szCs w:val="16"/>
        </w:rPr>
        <w:t> Часть 3 статьи 9 Федерального закона от 06.12.2011 № 402-ФЗ «О бухгалтерском учете».</w:t>
      </w:r>
    </w:p>
  </w:footnote>
  <w:footnote w:id="2">
    <w:p w:rsidR="00996AA7" w:rsidRDefault="00996AA7" w:rsidP="00996AA7">
      <w:pPr>
        <w:pStyle w:val="a6"/>
        <w:jc w:val="both"/>
        <w:rPr>
          <w:rFonts w:ascii="Times New Roman" w:hAnsi="Times New Roman" w:cs="Times New Roman"/>
        </w:rPr>
      </w:pPr>
      <w:r>
        <w:rPr>
          <w:rStyle w:val="a8"/>
          <w:rFonts w:ascii="Times New Roman" w:hAnsi="Times New Roman" w:cs="Times New Roman"/>
          <w:sz w:val="16"/>
          <w:szCs w:val="16"/>
        </w:rPr>
        <w:footnoteRef/>
      </w:r>
      <w:r>
        <w:rPr>
          <w:rFonts w:ascii="Times New Roman" w:hAnsi="Times New Roman" w:cs="Times New Roman"/>
          <w:sz w:val="16"/>
          <w:szCs w:val="16"/>
        </w:rPr>
        <w:t> Пункт 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8D"/>
    <w:rsid w:val="00036A69"/>
    <w:rsid w:val="00080E64"/>
    <w:rsid w:val="000E0056"/>
    <w:rsid w:val="002968CD"/>
    <w:rsid w:val="002E0DB3"/>
    <w:rsid w:val="003D0108"/>
    <w:rsid w:val="0041617F"/>
    <w:rsid w:val="00460049"/>
    <w:rsid w:val="004B551D"/>
    <w:rsid w:val="005E252A"/>
    <w:rsid w:val="00636243"/>
    <w:rsid w:val="00680AA5"/>
    <w:rsid w:val="00684314"/>
    <w:rsid w:val="00785B28"/>
    <w:rsid w:val="00802AAE"/>
    <w:rsid w:val="00874A7E"/>
    <w:rsid w:val="0093777C"/>
    <w:rsid w:val="0095703E"/>
    <w:rsid w:val="00996AA7"/>
    <w:rsid w:val="009A66F3"/>
    <w:rsid w:val="009B5A92"/>
    <w:rsid w:val="009D2E5D"/>
    <w:rsid w:val="00A076E6"/>
    <w:rsid w:val="00A115E2"/>
    <w:rsid w:val="00AA39C3"/>
    <w:rsid w:val="00B861F2"/>
    <w:rsid w:val="00C22613"/>
    <w:rsid w:val="00C5288D"/>
    <w:rsid w:val="00C93C71"/>
    <w:rsid w:val="00CC6C5A"/>
    <w:rsid w:val="00CF1FAE"/>
    <w:rsid w:val="00D8576F"/>
    <w:rsid w:val="00E5396F"/>
    <w:rsid w:val="00E90303"/>
    <w:rsid w:val="00F23FC3"/>
    <w:rsid w:val="00FC12B8"/>
    <w:rsid w:val="00FD0A90"/>
    <w:rsid w:val="00FD6D9E"/>
    <w:rsid w:val="00FF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97AE"/>
  <w15:docId w15:val="{001FB444-91F7-4B56-806D-E2843ED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5703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703E"/>
    <w:rPr>
      <w:rFonts w:ascii="Arial" w:hAnsi="Arial" w:cs="Arial"/>
      <w:b/>
      <w:bCs/>
      <w:color w:val="26282F"/>
      <w:sz w:val="24"/>
      <w:szCs w:val="24"/>
    </w:rPr>
  </w:style>
  <w:style w:type="paragraph" w:customStyle="1" w:styleId="a3">
    <w:name w:val="Прижатый влево"/>
    <w:basedOn w:val="a"/>
    <w:next w:val="a"/>
    <w:uiPriority w:val="99"/>
    <w:rsid w:val="0095703E"/>
    <w:pPr>
      <w:autoSpaceDE w:val="0"/>
      <w:autoSpaceDN w:val="0"/>
      <w:adjustRightInd w:val="0"/>
      <w:spacing w:after="0" w:line="240" w:lineRule="auto"/>
    </w:pPr>
    <w:rPr>
      <w:rFonts w:ascii="Arial" w:hAnsi="Arial" w:cs="Arial"/>
      <w:sz w:val="24"/>
      <w:szCs w:val="24"/>
    </w:rPr>
  </w:style>
  <w:style w:type="paragraph" w:customStyle="1" w:styleId="a4">
    <w:name w:val="Рисунок"/>
    <w:basedOn w:val="a"/>
    <w:link w:val="a5"/>
    <w:qFormat/>
    <w:rsid w:val="0095703E"/>
    <w:pPr>
      <w:spacing w:after="0" w:line="240" w:lineRule="auto"/>
      <w:contextualSpacing/>
    </w:pPr>
    <w:rPr>
      <w:rFonts w:ascii="Times New Roman" w:eastAsia="Calibri" w:hAnsi="Times New Roman" w:cs="Times New Roman"/>
      <w:noProof/>
      <w:sz w:val="24"/>
      <w:szCs w:val="28"/>
    </w:rPr>
  </w:style>
  <w:style w:type="character" w:customStyle="1" w:styleId="a5">
    <w:name w:val="Рисунок Знак"/>
    <w:link w:val="a4"/>
    <w:rsid w:val="0095703E"/>
    <w:rPr>
      <w:rFonts w:ascii="Times New Roman" w:eastAsia="Calibri" w:hAnsi="Times New Roman" w:cs="Times New Roman"/>
      <w:noProof/>
      <w:sz w:val="24"/>
      <w:szCs w:val="28"/>
    </w:rPr>
  </w:style>
  <w:style w:type="paragraph" w:styleId="a6">
    <w:name w:val="footnote text"/>
    <w:basedOn w:val="a"/>
    <w:link w:val="a7"/>
    <w:uiPriority w:val="99"/>
    <w:semiHidden/>
    <w:unhideWhenUsed/>
    <w:rsid w:val="00996AA7"/>
    <w:pPr>
      <w:spacing w:after="0" w:line="240" w:lineRule="auto"/>
    </w:pPr>
    <w:rPr>
      <w:sz w:val="20"/>
      <w:szCs w:val="20"/>
    </w:rPr>
  </w:style>
  <w:style w:type="character" w:customStyle="1" w:styleId="a7">
    <w:name w:val="Текст сноски Знак"/>
    <w:basedOn w:val="a0"/>
    <w:link w:val="a6"/>
    <w:uiPriority w:val="99"/>
    <w:semiHidden/>
    <w:rsid w:val="00996AA7"/>
    <w:rPr>
      <w:sz w:val="20"/>
      <w:szCs w:val="20"/>
    </w:rPr>
  </w:style>
  <w:style w:type="character" w:styleId="a8">
    <w:name w:val="footnote reference"/>
    <w:basedOn w:val="a0"/>
    <w:uiPriority w:val="99"/>
    <w:semiHidden/>
    <w:unhideWhenUsed/>
    <w:rsid w:val="00996AA7"/>
    <w:rPr>
      <w:vertAlign w:val="superscript"/>
    </w:rPr>
  </w:style>
  <w:style w:type="character" w:styleId="a9">
    <w:name w:val="Hyperlink"/>
    <w:basedOn w:val="a0"/>
    <w:uiPriority w:val="99"/>
    <w:semiHidden/>
    <w:unhideWhenUsed/>
    <w:rsid w:val="00996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591944593861A4803E4B74F7BC6E4024DE619C3E2C0BC16748E2AC7F689AECF9F8A3B7675BE5F844AB261A62T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ДМИТРИЙ АНАТОЛЬЕВИЧ</dc:creator>
  <cp:lastModifiedBy>Карачева Наталья Владимировна</cp:lastModifiedBy>
  <cp:revision>6</cp:revision>
  <cp:lastPrinted>2018-06-29T16:27:00Z</cp:lastPrinted>
  <dcterms:created xsi:type="dcterms:W3CDTF">2022-12-23T07:35:00Z</dcterms:created>
  <dcterms:modified xsi:type="dcterms:W3CDTF">2022-12-28T06:00:00Z</dcterms:modified>
</cp:coreProperties>
</file>