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Ind w:w="-5" w:type="dxa"/>
        <w:tblLook w:val="04A0" w:firstRow="1" w:lastRow="0" w:firstColumn="1" w:lastColumn="0" w:noHBand="0" w:noVBand="1"/>
      </w:tblPr>
      <w:tblGrid>
        <w:gridCol w:w="7088"/>
        <w:gridCol w:w="7508"/>
      </w:tblGrid>
      <w:tr w:rsidR="006A507B" w:rsidTr="006A507B">
        <w:tc>
          <w:tcPr>
            <w:tcW w:w="7088" w:type="dxa"/>
            <w:tcBorders>
              <w:top w:val="single" w:sz="4" w:space="0" w:color="auto"/>
            </w:tcBorders>
          </w:tcPr>
          <w:p w:rsidR="006A507B" w:rsidRPr="007162F6" w:rsidRDefault="006A507B" w:rsidP="006A507B">
            <w:pPr>
              <w:spacing w:line="276" w:lineRule="auto"/>
              <w:ind w:firstLine="457"/>
              <w:jc w:val="center"/>
              <w:rPr>
                <w:rFonts w:ascii="Times New Roman" w:hAnsi="Times New Roman" w:cs="Times New Roman"/>
                <w:b/>
              </w:rPr>
            </w:pPr>
            <w:r w:rsidRPr="007162F6">
              <w:rPr>
                <w:rFonts w:ascii="Times New Roman" w:hAnsi="Times New Roman" w:cs="Times New Roman"/>
                <w:b/>
              </w:rPr>
              <w:t>Особое мнение членов общественного совета</w:t>
            </w:r>
          </w:p>
        </w:tc>
        <w:tc>
          <w:tcPr>
            <w:tcW w:w="7508" w:type="dxa"/>
            <w:tcBorders>
              <w:top w:val="single" w:sz="4" w:space="0" w:color="auto"/>
            </w:tcBorders>
          </w:tcPr>
          <w:p w:rsidR="006A507B" w:rsidRPr="007162F6" w:rsidRDefault="006A507B" w:rsidP="006A507B">
            <w:pPr>
              <w:spacing w:line="276" w:lineRule="auto"/>
              <w:ind w:firstLine="457"/>
              <w:jc w:val="center"/>
              <w:rPr>
                <w:rFonts w:ascii="Times New Roman" w:hAnsi="Times New Roman" w:cs="Times New Roman"/>
                <w:b/>
              </w:rPr>
            </w:pPr>
            <w:r w:rsidRPr="007162F6">
              <w:rPr>
                <w:rFonts w:ascii="Times New Roman" w:hAnsi="Times New Roman" w:cs="Times New Roman"/>
                <w:b/>
              </w:rPr>
              <w:t>Позиция Минфина России и Гохрана России</w:t>
            </w:r>
          </w:p>
        </w:tc>
      </w:tr>
      <w:tr w:rsidR="00180E45" w:rsidRPr="00545495" w:rsidTr="00AC4E43">
        <w:tc>
          <w:tcPr>
            <w:tcW w:w="14596" w:type="dxa"/>
            <w:gridSpan w:val="2"/>
          </w:tcPr>
          <w:p w:rsidR="00180E45" w:rsidRPr="007162F6" w:rsidRDefault="00180E45" w:rsidP="00180E4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  <w:r w:rsidRPr="006A507B">
              <w:rPr>
                <w:rFonts w:ascii="Times New Roman" w:hAnsi="Times New Roman" w:cs="Times New Roman"/>
                <w:b/>
              </w:rPr>
              <w:t xml:space="preserve">Член Общественного совета при Министерстве финансов Российской Федерации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>Лисин</w:t>
            </w:r>
            <w:r w:rsidRPr="007162F6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 xml:space="preserve"> В.С.</w:t>
            </w:r>
          </w:p>
        </w:tc>
      </w:tr>
      <w:tr w:rsidR="00180E45" w:rsidRPr="00545495" w:rsidTr="006A507B">
        <w:tc>
          <w:tcPr>
            <w:tcW w:w="7088" w:type="dxa"/>
          </w:tcPr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Остаются в силе замечания, описанные ранее в ходе рассмотрения программы по снижению уровня рисков на 2022 г.: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Представленный документ носит формальный характер и не будет способствовать снижению уровня риска в сфере оборота драгоценных камней. Считаю необходимым провести обсуждение с поднадзорными субъектами и сформировать конкретный перечень мероприятий, которые позволят минимизировать нарушения в регулируемой сфере.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Так, например, представляется целесообразной переработка документа по следующим направлениям.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ab/>
              <w:t>В отношении анализа текущего состояния: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Перечислить перечень конкретных проблем на производственных объектах, из-за которых в оборот поступают камни с недостоверными параметрами;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Привести оценку существующих нарушений в денежном выражении в масштабах отрасли (в абсолютном выражении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в процентном от размера отрасли);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Выделить топ-10 причин возникновения указанных проблем (нарушений).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</w:t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ab/>
              <w:t>В отношении перечня профилактических мероприятий: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По каждому блоку мероприятий выделить не менее пяти конкретных действий Гохрана России, которые направлены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на устранение выявленных в рамках первого блока причин возникновения проблем. Например, не просто указать «консультирование представителей производственных объектов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 предмет соблюдения требований», а конкретно способ, предмет (содержание) и сроки данных консультаций.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</w:t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ab/>
              <w:t>В отношении КПЭ: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Установить только два КПЭ: (1) минимизация стоимости некачественных камней на Х%, (2) минимизация соответствующих проверок и предписаний (т.к. профилактические мероприятия как раз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направлены на разъяснение и уменьшение числа неумышленных нарушений).</w:t>
            </w:r>
          </w:p>
        </w:tc>
        <w:tc>
          <w:tcPr>
            <w:tcW w:w="7508" w:type="dxa"/>
          </w:tcPr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Предметом постоянного государственного контроля (надзора) является соблюдение обязательных требований организациями именно в части сортировки, первичной классификации и первичной оценки драгоценных камней. Уполномоченные должностные лица Гохрана России ежедневно (постоянно) проводят соответствующие мероприятия, установленные ежегодно утверждаемыми Минфином России графиками их проведения, 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в отношении добытых драгоценных камней на предмет соответствия 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их классификационных и стоимостных параметров. В случае выявления несоответствий классификационных и стоимостных параметров драгоценных камней при проведении мероприятий организации устраняют выявленные несоответствия до окончания проведения мероприятий. В случае 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не устранения выявленных несоответствий, организации выдается предписание. 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ab/>
              <w:t>До выполнения предписания (устранения выявленных несоответствий) драгоценные камни в оборот не поступают.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ab/>
              <w:t>1. В отношении анализа текущего состояния.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ab/>
              <w:t xml:space="preserve">В разделе I «Анализ текущего состояния» проекта приказа Минфина России обозначен наиболее значимый риск в деятельности организаций, осуществляющих сортировку, первичную классификацию и первичную оценку добытых драгоценных камней, а именно поступление в оборот драгоценных камней с недостоверными классификационными 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и стоимостными параметрами. В тоже время в разделе указываются конкретные проблемы, выявленные при осуществлении постоянного государственного контроля (надзора) в 2022 году и не относящиеся к наиболее значимому риску в деятельности организаций.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ab/>
              <w:t xml:space="preserve">Благодаря осуществлению уполномоченными должностными лицами Гохрана России постоянного государственного контроля (надзора) 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с соблюдением норм и правил, установленных нормативными правовыми актами, регламентирующими его осуществление, в оборот поступают драгоценные камни с достоверными классификационными и стоимостными параметрами. 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Обращаем внимание, что оценка существующих нарушений в денежном выражении в масштабах отрасли (в части проверки правильности </w:t>
            </w: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lastRenderedPageBreak/>
              <w:t>определения классификационных характеристик и первичной оценки добытых драгоценных камней) отражается в докладе об осуществлении постоянного государственного контроля (надзора) Гохраном России, ежегодно представляемом в Минфин России.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Причинами возникновения нарушений обязательных требований, в части несоответствий классификационных характеристик и первичной оценки драгоценных камней, выявляемых уполномоченными должностными лицами Гохрана России при проведении мероприятий, установленных ежегодно утверждаемыми Минфином России графиками их проведения, являются несвоевременная или недостаточная осведомленность о нормативно-технических документах организации, регулирующих процесс сортировки, первичной классификации и первичной оценки, а также некорректное применение образцов драгоценных камней.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На предотвращение таких проблем (нарушений) и направлена деятельность по организации и проведению профилактических мероприятий, которые в свою очередь способствуют предупреждению нарушений обязательных требований.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2. В отношении перечня профилактических мероприятий.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Виды профилактических мероприятий, а также действия, которые могут осуществляться должностными лицами контрольного (надзорного) органа, установлены Федеральным зако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ном от 31 июля 2020 г. № 248-ФЗ</w:t>
            </w: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«О государственном контроле (надзоре) и муниципальном контроле в Российской Федерации» (глава 10).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Каждое профилактическое мероприятие содержит исчерпывающий перечень действий уполномоченных должностных лиц Гохрана России 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br/>
            </w:r>
            <w:bookmarkStart w:id="0" w:name="_GoBack"/>
            <w:bookmarkEnd w:id="0"/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в рамках каждого профилактического мероприятия. В частности, в рамках мероприятия «консультирование представителей производственных объектов на предмет соблюдения требований» указаны способы его осуществления: посредством информационных встреч, видео-конференц-связи, по телефону. 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Отражение конкретики в рамках мероприятия «консультирование представителей производственных объектов на предмет соблюдения требований» не представляется возможным, так как на практике способ, предмет (содержание) и сроки данных консультаций определяются по мере необходимости и возникновения самого предмета консультации (в том числе по просьбе организации), который невозможно предвидеть.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lastRenderedPageBreak/>
              <w:t>3. В отношении КПЭ.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(1) В связи с тем, что в оборот поступают драгоценные камни, классификационные характеристики и первичная оценка которых всегда соответствуют нормативным правовым актам и нормативно-техническим документам организаций, показатель минимизации стоимости некачественных драгоценных камней не может быть установлен.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(2) Постоянный государственный контроль (надзор) осуществляется уполномоченными должностными лицами Гохрана России посредством проведения мероприятий в соответствии с графиками их проведения, ежегодно утверждаемыми Минфином России, непрерывно в течение года. Проверки при осуществлении постоянного государственного контроля (надзора) отсутствуют.</w:t>
            </w:r>
          </w:p>
          <w:p w:rsidR="00180E45" w:rsidRPr="00180E45" w:rsidRDefault="00180E45" w:rsidP="00180E45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С учетом изложенного не представляется возможным ввести показатель минимизации количества мероприятий. </w:t>
            </w:r>
          </w:p>
          <w:p w:rsidR="00180E45" w:rsidRPr="007162F6" w:rsidRDefault="00180E45" w:rsidP="00180E4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Так как нормы действующего законодательства направлены </w:t>
            </w:r>
            <w:r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на предупреждение, выявление и пресечение нарушений обязательных требований, посредством профилактики нарушений обязательных требований, постоянный государственный контроль (надзор) осуществляется в соответствии с данным направлением. Уполномоченные должностные лица проводят большую работу в рамках профилактических мероприятий, за счет чего минимизируется количество возможных предписаний. Результаты данной работы отражены в показателях, представленных в рассматриваемом проекте приказа Минфина России.</w:t>
            </w:r>
          </w:p>
        </w:tc>
      </w:tr>
      <w:tr w:rsidR="00180E45" w:rsidRPr="00545495" w:rsidTr="000F4489">
        <w:tc>
          <w:tcPr>
            <w:tcW w:w="14596" w:type="dxa"/>
            <w:gridSpan w:val="2"/>
          </w:tcPr>
          <w:p w:rsidR="00180E45" w:rsidRPr="006A507B" w:rsidRDefault="00180E45" w:rsidP="00180E4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  <w:r w:rsidRPr="006A507B">
              <w:rPr>
                <w:rFonts w:ascii="Times New Roman" w:hAnsi="Times New Roman" w:cs="Times New Roman"/>
                <w:b/>
              </w:rPr>
              <w:lastRenderedPageBreak/>
              <w:t xml:space="preserve">Член Общественного совета при Министерстве финансов Российской Федерации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7162F6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 xml:space="preserve">Хоружий </w:t>
            </w:r>
            <w:r w:rsidRPr="007162F6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>Л.И.</w:t>
            </w:r>
          </w:p>
        </w:tc>
      </w:tr>
      <w:tr w:rsidR="00180E45" w:rsidRPr="00545495" w:rsidTr="006A507B">
        <w:tc>
          <w:tcPr>
            <w:tcW w:w="7088" w:type="dxa"/>
          </w:tcPr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Обращаю внимание на опечатку (в проекте Программы) в абзаце 2 раздела 1 (выделено):</w:t>
            </w:r>
          </w:p>
          <w:p w:rsidR="00180E45" w:rsidRPr="00180E45" w:rsidRDefault="00180E45" w:rsidP="00180E45">
            <w:pPr>
              <w:widowControl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«Перечень нормативных правовых актов (их отдельных положений), содержащих обязательные требования в области добычи драгоценных камней (в части сортировки, первичной классификации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 первичной оценки драгоценных камней), установленных Федеральным законом от 26 марта 1998 г. № 41-ФЗ «О драгоценных металлах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и драгоценных камнях», </w:t>
            </w:r>
            <w:r w:rsidRPr="00180E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другими федеральным марта и законами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br/>
            </w:r>
            <w:r w:rsidRPr="00180E4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и иными нормативными</w:t>
            </w:r>
            <w:r w:rsidRPr="00180E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правовыми актами Российской Федерации…».</w:t>
            </w:r>
          </w:p>
          <w:p w:rsidR="00180E45" w:rsidRPr="00180E45" w:rsidRDefault="00180E45" w:rsidP="00180E4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20" w:firstLine="457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7508" w:type="dxa"/>
          </w:tcPr>
          <w:p w:rsidR="00180E45" w:rsidRPr="007162F6" w:rsidRDefault="00180E45" w:rsidP="00180E4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57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  <w:r w:rsidRPr="007162F6"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  <w:t>Учтено проектом приказа Минфина России.</w:t>
            </w:r>
          </w:p>
        </w:tc>
      </w:tr>
    </w:tbl>
    <w:p w:rsidR="003451F1" w:rsidRPr="00545495" w:rsidRDefault="003451F1" w:rsidP="006A507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ucida Sans"/>
          <w:b/>
          <w:kern w:val="1"/>
          <w:sz w:val="28"/>
          <w:szCs w:val="28"/>
          <w:lang w:eastAsia="zh-CN" w:bidi="hi-IN"/>
        </w:rPr>
      </w:pPr>
    </w:p>
    <w:sectPr w:rsidR="003451F1" w:rsidRPr="00545495" w:rsidSect="006A507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AA" w:rsidRDefault="009853AA" w:rsidP="00545495">
      <w:pPr>
        <w:spacing w:after="0" w:line="240" w:lineRule="auto"/>
      </w:pPr>
      <w:r>
        <w:separator/>
      </w:r>
    </w:p>
  </w:endnote>
  <w:endnote w:type="continuationSeparator" w:id="0">
    <w:p w:rsidR="009853AA" w:rsidRDefault="009853AA" w:rsidP="0054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AA" w:rsidRDefault="009853AA" w:rsidP="00545495">
      <w:pPr>
        <w:spacing w:after="0" w:line="240" w:lineRule="auto"/>
      </w:pPr>
      <w:r>
        <w:separator/>
      </w:r>
    </w:p>
  </w:footnote>
  <w:footnote w:type="continuationSeparator" w:id="0">
    <w:p w:rsidR="009853AA" w:rsidRDefault="009853AA" w:rsidP="0054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95"/>
    <w:rsid w:val="00180E45"/>
    <w:rsid w:val="003451F1"/>
    <w:rsid w:val="0036341A"/>
    <w:rsid w:val="00545495"/>
    <w:rsid w:val="006A507B"/>
    <w:rsid w:val="007162F6"/>
    <w:rsid w:val="009853AA"/>
    <w:rsid w:val="00AA20BE"/>
    <w:rsid w:val="00C6635B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E8D80"/>
  <w15:chartTrackingRefBased/>
  <w15:docId w15:val="{2F01FE78-6168-4567-99C7-0CFDC7C8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495"/>
  </w:style>
  <w:style w:type="paragraph" w:styleId="a6">
    <w:name w:val="footer"/>
    <w:basedOn w:val="a"/>
    <w:link w:val="a7"/>
    <w:uiPriority w:val="99"/>
    <w:unhideWhenUsed/>
    <w:rsid w:val="0054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495"/>
  </w:style>
  <w:style w:type="character" w:customStyle="1" w:styleId="CharStyle8">
    <w:name w:val="Char Style 8"/>
    <w:basedOn w:val="a0"/>
    <w:link w:val="Style7"/>
    <w:uiPriority w:val="99"/>
    <w:rsid w:val="00545495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545495"/>
    <w:pPr>
      <w:widowControl w:val="0"/>
      <w:shd w:val="clear" w:color="auto" w:fill="FFFFFF"/>
      <w:spacing w:before="300" w:after="1080" w:line="240" w:lineRule="atLeast"/>
      <w:ind w:hanging="3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Милена Андреевна</dc:creator>
  <cp:keywords/>
  <dc:description/>
  <cp:lastModifiedBy>Матвеева Милена Андреевна</cp:lastModifiedBy>
  <cp:revision>7</cp:revision>
  <dcterms:created xsi:type="dcterms:W3CDTF">2021-11-12T13:03:00Z</dcterms:created>
  <dcterms:modified xsi:type="dcterms:W3CDTF">2022-11-01T06:43:00Z</dcterms:modified>
</cp:coreProperties>
</file>