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05CA3" w14:textId="77777777" w:rsidR="003C01AF" w:rsidRPr="003453AC" w:rsidRDefault="003C01AF" w:rsidP="003C01AF">
      <w:pPr>
        <w:jc w:val="center"/>
      </w:pPr>
      <w:r>
        <w:rPr>
          <w:rFonts w:ascii="Times New Roman" w:hAnsi="Times New Roman"/>
          <w:b/>
          <w:bCs/>
          <w:sz w:val="28"/>
          <w:szCs w:val="28"/>
        </w:rPr>
        <w:t>О применении Международных стандартов финансовой отчетности</w:t>
      </w:r>
    </w:p>
    <w:p w14:paraId="564EB00E" w14:textId="77777777" w:rsidR="003C01AF" w:rsidRDefault="003C01AF" w:rsidP="003C01AF">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Межведомственная рабочая группа по применению Международных стандартов финансовой отчетности, образованная </w:t>
      </w:r>
      <w:hyperlink r:id="rId7" w:history="1">
        <w:r>
          <w:rPr>
            <w:rStyle w:val="a3"/>
            <w:rFonts w:ascii="Times New Roman" w:hAnsi="Times New Roman" w:cs="Times New Roman"/>
            <w:color w:val="auto"/>
            <w:sz w:val="28"/>
            <w:szCs w:val="28"/>
            <w:u w:val="none"/>
            <w:lang w:eastAsia="ru-RU"/>
          </w:rPr>
          <w:t>приказом</w:t>
        </w:r>
      </w:hyperlink>
      <w:r>
        <w:rPr>
          <w:rFonts w:ascii="Times New Roman" w:hAnsi="Times New Roman" w:cs="Times New Roman"/>
          <w:sz w:val="28"/>
          <w:szCs w:val="28"/>
          <w:lang w:eastAsia="ru-RU"/>
        </w:rPr>
        <w:t xml:space="preserve"> Министерства финансов Российской Федерации от 30 марта 2012 г. № 148, обобщила опыт применения Международных стандартов финансовой отчетности (МСФО) на территории Российской Федерации и сообщает следующее. </w:t>
      </w:r>
    </w:p>
    <w:p w14:paraId="23C4F6EF" w14:textId="77777777" w:rsidR="003C01AF" w:rsidRDefault="003C01AF" w:rsidP="003C01AF">
      <w:pPr>
        <w:spacing w:after="0" w:line="240" w:lineRule="auto"/>
        <w:ind w:firstLine="540"/>
        <w:jc w:val="both"/>
        <w:rPr>
          <w:rFonts w:ascii="Times New Roman" w:hAnsi="Times New Roman" w:cs="Times New Roman"/>
          <w:sz w:val="28"/>
          <w:szCs w:val="28"/>
          <w:lang w:eastAsia="ru-RU"/>
        </w:rPr>
      </w:pPr>
    </w:p>
    <w:p w14:paraId="5641ED3D" w14:textId="77777777" w:rsidR="003C01AF" w:rsidRDefault="003C01AF" w:rsidP="003C01AF">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Указание на МСФО в случае отсрочки обязательного применения МСФО (</w:t>
      </w:r>
      <w:r>
        <w:rPr>
          <w:rFonts w:ascii="Times New Roman" w:hAnsi="Times New Roman" w:cs="Times New Roman"/>
          <w:b/>
          <w:bCs/>
          <w:sz w:val="28"/>
          <w:szCs w:val="28"/>
          <w:lang w:val="en-US" w:eastAsia="ru-RU"/>
        </w:rPr>
        <w:t>IFRS</w:t>
      </w:r>
      <w:r>
        <w:rPr>
          <w:rFonts w:ascii="Times New Roman" w:hAnsi="Times New Roman" w:cs="Times New Roman"/>
          <w:b/>
          <w:bCs/>
          <w:sz w:val="28"/>
          <w:szCs w:val="28"/>
          <w:lang w:eastAsia="ru-RU"/>
        </w:rPr>
        <w:t>) 17 и МСФО (</w:t>
      </w:r>
      <w:r>
        <w:rPr>
          <w:rFonts w:ascii="Times New Roman" w:hAnsi="Times New Roman" w:cs="Times New Roman"/>
          <w:b/>
          <w:bCs/>
          <w:sz w:val="28"/>
          <w:szCs w:val="28"/>
          <w:lang w:val="en-US" w:eastAsia="ru-RU"/>
        </w:rPr>
        <w:t>IFRS</w:t>
      </w:r>
      <w:r>
        <w:rPr>
          <w:rFonts w:ascii="Times New Roman" w:hAnsi="Times New Roman" w:cs="Times New Roman"/>
          <w:b/>
          <w:bCs/>
          <w:sz w:val="28"/>
          <w:szCs w:val="28"/>
          <w:lang w:eastAsia="ru-RU"/>
        </w:rPr>
        <w:t>) 9</w:t>
      </w:r>
    </w:p>
    <w:p w14:paraId="3A3722C3" w14:textId="77777777" w:rsidR="003C01AF" w:rsidRDefault="003C01AF" w:rsidP="003C01A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703D785D" w14:textId="77777777" w:rsidR="003C01AF" w:rsidRDefault="003C01AF" w:rsidP="003C01A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соответствии с Указанием Банка России от 16 августа 2022 г. № 6219</w:t>
      </w:r>
      <w:r>
        <w:rPr>
          <w:rFonts w:ascii="Times New Roman" w:eastAsia="Calibri" w:hAnsi="Times New Roman" w:cs="Times New Roman"/>
          <w:sz w:val="28"/>
          <w:szCs w:val="28"/>
          <w:lang w:eastAsia="ru-RU"/>
        </w:rPr>
        <w:noBreakHyphen/>
        <w:t xml:space="preserve">У «Об установлении срока начала обязательного применения Международного стандарта финансовой отчетности (IFRS) 17 «Договоры страхования» и Международного стандарта финансовой отчетности (IFRS) 9 «Финансовые инструменты» страховыми организациями, обществами взаимного страхования и негосударственными пенсионными фондами, о внесении изменений в отдельные нормативные акты Банка России по вопросам бухгалтерского учета и бухгалтерской (финансовой) отчетности </w:t>
      </w:r>
      <w:proofErr w:type="spellStart"/>
      <w:r>
        <w:rPr>
          <w:rFonts w:ascii="Times New Roman" w:eastAsia="Calibri" w:hAnsi="Times New Roman" w:cs="Times New Roman"/>
          <w:sz w:val="28"/>
          <w:szCs w:val="28"/>
          <w:lang w:eastAsia="ru-RU"/>
        </w:rPr>
        <w:t>некредитных</w:t>
      </w:r>
      <w:proofErr w:type="spellEnd"/>
      <w:r>
        <w:rPr>
          <w:rFonts w:ascii="Times New Roman" w:eastAsia="Calibri" w:hAnsi="Times New Roman" w:cs="Times New Roman"/>
          <w:sz w:val="28"/>
          <w:szCs w:val="28"/>
          <w:lang w:eastAsia="ru-RU"/>
        </w:rPr>
        <w:t xml:space="preserve"> финансовых организаций и об отмене отдельных нормативных актов Банка России по вопросам ведения </w:t>
      </w:r>
      <w:proofErr w:type="spellStart"/>
      <w:r>
        <w:rPr>
          <w:rFonts w:ascii="Times New Roman" w:eastAsia="Calibri" w:hAnsi="Times New Roman" w:cs="Times New Roman"/>
          <w:sz w:val="28"/>
          <w:szCs w:val="28"/>
          <w:lang w:eastAsia="ru-RU"/>
        </w:rPr>
        <w:t>некредитными</w:t>
      </w:r>
      <w:proofErr w:type="spellEnd"/>
      <w:r>
        <w:rPr>
          <w:rFonts w:ascii="Times New Roman" w:eastAsia="Calibri" w:hAnsi="Times New Roman" w:cs="Times New Roman"/>
          <w:sz w:val="28"/>
          <w:szCs w:val="28"/>
          <w:lang w:eastAsia="ru-RU"/>
        </w:rPr>
        <w:t xml:space="preserve"> финансовыми организациями бухгалтерского учета» (далее – Указание Банка России №</w:t>
      </w:r>
      <w:r>
        <w:rPr>
          <w:rFonts w:ascii="Times New Roman" w:eastAsia="Calibri" w:hAnsi="Times New Roman" w:cs="Times New Roman"/>
          <w:sz w:val="28"/>
          <w:szCs w:val="28"/>
          <w:lang w:val="en-US" w:eastAsia="ru-RU"/>
        </w:rPr>
        <w:t> </w:t>
      </w:r>
      <w:r>
        <w:rPr>
          <w:rFonts w:ascii="Times New Roman" w:eastAsia="Calibri" w:hAnsi="Times New Roman" w:cs="Times New Roman"/>
          <w:sz w:val="28"/>
          <w:szCs w:val="28"/>
          <w:lang w:eastAsia="ru-RU"/>
        </w:rPr>
        <w:t>6219-У) срок начала обязательного применения МСФО (IFRS) 17 «Договоры страхования», введенного в действие на территории Российской Федерации приказом Минфина России от 20 апреля 2021 г. № 65н (далее - МСФО (IFRS) 17), и МСФО (IFRS) 9 «Финансовые инструменты», введенного в действие на территории Российской Федерации приказом Минфина России от 27 июня 2016 г. № 98н (далее - МСФО (IFRS) 9), страховыми организациями, обществами взаимного страхования и негосударственными пенсионными фондами - с 1 января 2025 г. и с отчетных периодов, начинающихся с этой даты или после нее.</w:t>
      </w:r>
    </w:p>
    <w:p w14:paraId="013F8CB6" w14:textId="77777777" w:rsidR="003C01AF" w:rsidRDefault="003C01AF" w:rsidP="003C01A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Согласно </w:t>
      </w:r>
      <w:proofErr w:type="gramStart"/>
      <w:r>
        <w:rPr>
          <w:rFonts w:ascii="Times New Roman" w:eastAsia="Calibri" w:hAnsi="Times New Roman" w:cs="Times New Roman"/>
          <w:sz w:val="28"/>
          <w:szCs w:val="28"/>
          <w:lang w:eastAsia="ru-RU"/>
        </w:rPr>
        <w:t>пункту</w:t>
      </w:r>
      <w:proofErr w:type="gramEnd"/>
      <w:r>
        <w:rPr>
          <w:rFonts w:ascii="Times New Roman" w:eastAsia="Calibri" w:hAnsi="Times New Roman" w:cs="Times New Roman"/>
          <w:sz w:val="28"/>
          <w:szCs w:val="28"/>
          <w:lang w:eastAsia="ru-RU"/>
        </w:rPr>
        <w:t xml:space="preserve"> C1 МСФО (IFRS) 17 организация должна применять данный стандарт в отношении годовых отчетных периодов, начинающихся 1 января 2023 г. или после этой даты. Согласно пункту 20А МСФО (IFRS) 4  страховщик, удовлетворяющий определенным критериям,  вправе применять </w:t>
      </w:r>
      <w:hyperlink r:id="rId8" w:history="1">
        <w:r>
          <w:rPr>
            <w:rStyle w:val="a3"/>
            <w:rFonts w:ascii="Times New Roman" w:eastAsia="Calibri" w:hAnsi="Times New Roman" w:cs="Times New Roman"/>
            <w:color w:val="auto"/>
            <w:sz w:val="28"/>
            <w:szCs w:val="28"/>
            <w:u w:val="none"/>
            <w:lang w:eastAsia="ru-RU"/>
          </w:rPr>
          <w:t>МСФО (IAS) 39</w:t>
        </w:r>
      </w:hyperlink>
      <w:r>
        <w:rPr>
          <w:rFonts w:ascii="Times New Roman" w:eastAsia="Calibri" w:hAnsi="Times New Roman" w:cs="Times New Roman"/>
          <w:sz w:val="28"/>
          <w:szCs w:val="28"/>
          <w:lang w:eastAsia="ru-RU"/>
        </w:rPr>
        <w:t xml:space="preserve"> «Финансовые инструменты: признание и оценка», введенный в действие на территории Российской Федерации приказом Минфина России </w:t>
      </w:r>
      <w:r>
        <w:rPr>
          <w:rFonts w:ascii="Times New Roman" w:hAnsi="Times New Roman" w:cs="Times New Roman"/>
          <w:sz w:val="28"/>
          <w:szCs w:val="28"/>
        </w:rPr>
        <w:t>от 28 декабря 2015 г. № 217н</w:t>
      </w:r>
      <w:r>
        <w:rPr>
          <w:rFonts w:ascii="Times New Roman" w:eastAsia="Calibri" w:hAnsi="Times New Roman" w:cs="Times New Roman"/>
          <w:sz w:val="28"/>
          <w:szCs w:val="28"/>
          <w:lang w:eastAsia="ru-RU"/>
        </w:rPr>
        <w:t xml:space="preserve">,  вместо </w:t>
      </w:r>
      <w:hyperlink r:id="rId9" w:history="1">
        <w:r>
          <w:rPr>
            <w:rStyle w:val="a3"/>
            <w:rFonts w:ascii="Times New Roman" w:eastAsia="Calibri" w:hAnsi="Times New Roman" w:cs="Times New Roman"/>
            <w:color w:val="auto"/>
            <w:sz w:val="28"/>
            <w:szCs w:val="28"/>
            <w:u w:val="none"/>
            <w:lang w:eastAsia="ru-RU"/>
          </w:rPr>
          <w:t>МСФО (IFRS) 9</w:t>
        </w:r>
      </w:hyperlink>
      <w:r>
        <w:rPr>
          <w:rFonts w:ascii="Times New Roman" w:eastAsia="Calibri" w:hAnsi="Times New Roman" w:cs="Times New Roman"/>
          <w:sz w:val="28"/>
          <w:szCs w:val="28"/>
          <w:lang w:eastAsia="ru-RU"/>
        </w:rPr>
        <w:t xml:space="preserve"> в отношении годовых периодов, начинающихся до 1 января 2023 г. Однако он должен применять МСФО (IFRS) 9 в отношении годовых отчетных периодов, начинающихся 1 января 2023 г. или после этой даты. </w:t>
      </w:r>
    </w:p>
    <w:p w14:paraId="7E05DE95" w14:textId="77777777" w:rsidR="003C01AF" w:rsidRDefault="003C01AF" w:rsidP="003C01A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связи с этим финансовая отчетность страховых организаций, обществ взаимного страхования и негосударственных пенсионных фондов, принявших решение применить МСФО (IFRS) 17 и МСФО (IFRS) 9 в пределах срока, установленного Банком России, но позднее срока, установленного в </w:t>
      </w:r>
      <w:r>
        <w:rPr>
          <w:rFonts w:ascii="Times New Roman" w:eastAsia="Calibri" w:hAnsi="Times New Roman" w:cs="Times New Roman"/>
          <w:sz w:val="28"/>
          <w:szCs w:val="28"/>
          <w:lang w:eastAsia="ru-RU"/>
        </w:rPr>
        <w:lastRenderedPageBreak/>
        <w:t xml:space="preserve">документах МСФО, не может быть охарактеризована как соответствующая МСФО. </w:t>
      </w:r>
    </w:p>
    <w:p w14:paraId="4238EA5F" w14:textId="77777777" w:rsidR="003C01AF" w:rsidRDefault="003C01AF" w:rsidP="003C01A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соответствии с пунктом 16 МСФО (</w:t>
      </w:r>
      <w:r>
        <w:rPr>
          <w:rFonts w:ascii="Times New Roman" w:eastAsia="Calibri" w:hAnsi="Times New Roman" w:cs="Times New Roman"/>
          <w:sz w:val="28"/>
          <w:szCs w:val="28"/>
          <w:lang w:val="en-US" w:eastAsia="ru-RU"/>
        </w:rPr>
        <w:t>IAS</w:t>
      </w:r>
      <w:r>
        <w:rPr>
          <w:rFonts w:ascii="Times New Roman" w:eastAsia="Calibri" w:hAnsi="Times New Roman" w:cs="Times New Roman"/>
          <w:sz w:val="28"/>
          <w:szCs w:val="28"/>
          <w:lang w:eastAsia="ru-RU"/>
        </w:rPr>
        <w:t xml:space="preserve">) 1 «Представление финансовой отчетности» организация, финансовая отчетность которой соответствует МСФО, должна подтвердить это, включив в примечания к финансовой отчетности свое явное и однозначное заявление о таком соответствии. Не допускается описание финансовой отчетности как соответствующей МСФО, кроме случаев, когда она соответствует всем требованиям МСФО. </w:t>
      </w:r>
    </w:p>
    <w:p w14:paraId="1C8427A3" w14:textId="77777777" w:rsidR="003C01AF" w:rsidRDefault="003C01AF" w:rsidP="003C01A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Таким образом, консолидированная финансовая отчетность</w:t>
      </w:r>
      <w:r>
        <w:rPr>
          <w:rStyle w:val="ad"/>
          <w:rFonts w:ascii="Times New Roman" w:eastAsia="Calibri" w:hAnsi="Times New Roman" w:cs="Times New Roman"/>
          <w:sz w:val="28"/>
          <w:szCs w:val="28"/>
          <w:lang w:eastAsia="ru-RU"/>
        </w:rPr>
        <w:footnoteReference w:id="1"/>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некредитных</w:t>
      </w:r>
      <w:proofErr w:type="spellEnd"/>
      <w:r>
        <w:rPr>
          <w:rFonts w:ascii="Times New Roman" w:eastAsia="Calibri" w:hAnsi="Times New Roman" w:cs="Times New Roman"/>
          <w:sz w:val="28"/>
          <w:szCs w:val="28"/>
          <w:lang w:eastAsia="ru-RU"/>
        </w:rPr>
        <w:t xml:space="preserve"> финансовых организаций, применивших указанные стандарты позднее срока, установленного в документах МСФО, не должна содержать заявление о соответствии МСФО. Однако такая отчетность должна содержать указание на МСФО, введенные для обязательного применения на территории Российской Федерации в ситуации, описанной в соответствующем примечании к консолидированной финансовой отчетности. Например, соответствующее примечание к консолидированной финансовой отчетности может содержать следующий текст: </w:t>
      </w:r>
    </w:p>
    <w:p w14:paraId="14F16BFD" w14:textId="77777777" w:rsidR="003C01AF" w:rsidRDefault="003C01AF" w:rsidP="003C01AF">
      <w:pPr>
        <w:spacing w:after="0" w:line="240" w:lineRule="auto"/>
        <w:ind w:firstLine="567"/>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«Настоящая консолидированная финансовая отчетность составлена в соответствии с МСФО, введенными в действие для обязательного применения на территории Российской Федерации. Согласно Указанию Банка России от 16 августа 2022 г. № 6219</w:t>
      </w:r>
      <w:r>
        <w:rPr>
          <w:rFonts w:ascii="Times New Roman" w:eastAsia="Calibri" w:hAnsi="Times New Roman" w:cs="Times New Roman"/>
          <w:i/>
          <w:sz w:val="28"/>
          <w:szCs w:val="28"/>
          <w:lang w:eastAsia="ru-RU"/>
        </w:rPr>
        <w:noBreakHyphen/>
        <w:t xml:space="preserve">У «Об установлении срока начала обязательного применения Международного стандарта финансовой отчетности (IFRS) 17 «Договоры страхования» и Международного стандарта финансовой отчетности (IFRS) 9 «Финансовые инструменты» страховыми организациями, обществами взаимного страхования и негосударственными пенсионными фондами, о внесении изменений в отдельные нормативные акты Банка России по вопросам бухгалтерского учета и бухгалтерской (финансовой) отчетности </w:t>
      </w:r>
      <w:proofErr w:type="spellStart"/>
      <w:r>
        <w:rPr>
          <w:rFonts w:ascii="Times New Roman" w:eastAsia="Calibri" w:hAnsi="Times New Roman" w:cs="Times New Roman"/>
          <w:i/>
          <w:sz w:val="28"/>
          <w:szCs w:val="28"/>
          <w:lang w:eastAsia="ru-RU"/>
        </w:rPr>
        <w:t>некредитных</w:t>
      </w:r>
      <w:proofErr w:type="spellEnd"/>
      <w:r>
        <w:rPr>
          <w:rFonts w:ascii="Times New Roman" w:eastAsia="Calibri" w:hAnsi="Times New Roman" w:cs="Times New Roman"/>
          <w:i/>
          <w:sz w:val="28"/>
          <w:szCs w:val="28"/>
          <w:lang w:eastAsia="ru-RU"/>
        </w:rPr>
        <w:t xml:space="preserve"> финансовых организаций и об отмене отдельных нормативных актов Банка России по вопросам ведения </w:t>
      </w:r>
      <w:proofErr w:type="spellStart"/>
      <w:r>
        <w:rPr>
          <w:rFonts w:ascii="Times New Roman" w:eastAsia="Calibri" w:hAnsi="Times New Roman" w:cs="Times New Roman"/>
          <w:i/>
          <w:sz w:val="28"/>
          <w:szCs w:val="28"/>
          <w:lang w:eastAsia="ru-RU"/>
        </w:rPr>
        <w:t>некредитными</w:t>
      </w:r>
      <w:proofErr w:type="spellEnd"/>
      <w:r>
        <w:rPr>
          <w:rFonts w:ascii="Times New Roman" w:eastAsia="Calibri" w:hAnsi="Times New Roman" w:cs="Times New Roman"/>
          <w:i/>
          <w:sz w:val="28"/>
          <w:szCs w:val="28"/>
          <w:lang w:eastAsia="ru-RU"/>
        </w:rPr>
        <w:t xml:space="preserve"> финансовыми организациями бухгалтерского учета» </w:t>
      </w:r>
      <w:r>
        <w:rPr>
          <w:rFonts w:ascii="Times New Roman" w:hAnsi="Times New Roman" w:cs="Times New Roman"/>
          <w:i/>
          <w:sz w:val="28"/>
          <w:szCs w:val="28"/>
        </w:rPr>
        <w:t xml:space="preserve">страховые организации, общества взаимного страхования и негосударственные пенсионные фонды обязаны применять </w:t>
      </w:r>
      <w:r>
        <w:rPr>
          <w:rFonts w:ascii="Times New Roman" w:eastAsia="Calibri" w:hAnsi="Times New Roman" w:cs="Times New Roman"/>
          <w:i/>
          <w:sz w:val="28"/>
          <w:szCs w:val="28"/>
          <w:lang w:eastAsia="ru-RU"/>
        </w:rPr>
        <w:t>МСФО (IFRS) 17 «Договоры страхования» и МСФО (IFRS) 9 «Финансовые инструменты»</w:t>
      </w:r>
      <w:r>
        <w:rPr>
          <w:rFonts w:ascii="Times New Roman" w:hAnsi="Times New Roman" w:cs="Times New Roman"/>
          <w:i/>
          <w:sz w:val="28"/>
          <w:szCs w:val="28"/>
        </w:rPr>
        <w:t xml:space="preserve"> с 1 января 2025 г. и с отчетных периодов, начинающихся 1 января 2025 г. или после этой даты. </w:t>
      </w:r>
      <w:r>
        <w:rPr>
          <w:rFonts w:ascii="Times New Roman" w:eastAsia="Calibri" w:hAnsi="Times New Roman" w:cs="Times New Roman"/>
          <w:i/>
          <w:sz w:val="28"/>
          <w:szCs w:val="28"/>
          <w:lang w:eastAsia="ru-RU"/>
        </w:rPr>
        <w:t xml:space="preserve">Руководство Группы приняло решение применять названные МСФО с этой даты. Таким образом, при составлении настоящей консолидированной финансовой отчетности применены МСФО (IFRS) 4  «Договоры страхования» и </w:t>
      </w:r>
      <w:hyperlink r:id="rId10" w:history="1">
        <w:r>
          <w:rPr>
            <w:rStyle w:val="a3"/>
            <w:rFonts w:ascii="Times New Roman" w:eastAsia="Calibri" w:hAnsi="Times New Roman" w:cs="Times New Roman"/>
            <w:i/>
            <w:color w:val="auto"/>
            <w:sz w:val="28"/>
            <w:szCs w:val="28"/>
            <w:u w:val="none"/>
            <w:lang w:eastAsia="ru-RU"/>
          </w:rPr>
          <w:t>МСФО (IAS) 39</w:t>
        </w:r>
      </w:hyperlink>
      <w:r>
        <w:rPr>
          <w:rFonts w:ascii="Times New Roman" w:eastAsia="Calibri" w:hAnsi="Times New Roman" w:cs="Times New Roman"/>
          <w:i/>
          <w:sz w:val="28"/>
          <w:szCs w:val="28"/>
          <w:lang w:eastAsia="ru-RU"/>
        </w:rPr>
        <w:t xml:space="preserve"> «Финансовые инструменты: признание и оценка» и соответственно не применялись МСФО (IFRS) 17 и МСФО (IFRS) 9.»</w:t>
      </w:r>
    </w:p>
    <w:p w14:paraId="0CC87F3D" w14:textId="77777777" w:rsidR="003C01AF" w:rsidRDefault="003C01AF" w:rsidP="003C01A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Аналогичный подход должен применяться при составлении аудиторского заключения о консолидированной финансовой отчетности страховых организаций, обществ взаимного страхования и негосударственных </w:t>
      </w:r>
      <w:r>
        <w:rPr>
          <w:rFonts w:ascii="Times New Roman" w:eastAsia="Calibri" w:hAnsi="Times New Roman" w:cs="Times New Roman"/>
          <w:sz w:val="28"/>
          <w:szCs w:val="28"/>
          <w:lang w:eastAsia="ru-RU"/>
        </w:rPr>
        <w:lastRenderedPageBreak/>
        <w:t xml:space="preserve">пенсионных фондов, принявших решение применять МСФО (IFRS) 17 и МСФО (IFRS) 9 в пределах срока, установленного Банком России, но позднее срока, установленного в документах МСФО. Например, соответствующий раздел аудиторского заключения о консолидированной финансовой отчетности должен содержать следующий текст: </w:t>
      </w:r>
    </w:p>
    <w:p w14:paraId="02C5EEBA" w14:textId="77777777" w:rsidR="003C01AF" w:rsidRDefault="003C01AF" w:rsidP="003C01AF">
      <w:pPr>
        <w:spacing w:after="0" w:line="240" w:lineRule="auto"/>
        <w:ind w:firstLine="567"/>
        <w:jc w:val="both"/>
        <w:rPr>
          <w:rFonts w:ascii="Times New Roman" w:eastAsia="Calibri" w:hAnsi="Times New Roman" w:cs="Times New Roman"/>
          <w:i/>
          <w:sz w:val="28"/>
          <w:szCs w:val="28"/>
          <w:lang w:eastAsia="ru-RU"/>
        </w:rPr>
      </w:pPr>
      <w:proofErr w:type="gramStart"/>
      <w:r>
        <w:rPr>
          <w:rFonts w:ascii="Times New Roman" w:eastAsia="Calibri" w:hAnsi="Times New Roman" w:cs="Times New Roman"/>
          <w:i/>
          <w:sz w:val="28"/>
          <w:szCs w:val="28"/>
          <w:lang w:eastAsia="ru-RU"/>
        </w:rPr>
        <w:t>«</w:t>
      </w:r>
      <w:r>
        <w:rPr>
          <w:rFonts w:ascii="Times New Roman" w:hAnsi="Times New Roman" w:cs="Times New Roman"/>
          <w:i/>
          <w:sz w:val="28"/>
          <w:szCs w:val="28"/>
        </w:rPr>
        <w:t>По нашему мнению</w:t>
      </w:r>
      <w:proofErr w:type="gramEnd"/>
      <w:r>
        <w:rPr>
          <w:rFonts w:ascii="Times New Roman" w:hAnsi="Times New Roman" w:cs="Times New Roman"/>
          <w:i/>
          <w:sz w:val="28"/>
          <w:szCs w:val="28"/>
        </w:rPr>
        <w:t xml:space="preserve">, прилагаемая финансовая отчетность отражает достоверно во всех существенных отношениях […] в соответствии с </w:t>
      </w:r>
      <w:r>
        <w:rPr>
          <w:rFonts w:ascii="Times New Roman" w:eastAsia="Calibri" w:hAnsi="Times New Roman" w:cs="Times New Roman"/>
          <w:i/>
          <w:sz w:val="28"/>
          <w:szCs w:val="28"/>
          <w:lang w:eastAsia="ru-RU"/>
        </w:rPr>
        <w:t>МСФО, введенными для обязательного применения на территории Российской Федерации, как указано в примечании […] к прилагаемой консолидированной финансовой отчетности.»</w:t>
      </w:r>
    </w:p>
    <w:p w14:paraId="7E640572" w14:textId="77777777" w:rsidR="003C01AF" w:rsidRDefault="003C01AF" w:rsidP="003C01A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Вместе с тем, поскольку Указание Банка России № 6219-У распространяется только на отдельные виды </w:t>
      </w:r>
      <w:proofErr w:type="spellStart"/>
      <w:r>
        <w:rPr>
          <w:rFonts w:ascii="Times New Roman" w:eastAsia="Calibri" w:hAnsi="Times New Roman" w:cs="Times New Roman"/>
          <w:sz w:val="28"/>
          <w:szCs w:val="28"/>
          <w:lang w:eastAsia="ru-RU"/>
        </w:rPr>
        <w:t>некредитных</w:t>
      </w:r>
      <w:proofErr w:type="spellEnd"/>
      <w:r>
        <w:rPr>
          <w:rFonts w:ascii="Times New Roman" w:eastAsia="Calibri" w:hAnsi="Times New Roman" w:cs="Times New Roman"/>
          <w:sz w:val="28"/>
          <w:szCs w:val="28"/>
          <w:lang w:eastAsia="ru-RU"/>
        </w:rPr>
        <w:t xml:space="preserve"> финансовых организаций, при составлении консолидированной финансовой отчетности иных организаций МСФО (IFRS) 17 и МСФО (IFRS) 9 должны применяться, начиная со срока, установленного в документах МСФО. В связи с этим, если материнская компания группы не является страховой организацией, обществом взаимного страхования или негосударственным пенсионным фондом, для целей составления ее консолидированной финансовой отчетности должны применяться все признанные на территории Российской Федерации документы МСФО, начиная со сроков, установленных в них. Это справедливо и в случае, когда какая-либо дочерняя компания группы воспользовалась отсрочкой, предоставленной Банком России, для целей составления своей собственной финансовой отчетности.</w:t>
      </w:r>
    </w:p>
    <w:p w14:paraId="5E31E93D" w14:textId="77777777" w:rsidR="003C01AF" w:rsidRDefault="003C01AF" w:rsidP="003C01A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Использование </w:t>
      </w:r>
      <w:proofErr w:type="spellStart"/>
      <w:r>
        <w:rPr>
          <w:rFonts w:ascii="Times New Roman" w:eastAsia="Calibri" w:hAnsi="Times New Roman" w:cs="Times New Roman"/>
          <w:sz w:val="28"/>
          <w:szCs w:val="28"/>
          <w:lang w:eastAsia="ru-RU"/>
        </w:rPr>
        <w:t>некредитной</w:t>
      </w:r>
      <w:proofErr w:type="spellEnd"/>
      <w:r>
        <w:rPr>
          <w:rFonts w:ascii="Times New Roman" w:eastAsia="Calibri" w:hAnsi="Times New Roman" w:cs="Times New Roman"/>
          <w:sz w:val="28"/>
          <w:szCs w:val="28"/>
          <w:lang w:eastAsia="ru-RU"/>
        </w:rPr>
        <w:t xml:space="preserve"> финансовой организацией даты начала применения МСФО (IFRS) 17 и МСФО (IFRS) 9, отличной от даты, установленной в документах МСФО, приведет к непредставлению этой организацией финансовой отчетности, соответствующей МСФО, в течение, как минимум, одного годового отчетного периода. В связи с этим последующее представление такой организацией финансовой отчетности, соответствующей МСФО, потребует применения МСФО (</w:t>
      </w:r>
      <w:r>
        <w:rPr>
          <w:rFonts w:ascii="Times New Roman" w:eastAsia="Calibri" w:hAnsi="Times New Roman" w:cs="Times New Roman"/>
          <w:sz w:val="28"/>
          <w:szCs w:val="28"/>
          <w:lang w:val="en-US" w:eastAsia="ru-RU"/>
        </w:rPr>
        <w:t>IFRS</w:t>
      </w:r>
      <w:r>
        <w:rPr>
          <w:rFonts w:ascii="Times New Roman" w:eastAsia="Calibri" w:hAnsi="Times New Roman" w:cs="Times New Roman"/>
          <w:sz w:val="28"/>
          <w:szCs w:val="28"/>
          <w:lang w:eastAsia="ru-RU"/>
        </w:rPr>
        <w:t>) 1 «Первое применение Международных стандартов финансовой отчетности».</w:t>
      </w:r>
    </w:p>
    <w:p w14:paraId="3BCDBF9F" w14:textId="77777777" w:rsidR="003C01AF" w:rsidRDefault="003C01AF" w:rsidP="003C01AF">
      <w:pPr>
        <w:spacing w:after="0" w:line="240" w:lineRule="auto"/>
        <w:jc w:val="both"/>
        <w:rPr>
          <w:rFonts w:ascii="Times New Roman" w:eastAsia="Calibri" w:hAnsi="Times New Roman" w:cs="Times New Roman"/>
          <w:sz w:val="28"/>
          <w:szCs w:val="28"/>
          <w:lang w:eastAsia="ru-RU"/>
        </w:rPr>
      </w:pPr>
    </w:p>
    <w:p w14:paraId="5F3D1745" w14:textId="77777777" w:rsidR="003C01AF" w:rsidRDefault="003C01AF" w:rsidP="003C01AF">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Применение </w:t>
      </w:r>
      <w:r>
        <w:rPr>
          <w:rFonts w:ascii="Times New Roman" w:hAnsi="Times New Roman" w:cs="Times New Roman"/>
          <w:b/>
          <w:sz w:val="28"/>
          <w:szCs w:val="28"/>
        </w:rPr>
        <w:t>документа МСФО «Первоначальное применение МСФО (IFRS) 17 и МСФО (IFRS) 9 - Сравнительная информация»</w:t>
      </w:r>
    </w:p>
    <w:p w14:paraId="45B28A1B" w14:textId="77777777" w:rsidR="003C01AF" w:rsidRDefault="003C01AF" w:rsidP="003C01AF">
      <w:pPr>
        <w:spacing w:after="0" w:line="240" w:lineRule="auto"/>
        <w:ind w:firstLine="567"/>
        <w:jc w:val="both"/>
        <w:rPr>
          <w:rFonts w:ascii="Times New Roman" w:hAnsi="Times New Roman" w:cs="Times New Roman"/>
          <w:sz w:val="28"/>
          <w:szCs w:val="28"/>
        </w:rPr>
      </w:pPr>
    </w:p>
    <w:p w14:paraId="6D69180E" w14:textId="77777777" w:rsidR="003C01AF" w:rsidRDefault="003C01AF" w:rsidP="003C01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Впредь до введения в действие на территории Российской Федерации документа МСФО «Первоначальное применение МСФО (IFRS) 17 и МСФО (IFRS) 9 - Сравнительная информация», принятого Фондом Международных стандартов финансовой отчетности, при первоначальном применении МСФО (IFRS) 17 «Договоры страхования», введенного в действие на территории Российской Федерации приказом Минфина России 20 апреля 2021 г. № 65н, необходимо применять также названный документ в редакции согласно приложению к настоящему документу.</w:t>
      </w:r>
    </w:p>
    <w:p w14:paraId="73CCC0A7" w14:textId="77777777" w:rsidR="003C01AF" w:rsidRDefault="003C01AF" w:rsidP="003C01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Исходя из МСФО (</w:t>
      </w:r>
      <w:r>
        <w:rPr>
          <w:rFonts w:ascii="Times New Roman" w:hAnsi="Times New Roman" w:cs="Times New Roman"/>
          <w:sz w:val="28"/>
          <w:szCs w:val="28"/>
          <w:lang w:val="en-US"/>
        </w:rPr>
        <w:t>IAS</w:t>
      </w:r>
      <w:r>
        <w:rPr>
          <w:rFonts w:ascii="Times New Roman" w:hAnsi="Times New Roman" w:cs="Times New Roman"/>
          <w:sz w:val="28"/>
          <w:szCs w:val="28"/>
        </w:rPr>
        <w:t xml:space="preserve">) 1 «Представление финансовой отчетности», введенного в действие на территории Российской Федерации приказом Минфина России от 28 декабря 2015 г. № 217н, организация, составляющая консолидированную финансовую отчетность (финансовую отчетность организации, не создающей группу) за отчетные периоды, в которых она впервые применяет МСФО (IFRS) 17, должна включить в примечания к этой отчетности заявление о ее соответствии МСФО лишь в случае, когда эта отчетность соответствует всем требованиям МСФО, включая требования, предусмотренные документом МСФО «Первоначальное применение МСФО (IFRS) 17 и МСФО (IFRS) 9 - Сравнительная информация». </w:t>
      </w:r>
    </w:p>
    <w:p w14:paraId="1107B258" w14:textId="77777777" w:rsidR="003C01AF" w:rsidRDefault="003C01AF" w:rsidP="003C01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Аналогичный подход должен применяться при составлении аудиторского заключения о консолидированной финансовой отчетности (финансовую отчетность организации, не создающей группу) за отчетные периоды, в которых организация впервые применяет МСФО (IFRS) 17. </w:t>
      </w:r>
    </w:p>
    <w:p w14:paraId="6F518E31" w14:textId="77777777" w:rsidR="003C01AF" w:rsidRPr="00A26B74" w:rsidRDefault="003C01AF" w:rsidP="003C01AF">
      <w:pPr>
        <w:spacing w:after="0" w:line="240" w:lineRule="auto"/>
        <w:ind w:firstLine="540"/>
        <w:jc w:val="both"/>
        <w:rPr>
          <w:rFonts w:ascii="Times New Roman" w:eastAsia="Calibri" w:hAnsi="Times New Roman" w:cs="Times New Roman"/>
          <w:sz w:val="28"/>
          <w:szCs w:val="28"/>
          <w:lang w:eastAsia="ru-RU"/>
        </w:rPr>
      </w:pPr>
    </w:p>
    <w:p w14:paraId="53EBF994" w14:textId="77777777" w:rsidR="00A26B74" w:rsidRPr="003C01AF" w:rsidRDefault="00A26B74" w:rsidP="003C01AF">
      <w:bookmarkStart w:id="0" w:name="_GoBack"/>
      <w:bookmarkEnd w:id="0"/>
    </w:p>
    <w:sectPr w:rsidR="00A26B74" w:rsidRPr="003C01AF" w:rsidSect="007E5431">
      <w:headerReference w:type="default" r:id="rId11"/>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867DF" w16cid:durableId="26E678AA"/>
  <w16cid:commentId w16cid:paraId="760CAE12" w16cid:durableId="26E12FFE"/>
  <w16cid:commentId w16cid:paraId="680F4179" w16cid:durableId="26E134F4"/>
  <w16cid:commentId w16cid:paraId="40DE47D2" w16cid:durableId="26E67A37"/>
  <w16cid:commentId w16cid:paraId="770F13BA" w16cid:durableId="26E68F4A"/>
  <w16cid:commentId w16cid:paraId="11DAFB59" w16cid:durableId="26E13C77"/>
  <w16cid:commentId w16cid:paraId="4411E86F" w16cid:durableId="26E67928"/>
  <w16cid:commentId w16cid:paraId="421E8F23" w16cid:durableId="26E13F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DBAD3" w14:textId="77777777" w:rsidR="00245374" w:rsidRDefault="00245374" w:rsidP="002A3908">
      <w:pPr>
        <w:spacing w:after="0" w:line="240" w:lineRule="auto"/>
      </w:pPr>
      <w:r>
        <w:separator/>
      </w:r>
    </w:p>
  </w:endnote>
  <w:endnote w:type="continuationSeparator" w:id="0">
    <w:p w14:paraId="56EFFE6D" w14:textId="77777777" w:rsidR="00245374" w:rsidRDefault="00245374" w:rsidP="002A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30263" w14:textId="77777777" w:rsidR="00245374" w:rsidRDefault="00245374" w:rsidP="002A3908">
      <w:pPr>
        <w:spacing w:after="0" w:line="240" w:lineRule="auto"/>
      </w:pPr>
      <w:r>
        <w:separator/>
      </w:r>
    </w:p>
  </w:footnote>
  <w:footnote w:type="continuationSeparator" w:id="0">
    <w:p w14:paraId="36DB0B6C" w14:textId="77777777" w:rsidR="00245374" w:rsidRDefault="00245374" w:rsidP="002A3908">
      <w:pPr>
        <w:spacing w:after="0" w:line="240" w:lineRule="auto"/>
      </w:pPr>
      <w:r>
        <w:continuationSeparator/>
      </w:r>
    </w:p>
  </w:footnote>
  <w:footnote w:id="1">
    <w:p w14:paraId="26C8DECB" w14:textId="77777777" w:rsidR="003C01AF" w:rsidRDefault="003C01AF" w:rsidP="003C01AF">
      <w:pPr>
        <w:pStyle w:val="ab"/>
        <w:rPr>
          <w:rFonts w:ascii="Times New Roman" w:hAnsi="Times New Roman" w:cs="Times New Roman"/>
          <w:sz w:val="24"/>
          <w:szCs w:val="24"/>
        </w:rPr>
      </w:pPr>
      <w:r>
        <w:rPr>
          <w:rStyle w:val="ad"/>
          <w:rFonts w:ascii="Times New Roman" w:hAnsi="Times New Roman" w:cs="Times New Roman"/>
          <w:sz w:val="24"/>
          <w:szCs w:val="24"/>
        </w:rPr>
        <w:footnoteRef/>
      </w:r>
      <w:r>
        <w:rPr>
          <w:rFonts w:ascii="Times New Roman" w:hAnsi="Times New Roman" w:cs="Times New Roman"/>
          <w:sz w:val="24"/>
          <w:szCs w:val="24"/>
        </w:rPr>
        <w:t xml:space="preserve"> Финансовая отчетность организаций, не создающих группу.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863292"/>
      <w:docPartObj>
        <w:docPartGallery w:val="Page Numbers (Top of Page)"/>
        <w:docPartUnique/>
      </w:docPartObj>
    </w:sdtPr>
    <w:sdtEndPr/>
    <w:sdtContent>
      <w:p w14:paraId="28D86AEE" w14:textId="25128177" w:rsidR="007E5431" w:rsidRDefault="007E5431">
        <w:pPr>
          <w:pStyle w:val="ae"/>
          <w:jc w:val="center"/>
        </w:pPr>
        <w:r>
          <w:fldChar w:fldCharType="begin"/>
        </w:r>
        <w:r>
          <w:instrText>PAGE   \* MERGEFORMAT</w:instrText>
        </w:r>
        <w:r>
          <w:fldChar w:fldCharType="separate"/>
        </w:r>
        <w:r w:rsidR="003C01AF">
          <w:rPr>
            <w:noProof/>
          </w:rPr>
          <w:t>4</w:t>
        </w:r>
        <w:r>
          <w:fldChar w:fldCharType="end"/>
        </w:r>
      </w:p>
    </w:sdtContent>
  </w:sdt>
  <w:p w14:paraId="6F7DC246" w14:textId="77777777" w:rsidR="007E5431" w:rsidRDefault="007E5431">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2F"/>
    <w:rsid w:val="000043E3"/>
    <w:rsid w:val="0007136A"/>
    <w:rsid w:val="0008027D"/>
    <w:rsid w:val="00081074"/>
    <w:rsid w:val="00103B64"/>
    <w:rsid w:val="00105413"/>
    <w:rsid w:val="00146A14"/>
    <w:rsid w:val="00170B18"/>
    <w:rsid w:val="00171C17"/>
    <w:rsid w:val="001939D1"/>
    <w:rsid w:val="001962AC"/>
    <w:rsid w:val="00202343"/>
    <w:rsid w:val="00203373"/>
    <w:rsid w:val="00213BDD"/>
    <w:rsid w:val="00245374"/>
    <w:rsid w:val="00275B12"/>
    <w:rsid w:val="00294FE8"/>
    <w:rsid w:val="002A2B1C"/>
    <w:rsid w:val="002A3908"/>
    <w:rsid w:val="002A6F8A"/>
    <w:rsid w:val="003133BF"/>
    <w:rsid w:val="00315DC0"/>
    <w:rsid w:val="003402BE"/>
    <w:rsid w:val="0035056E"/>
    <w:rsid w:val="00365771"/>
    <w:rsid w:val="003871E3"/>
    <w:rsid w:val="00390747"/>
    <w:rsid w:val="003C01AF"/>
    <w:rsid w:val="00400DAC"/>
    <w:rsid w:val="004423D9"/>
    <w:rsid w:val="004936A3"/>
    <w:rsid w:val="004A329B"/>
    <w:rsid w:val="004D19FD"/>
    <w:rsid w:val="004D7A1E"/>
    <w:rsid w:val="00505D32"/>
    <w:rsid w:val="0053390C"/>
    <w:rsid w:val="00545CF8"/>
    <w:rsid w:val="00553AC1"/>
    <w:rsid w:val="0058211A"/>
    <w:rsid w:val="005B6283"/>
    <w:rsid w:val="005C49C9"/>
    <w:rsid w:val="006148EC"/>
    <w:rsid w:val="00641D86"/>
    <w:rsid w:val="006765B1"/>
    <w:rsid w:val="006A08E2"/>
    <w:rsid w:val="006C70D8"/>
    <w:rsid w:val="006F7C87"/>
    <w:rsid w:val="007E5431"/>
    <w:rsid w:val="00806B07"/>
    <w:rsid w:val="00840A03"/>
    <w:rsid w:val="0085757E"/>
    <w:rsid w:val="00885782"/>
    <w:rsid w:val="008B6D74"/>
    <w:rsid w:val="008C48D2"/>
    <w:rsid w:val="008C5FE1"/>
    <w:rsid w:val="00900CEB"/>
    <w:rsid w:val="00906475"/>
    <w:rsid w:val="009209FF"/>
    <w:rsid w:val="00937B85"/>
    <w:rsid w:val="00946F5B"/>
    <w:rsid w:val="00982B61"/>
    <w:rsid w:val="009C13E6"/>
    <w:rsid w:val="009E4135"/>
    <w:rsid w:val="009F09C0"/>
    <w:rsid w:val="009F4D4F"/>
    <w:rsid w:val="00A26B74"/>
    <w:rsid w:val="00A379AE"/>
    <w:rsid w:val="00A402B9"/>
    <w:rsid w:val="00A537A1"/>
    <w:rsid w:val="00A84EB8"/>
    <w:rsid w:val="00A9402F"/>
    <w:rsid w:val="00AE07F8"/>
    <w:rsid w:val="00B5409A"/>
    <w:rsid w:val="00C73FAF"/>
    <w:rsid w:val="00D00BFF"/>
    <w:rsid w:val="00D236BB"/>
    <w:rsid w:val="00D24AF5"/>
    <w:rsid w:val="00D678FF"/>
    <w:rsid w:val="00D74050"/>
    <w:rsid w:val="00D863AA"/>
    <w:rsid w:val="00DA784E"/>
    <w:rsid w:val="00DD6DCF"/>
    <w:rsid w:val="00E2040D"/>
    <w:rsid w:val="00E4719C"/>
    <w:rsid w:val="00E67692"/>
    <w:rsid w:val="00E9121B"/>
    <w:rsid w:val="00ED4EC2"/>
    <w:rsid w:val="00ED612D"/>
    <w:rsid w:val="00F02823"/>
    <w:rsid w:val="00F25EAB"/>
    <w:rsid w:val="00F3183C"/>
    <w:rsid w:val="00F61A63"/>
    <w:rsid w:val="00F62665"/>
    <w:rsid w:val="00FA17B2"/>
    <w:rsid w:val="00FA359F"/>
    <w:rsid w:val="00FC7CFE"/>
    <w:rsid w:val="00FD5C2C"/>
    <w:rsid w:val="00FF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FF72"/>
  <w15:chartTrackingRefBased/>
  <w15:docId w15:val="{EE88ACDB-CA7F-43E3-B65F-F1D2E86E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1AF"/>
  </w:style>
  <w:style w:type="paragraph" w:styleId="1">
    <w:name w:val="heading 1"/>
    <w:basedOn w:val="a"/>
    <w:link w:val="10"/>
    <w:uiPriority w:val="9"/>
    <w:qFormat/>
    <w:rsid w:val="00AE0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A03"/>
    <w:rPr>
      <w:color w:val="0000FF"/>
      <w:u w:val="single"/>
    </w:rPr>
  </w:style>
  <w:style w:type="paragraph" w:styleId="a4">
    <w:name w:val="Balloon Text"/>
    <w:basedOn w:val="a"/>
    <w:link w:val="a5"/>
    <w:uiPriority w:val="99"/>
    <w:semiHidden/>
    <w:unhideWhenUsed/>
    <w:rsid w:val="008C5F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5FE1"/>
    <w:rPr>
      <w:rFonts w:ascii="Segoe UI" w:hAnsi="Segoe UI" w:cs="Segoe UI"/>
      <w:sz w:val="18"/>
      <w:szCs w:val="18"/>
    </w:rPr>
  </w:style>
  <w:style w:type="character" w:styleId="a6">
    <w:name w:val="annotation reference"/>
    <w:basedOn w:val="a0"/>
    <w:uiPriority w:val="99"/>
    <w:semiHidden/>
    <w:unhideWhenUsed/>
    <w:rsid w:val="009E4135"/>
    <w:rPr>
      <w:sz w:val="16"/>
      <w:szCs w:val="16"/>
    </w:rPr>
  </w:style>
  <w:style w:type="paragraph" w:styleId="a7">
    <w:name w:val="annotation text"/>
    <w:basedOn w:val="a"/>
    <w:link w:val="a8"/>
    <w:uiPriority w:val="99"/>
    <w:semiHidden/>
    <w:unhideWhenUsed/>
    <w:rsid w:val="009E4135"/>
    <w:pPr>
      <w:spacing w:line="240" w:lineRule="auto"/>
    </w:pPr>
    <w:rPr>
      <w:sz w:val="20"/>
      <w:szCs w:val="20"/>
    </w:rPr>
  </w:style>
  <w:style w:type="character" w:customStyle="1" w:styleId="a8">
    <w:name w:val="Текст примечания Знак"/>
    <w:basedOn w:val="a0"/>
    <w:link w:val="a7"/>
    <w:uiPriority w:val="99"/>
    <w:semiHidden/>
    <w:rsid w:val="009E4135"/>
    <w:rPr>
      <w:sz w:val="20"/>
      <w:szCs w:val="20"/>
    </w:rPr>
  </w:style>
  <w:style w:type="paragraph" w:styleId="a9">
    <w:name w:val="annotation subject"/>
    <w:basedOn w:val="a7"/>
    <w:next w:val="a7"/>
    <w:link w:val="aa"/>
    <w:uiPriority w:val="99"/>
    <w:semiHidden/>
    <w:unhideWhenUsed/>
    <w:rsid w:val="009E4135"/>
    <w:rPr>
      <w:b/>
      <w:bCs/>
    </w:rPr>
  </w:style>
  <w:style w:type="character" w:customStyle="1" w:styleId="aa">
    <w:name w:val="Тема примечания Знак"/>
    <w:basedOn w:val="a8"/>
    <w:link w:val="a9"/>
    <w:uiPriority w:val="99"/>
    <w:semiHidden/>
    <w:rsid w:val="009E4135"/>
    <w:rPr>
      <w:b/>
      <w:bCs/>
      <w:sz w:val="20"/>
      <w:szCs w:val="20"/>
    </w:rPr>
  </w:style>
  <w:style w:type="character" w:customStyle="1" w:styleId="10">
    <w:name w:val="Заголовок 1 Знак"/>
    <w:basedOn w:val="a0"/>
    <w:link w:val="1"/>
    <w:uiPriority w:val="9"/>
    <w:rsid w:val="00AE07F8"/>
    <w:rPr>
      <w:rFonts w:ascii="Times New Roman" w:eastAsia="Times New Roman" w:hAnsi="Times New Roman" w:cs="Times New Roman"/>
      <w:b/>
      <w:bCs/>
      <w:kern w:val="36"/>
      <w:sz w:val="48"/>
      <w:szCs w:val="48"/>
      <w:lang w:eastAsia="ru-RU"/>
    </w:rPr>
  </w:style>
  <w:style w:type="paragraph" w:styleId="ab">
    <w:name w:val="footnote text"/>
    <w:basedOn w:val="a"/>
    <w:link w:val="ac"/>
    <w:uiPriority w:val="99"/>
    <w:semiHidden/>
    <w:unhideWhenUsed/>
    <w:rsid w:val="002A3908"/>
    <w:pPr>
      <w:spacing w:after="0" w:line="240" w:lineRule="auto"/>
    </w:pPr>
    <w:rPr>
      <w:sz w:val="20"/>
      <w:szCs w:val="20"/>
    </w:rPr>
  </w:style>
  <w:style w:type="character" w:customStyle="1" w:styleId="ac">
    <w:name w:val="Текст сноски Знак"/>
    <w:basedOn w:val="a0"/>
    <w:link w:val="ab"/>
    <w:uiPriority w:val="99"/>
    <w:semiHidden/>
    <w:rsid w:val="002A3908"/>
    <w:rPr>
      <w:sz w:val="20"/>
      <w:szCs w:val="20"/>
    </w:rPr>
  </w:style>
  <w:style w:type="character" w:styleId="ad">
    <w:name w:val="footnote reference"/>
    <w:basedOn w:val="a0"/>
    <w:uiPriority w:val="99"/>
    <w:semiHidden/>
    <w:unhideWhenUsed/>
    <w:rsid w:val="002A3908"/>
    <w:rPr>
      <w:vertAlign w:val="superscript"/>
    </w:rPr>
  </w:style>
  <w:style w:type="paragraph" w:styleId="ae">
    <w:name w:val="header"/>
    <w:basedOn w:val="a"/>
    <w:link w:val="af"/>
    <w:uiPriority w:val="99"/>
    <w:unhideWhenUsed/>
    <w:rsid w:val="007E543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E5431"/>
  </w:style>
  <w:style w:type="paragraph" w:styleId="af0">
    <w:name w:val="footer"/>
    <w:basedOn w:val="a"/>
    <w:link w:val="af1"/>
    <w:uiPriority w:val="99"/>
    <w:unhideWhenUsed/>
    <w:rsid w:val="007E543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5431"/>
  </w:style>
  <w:style w:type="paragraph" w:customStyle="1" w:styleId="ConsPlusNormal">
    <w:name w:val="ConsPlusNormal"/>
    <w:rsid w:val="009C13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1413">
      <w:bodyDiv w:val="1"/>
      <w:marLeft w:val="0"/>
      <w:marRight w:val="0"/>
      <w:marTop w:val="0"/>
      <w:marBottom w:val="0"/>
      <w:divBdr>
        <w:top w:val="none" w:sz="0" w:space="0" w:color="auto"/>
        <w:left w:val="none" w:sz="0" w:space="0" w:color="auto"/>
        <w:bottom w:val="none" w:sz="0" w:space="0" w:color="auto"/>
        <w:right w:val="none" w:sz="0" w:space="0" w:color="auto"/>
      </w:divBdr>
      <w:divsChild>
        <w:div w:id="1338997402">
          <w:marLeft w:val="0"/>
          <w:marRight w:val="0"/>
          <w:marTop w:val="0"/>
          <w:marBottom w:val="0"/>
          <w:divBdr>
            <w:top w:val="none" w:sz="0" w:space="0" w:color="auto"/>
            <w:left w:val="none" w:sz="0" w:space="0" w:color="auto"/>
            <w:bottom w:val="none" w:sz="0" w:space="0" w:color="auto"/>
            <w:right w:val="none" w:sz="0" w:space="0" w:color="auto"/>
          </w:divBdr>
        </w:div>
        <w:div w:id="423696295">
          <w:marLeft w:val="0"/>
          <w:marRight w:val="0"/>
          <w:marTop w:val="0"/>
          <w:marBottom w:val="0"/>
          <w:divBdr>
            <w:top w:val="none" w:sz="0" w:space="0" w:color="auto"/>
            <w:left w:val="none" w:sz="0" w:space="0" w:color="auto"/>
            <w:bottom w:val="none" w:sz="0" w:space="0" w:color="auto"/>
            <w:right w:val="none" w:sz="0" w:space="0" w:color="auto"/>
          </w:divBdr>
        </w:div>
      </w:divsChild>
    </w:div>
    <w:div w:id="414938607">
      <w:bodyDiv w:val="1"/>
      <w:marLeft w:val="0"/>
      <w:marRight w:val="0"/>
      <w:marTop w:val="0"/>
      <w:marBottom w:val="0"/>
      <w:divBdr>
        <w:top w:val="none" w:sz="0" w:space="0" w:color="auto"/>
        <w:left w:val="none" w:sz="0" w:space="0" w:color="auto"/>
        <w:bottom w:val="none" w:sz="0" w:space="0" w:color="auto"/>
        <w:right w:val="none" w:sz="0" w:space="0" w:color="auto"/>
      </w:divBdr>
    </w:div>
    <w:div w:id="567419297">
      <w:bodyDiv w:val="1"/>
      <w:marLeft w:val="0"/>
      <w:marRight w:val="0"/>
      <w:marTop w:val="0"/>
      <w:marBottom w:val="0"/>
      <w:divBdr>
        <w:top w:val="none" w:sz="0" w:space="0" w:color="auto"/>
        <w:left w:val="none" w:sz="0" w:space="0" w:color="auto"/>
        <w:bottom w:val="none" w:sz="0" w:space="0" w:color="auto"/>
        <w:right w:val="none" w:sz="0" w:space="0" w:color="auto"/>
      </w:divBdr>
    </w:div>
    <w:div w:id="625430041">
      <w:bodyDiv w:val="1"/>
      <w:marLeft w:val="0"/>
      <w:marRight w:val="0"/>
      <w:marTop w:val="0"/>
      <w:marBottom w:val="0"/>
      <w:divBdr>
        <w:top w:val="none" w:sz="0" w:space="0" w:color="auto"/>
        <w:left w:val="none" w:sz="0" w:space="0" w:color="auto"/>
        <w:bottom w:val="none" w:sz="0" w:space="0" w:color="auto"/>
        <w:right w:val="none" w:sz="0" w:space="0" w:color="auto"/>
      </w:divBdr>
    </w:div>
    <w:div w:id="984361722">
      <w:bodyDiv w:val="1"/>
      <w:marLeft w:val="0"/>
      <w:marRight w:val="0"/>
      <w:marTop w:val="0"/>
      <w:marBottom w:val="0"/>
      <w:divBdr>
        <w:top w:val="none" w:sz="0" w:space="0" w:color="auto"/>
        <w:left w:val="none" w:sz="0" w:space="0" w:color="auto"/>
        <w:bottom w:val="none" w:sz="0" w:space="0" w:color="auto"/>
        <w:right w:val="none" w:sz="0" w:space="0" w:color="auto"/>
      </w:divBdr>
    </w:div>
    <w:div w:id="1049381798">
      <w:bodyDiv w:val="1"/>
      <w:marLeft w:val="0"/>
      <w:marRight w:val="0"/>
      <w:marTop w:val="0"/>
      <w:marBottom w:val="0"/>
      <w:divBdr>
        <w:top w:val="none" w:sz="0" w:space="0" w:color="auto"/>
        <w:left w:val="none" w:sz="0" w:space="0" w:color="auto"/>
        <w:bottom w:val="none" w:sz="0" w:space="0" w:color="auto"/>
        <w:right w:val="none" w:sz="0" w:space="0" w:color="auto"/>
      </w:divBdr>
    </w:div>
    <w:div w:id="1072629238">
      <w:bodyDiv w:val="1"/>
      <w:marLeft w:val="0"/>
      <w:marRight w:val="0"/>
      <w:marTop w:val="0"/>
      <w:marBottom w:val="0"/>
      <w:divBdr>
        <w:top w:val="none" w:sz="0" w:space="0" w:color="auto"/>
        <w:left w:val="none" w:sz="0" w:space="0" w:color="auto"/>
        <w:bottom w:val="none" w:sz="0" w:space="0" w:color="auto"/>
        <w:right w:val="none" w:sz="0" w:space="0" w:color="auto"/>
      </w:divBdr>
    </w:div>
    <w:div w:id="1164589066">
      <w:bodyDiv w:val="1"/>
      <w:marLeft w:val="0"/>
      <w:marRight w:val="0"/>
      <w:marTop w:val="0"/>
      <w:marBottom w:val="0"/>
      <w:divBdr>
        <w:top w:val="none" w:sz="0" w:space="0" w:color="auto"/>
        <w:left w:val="none" w:sz="0" w:space="0" w:color="auto"/>
        <w:bottom w:val="none" w:sz="0" w:space="0" w:color="auto"/>
        <w:right w:val="none" w:sz="0" w:space="0" w:color="auto"/>
      </w:divBdr>
    </w:div>
    <w:div w:id="1283682265">
      <w:bodyDiv w:val="1"/>
      <w:marLeft w:val="0"/>
      <w:marRight w:val="0"/>
      <w:marTop w:val="0"/>
      <w:marBottom w:val="0"/>
      <w:divBdr>
        <w:top w:val="none" w:sz="0" w:space="0" w:color="auto"/>
        <w:left w:val="none" w:sz="0" w:space="0" w:color="auto"/>
        <w:bottom w:val="none" w:sz="0" w:space="0" w:color="auto"/>
        <w:right w:val="none" w:sz="0" w:space="0" w:color="auto"/>
      </w:divBdr>
    </w:div>
    <w:div w:id="1507018218">
      <w:bodyDiv w:val="1"/>
      <w:marLeft w:val="0"/>
      <w:marRight w:val="0"/>
      <w:marTop w:val="0"/>
      <w:marBottom w:val="0"/>
      <w:divBdr>
        <w:top w:val="none" w:sz="0" w:space="0" w:color="auto"/>
        <w:left w:val="none" w:sz="0" w:space="0" w:color="auto"/>
        <w:bottom w:val="none" w:sz="0" w:space="0" w:color="auto"/>
        <w:right w:val="none" w:sz="0" w:space="0" w:color="auto"/>
      </w:divBdr>
    </w:div>
    <w:div w:id="1596014944">
      <w:bodyDiv w:val="1"/>
      <w:marLeft w:val="0"/>
      <w:marRight w:val="0"/>
      <w:marTop w:val="0"/>
      <w:marBottom w:val="0"/>
      <w:divBdr>
        <w:top w:val="none" w:sz="0" w:space="0" w:color="auto"/>
        <w:left w:val="none" w:sz="0" w:space="0" w:color="auto"/>
        <w:bottom w:val="none" w:sz="0" w:space="0" w:color="auto"/>
        <w:right w:val="none" w:sz="0" w:space="0" w:color="auto"/>
      </w:divBdr>
    </w:div>
    <w:div w:id="1877156518">
      <w:bodyDiv w:val="1"/>
      <w:marLeft w:val="0"/>
      <w:marRight w:val="0"/>
      <w:marTop w:val="0"/>
      <w:marBottom w:val="0"/>
      <w:divBdr>
        <w:top w:val="none" w:sz="0" w:space="0" w:color="auto"/>
        <w:left w:val="none" w:sz="0" w:space="0" w:color="auto"/>
        <w:bottom w:val="none" w:sz="0" w:space="0" w:color="auto"/>
        <w:right w:val="none" w:sz="0" w:space="0" w:color="auto"/>
      </w:divBdr>
    </w:div>
    <w:div w:id="1919437625">
      <w:bodyDiv w:val="1"/>
      <w:marLeft w:val="0"/>
      <w:marRight w:val="0"/>
      <w:marTop w:val="0"/>
      <w:marBottom w:val="0"/>
      <w:divBdr>
        <w:top w:val="none" w:sz="0" w:space="0" w:color="auto"/>
        <w:left w:val="none" w:sz="0" w:space="0" w:color="auto"/>
        <w:bottom w:val="none" w:sz="0" w:space="0" w:color="auto"/>
        <w:right w:val="none" w:sz="0" w:space="0" w:color="auto"/>
      </w:divBdr>
    </w:div>
    <w:div w:id="204552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0199&amp;date=25.07.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EXP&amp;n=528682&amp;date=25.07.2022"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80199&amp;date=25.07.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0195&amp;date=25.0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C54C-53EB-4994-8410-2991E846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1385</Words>
  <Characters>7900</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E Shelaginov</dc:creator>
  <cp:keywords/>
  <dc:description/>
  <cp:lastModifiedBy>ГУБИНА ТАТЬЯНА СЕРГЕЕВНА</cp:lastModifiedBy>
  <cp:revision>7</cp:revision>
  <cp:lastPrinted>2022-10-31T09:40:00Z</cp:lastPrinted>
  <dcterms:created xsi:type="dcterms:W3CDTF">2022-11-16T07:00:00Z</dcterms:created>
  <dcterms:modified xsi:type="dcterms:W3CDTF">2022-11-18T10:17:00Z</dcterms:modified>
</cp:coreProperties>
</file>