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58" w:rsidRPr="00EF039D" w:rsidRDefault="00B53658" w:rsidP="00B53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 xml:space="preserve">Доклад о реализации Стратегии повышения финансовой грамотности </w:t>
      </w:r>
      <w:r w:rsidR="00EF039D">
        <w:rPr>
          <w:rFonts w:ascii="Times New Roman" w:hAnsi="Times New Roman" w:cs="Times New Roman"/>
          <w:sz w:val="28"/>
          <w:szCs w:val="28"/>
        </w:rPr>
        <w:br/>
      </w:r>
      <w:r w:rsidRPr="00EF039D">
        <w:rPr>
          <w:rFonts w:ascii="Times New Roman" w:hAnsi="Times New Roman" w:cs="Times New Roman"/>
          <w:sz w:val="28"/>
          <w:szCs w:val="28"/>
        </w:rPr>
        <w:t>в Российс</w:t>
      </w:r>
      <w:r w:rsidR="001462E6">
        <w:rPr>
          <w:rFonts w:ascii="Times New Roman" w:hAnsi="Times New Roman" w:cs="Times New Roman"/>
          <w:sz w:val="28"/>
          <w:szCs w:val="28"/>
        </w:rPr>
        <w:t>кой Федерации на 2017-2023 годы</w:t>
      </w:r>
      <w:r w:rsidR="00282A2A">
        <w:rPr>
          <w:rFonts w:ascii="Times New Roman" w:hAnsi="Times New Roman" w:cs="Times New Roman"/>
          <w:sz w:val="28"/>
          <w:szCs w:val="28"/>
        </w:rPr>
        <w:t xml:space="preserve"> (по итогам 2021 года)</w:t>
      </w:r>
      <w:bookmarkStart w:id="0" w:name="_GoBack"/>
      <w:bookmarkEnd w:id="0"/>
    </w:p>
    <w:p w:rsidR="00B53658" w:rsidRPr="00EF039D" w:rsidRDefault="00B53658" w:rsidP="00B53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658" w:rsidRPr="00EF039D" w:rsidRDefault="00B53658" w:rsidP="00D71F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>1. Общая информация об отраслевом документе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>стратегического планирования Российской Федерации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 xml:space="preserve">по вопросам, находящимся в ведении </w:t>
      </w:r>
      <w:r w:rsidR="00D71F4A">
        <w:rPr>
          <w:rFonts w:ascii="Times New Roman" w:hAnsi="Times New Roman" w:cs="Times New Roman"/>
          <w:sz w:val="28"/>
          <w:szCs w:val="28"/>
        </w:rPr>
        <w:br/>
      </w:r>
      <w:r w:rsidRPr="00EF039D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>Федерации (далее - отраслевой документ</w:t>
      </w:r>
    </w:p>
    <w:p w:rsidR="00B53658" w:rsidRPr="00EF039D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>стратегического планирования)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rPr>
          <w:trHeight w:val="296"/>
        </w:trPr>
        <w:tc>
          <w:tcPr>
            <w:tcW w:w="680" w:type="dxa"/>
          </w:tcPr>
          <w:p w:rsidR="00B53658" w:rsidRPr="00EF039D" w:rsidRDefault="00271F9E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EF039D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Наименование отраслевого документа стратегического планирования:</w:t>
            </w:r>
          </w:p>
          <w:p w:rsidR="00B53658" w:rsidRPr="001462E6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Стратегия повышения финансовой грамотности в Российской Федерации</w:t>
            </w:r>
          </w:p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на 2017-2023 годы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 xml:space="preserve">Реквизиты акта, которым утвержден отраслевой документ </w:t>
            </w:r>
            <w:r w:rsidR="00727AAF">
              <w:rPr>
                <w:rFonts w:ascii="Times New Roman" w:hAnsi="Times New Roman" w:cs="Times New Roman"/>
                <w:sz w:val="24"/>
              </w:rPr>
              <w:br/>
            </w:r>
            <w:r w:rsidRPr="00EF039D">
              <w:rPr>
                <w:rFonts w:ascii="Times New Roman" w:hAnsi="Times New Roman" w:cs="Times New Roman"/>
                <w:sz w:val="24"/>
              </w:rPr>
              <w:t>стратегического планирования:</w:t>
            </w:r>
          </w:p>
          <w:p w:rsidR="00B53658" w:rsidRPr="001462E6" w:rsidRDefault="00D00A0B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аспоряжение Правительств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t xml:space="preserve">а Российской Федерации 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br/>
              <w:t xml:space="preserve">от 25 сентября 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2017 г. №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2039-р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Федеральный орган исполнительной власти (далее - разработчик):</w:t>
            </w:r>
          </w:p>
          <w:p w:rsidR="00B53658" w:rsidRPr="001462E6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Министерство финансов Российской Федерации</w:t>
            </w:r>
            <w:r w:rsidR="00D00A0B">
              <w:rPr>
                <w:rFonts w:ascii="Times New Roman" w:hAnsi="Times New Roman" w:cs="Times New Roman"/>
                <w:sz w:val="24"/>
              </w:rPr>
              <w:t xml:space="preserve"> (Минфин России)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Федеральные органы исполнительной власти</w:t>
            </w:r>
            <w:r w:rsidR="00727A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039D">
              <w:rPr>
                <w:rFonts w:ascii="Times New Roman" w:hAnsi="Times New Roman" w:cs="Times New Roman"/>
                <w:sz w:val="24"/>
              </w:rPr>
              <w:t>- соисполнители:</w:t>
            </w:r>
          </w:p>
          <w:p w:rsidR="00B53658" w:rsidRPr="00D01289" w:rsidRDefault="00D01289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1289">
              <w:rPr>
                <w:rFonts w:ascii="Times New Roman" w:hAnsi="Times New Roman" w:cs="Times New Roman"/>
                <w:sz w:val="24"/>
              </w:rPr>
              <w:t>Министерство просвещения Российской Федерации 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Министерство науки и высшего образования Российской Федерации </w:t>
            </w:r>
            <w:r w:rsidR="00727AA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Минобрнауки России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01289">
              <w:rPr>
                <w:rFonts w:ascii="Times New Roman" w:hAnsi="Times New Roman" w:cs="Times New Roman"/>
                <w:sz w:val="24"/>
              </w:rPr>
              <w:t xml:space="preserve">Федеральная служба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Роспотребнадзор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3658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27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Pr="00D01289">
              <w:rPr>
                <w:rFonts w:ascii="Times New Roman" w:hAnsi="Times New Roman" w:cs="Times New Roman"/>
                <w:sz w:val="24"/>
              </w:rPr>
              <w:t>01.01.20</w:t>
            </w:r>
            <w:r w:rsidR="001462E6" w:rsidRPr="00D01289">
              <w:rPr>
                <w:rFonts w:ascii="Times New Roman" w:hAnsi="Times New Roman" w:cs="Times New Roman"/>
                <w:sz w:val="24"/>
              </w:rPr>
              <w:t>21</w:t>
            </w:r>
            <w:r w:rsidRPr="00D01289">
              <w:rPr>
                <w:rFonts w:ascii="Times New Roman" w:hAnsi="Times New Roman" w:cs="Times New Roman"/>
                <w:sz w:val="24"/>
              </w:rPr>
              <w:t xml:space="preserve"> – 31.12.20</w:t>
            </w:r>
            <w:r w:rsidR="001462E6" w:rsidRPr="00D01289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1462E6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1462E6">
        <w:rPr>
          <w:rFonts w:ascii="Times New Roman" w:hAnsi="Times New Roman" w:cs="Times New Roman"/>
          <w:sz w:val="28"/>
        </w:rPr>
        <w:t>2. Аналитическая справка о реализации отраслевого документа</w:t>
      </w:r>
    </w:p>
    <w:p w:rsidR="00B53658" w:rsidRPr="001462E6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462E6">
        <w:rPr>
          <w:rFonts w:ascii="Times New Roman" w:hAnsi="Times New Roman" w:cs="Times New Roman"/>
          <w:sz w:val="28"/>
        </w:rPr>
        <w:t>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c>
          <w:tcPr>
            <w:tcW w:w="680" w:type="dxa"/>
          </w:tcPr>
          <w:p w:rsidR="00B53658" w:rsidRPr="00A1449E" w:rsidRDefault="00271F9E" w:rsidP="0027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27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76" w:type="dxa"/>
          </w:tcPr>
          <w:p w:rsidR="00B53658" w:rsidRPr="00A1449E" w:rsidRDefault="00B53658" w:rsidP="00CB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динамики показателей отраслевого документа стратегического планирования, отраженных в </w:t>
            </w:r>
            <w:hyperlink w:anchor="P122" w:history="1">
              <w:r w:rsidRPr="00A1449E">
                <w:rPr>
                  <w:rFonts w:ascii="Times New Roman" w:hAnsi="Times New Roman" w:cs="Times New Roman"/>
                  <w:sz w:val="24"/>
                  <w:szCs w:val="24"/>
                </w:rPr>
                <w:t>пункте 5</w:t>
              </w:r>
            </w:hyperlink>
            <w:r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формы:</w:t>
            </w:r>
          </w:p>
          <w:p w:rsidR="00B53658" w:rsidRPr="00A1449E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3D" w:rsidRPr="00353B3D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 реализации Стратегии повышения финансовой грамотности в Российской Федерации на 2017-2023 годы</w:t>
            </w:r>
            <w:r w:rsidR="009B2774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Стратегия)</w:t>
            </w: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измеряются на основе социологически</w:t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>х и статистических исследований,</w:t>
            </w: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 регулярной основе 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t>проводятся Банком России</w:t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в 2017, 2020 и 2022 годах.</w:t>
            </w:r>
          </w:p>
          <w:p w:rsidR="00B53658" w:rsidRPr="008E3DBF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В 2018 году проведено социологическое исследование, на основании которого Межведомственная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координационная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реализации Стратегии утвердила значения качественных индикаторов (</w:t>
            </w:r>
            <w:r w:rsidR="00CC53C5">
              <w:rPr>
                <w:rFonts w:ascii="Times New Roman" w:hAnsi="Times New Roman" w:cs="Times New Roman"/>
                <w:sz w:val="24"/>
                <w:szCs w:val="24"/>
              </w:rPr>
              <w:t>указаны в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CC5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5.1), которые будут применяться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как базовые для последующего измерения динамики показателей в ходе проведения исследований в 2020 и 2022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BF" w:rsidRDefault="008E3DBF" w:rsidP="009B2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8" w:rsidRPr="008E3DBF" w:rsidRDefault="00B53658" w:rsidP="009B2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Помимо качественных показателей для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оценки реализации Стратегии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Стратегии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>показатели, измеряемые ежегодно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20C" w:rsidRPr="00A1449E" w:rsidRDefault="0097320C" w:rsidP="009B27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D5" w:rsidRPr="008E3DBF" w:rsidRDefault="00D71F4A" w:rsidP="0097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и профессиональных образовательных организаций, преподавателей и административно-управленческого персонала образовательных организаций высшего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консультантов-методистов в области финансовой грамотности, прошедших в 2021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br/>
              <w:t>в федер</w:t>
            </w:r>
            <w:r w:rsidR="00757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>льных методических центрах повышения финансовой 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повышения квалификации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элементы финансовой грамотности – более 25 тысяч человек;</w:t>
            </w:r>
          </w:p>
          <w:p w:rsidR="009651D5" w:rsidRPr="008E3DBF" w:rsidRDefault="009651D5" w:rsidP="0097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02" w:rsidRDefault="00E3520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образовательных 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обеспечивших в 2020/2021 учебном году проведение мероприятий в сфере финансовой грамотности для обучающихся – более 35 тысяч организаций;</w:t>
            </w:r>
          </w:p>
          <w:p w:rsidR="00E35202" w:rsidRPr="008E3DBF" w:rsidRDefault="00E3520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D5" w:rsidRPr="008E3DBF" w:rsidRDefault="00CC53C5" w:rsidP="00965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принявших участие во Всероссийской неделе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для детей и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9651D5" w:rsidRPr="008E3D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Неделя)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85 субъектов Российской Федерации, охват информационной кампании в рамках Недели в СМИ составил 93 млн человек;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0C" w:rsidRPr="008E3DBF" w:rsidRDefault="0097320C" w:rsidP="0097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0C" w:rsidRPr="00A1449E" w:rsidRDefault="00CC53C5" w:rsidP="008E3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>оличество субъектов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утвердивших на конец 2021 года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финансовой грамотности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(иные документы стратегического планирования в сфере финансовой грамотности) – 85 субъектов Российской Федерации.</w:t>
            </w:r>
          </w:p>
        </w:tc>
      </w:tr>
      <w:tr w:rsidR="004D06B7" w:rsidRPr="004D06B7" w:rsidTr="003E3783">
        <w:tc>
          <w:tcPr>
            <w:tcW w:w="680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176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действующих мер государственного регулирования в описываемой сфере или отрасли экономики </w:t>
            </w:r>
            <w:hyperlink w:anchor="P79" w:history="1">
              <w:r w:rsidRPr="003E378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3E3783"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мер с характеристикой их влияния)</w:t>
            </w:r>
          </w:p>
        </w:tc>
      </w:tr>
      <w:tr w:rsidR="004F66CF" w:rsidRPr="004D06B7" w:rsidTr="003E3783">
        <w:tc>
          <w:tcPr>
            <w:tcW w:w="680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9176" w:type="dxa"/>
          </w:tcPr>
          <w:p w:rsidR="00B53658" w:rsidRPr="003E3783" w:rsidRDefault="00B53658" w:rsidP="00CB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9B2774" w:rsidRPr="0028136C" w:rsidRDefault="009B2774" w:rsidP="009B2774">
            <w:pPr>
              <w:pStyle w:val="ConsPlusNormal"/>
              <w:jc w:val="both"/>
              <w:rPr>
                <w:color w:val="538135" w:themeColor="accent6" w:themeShade="BF"/>
              </w:rPr>
            </w:pPr>
          </w:p>
          <w:p w:rsidR="00B53658" w:rsidRPr="00C91A09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 xml:space="preserve">План мероприятий («дорожная карта») реализации второго этапа Стратегии </w:t>
            </w:r>
            <w:r w:rsidRPr="00C91A09">
              <w:rPr>
                <w:rFonts w:ascii="Times New Roman" w:hAnsi="Times New Roman" w:cs="Times New Roman"/>
                <w:b/>
                <w:sz w:val="24"/>
              </w:rPr>
              <w:br/>
              <w:t>(на период 2021 - 2023 годов)</w:t>
            </w:r>
            <w:r w:rsidR="009B2774" w:rsidRPr="00C91A0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8136C" w:rsidRPr="0028136C" w:rsidRDefault="0028136C" w:rsidP="009B2774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</w:p>
          <w:p w:rsidR="0028136C" w:rsidRPr="00C91A09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>Раздел 1. Разработка и реализация образовательных программ</w:t>
            </w:r>
          </w:p>
          <w:p w:rsidR="003E3783" w:rsidRPr="003E3783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36C" w:rsidRPr="003E3783" w:rsidRDefault="0028136C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3E3783" w:rsidRPr="003E3783">
              <w:rPr>
                <w:rFonts w:ascii="Times New Roman" w:hAnsi="Times New Roman" w:cs="Times New Roman"/>
                <w:sz w:val="24"/>
              </w:rPr>
              <w:t xml:space="preserve">Актуализация единой рамки компетенций в области финансовой грамотности, </w:t>
            </w:r>
            <w:r w:rsidR="00CB1616">
              <w:rPr>
                <w:rFonts w:ascii="Times New Roman" w:hAnsi="Times New Roman" w:cs="Times New Roman"/>
                <w:sz w:val="24"/>
              </w:rPr>
              <w:br/>
            </w:r>
            <w:r w:rsidR="003E3783" w:rsidRPr="003E3783">
              <w:rPr>
                <w:rFonts w:ascii="Times New Roman" w:hAnsi="Times New Roman" w:cs="Times New Roman"/>
                <w:sz w:val="24"/>
              </w:rPr>
              <w:t>в том числе инвестиционной, налоговой, пенсионной, бюджетной грамотности, а также инициативного бюджетирования, цифровой и киберграмотности, финансовой грамотности для предпринимателей (далее - финансовая грамотность), для обучающихся всех уровней образования и взрослого населения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30FF9" w:rsidRPr="00844DEA">
              <w:rPr>
                <w:rFonts w:ascii="Times New Roman" w:hAnsi="Times New Roman" w:cs="Times New Roman"/>
                <w:i/>
                <w:sz w:val="24"/>
              </w:rPr>
              <w:t>выполнено</w:t>
            </w:r>
            <w:r w:rsidR="00CB16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1616" w:rsidRPr="00844DEA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2022 году)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28136C" w:rsidRPr="003E3783" w:rsidRDefault="0028136C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1.5. </w:t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>Включение компетенции в области финансовой грамотности в ФГОС среднего профессионального образования; разработка и актуализация ПООП среднего профессионального образования, обеспечивающих формирование компетенции в области финансовой грамотности</w:t>
            </w:r>
            <w:r w:rsidR="00844DEA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>выполнено (реализация мероприятия будет продолжена в 2022 году)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>;</w:t>
            </w:r>
            <w:r w:rsidR="0024263B" w:rsidRPr="003E37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4DEA" w:rsidRPr="003E3783" w:rsidRDefault="00844DEA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1.7. </w:t>
            </w:r>
            <w:r w:rsidRPr="00844DEA">
              <w:rPr>
                <w:rFonts w:ascii="Times New Roman" w:hAnsi="Times New Roman" w:cs="Times New Roman"/>
                <w:sz w:val="24"/>
              </w:rPr>
              <w:t xml:space="preserve">Разработка и актуализация методических рекомендаций о возможностях внедрения финансовой грамотности в образовательные программы образовательных организаций </w:t>
            </w:r>
            <w:r w:rsidRPr="00844DEA">
              <w:rPr>
                <w:rFonts w:ascii="Times New Roman" w:hAnsi="Times New Roman" w:cs="Times New Roman"/>
                <w:sz w:val="24"/>
              </w:rPr>
              <w:lastRenderedPageBreak/>
              <w:t xml:space="preserve">высшего образования рабочих дисциплин/модулей высшего образования и способах формирования соответствующих универсальных компетенций, включающих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44DEA">
              <w:rPr>
                <w:rFonts w:ascii="Times New Roman" w:hAnsi="Times New Roman" w:cs="Times New Roman"/>
                <w:sz w:val="24"/>
              </w:rPr>
              <w:t>набор лучших образовательных практик в сфере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F66CF" w:rsidRPr="003E3783" w:rsidRDefault="004F66CF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1.9. </w:t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 xml:space="preserve">Подготовка и направление в образовательные организации, осуществляющие обучение по дополнительным профессиональным программам, предложений по актуализации действующих программ дополнительного образования для различных целевых групп населения (в том числе в рамках реализации национальных </w:t>
            </w:r>
            <w:r w:rsidR="00844DEA">
              <w:rPr>
                <w:rFonts w:ascii="Times New Roman" w:hAnsi="Times New Roman" w:cs="Times New Roman"/>
                <w:sz w:val="24"/>
              </w:rPr>
              <w:br/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 xml:space="preserve">и федеральных проектов, государственных программ и иных документов стратегического планирования), а также внедрению модульных </w:t>
            </w:r>
            <w:r w:rsidR="00CB1616">
              <w:rPr>
                <w:rFonts w:ascii="Times New Roman" w:hAnsi="Times New Roman" w:cs="Times New Roman"/>
                <w:sz w:val="24"/>
              </w:rPr>
              <w:br/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>программ дополнительного образования напр</w:t>
            </w:r>
            <w:r w:rsidR="00844DEA">
              <w:rPr>
                <w:rFonts w:ascii="Times New Roman" w:hAnsi="Times New Roman" w:cs="Times New Roman"/>
                <w:sz w:val="24"/>
              </w:rPr>
              <w:t>авления «Финансовая грамотность»</w:t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i/>
                <w:sz w:val="24"/>
              </w:rPr>
              <w:br/>
            </w:r>
            <w:r w:rsidR="00844DEA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844D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>выполнено (реализация мероприятия будет продолжена в 2022 году)</w:t>
            </w:r>
            <w:r w:rsidR="0024263B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F66CF" w:rsidRPr="003E3783" w:rsidRDefault="004F66CF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1.11. </w:t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>Повышение квалификации в области финансовой грамотности и методическая поддержка педагогов общеобразовательных и профессиональных образовательных организаций, управленческих кадров организаций общего образования (директоров и заместителей директоров), преподавателей и административно-управленческого персонала образовательных организаций высшего образования, специалистов системы дополнительного образования, педагогических работников образовательных организаций, реализующих дополнительное образование детей и взрослых, работников организаций отдыха детей и их оздоровления, консультантов-методистов в области финансовой грамотности</w:t>
            </w:r>
            <w:r w:rsidR="00844DEA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</w:t>
            </w:r>
            <w:r w:rsidR="00844DEA">
              <w:rPr>
                <w:rFonts w:ascii="Times New Roman" w:hAnsi="Times New Roman" w:cs="Times New Roman"/>
                <w:i/>
                <w:sz w:val="24"/>
              </w:rPr>
              <w:br/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>в 2022 году)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28136C" w:rsidRPr="003E3783" w:rsidRDefault="004F66CF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1.12. </w:t>
            </w:r>
            <w:r w:rsidR="00844DEA" w:rsidRPr="00844DEA">
              <w:rPr>
                <w:rFonts w:ascii="Times New Roman" w:hAnsi="Times New Roman" w:cs="Times New Roman"/>
                <w:sz w:val="24"/>
              </w:rPr>
              <w:t>Расширение внедрения в образовательных организациях, осуществляющих деятельность на территории субъектов Российской Федерации, образовательных программ в области финансовой грамотности на всех уровнях системы образования</w:t>
            </w:r>
            <w:r w:rsidR="00844D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DEA">
              <w:rPr>
                <w:rFonts w:ascii="Times New Roman" w:hAnsi="Times New Roman" w:cs="Times New Roman"/>
                <w:sz w:val="24"/>
              </w:rPr>
              <w:br/>
              <w:t>–</w:t>
            </w:r>
            <w:r w:rsidR="00844DEA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9651D5" w:rsidRPr="003E378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91A09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02F" w:rsidRPr="00C91A09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 xml:space="preserve">Раздел 2. Просвещение и информирование населения; </w:t>
            </w:r>
            <w:r w:rsidRPr="00C91A09">
              <w:rPr>
                <w:rFonts w:ascii="Times New Roman" w:hAnsi="Times New Roman" w:cs="Times New Roman"/>
                <w:b/>
                <w:sz w:val="24"/>
              </w:rPr>
              <w:br/>
              <w:t>популяризация идей финансовой грамотности</w:t>
            </w:r>
          </w:p>
          <w:p w:rsidR="00C91A09" w:rsidRPr="003E3783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02F" w:rsidRPr="003E3783" w:rsidRDefault="004B402F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>Организация и проведение олимпиад в сфере финансовой грамотности для обучающихся общеобразовательных и профессиональных образовательных организаций, а также обучающихся образовательных организаций высшего образования</w:t>
            </w:r>
            <w:r w:rsidR="00C91A09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Default="004B402F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 xml:space="preserve">Разработка и утверждение единого ежегодного плана мероприятий </w:t>
            </w:r>
            <w:r w:rsidR="00C91A09">
              <w:rPr>
                <w:rFonts w:ascii="Times New Roman" w:hAnsi="Times New Roman" w:cs="Times New Roman"/>
                <w:sz w:val="24"/>
              </w:rPr>
              <w:br/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>по популяризации задачи повышения финансовой грамотности населения</w:t>
            </w:r>
            <w:r w:rsidR="00C91A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1A09">
              <w:rPr>
                <w:rFonts w:ascii="Times New Roman" w:hAnsi="Times New Roman" w:cs="Times New Roman"/>
                <w:sz w:val="24"/>
              </w:rPr>
              <w:br/>
              <w:t>–</w:t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C91A09" w:rsidRPr="003E3783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Pr="00C91A09">
              <w:rPr>
                <w:rFonts w:ascii="Times New Roman" w:hAnsi="Times New Roman" w:cs="Times New Roman"/>
                <w:sz w:val="24"/>
              </w:rPr>
              <w:t>Развитие волонтерского движения по финансовой грамотности; масштабирование лучших частных и общественных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Pr="00C91A09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Pr="003E3783" w:rsidRDefault="004B402F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2.4.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 xml:space="preserve">Разработка новых, а также актуализация действующих информационных </w:t>
            </w:r>
            <w:r w:rsidR="00D71F4A">
              <w:rPr>
                <w:rFonts w:ascii="Times New Roman" w:hAnsi="Times New Roman" w:cs="Times New Roman"/>
                <w:sz w:val="24"/>
              </w:rPr>
              <w:br/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>и просветительских материалов с наиболее актуальными вопросами о финансовой грамотности</w:t>
            </w:r>
            <w:r w:rsidR="00C91A09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Pr="003E3783" w:rsidRDefault="004B402F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2.5.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>Распространение разработанных просветительских и информационных материалов о финансовой грамотности и защите прав потребителей финансовых услуг для различной целевой аудитории (включая субъекты малого и среднего предпринимательства), в том числе в ходе проведения обучающих вебинаров и семинаров; поддержка систем обратной связи по вопросам о финансовой грамотности и защите прав потребителей</w:t>
            </w:r>
            <w:r w:rsidR="00C91A09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</w:t>
            </w:r>
            <w:r w:rsidR="00C91A09">
              <w:rPr>
                <w:rFonts w:ascii="Times New Roman" w:hAnsi="Times New Roman" w:cs="Times New Roman"/>
                <w:i/>
                <w:sz w:val="24"/>
              </w:rPr>
              <w:br/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>в 2022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F52773" w:rsidRDefault="004B402F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 xml:space="preserve">2.6.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 xml:space="preserve">Создание и поддержание единой системы информационных ресурсов в области </w:t>
            </w:r>
            <w:r w:rsidR="00C91A09" w:rsidRPr="00C91A09">
              <w:rPr>
                <w:rFonts w:ascii="Times New Roman" w:hAnsi="Times New Roman" w:cs="Times New Roman"/>
                <w:sz w:val="24"/>
              </w:rPr>
              <w:lastRenderedPageBreak/>
              <w:t xml:space="preserve">финансовой грамотности, в том числе создание новых, а также развитие действующих цифровых ресурсов (электронные учебники, видеоматериалы, онлайн-игры, </w:t>
            </w:r>
            <w:r w:rsidR="00C91A09">
              <w:rPr>
                <w:rFonts w:ascii="Times New Roman" w:hAnsi="Times New Roman" w:cs="Times New Roman"/>
                <w:sz w:val="24"/>
              </w:rPr>
              <w:br/>
            </w:r>
            <w:r w:rsidR="00C91A09" w:rsidRPr="00C91A09">
              <w:rPr>
                <w:rFonts w:ascii="Times New Roman" w:hAnsi="Times New Roman" w:cs="Times New Roman"/>
                <w:sz w:val="24"/>
              </w:rPr>
              <w:t>мобильные приложения и другое) и их продвижение в образовательном сообществе</w:t>
            </w:r>
            <w:r w:rsidR="00C91A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1A09">
              <w:rPr>
                <w:rFonts w:ascii="Times New Roman" w:hAnsi="Times New Roman" w:cs="Times New Roman"/>
                <w:sz w:val="24"/>
              </w:rPr>
              <w:br/>
              <w:t>–</w:t>
            </w:r>
            <w:r w:rsidR="00C91A09"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CB1616">
              <w:rPr>
                <w:rFonts w:ascii="Times New Roman" w:hAnsi="Times New Roman" w:cs="Times New Roman"/>
                <w:sz w:val="24"/>
              </w:rPr>
              <w:t>.</w:t>
            </w:r>
          </w:p>
          <w:p w:rsidR="00C91A09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Участие в международном сотрудничестве </w:t>
            </w:r>
            <w:r w:rsidRPr="00C91A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деятельности международных организаций</w:t>
            </w: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Pr="00C91A09">
              <w:rPr>
                <w:rFonts w:ascii="Times New Roman" w:hAnsi="Times New Roman" w:cs="Times New Roman"/>
                <w:sz w:val="24"/>
              </w:rPr>
              <w:t>Участие в рабочих группах и проектной деятельности в области финансовой грамотности международных организаций и объединений, в том числе СНГ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CB1616">
              <w:rPr>
                <w:rFonts w:ascii="Times New Roman" w:hAnsi="Times New Roman" w:cs="Times New Roman"/>
                <w:sz w:val="24"/>
              </w:rPr>
              <w:t>.</w:t>
            </w: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>Раздел 4. Межведомственное взаимодействие</w:t>
            </w: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  <w:r>
              <w:t xml:space="preserve"> </w:t>
            </w:r>
            <w:r w:rsidRPr="00C91A09">
              <w:rPr>
                <w:rFonts w:ascii="Times New Roman" w:hAnsi="Times New Roman" w:cs="Times New Roman"/>
                <w:sz w:val="24"/>
              </w:rPr>
              <w:t>Осуществление систематической методической, консультационной и информационной поддержки субъектам Российской Федерации в реализации региональных мероприятий по финансовой грамотности и защите прав потребителей финансовых услуг, а также мониторинг реализации данных региональных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91A09" w:rsidRDefault="00C91A09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  <w:r>
              <w:t xml:space="preserve"> </w:t>
            </w:r>
            <w:r w:rsidRPr="00C91A09">
              <w:rPr>
                <w:rFonts w:ascii="Times New Roman" w:hAnsi="Times New Roman" w:cs="Times New Roman"/>
                <w:sz w:val="24"/>
              </w:rPr>
              <w:t>Разработка и утверждение участниками реализации Стратегии планов осуществления второго этапа Стратегии в целях достижения заданных индикаторов</w:t>
            </w:r>
            <w:r w:rsidR="00CB1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sz w:val="24"/>
              </w:rPr>
              <w:br/>
              <w:t>–</w:t>
            </w:r>
            <w:r w:rsidR="00CB1616" w:rsidRPr="00844D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i/>
                <w:sz w:val="24"/>
              </w:rPr>
              <w:t xml:space="preserve">выполнено </w:t>
            </w:r>
            <w:r w:rsidR="00CB1616" w:rsidRPr="00844DEA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2022 году)</w:t>
            </w:r>
            <w:r w:rsidR="00CB1616" w:rsidRPr="00CB1616">
              <w:rPr>
                <w:rFonts w:ascii="Times New Roman" w:hAnsi="Times New Roman" w:cs="Times New Roman"/>
                <w:sz w:val="24"/>
              </w:rPr>
              <w:t>;</w:t>
            </w:r>
          </w:p>
          <w:p w:rsidR="00CB1616" w:rsidRDefault="00CB1616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  <w:r>
              <w:t xml:space="preserve"> </w:t>
            </w:r>
            <w:r w:rsidRPr="00CB1616">
              <w:rPr>
                <w:rFonts w:ascii="Times New Roman" w:hAnsi="Times New Roman" w:cs="Times New Roman"/>
                <w:sz w:val="24"/>
              </w:rPr>
              <w:t xml:space="preserve">Разработка, реализация, мониторинг и координация региональных программ повышения уровня финансовой грамотности населения (или региональных программ (подпрограмм/стратегических планов/дорожных карт) с иным наименованием, направленных на повышение финансовой грамотности населения и защиту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B1616">
              <w:rPr>
                <w:rFonts w:ascii="Times New Roman" w:hAnsi="Times New Roman" w:cs="Times New Roman"/>
                <w:sz w:val="24"/>
              </w:rPr>
              <w:t>прав потребителей финансовых услуг) субъектов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B1616" w:rsidRPr="00CB1616" w:rsidRDefault="00CB1616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4.4.</w:t>
            </w:r>
            <w:r>
              <w:t xml:space="preserve"> </w:t>
            </w:r>
            <w:r w:rsidRPr="00CB1616">
              <w:rPr>
                <w:rFonts w:ascii="Times New Roman" w:hAnsi="Times New Roman" w:cs="Times New Roman"/>
                <w:sz w:val="24"/>
              </w:rPr>
              <w:t xml:space="preserve">Подготовка ежегодного аналитического доклада о ходе реализации Стратегии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B1616">
              <w:rPr>
                <w:rFonts w:ascii="Times New Roman" w:hAnsi="Times New Roman" w:cs="Times New Roman"/>
                <w:sz w:val="24"/>
              </w:rPr>
              <w:t>и его направление в Правительство Российской Федерации и Банк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мероприятия будет продолжена в 2022 году)</w:t>
            </w:r>
            <w:r w:rsidR="00353B3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lastRenderedPageBreak/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1" w:name="P79"/>
      <w:bookmarkEnd w:id="1"/>
      <w:r w:rsidRPr="00A1449E">
        <w:rPr>
          <w:rFonts w:ascii="Times New Roman" w:hAnsi="Times New Roman" w:cs="Times New Roman"/>
          <w:sz w:val="24"/>
        </w:rPr>
        <w:t>&lt;1&gt; Дается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</w:t>
      </w:r>
      <w:hyperlink w:anchor="P92" w:history="1">
        <w:r w:rsidRPr="00A1449E">
          <w:rPr>
            <w:rFonts w:ascii="Times New Roman" w:hAnsi="Times New Roman" w:cs="Times New Roman"/>
            <w:sz w:val="24"/>
          </w:rPr>
          <w:t>пункте 3.2</w:t>
        </w:r>
      </w:hyperlink>
      <w:r w:rsidRPr="00A1449E">
        <w:rPr>
          <w:rFonts w:ascii="Times New Roman" w:hAnsi="Times New Roman" w:cs="Times New Roman"/>
          <w:sz w:val="24"/>
        </w:rPr>
        <w:t xml:space="preserve"> настоящей формы указываются предложения по его предотвращению в дальнейшем.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A1449E" w:rsidRDefault="00B53658" w:rsidP="00D71F4A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3. Анализ факторов, повлиявших на ход реализации</w:t>
      </w:r>
      <w:r w:rsidR="00D71F4A">
        <w:rPr>
          <w:rFonts w:ascii="Times New Roman" w:hAnsi="Times New Roman" w:cs="Times New Roman"/>
          <w:sz w:val="28"/>
        </w:rPr>
        <w:t xml:space="preserve"> </w:t>
      </w:r>
      <w:r w:rsidR="00D71F4A">
        <w:rPr>
          <w:rFonts w:ascii="Times New Roman" w:hAnsi="Times New Roman" w:cs="Times New Roman"/>
          <w:sz w:val="28"/>
        </w:rPr>
        <w:br/>
      </w: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Факторы, повлекшие полное или частичное неисполнение мероприятий и (или) </w:t>
            </w:r>
            <w:proofErr w:type="spellStart"/>
            <w:r w:rsidRPr="00A1449E">
              <w:rPr>
                <w:rFonts w:ascii="Times New Roman" w:hAnsi="Times New Roman" w:cs="Times New Roman"/>
                <w:sz w:val="24"/>
              </w:rPr>
              <w:t>недостижение</w:t>
            </w:r>
            <w:proofErr w:type="spellEnd"/>
            <w:r w:rsidRPr="00A1449E">
              <w:rPr>
                <w:rFonts w:ascii="Times New Roman" w:hAnsi="Times New Roman" w:cs="Times New Roman"/>
                <w:sz w:val="24"/>
              </w:rPr>
              <w:t xml:space="preserve"> целевых показателей (при наличии):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="003E3783" w:rsidRPr="003E3783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факторов)</w:t>
            </w:r>
          </w:p>
        </w:tc>
      </w:tr>
      <w:tr w:rsidR="00B53658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P92"/>
            <w:bookmarkEnd w:id="2"/>
            <w:r w:rsidRPr="00A1449E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совершенствованию мер государственного регулирования в рассматриваемой отрасли: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3E3783" w:rsidRPr="003E3783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мероприятий)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4. Предложения о необходимости корректировки отраслевого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318"/>
      </w:tblGrid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Перечень факторов, последствия которых окажут значительное влияние на сферы или отрасли экономики </w:t>
            </w:r>
            <w:hyperlink w:anchor="P120" w:history="1">
              <w:r w:rsidRPr="00A1449E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  <w:r w:rsidRPr="00A1449E">
              <w:rPr>
                <w:rFonts w:ascii="Times New Roman" w:hAnsi="Times New Roman" w:cs="Times New Roman"/>
                <w:sz w:val="24"/>
              </w:rPr>
              <w:t>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факторов с характеристикой их влияния)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и/или уточнению)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</w:t>
            </w:r>
            <w:r w:rsidR="003E3783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и/или уточнению)</w:t>
            </w:r>
          </w:p>
        </w:tc>
      </w:tr>
      <w:tr w:rsidR="00B53658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 (или) уточнению)</w:t>
            </w:r>
          </w:p>
        </w:tc>
      </w:tr>
    </w:tbl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3" w:name="P120"/>
      <w:bookmarkEnd w:id="3"/>
      <w:r w:rsidRPr="00A1449E">
        <w:rPr>
          <w:rFonts w:ascii="Times New Roman" w:hAnsi="Times New Roman" w:cs="Times New Roman"/>
          <w:sz w:val="24"/>
        </w:rPr>
        <w:t xml:space="preserve">&lt;2&gt; Указываются факторы, последствия которых окажут негативное или позитивное влияние на сферу или отрасль экономики, с характеристикой их влияния. В качестве характеристики влияния фактора указывается </w:t>
      </w:r>
      <w:r w:rsidR="00645427">
        <w:rPr>
          <w:rFonts w:ascii="Times New Roman" w:hAnsi="Times New Roman" w:cs="Times New Roman"/>
          <w:sz w:val="24"/>
        </w:rPr>
        <w:t>«негативное/позитивное»</w:t>
      </w:r>
      <w:r w:rsidRPr="00A1449E">
        <w:rPr>
          <w:rFonts w:ascii="Times New Roman" w:hAnsi="Times New Roman" w:cs="Times New Roman"/>
          <w:sz w:val="24"/>
        </w:rPr>
        <w:t>.</w:t>
      </w:r>
    </w:p>
    <w:p w:rsidR="00353B3D" w:rsidRDefault="00353B3D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4" w:name="P122"/>
      <w:bookmarkEnd w:id="4"/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5. Сведения о достижении целевых значений показателей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за отчетный период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828"/>
        <w:gridCol w:w="1417"/>
        <w:gridCol w:w="1134"/>
        <w:gridCol w:w="1701"/>
        <w:gridCol w:w="1418"/>
      </w:tblGrid>
      <w:tr w:rsidR="00727AAF" w:rsidRPr="004D06B7" w:rsidTr="00007714">
        <w:tc>
          <w:tcPr>
            <w:tcW w:w="500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727AAF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828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 xml:space="preserve">Показатели отрасли/сферы </w:t>
            </w:r>
            <w:hyperlink w:anchor="P158" w:history="1">
              <w:r w:rsidRPr="00727AAF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Предыдущий год</w:t>
            </w:r>
          </w:p>
        </w:tc>
        <w:tc>
          <w:tcPr>
            <w:tcW w:w="2835" w:type="dxa"/>
            <w:gridSpan w:val="2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vMerge w:val="restart"/>
          </w:tcPr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 xml:space="preserve">Характеристика показателя </w:t>
            </w:r>
            <w:hyperlink w:anchor="P160" w:history="1">
              <w:r w:rsidRPr="00727AAF">
                <w:rPr>
                  <w:rFonts w:ascii="Times New Roman" w:hAnsi="Times New Roman" w:cs="Times New Roman"/>
                  <w:sz w:val="24"/>
                </w:rPr>
                <w:t>&lt;5&gt;</w:t>
              </w:r>
            </w:hyperlink>
          </w:p>
        </w:tc>
      </w:tr>
      <w:tr w:rsidR="00727AAF" w:rsidRPr="004D06B7" w:rsidTr="00007714">
        <w:tc>
          <w:tcPr>
            <w:tcW w:w="500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3828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1417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159" w:history="1">
              <w:r w:rsidRPr="00727AA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</w:tr>
      <w:tr w:rsidR="00727AAF" w:rsidRPr="00727AAF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сферы/отрасли экономики (например, выпуск и потребление товаров, работ, услуг; инвестиции; цены/тарифы на товары, работы, услуги)</w:t>
            </w:r>
          </w:p>
          <w:p w:rsidR="00B17533" w:rsidRPr="00727AAF" w:rsidRDefault="00B17533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показатели эффективности реализации Стратегии:</w:t>
            </w:r>
          </w:p>
          <w:p w:rsidR="00CB1616" w:rsidRDefault="00CB1616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1. Процент граждан, понимающих соотношение «риск-доходность»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533" w:rsidRDefault="00B17533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2. Процент граждан, располагающих запасом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непредвиденных жизненных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3. Средний балл по базовой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финансовых вычислений;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4. Процент граждан, сравнивающих условия предоставления финансовых услуг в различных компаниях при выборе финансовой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5. Процент граждан, осведомленных о государственной системе страхования вкладов в банках, включая информацию о максимально</w:t>
            </w:r>
            <w:r w:rsidR="000077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гарантированном размере страховой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6. Процент граждан, правильно называющих основные признаки финансовой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7. Процент граждан, осведомленных об    организациях, занимающихся защитой прав потребителей на финансовом рынке</w:t>
            </w:r>
          </w:p>
        </w:tc>
        <w:tc>
          <w:tcPr>
            <w:tcW w:w="1417" w:type="dxa"/>
          </w:tcPr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33" w:rsidRDefault="00B17533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33" w:rsidRDefault="00B17533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Pr="00727AAF" w:rsidRDefault="00727AAF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007714" w:rsidRDefault="00727AAF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7AAF" w:rsidRPr="00007714" w:rsidRDefault="00727AAF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4" w:rsidRP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4" w:rsidRP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007714" w:rsidRDefault="00007714" w:rsidP="00727AAF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7AAF" w:rsidRPr="00007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AF" w:rsidRPr="00727AAF" w:rsidRDefault="00727AAF" w:rsidP="0072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AAF" w:rsidRPr="00727AAF" w:rsidRDefault="00727AA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Pr="00727AAF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Не измерялись в отчетном году, следующая оценка показателей эффективности</w:t>
            </w:r>
            <w:r w:rsidR="006454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Стратегии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на 2022 год</w:t>
            </w:r>
          </w:p>
          <w:p w:rsidR="00727AAF" w:rsidRPr="00727AAF" w:rsidRDefault="00727AA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(не приводится)</w:t>
            </w:r>
          </w:p>
        </w:tc>
      </w:tr>
      <w:tr w:rsidR="00727AAF" w:rsidRPr="004D06B7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Динамика пок</w:t>
            </w:r>
            <w:r>
              <w:rPr>
                <w:rFonts w:ascii="Times New Roman" w:hAnsi="Times New Roman" w:cs="Times New Roman"/>
                <w:sz w:val="24"/>
              </w:rPr>
              <w:t xml:space="preserve">азателей, характеризующих место </w:t>
            </w:r>
            <w:r w:rsidRPr="00727AAF">
              <w:rPr>
                <w:rFonts w:ascii="Times New Roman" w:hAnsi="Times New Roman" w:cs="Times New Roman"/>
                <w:sz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AA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AAF">
              <w:rPr>
                <w:rFonts w:ascii="Times New Roman" w:hAnsi="Times New Roman" w:cs="Times New Roman"/>
                <w:sz w:val="24"/>
              </w:rPr>
              <w:t>отрасли экономики России в мире (например, объемы выпуска товаров, работ, услуг в целом по миру; доля товаров, работ, услуг российского происхождения в мировом объеме)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27AAF" w:rsidRPr="004D06B7" w:rsidTr="00007714">
        <w:trPr>
          <w:trHeight w:val="1024"/>
        </w:trPr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27AAF" w:rsidRPr="004D06B7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lastRenderedPageBreak/>
              <w:t>5.4.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- объемы выбросов загрязнений, объемы отходов)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5" w:name="P158"/>
      <w:bookmarkEnd w:id="5"/>
      <w:r w:rsidRPr="00A1449E">
        <w:rPr>
          <w:rFonts w:ascii="Times New Roman" w:hAnsi="Times New Roman" w:cs="Times New Roman"/>
          <w:sz w:val="24"/>
        </w:rPr>
        <w:t>&lt;3&gt; Каждый показатель указывается в отдельной строке.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6" w:name="P159"/>
      <w:bookmarkEnd w:id="6"/>
      <w:r w:rsidRPr="00A1449E">
        <w:rPr>
          <w:rFonts w:ascii="Times New Roman" w:hAnsi="Times New Roman" w:cs="Times New Roman"/>
          <w:sz w:val="24"/>
        </w:rPr>
        <w:t>&lt;4&gt; 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7" w:name="P160"/>
      <w:bookmarkEnd w:id="7"/>
      <w:r w:rsidRPr="00A1449E">
        <w:rPr>
          <w:rFonts w:ascii="Times New Roman" w:hAnsi="Times New Roman" w:cs="Times New Roman"/>
          <w:sz w:val="24"/>
        </w:rPr>
        <w:t>&lt;5&gt; Заполняется в соответствии с динамикой относительно предыдущего года (с точки зрения достижения целевого значения показателя):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улучшение ситуации в отрасли по сравнению с предыдущим годом;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ситуация не изменилась;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ухудшение ситуации по сравнению с предыдущим годом.</w:t>
      </w:r>
    </w:p>
    <w:p w:rsidR="00353B3D" w:rsidRDefault="00353B3D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6. Данные об использованных бюджетных ассигнованиях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на реализацию мероприятий государственных программ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Российской Федерации, обеспечивающих реализацию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4130"/>
      </w:tblGrid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Наименование государственной программы Российской Федерации (госпрограммы), федеральной целевой программы (ФЦП) либо их составляющих </w:t>
            </w:r>
            <w:hyperlink w:anchor="P196" w:history="1">
              <w:r w:rsidRPr="00A1449E">
                <w:rPr>
                  <w:rFonts w:ascii="Times New Roman" w:hAnsi="Times New Roman" w:cs="Times New Roman"/>
                  <w:sz w:val="24"/>
                </w:rPr>
                <w:t>&lt;6&gt;</w:t>
              </w:r>
            </w:hyperlink>
          </w:p>
        </w:tc>
        <w:tc>
          <w:tcPr>
            <w:tcW w:w="413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Объем бюджетных ассигнований, выделенных в отчетном году на реализацию отраслевого документа стратегического планирования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P175"/>
            <w:bookmarkEnd w:id="8"/>
            <w:r w:rsidRPr="00A1449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госпрограммы:</w:t>
            </w:r>
          </w:p>
          <w:p w:rsidR="00B53658" w:rsidRPr="00A1449E" w:rsidRDefault="00645427" w:rsidP="0064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007714">
              <w:rPr>
                <w:rFonts w:ascii="Times New Roman" w:hAnsi="Times New Roman" w:cs="Times New Roman"/>
                <w:sz w:val="24"/>
              </w:rPr>
              <w:t>осударственная программа</w:t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7714">
              <w:rPr>
                <w:rFonts w:ascii="Times New Roman" w:hAnsi="Times New Roman" w:cs="Times New Roman"/>
                <w:sz w:val="24"/>
              </w:rPr>
              <w:br/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 w:rsidR="00007714">
              <w:rPr>
                <w:rFonts w:ascii="Times New Roman" w:hAnsi="Times New Roman" w:cs="Times New Roman"/>
                <w:sz w:val="24"/>
              </w:rPr>
              <w:t>«</w:t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>Управление государственными финансами и регулирование финансовых рынков</w:t>
            </w:r>
            <w:r w:rsidR="0000771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30" w:type="dxa"/>
            <w:vAlign w:val="center"/>
          </w:tcPr>
          <w:p w:rsidR="00B53658" w:rsidRPr="00A1449E" w:rsidRDefault="00B8216D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6.1.1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подпрограммы/ФЦП госпрограммы:</w:t>
            </w:r>
          </w:p>
          <w:p w:rsidR="00B53658" w:rsidRPr="00A1449E" w:rsidRDefault="00645427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8216D">
              <w:rPr>
                <w:rFonts w:ascii="Times New Roman" w:hAnsi="Times New Roman" w:cs="Times New Roman"/>
                <w:sz w:val="24"/>
              </w:rPr>
              <w:t>одпрограмма 5. Развитие законодательства Российской Федерации в сфере финансовых рынков, валютного регулирования и валютного контроля, драгоценных металлов и драгоценных камней</w:t>
            </w:r>
          </w:p>
        </w:tc>
        <w:tc>
          <w:tcPr>
            <w:tcW w:w="4130" w:type="dxa"/>
            <w:vAlign w:val="center"/>
          </w:tcPr>
          <w:p w:rsidR="00B53658" w:rsidRPr="00A1449E" w:rsidRDefault="00B8216D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6.1.1.1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основного мероприятия подпрограммы госпрограммы/мероприятия в рамках ФЦП:</w:t>
            </w:r>
          </w:p>
          <w:p w:rsidR="00B53658" w:rsidRPr="00A1449E" w:rsidRDefault="00B8216D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основное мероприятие 5.1. Развитие финансового рынка, регулирование деятельности финансовых институтов </w:t>
            </w:r>
            <w:r w:rsidR="0064542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и субъектов финансового рынка</w:t>
            </w:r>
          </w:p>
        </w:tc>
        <w:tc>
          <w:tcPr>
            <w:tcW w:w="4130" w:type="dxa"/>
            <w:vAlign w:val="center"/>
          </w:tcPr>
          <w:p w:rsidR="00B53658" w:rsidRPr="00A1449E" w:rsidRDefault="00B8216D" w:rsidP="0064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07714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645427">
              <w:rPr>
                <w:rFonts w:ascii="Times New Roman" w:hAnsi="Times New Roman" w:cs="Times New Roman"/>
                <w:sz w:val="24"/>
              </w:rPr>
              <w:t>39</w:t>
            </w:r>
            <w:r w:rsidRPr="00007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5427">
              <w:rPr>
                <w:rFonts w:ascii="Times New Roman" w:hAnsi="Times New Roman" w:cs="Times New Roman"/>
                <w:sz w:val="24"/>
              </w:rPr>
              <w:t>467,2</w:t>
            </w:r>
            <w:r w:rsidRPr="00007714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="00645427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D71F4A" w:rsidRDefault="00D71F4A" w:rsidP="0064542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645427" w:rsidRPr="00645427" w:rsidRDefault="00645427" w:rsidP="0064542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454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645427">
        <w:rPr>
          <w:rFonts w:ascii="Times New Roman" w:hAnsi="Times New Roman" w:cs="Times New Roman"/>
          <w:sz w:val="24"/>
        </w:rPr>
        <w:t>аправление расходов 92350 «Обеспечение реализации мероприятий Стратегии повышения финансовой грамотности в Российской Федерации на 2017-2023 годы»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9" w:name="P196"/>
      <w:bookmarkEnd w:id="9"/>
      <w:r w:rsidRPr="00A1449E">
        <w:rPr>
          <w:rFonts w:ascii="Times New Roman" w:hAnsi="Times New Roman" w:cs="Times New Roman"/>
          <w:sz w:val="24"/>
        </w:rPr>
        <w:t>&lt;6&gt; Указываются все госпрограммы, механизмы которых используются для реализации отраслевого документа стратегического планирования.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 xml:space="preserve"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</w:t>
      </w:r>
      <w:r w:rsidR="00007714">
        <w:rPr>
          <w:rFonts w:ascii="Times New Roman" w:hAnsi="Times New Roman" w:cs="Times New Roman"/>
          <w:sz w:val="24"/>
        </w:rPr>
        <w:br/>
      </w:r>
      <w:r w:rsidRPr="00A1449E">
        <w:rPr>
          <w:rFonts w:ascii="Times New Roman" w:hAnsi="Times New Roman" w:cs="Times New Roman"/>
          <w:sz w:val="24"/>
        </w:rPr>
        <w:t xml:space="preserve">При этом в </w:t>
      </w:r>
      <w:hyperlink w:anchor="P175" w:history="1">
        <w:r w:rsidRPr="00A1449E">
          <w:rPr>
            <w:rFonts w:ascii="Times New Roman" w:hAnsi="Times New Roman" w:cs="Times New Roman"/>
            <w:sz w:val="24"/>
          </w:rPr>
          <w:t>столбце 3</w:t>
        </w:r>
      </w:hyperlink>
      <w:r w:rsidRPr="00A1449E">
        <w:rPr>
          <w:rFonts w:ascii="Times New Roman" w:hAnsi="Times New Roman" w:cs="Times New Roman"/>
          <w:sz w:val="24"/>
        </w:rPr>
        <w:t xml:space="preserve"> указывается общий объем средств федерального бюджета в рамках госпрограммы.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</w:t>
      </w:r>
      <w:hyperlink w:anchor="P175" w:history="1">
        <w:r w:rsidRPr="00A1449E">
          <w:rPr>
            <w:rFonts w:ascii="Times New Roman" w:hAnsi="Times New Roman" w:cs="Times New Roman"/>
            <w:sz w:val="24"/>
          </w:rPr>
          <w:t>столбце 3</w:t>
        </w:r>
      </w:hyperlink>
      <w:r w:rsidRPr="00A1449E">
        <w:rPr>
          <w:rFonts w:ascii="Times New Roman" w:hAnsi="Times New Roman" w:cs="Times New Roman"/>
          <w:sz w:val="24"/>
        </w:rPr>
        <w:t xml:space="preserve"> приводится соответствующий объем бюджетных ассигнований.</w:t>
      </w:r>
    </w:p>
    <w:p w:rsidR="00A1449E" w:rsidRDefault="00A1449E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7. Данные об объемах привлеченного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внебюджетного финансирования, в том числе на принципах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государственно-частного партнерства, в рамках реализации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33"/>
        <w:gridCol w:w="2127"/>
        <w:gridCol w:w="1701"/>
      </w:tblGrid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645427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направления</w:t>
            </w:r>
          </w:p>
        </w:tc>
        <w:tc>
          <w:tcPr>
            <w:tcW w:w="212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Объем внебюджетного финансирования</w:t>
            </w:r>
          </w:p>
        </w:tc>
        <w:tc>
          <w:tcPr>
            <w:tcW w:w="1701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Источник информации </w:t>
            </w:r>
            <w:hyperlink w:anchor="P235" w:history="1">
              <w:r w:rsidRPr="00A1449E">
                <w:rPr>
                  <w:rFonts w:ascii="Times New Roman" w:hAnsi="Times New Roman" w:cs="Times New Roman"/>
                  <w:sz w:val="24"/>
                </w:rPr>
                <w:t>&lt;7&gt;</w:t>
              </w:r>
            </w:hyperlink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Внебюджетные средства в рамках государственных программ Российской Федерации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7.2.1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Федеральном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7.2.2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Региональном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7.2.3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Муниципальном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3658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Внебюджетные инвестиции </w:t>
            </w:r>
            <w:hyperlink w:anchor="P236" w:history="1">
              <w:r w:rsidRPr="00A1449E">
                <w:rPr>
                  <w:rFonts w:ascii="Times New Roman" w:hAnsi="Times New Roman" w:cs="Times New Roman"/>
                  <w:sz w:val="24"/>
                </w:rPr>
                <w:t>&lt;8&gt;</w:t>
              </w:r>
            </w:hyperlink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10" w:name="P235"/>
      <w:bookmarkEnd w:id="10"/>
      <w:r w:rsidRPr="00A1449E">
        <w:rPr>
          <w:rFonts w:ascii="Times New Roman" w:hAnsi="Times New Roman" w:cs="Times New Roman"/>
          <w:sz w:val="24"/>
        </w:rPr>
        <w:t>&lt;7&gt; 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</w:t>
      </w:r>
    </w:p>
    <w:p w:rsidR="00B53658" w:rsidRPr="004D06B7" w:rsidRDefault="00B53658" w:rsidP="00D71F4A">
      <w:pPr>
        <w:pStyle w:val="ConsPlusNormal"/>
        <w:ind w:firstLine="539"/>
        <w:jc w:val="both"/>
      </w:pPr>
      <w:bookmarkStart w:id="11" w:name="P236"/>
      <w:bookmarkEnd w:id="11"/>
      <w:r w:rsidRPr="00A1449E">
        <w:rPr>
          <w:rFonts w:ascii="Times New Roman" w:hAnsi="Times New Roman" w:cs="Times New Roman"/>
          <w:sz w:val="24"/>
        </w:rPr>
        <w:t xml:space="preserve">&lt;8&gt; 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</w:t>
      </w:r>
      <w:r w:rsidR="00645427">
        <w:rPr>
          <w:rFonts w:ascii="Times New Roman" w:hAnsi="Times New Roman" w:cs="Times New Roman"/>
          <w:sz w:val="24"/>
        </w:rPr>
        <w:br/>
      </w:r>
      <w:r w:rsidRPr="00A1449E">
        <w:rPr>
          <w:rFonts w:ascii="Times New Roman" w:hAnsi="Times New Roman" w:cs="Times New Roman"/>
          <w:sz w:val="24"/>
        </w:rPr>
        <w:t xml:space="preserve">средства от выпуска корпоративных облигаций, средства от эмиссий акций, направленные </w:t>
      </w:r>
      <w:r w:rsidR="00645427">
        <w:rPr>
          <w:rFonts w:ascii="Times New Roman" w:hAnsi="Times New Roman" w:cs="Times New Roman"/>
          <w:sz w:val="24"/>
        </w:rPr>
        <w:br/>
      </w:r>
      <w:r w:rsidRPr="00A1449E">
        <w:rPr>
          <w:rFonts w:ascii="Times New Roman" w:hAnsi="Times New Roman" w:cs="Times New Roman"/>
          <w:sz w:val="24"/>
        </w:rPr>
        <w:t>на развитие соответствующей сферы или отрасли экономики.</w:t>
      </w:r>
    </w:p>
    <w:sectPr w:rsidR="00B53658" w:rsidRPr="004D06B7" w:rsidSect="00A1449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71" w:rsidRDefault="006D7271" w:rsidP="00A1449E">
      <w:pPr>
        <w:spacing w:line="240" w:lineRule="auto"/>
      </w:pPr>
      <w:r>
        <w:separator/>
      </w:r>
    </w:p>
  </w:endnote>
  <w:endnote w:type="continuationSeparator" w:id="0">
    <w:p w:rsidR="006D7271" w:rsidRDefault="006D7271" w:rsidP="00A1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71" w:rsidRDefault="006D7271" w:rsidP="00A1449E">
      <w:pPr>
        <w:spacing w:line="240" w:lineRule="auto"/>
      </w:pPr>
      <w:r>
        <w:separator/>
      </w:r>
    </w:p>
  </w:footnote>
  <w:footnote w:type="continuationSeparator" w:id="0">
    <w:p w:rsidR="006D7271" w:rsidRDefault="006D7271" w:rsidP="00A14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1616" w:rsidRPr="00A1449E" w:rsidRDefault="00CB1616" w:rsidP="00A1449E">
        <w:pPr>
          <w:pStyle w:val="a7"/>
          <w:rPr>
            <w:rFonts w:ascii="Times New Roman" w:hAnsi="Times New Roman" w:cs="Times New Roman"/>
            <w:sz w:val="24"/>
          </w:rPr>
        </w:pPr>
        <w:r w:rsidRPr="00A1449E">
          <w:rPr>
            <w:rFonts w:ascii="Times New Roman" w:hAnsi="Times New Roman" w:cs="Times New Roman"/>
            <w:sz w:val="24"/>
          </w:rPr>
          <w:fldChar w:fldCharType="begin"/>
        </w:r>
        <w:r w:rsidRPr="00A1449E">
          <w:rPr>
            <w:rFonts w:ascii="Times New Roman" w:hAnsi="Times New Roman" w:cs="Times New Roman"/>
            <w:sz w:val="24"/>
          </w:rPr>
          <w:instrText>PAGE   \* MERGEFORMAT</w:instrText>
        </w:r>
        <w:r w:rsidRPr="00A1449E">
          <w:rPr>
            <w:rFonts w:ascii="Times New Roman" w:hAnsi="Times New Roman" w:cs="Times New Roman"/>
            <w:sz w:val="24"/>
          </w:rPr>
          <w:fldChar w:fldCharType="separate"/>
        </w:r>
        <w:r w:rsidR="00282A2A">
          <w:rPr>
            <w:rFonts w:ascii="Times New Roman" w:hAnsi="Times New Roman" w:cs="Times New Roman"/>
            <w:noProof/>
            <w:sz w:val="24"/>
          </w:rPr>
          <w:t>4</w:t>
        </w:r>
        <w:r w:rsidRPr="00A144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8F"/>
    <w:multiLevelType w:val="hybridMultilevel"/>
    <w:tmpl w:val="C1B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DE0"/>
    <w:multiLevelType w:val="hybridMultilevel"/>
    <w:tmpl w:val="C2A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6C7C"/>
    <w:multiLevelType w:val="hybridMultilevel"/>
    <w:tmpl w:val="2C6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677"/>
    <w:multiLevelType w:val="hybridMultilevel"/>
    <w:tmpl w:val="99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8"/>
    <w:rsid w:val="00007714"/>
    <w:rsid w:val="001462E6"/>
    <w:rsid w:val="001B7147"/>
    <w:rsid w:val="001D7C9A"/>
    <w:rsid w:val="0024263B"/>
    <w:rsid w:val="00271F9E"/>
    <w:rsid w:val="00276D66"/>
    <w:rsid w:val="0028136C"/>
    <w:rsid w:val="00282A2A"/>
    <w:rsid w:val="0028564C"/>
    <w:rsid w:val="00353B3D"/>
    <w:rsid w:val="00375787"/>
    <w:rsid w:val="003A40BB"/>
    <w:rsid w:val="003D47DD"/>
    <w:rsid w:val="003E3783"/>
    <w:rsid w:val="004B402F"/>
    <w:rsid w:val="004D06B7"/>
    <w:rsid w:val="004F66CF"/>
    <w:rsid w:val="00510262"/>
    <w:rsid w:val="00521372"/>
    <w:rsid w:val="005326C1"/>
    <w:rsid w:val="0054466B"/>
    <w:rsid w:val="00645427"/>
    <w:rsid w:val="0065367D"/>
    <w:rsid w:val="006B48E0"/>
    <w:rsid w:val="006D7271"/>
    <w:rsid w:val="006E25AE"/>
    <w:rsid w:val="006F19FC"/>
    <w:rsid w:val="00727AAF"/>
    <w:rsid w:val="007574B7"/>
    <w:rsid w:val="007C4D7D"/>
    <w:rsid w:val="00844DEA"/>
    <w:rsid w:val="008974E9"/>
    <w:rsid w:val="008E3DBF"/>
    <w:rsid w:val="009651D5"/>
    <w:rsid w:val="0097320C"/>
    <w:rsid w:val="009B2774"/>
    <w:rsid w:val="00A1449E"/>
    <w:rsid w:val="00B17533"/>
    <w:rsid w:val="00B53658"/>
    <w:rsid w:val="00B8216D"/>
    <w:rsid w:val="00BB7558"/>
    <w:rsid w:val="00C91A09"/>
    <w:rsid w:val="00CB1616"/>
    <w:rsid w:val="00CC53C5"/>
    <w:rsid w:val="00D00A0B"/>
    <w:rsid w:val="00D01289"/>
    <w:rsid w:val="00D30FF9"/>
    <w:rsid w:val="00D71F4A"/>
    <w:rsid w:val="00E24616"/>
    <w:rsid w:val="00E26624"/>
    <w:rsid w:val="00E35202"/>
    <w:rsid w:val="00E45C3F"/>
    <w:rsid w:val="00E57178"/>
    <w:rsid w:val="00EA62D6"/>
    <w:rsid w:val="00EF039D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DD0"/>
  <w15:chartTrackingRefBased/>
  <w15:docId w15:val="{AC8AE546-25C5-40C9-9FB4-14EEAD8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3658"/>
    <w:pPr>
      <w:spacing w:after="0" w:line="276" w:lineRule="auto"/>
      <w:ind w:left="482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link w:val="a4"/>
    <w:qFormat/>
    <w:rsid w:val="0028136C"/>
    <w:pPr>
      <w:numPr>
        <w:numId w:val="5"/>
      </w:numPr>
      <w:spacing w:after="100" w:line="260" w:lineRule="atLeast"/>
    </w:pPr>
    <w:rPr>
      <w:rFonts w:ascii="Garamond" w:eastAsia="Times New Roman" w:hAnsi="Garamond" w:cs="Times New Roman"/>
      <w:sz w:val="24"/>
      <w:szCs w:val="24"/>
    </w:rPr>
  </w:style>
  <w:style w:type="character" w:customStyle="1" w:styleId="a4">
    <w:name w:val="Маркированный список Знак"/>
    <w:link w:val="a"/>
    <w:locked/>
    <w:rsid w:val="0028136C"/>
    <w:rPr>
      <w:rFonts w:ascii="Garamond" w:eastAsia="Times New Roman" w:hAnsi="Garamond" w:cs="Times New Roman"/>
      <w:sz w:val="24"/>
      <w:szCs w:val="24"/>
    </w:rPr>
  </w:style>
  <w:style w:type="character" w:customStyle="1" w:styleId="1">
    <w:name w:val="1 Знак"/>
    <w:basedOn w:val="a1"/>
    <w:link w:val="10"/>
    <w:locked/>
    <w:rsid w:val="0028136C"/>
    <w:rPr>
      <w:rFonts w:ascii="Garamond" w:hAnsi="Garamond" w:cs="Arial"/>
      <w:b/>
      <w:sz w:val="24"/>
    </w:rPr>
  </w:style>
  <w:style w:type="paragraph" w:customStyle="1" w:styleId="10">
    <w:name w:val="1"/>
    <w:basedOn w:val="a0"/>
    <w:link w:val="1"/>
    <w:qFormat/>
    <w:rsid w:val="0028136C"/>
    <w:pPr>
      <w:spacing w:after="100" w:line="260" w:lineRule="atLeast"/>
      <w:ind w:left="0"/>
      <w:jc w:val="center"/>
    </w:pPr>
    <w:rPr>
      <w:rFonts w:ascii="Garamond" w:hAnsi="Garamond" w:cs="Arial"/>
      <w:b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544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4466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A144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1449E"/>
  </w:style>
  <w:style w:type="paragraph" w:styleId="a9">
    <w:name w:val="footer"/>
    <w:basedOn w:val="a0"/>
    <w:link w:val="aa"/>
    <w:uiPriority w:val="99"/>
    <w:unhideWhenUsed/>
    <w:rsid w:val="00A144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1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4B2D-578A-4428-9FD8-480B2788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Марина Игоревна</dc:creator>
  <cp:keywords/>
  <dc:description/>
  <cp:lastModifiedBy>Жаринов Михаил Сергеевич</cp:lastModifiedBy>
  <cp:revision>25</cp:revision>
  <cp:lastPrinted>2020-05-29T11:54:00Z</cp:lastPrinted>
  <dcterms:created xsi:type="dcterms:W3CDTF">2020-05-27T11:33:00Z</dcterms:created>
  <dcterms:modified xsi:type="dcterms:W3CDTF">2022-07-12T12:48:00Z</dcterms:modified>
</cp:coreProperties>
</file>