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E8" w:rsidRPr="000143A1" w:rsidRDefault="001779E7" w:rsidP="004B5FA6">
      <w:pPr>
        <w:spacing w:before="240" w:line="240" w:lineRule="auto"/>
        <w:rPr>
          <w:rFonts w:cs="Times New Roman"/>
          <w:b w:val="0"/>
          <w:szCs w:val="28"/>
        </w:rPr>
      </w:pPr>
      <w:r w:rsidRPr="000143A1">
        <w:rPr>
          <w:rFonts w:cs="Times New Roman"/>
          <w:szCs w:val="28"/>
        </w:rPr>
        <w:t>Пояснительная записка</w:t>
      </w:r>
      <w:r w:rsidR="00B13CE8" w:rsidRPr="000143A1">
        <w:rPr>
          <w:rFonts w:cs="Times New Roman"/>
          <w:szCs w:val="28"/>
        </w:rPr>
        <w:t xml:space="preserve"> </w:t>
      </w:r>
      <w:r w:rsidR="00C02C08" w:rsidRPr="000143A1">
        <w:rPr>
          <w:rFonts w:cs="Times New Roman"/>
          <w:szCs w:val="28"/>
        </w:rPr>
        <w:t>к О</w:t>
      </w:r>
      <w:r w:rsidR="0078501F">
        <w:rPr>
          <w:rFonts w:cs="Times New Roman"/>
          <w:szCs w:val="28"/>
        </w:rPr>
        <w:t>тчету о результатах мониторинга</w:t>
      </w:r>
      <w:r w:rsidR="00EA78DC">
        <w:rPr>
          <w:rFonts w:cs="Times New Roman"/>
          <w:szCs w:val="28"/>
        </w:rPr>
        <w:t xml:space="preserve"> </w:t>
      </w:r>
      <w:r w:rsidR="00C02C08" w:rsidRPr="000143A1">
        <w:rPr>
          <w:rFonts w:cs="Times New Roman"/>
          <w:szCs w:val="28"/>
        </w:rPr>
        <w:t>качества фина</w:t>
      </w:r>
      <w:r w:rsidR="0078501F">
        <w:rPr>
          <w:rFonts w:cs="Times New Roman"/>
          <w:szCs w:val="28"/>
        </w:rPr>
        <w:t>нсового менеджмента в отношении подведомственных</w:t>
      </w:r>
      <w:r w:rsidR="00EA78DC">
        <w:rPr>
          <w:rFonts w:cs="Times New Roman"/>
          <w:szCs w:val="28"/>
        </w:rPr>
        <w:br/>
      </w:r>
      <w:r w:rsidR="00C02C08" w:rsidRPr="000143A1">
        <w:rPr>
          <w:rFonts w:cs="Times New Roman"/>
          <w:szCs w:val="28"/>
        </w:rPr>
        <w:t>Министерств</w:t>
      </w:r>
      <w:r w:rsidR="0078501F">
        <w:rPr>
          <w:rFonts w:cs="Times New Roman"/>
          <w:szCs w:val="28"/>
        </w:rPr>
        <w:t>у финансов Российской Федерации</w:t>
      </w:r>
      <w:r w:rsidR="0078501F">
        <w:rPr>
          <w:rFonts w:cs="Times New Roman"/>
          <w:szCs w:val="28"/>
        </w:rPr>
        <w:br/>
      </w:r>
      <w:r w:rsidR="00C02C08" w:rsidRPr="000143A1">
        <w:rPr>
          <w:rFonts w:cs="Times New Roman"/>
          <w:szCs w:val="28"/>
        </w:rPr>
        <w:t>федеральных казенных учреждений</w:t>
      </w:r>
      <w:r w:rsidR="00EA78DC">
        <w:rPr>
          <w:rFonts w:cs="Times New Roman"/>
          <w:szCs w:val="28"/>
        </w:rPr>
        <w:br/>
      </w:r>
      <w:r w:rsidR="009E6E43" w:rsidRPr="000143A1">
        <w:rPr>
          <w:rFonts w:cs="Times New Roman"/>
          <w:szCs w:val="28"/>
        </w:rPr>
        <w:t>за</w:t>
      </w:r>
      <w:r w:rsidR="001077D3" w:rsidRPr="000143A1">
        <w:rPr>
          <w:rFonts w:cs="Times New Roman"/>
          <w:szCs w:val="28"/>
        </w:rPr>
        <w:t xml:space="preserve"> </w:t>
      </w:r>
      <w:r w:rsidR="009E6E43" w:rsidRPr="000143A1">
        <w:rPr>
          <w:rFonts w:cs="Times New Roman"/>
          <w:szCs w:val="28"/>
          <w:lang w:val="en-US"/>
        </w:rPr>
        <w:t>I</w:t>
      </w:r>
      <w:r w:rsidR="009E6E43" w:rsidRPr="000143A1">
        <w:rPr>
          <w:rFonts w:cs="Times New Roman"/>
          <w:szCs w:val="28"/>
        </w:rPr>
        <w:t xml:space="preserve"> квартал</w:t>
      </w:r>
      <w:r w:rsidR="001077D3" w:rsidRPr="000143A1">
        <w:rPr>
          <w:rFonts w:cs="Times New Roman"/>
          <w:szCs w:val="28"/>
        </w:rPr>
        <w:t xml:space="preserve"> 202</w:t>
      </w:r>
      <w:r w:rsidR="006C2BE8" w:rsidRPr="000143A1">
        <w:rPr>
          <w:rFonts w:cs="Times New Roman"/>
          <w:szCs w:val="28"/>
        </w:rPr>
        <w:t xml:space="preserve">2 </w:t>
      </w:r>
      <w:r w:rsidR="001077D3" w:rsidRPr="000143A1">
        <w:rPr>
          <w:rFonts w:cs="Times New Roman"/>
          <w:szCs w:val="28"/>
        </w:rPr>
        <w:t>года</w:t>
      </w:r>
    </w:p>
    <w:p w:rsidR="007A270C" w:rsidRPr="000143A1" w:rsidRDefault="007A270C" w:rsidP="00876B3F">
      <w:pPr>
        <w:pStyle w:val="aa"/>
        <w:spacing w:after="240"/>
        <w:ind w:firstLine="0"/>
        <w:jc w:val="center"/>
        <w:rPr>
          <w:b/>
          <w:lang w:eastAsia="ru-RU"/>
        </w:rPr>
      </w:pPr>
      <w:r w:rsidRPr="000143A1">
        <w:rPr>
          <w:b/>
          <w:lang w:eastAsia="ru-RU"/>
        </w:rPr>
        <w:t>Значени</w:t>
      </w:r>
      <w:r w:rsidR="009760BB">
        <w:rPr>
          <w:b/>
          <w:lang w:eastAsia="ru-RU"/>
        </w:rPr>
        <w:t>я</w:t>
      </w:r>
      <w:r w:rsidRPr="000143A1">
        <w:rPr>
          <w:b/>
          <w:lang w:eastAsia="ru-RU"/>
        </w:rPr>
        <w:t xml:space="preserve"> показателей качества управления расходами федерального бюджета</w:t>
      </w:r>
    </w:p>
    <w:p w:rsidR="00A96F2F" w:rsidRDefault="006D14BA" w:rsidP="00A96F2F">
      <w:pPr>
        <w:pStyle w:val="aa"/>
        <w:rPr>
          <w:lang w:eastAsia="ru-RU"/>
        </w:rPr>
      </w:pPr>
      <w:r>
        <w:rPr>
          <w:lang w:eastAsia="ru-RU"/>
        </w:rPr>
        <w:t>1.1</w:t>
      </w:r>
      <w:r w:rsidR="004C0987">
        <w:rPr>
          <w:lang w:eastAsia="ru-RU"/>
        </w:rPr>
        <w:t>.</w:t>
      </w:r>
      <w:r>
        <w:rPr>
          <w:lang w:eastAsia="ru-RU"/>
        </w:rPr>
        <w:t> </w:t>
      </w:r>
      <w:r w:rsidR="00A96F2F">
        <w:rPr>
          <w:lang w:eastAsia="ru-RU"/>
        </w:rPr>
        <w:t xml:space="preserve">По </w:t>
      </w:r>
      <w:r w:rsidR="00A96F2F" w:rsidRPr="00A96F2F">
        <w:rPr>
          <w:i/>
          <w:lang w:eastAsia="ru-RU"/>
        </w:rPr>
        <w:t>Гохрану России</w:t>
      </w:r>
      <w:r w:rsidR="00A96F2F">
        <w:rPr>
          <w:lang w:eastAsia="ru-RU"/>
        </w:rPr>
        <w:t>.</w:t>
      </w:r>
    </w:p>
    <w:p w:rsidR="00A96F2F" w:rsidRDefault="00A96F2F" w:rsidP="00A96F2F">
      <w:pPr>
        <w:pStyle w:val="aa"/>
        <w:rPr>
          <w:lang w:eastAsia="ru-RU"/>
        </w:rPr>
      </w:pPr>
      <w:r>
        <w:rPr>
          <w:lang w:eastAsia="ru-RU"/>
        </w:rPr>
        <w:t>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не учтено значение показателя качества финансового менеджмента «Погрешность кассового планирования расходов федерального бюджета на социальное обеспечение» (0,00 б.) в связи с отсутствием исходных данных для сравнения с другими подведомственными Минфину России федеральными казенными учреждениями.</w:t>
      </w:r>
    </w:p>
    <w:p w:rsidR="00A96F2F" w:rsidRDefault="00A96F2F" w:rsidP="00A96F2F">
      <w:pPr>
        <w:pStyle w:val="aa"/>
        <w:rPr>
          <w:lang w:eastAsia="ru-RU"/>
        </w:rPr>
      </w:pPr>
      <w:r>
        <w:rPr>
          <w:lang w:eastAsia="ru-RU"/>
        </w:rPr>
        <w:t>Не более 75,00 б. достигнуто по показателям качества финансового менеджмента:</w:t>
      </w:r>
    </w:p>
    <w:p w:rsidR="00A96F2F" w:rsidRDefault="006D14BA" w:rsidP="00963664">
      <w:pPr>
        <w:pStyle w:val="aa"/>
        <w:rPr>
          <w:lang w:eastAsia="ru-RU"/>
        </w:rPr>
      </w:pPr>
      <w:r>
        <w:rPr>
          <w:lang w:eastAsia="ru-RU"/>
        </w:rPr>
        <w:t>- </w:t>
      </w:r>
      <w:r w:rsidR="00A96F2F">
        <w:rPr>
          <w:lang w:eastAsia="ru-RU"/>
        </w:rPr>
        <w:t>«Погрешность кассового планирования по расходам федерального бюджета на начало отчетного периода» (75,00 б</w:t>
      </w:r>
      <w:r w:rsidR="00963664">
        <w:rPr>
          <w:lang w:eastAsia="ru-RU"/>
        </w:rPr>
        <w:t xml:space="preserve">.), </w:t>
      </w:r>
      <w:r w:rsidR="00A96F2F">
        <w:rPr>
          <w:lang w:eastAsia="ru-RU"/>
        </w:rPr>
        <w:t>«Пог</w:t>
      </w:r>
      <w:r w:rsidR="00963664">
        <w:rPr>
          <w:lang w:eastAsia="ru-RU"/>
        </w:rPr>
        <w:t>решность кассового планирования</w:t>
      </w:r>
      <w:r w:rsidR="00963664">
        <w:rPr>
          <w:lang w:eastAsia="ru-RU"/>
        </w:rPr>
        <w:br/>
      </w:r>
      <w:r w:rsidR="00A96F2F">
        <w:rPr>
          <w:lang w:eastAsia="ru-RU"/>
        </w:rPr>
        <w:t>по расходам федерального бюджета на</w:t>
      </w:r>
      <w:r w:rsidR="00963664">
        <w:rPr>
          <w:lang w:eastAsia="ru-RU"/>
        </w:rPr>
        <w:t xml:space="preserve"> выплаты персоналу» (75,00 б.), </w:t>
      </w:r>
      <w:r w:rsidR="00A96F2F">
        <w:rPr>
          <w:lang w:eastAsia="ru-RU"/>
        </w:rPr>
        <w:t>«Погрешность кассового планирования расходов федерального бюджета на социальное обеспечение» (0,00 б.), что демонстрирует увеличение значимости (уровня) бюджетн</w:t>
      </w:r>
      <w:r w:rsidR="007C7522">
        <w:rPr>
          <w:lang w:eastAsia="ru-RU"/>
        </w:rPr>
        <w:t>ых</w:t>
      </w:r>
      <w:r w:rsidR="00A96F2F">
        <w:rPr>
          <w:lang w:eastAsia="ru-RU"/>
        </w:rPr>
        <w:t xml:space="preserve"> риск</w:t>
      </w:r>
      <w:r w:rsidR="007C7522">
        <w:rPr>
          <w:lang w:eastAsia="ru-RU"/>
        </w:rPr>
        <w:t>ов</w:t>
      </w:r>
      <w:r w:rsidR="00A96F2F">
        <w:rPr>
          <w:lang w:eastAsia="ru-RU"/>
        </w:rPr>
        <w:t xml:space="preserve"> </w:t>
      </w:r>
      <w:proofErr w:type="spellStart"/>
      <w:r w:rsidR="00A96F2F">
        <w:rPr>
          <w:lang w:eastAsia="ru-RU"/>
        </w:rPr>
        <w:t>неучета</w:t>
      </w:r>
      <w:proofErr w:type="spellEnd"/>
      <w:r w:rsidR="00A96F2F">
        <w:rPr>
          <w:lang w:eastAsia="ru-RU"/>
        </w:rPr>
        <w:t xml:space="preserve"> факторов, влияющих на сроки осуществления перечислений, при составлении прогноза перечислений по расходам федерального бюджета;</w:t>
      </w:r>
    </w:p>
    <w:p w:rsidR="00A96F2F" w:rsidRDefault="006D14BA" w:rsidP="00A96F2F">
      <w:pPr>
        <w:pStyle w:val="aa"/>
        <w:rPr>
          <w:lang w:eastAsia="ru-RU"/>
        </w:rPr>
      </w:pPr>
      <w:r>
        <w:rPr>
          <w:lang w:eastAsia="ru-RU"/>
        </w:rPr>
        <w:t>- </w:t>
      </w:r>
      <w:r w:rsidR="00A96F2F">
        <w:rPr>
          <w:lang w:eastAsia="ru-RU"/>
        </w:rPr>
        <w:t>«Равномерность осуществления кассовы</w:t>
      </w:r>
      <w:r w:rsidR="00876B3F">
        <w:rPr>
          <w:lang w:eastAsia="ru-RU"/>
        </w:rPr>
        <w:t>х расходов федерального бюджета</w:t>
      </w:r>
      <w:r w:rsidR="00876B3F">
        <w:rPr>
          <w:lang w:eastAsia="ru-RU"/>
        </w:rPr>
        <w:br/>
      </w:r>
      <w:r w:rsidR="00A96F2F">
        <w:rPr>
          <w:lang w:eastAsia="ru-RU"/>
        </w:rPr>
        <w:t>на закупку товаров, работ и услуг» (0,00 б.), что демонстрирует увеличение значимости (уровня) бюджетного риска неравн</w:t>
      </w:r>
      <w:r w:rsidR="006350FA">
        <w:rPr>
          <w:lang w:eastAsia="ru-RU"/>
        </w:rPr>
        <w:t>омерности осуществления закупок</w:t>
      </w:r>
      <w:r w:rsidR="00A96F2F">
        <w:rPr>
          <w:lang w:eastAsia="ru-RU"/>
        </w:rPr>
        <w:t>.</w:t>
      </w:r>
    </w:p>
    <w:p w:rsidR="00A96F2F" w:rsidRDefault="006D14BA" w:rsidP="00A96F2F">
      <w:pPr>
        <w:pStyle w:val="aa"/>
        <w:rPr>
          <w:lang w:eastAsia="ru-RU"/>
        </w:rPr>
      </w:pPr>
      <w:r>
        <w:rPr>
          <w:lang w:eastAsia="ru-RU"/>
        </w:rPr>
        <w:t>1.2</w:t>
      </w:r>
      <w:r w:rsidR="004C0987">
        <w:rPr>
          <w:lang w:eastAsia="ru-RU"/>
        </w:rPr>
        <w:t>.</w:t>
      </w:r>
      <w:r>
        <w:rPr>
          <w:lang w:eastAsia="ru-RU"/>
        </w:rPr>
        <w:t> </w:t>
      </w:r>
      <w:r w:rsidR="00A96F2F">
        <w:rPr>
          <w:lang w:eastAsia="ru-RU"/>
        </w:rPr>
        <w:t xml:space="preserve">По </w:t>
      </w:r>
      <w:r w:rsidR="00A96F2F" w:rsidRPr="00A96F2F">
        <w:rPr>
          <w:i/>
          <w:lang w:eastAsia="ru-RU"/>
        </w:rPr>
        <w:t>ФКУ «ГУ АЗ Минфина России»</w:t>
      </w:r>
      <w:r w:rsidR="00A96F2F">
        <w:rPr>
          <w:i/>
          <w:lang w:eastAsia="ru-RU"/>
        </w:rPr>
        <w:t>.</w:t>
      </w:r>
    </w:p>
    <w:p w:rsidR="00A96F2F" w:rsidRDefault="00A96F2F" w:rsidP="00A96F2F">
      <w:pPr>
        <w:pStyle w:val="aa"/>
        <w:rPr>
          <w:lang w:eastAsia="ru-RU"/>
        </w:rPr>
      </w:pPr>
      <w:r>
        <w:rPr>
          <w:lang w:eastAsia="ru-RU"/>
        </w:rPr>
        <w:t>Не достигнуто значения более 75,00 б. по показателям качества финансового менеджмента:</w:t>
      </w:r>
    </w:p>
    <w:p w:rsidR="00A96F2F" w:rsidRDefault="006D14BA" w:rsidP="00A96F2F">
      <w:pPr>
        <w:pStyle w:val="aa"/>
        <w:rPr>
          <w:lang w:eastAsia="ru-RU"/>
        </w:rPr>
      </w:pPr>
      <w:r>
        <w:rPr>
          <w:lang w:eastAsia="ru-RU"/>
        </w:rPr>
        <w:t>- </w:t>
      </w:r>
      <w:r w:rsidR="00A96F2F">
        <w:rPr>
          <w:lang w:eastAsia="ru-RU"/>
        </w:rPr>
        <w:t>«Погрешность кассового планирования по расходам федерального бюджета на начало отчетного периода» (74,29 б.), «Пог</w:t>
      </w:r>
      <w:r w:rsidR="00876B3F">
        <w:rPr>
          <w:lang w:eastAsia="ru-RU"/>
        </w:rPr>
        <w:t>решность кассового планирования</w:t>
      </w:r>
      <w:r w:rsidR="00876B3F">
        <w:rPr>
          <w:lang w:eastAsia="ru-RU"/>
        </w:rPr>
        <w:br/>
      </w:r>
      <w:r w:rsidR="00A96F2F">
        <w:rPr>
          <w:lang w:eastAsia="ru-RU"/>
        </w:rPr>
        <w:t>по расходам федерального бюджета на</w:t>
      </w:r>
      <w:r w:rsidR="00876B3F">
        <w:rPr>
          <w:lang w:eastAsia="ru-RU"/>
        </w:rPr>
        <w:t xml:space="preserve"> выплаты персоналу» (72,16 б.),</w:t>
      </w:r>
      <w:r w:rsidR="00876B3F">
        <w:rPr>
          <w:lang w:eastAsia="ru-RU"/>
        </w:rPr>
        <w:br/>
      </w:r>
      <w:r w:rsidR="00A96F2F">
        <w:rPr>
          <w:lang w:eastAsia="ru-RU"/>
        </w:rPr>
        <w:t>что демонстрирует увеличение значимости (уровня) бюджетн</w:t>
      </w:r>
      <w:r w:rsidR="00082330">
        <w:rPr>
          <w:lang w:eastAsia="ru-RU"/>
        </w:rPr>
        <w:t>ых</w:t>
      </w:r>
      <w:r w:rsidR="00A96F2F">
        <w:rPr>
          <w:lang w:eastAsia="ru-RU"/>
        </w:rPr>
        <w:t xml:space="preserve"> риск</w:t>
      </w:r>
      <w:r w:rsidR="00082330">
        <w:rPr>
          <w:lang w:eastAsia="ru-RU"/>
        </w:rPr>
        <w:t>ов</w:t>
      </w:r>
      <w:r w:rsidR="00A96F2F">
        <w:rPr>
          <w:lang w:eastAsia="ru-RU"/>
        </w:rPr>
        <w:t xml:space="preserve"> </w:t>
      </w:r>
      <w:proofErr w:type="spellStart"/>
      <w:r w:rsidR="00A96F2F">
        <w:rPr>
          <w:lang w:eastAsia="ru-RU"/>
        </w:rPr>
        <w:t>неучета</w:t>
      </w:r>
      <w:proofErr w:type="spellEnd"/>
      <w:r w:rsidR="00A96F2F">
        <w:rPr>
          <w:lang w:eastAsia="ru-RU"/>
        </w:rPr>
        <w:t xml:space="preserve"> факторов, влияющих на сроки осуществления перечислений, при составлении прогноза перечислений по расходам федерального бюджета;</w:t>
      </w:r>
    </w:p>
    <w:p w:rsidR="00A96F2F" w:rsidRDefault="006D14BA" w:rsidP="00A96F2F">
      <w:pPr>
        <w:pStyle w:val="aa"/>
        <w:rPr>
          <w:lang w:eastAsia="ru-RU"/>
        </w:rPr>
      </w:pPr>
      <w:r>
        <w:rPr>
          <w:lang w:eastAsia="ru-RU"/>
        </w:rPr>
        <w:t>- </w:t>
      </w:r>
      <w:r w:rsidR="00A96F2F">
        <w:rPr>
          <w:lang w:eastAsia="ru-RU"/>
        </w:rPr>
        <w:t>«Равномерность осуществления кассовы</w:t>
      </w:r>
      <w:r w:rsidR="00876B3F">
        <w:rPr>
          <w:lang w:eastAsia="ru-RU"/>
        </w:rPr>
        <w:t>х расходов федерального бюджета</w:t>
      </w:r>
      <w:r w:rsidR="00876B3F">
        <w:rPr>
          <w:lang w:eastAsia="ru-RU"/>
        </w:rPr>
        <w:br/>
      </w:r>
      <w:r w:rsidR="00A96F2F">
        <w:rPr>
          <w:lang w:eastAsia="ru-RU"/>
        </w:rPr>
        <w:t>на закупку товаров, работ и услуг» (0,00 б.), что демонстрирует увеличение значимости (уровня) бюджетного риска неравн</w:t>
      </w:r>
      <w:r w:rsidR="00B206F0">
        <w:rPr>
          <w:lang w:eastAsia="ru-RU"/>
        </w:rPr>
        <w:t>омерности осуществления закупок</w:t>
      </w:r>
      <w:r w:rsidR="00A96F2F">
        <w:rPr>
          <w:lang w:eastAsia="ru-RU"/>
        </w:rPr>
        <w:t>;</w:t>
      </w:r>
    </w:p>
    <w:p w:rsidR="00A96F2F" w:rsidRDefault="006D14BA" w:rsidP="00A96F2F">
      <w:pPr>
        <w:pStyle w:val="aa"/>
        <w:rPr>
          <w:lang w:eastAsia="ru-RU"/>
        </w:rPr>
      </w:pPr>
      <w:r>
        <w:rPr>
          <w:lang w:eastAsia="ru-RU"/>
        </w:rPr>
        <w:t>- </w:t>
      </w:r>
      <w:r w:rsidR="00A96F2F">
        <w:rPr>
          <w:lang w:eastAsia="ru-RU"/>
        </w:rPr>
        <w:t>«Востребованность предельных объемов финансирования на закупку товаров, работ и услуг» (72,10 б.), что демонстрирует увеличение значимости (уровня) бюджетного риска несвоевременности (неполноты) заключения (несоблюдения требований к формированию) контракт</w:t>
      </w:r>
      <w:r w:rsidR="00B02848">
        <w:rPr>
          <w:lang w:eastAsia="ru-RU"/>
        </w:rPr>
        <w:t>ов</w:t>
      </w:r>
      <w:r w:rsidR="00A96F2F">
        <w:rPr>
          <w:lang w:eastAsia="ru-RU"/>
        </w:rPr>
        <w:t>.</w:t>
      </w:r>
    </w:p>
    <w:p w:rsidR="00A96F2F" w:rsidRPr="00A96F2F" w:rsidRDefault="006D14BA" w:rsidP="00A96F2F">
      <w:pPr>
        <w:pStyle w:val="aa"/>
        <w:rPr>
          <w:i/>
          <w:lang w:eastAsia="ru-RU"/>
        </w:rPr>
      </w:pPr>
      <w:r>
        <w:rPr>
          <w:lang w:eastAsia="ru-RU"/>
        </w:rPr>
        <w:lastRenderedPageBreak/>
        <w:t>1.3</w:t>
      </w:r>
      <w:r w:rsidR="004C0987">
        <w:rPr>
          <w:lang w:eastAsia="ru-RU"/>
        </w:rPr>
        <w:t>.</w:t>
      </w:r>
      <w:r>
        <w:rPr>
          <w:lang w:eastAsia="ru-RU"/>
        </w:rPr>
        <w:t> </w:t>
      </w:r>
      <w:r w:rsidR="00A96F2F" w:rsidRPr="00A96F2F">
        <w:rPr>
          <w:i/>
          <w:lang w:eastAsia="ru-RU"/>
        </w:rPr>
        <w:t>По ФКУ «ГУ «</w:t>
      </w:r>
      <w:proofErr w:type="gramStart"/>
      <w:r w:rsidR="00A96F2F" w:rsidRPr="00A96F2F">
        <w:rPr>
          <w:i/>
          <w:lang w:eastAsia="ru-RU"/>
        </w:rPr>
        <w:t>ВО Минфина</w:t>
      </w:r>
      <w:proofErr w:type="gramEnd"/>
      <w:r w:rsidR="00A96F2F" w:rsidRPr="00A96F2F">
        <w:rPr>
          <w:i/>
          <w:lang w:eastAsia="ru-RU"/>
        </w:rPr>
        <w:t xml:space="preserve"> России»</w:t>
      </w:r>
      <w:r w:rsidR="00A96F2F">
        <w:rPr>
          <w:i/>
          <w:lang w:eastAsia="ru-RU"/>
        </w:rPr>
        <w:t>.</w:t>
      </w:r>
    </w:p>
    <w:p w:rsidR="00A96F2F" w:rsidRDefault="00A96F2F" w:rsidP="00A96F2F">
      <w:pPr>
        <w:pStyle w:val="aa"/>
        <w:rPr>
          <w:lang w:eastAsia="ru-RU"/>
        </w:rPr>
      </w:pPr>
      <w:r>
        <w:rPr>
          <w:lang w:eastAsia="ru-RU"/>
        </w:rPr>
        <w:t>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не учтено значение показателя качества финансового менеджмента «Погрешность кассового планирования расходов федерального бюджета на социальное обеспечение» (0,00 б.) в связи с отсутствием исходных данных для сравнения с другими подведомственными Минфину России федеральными казенными учреждениями.</w:t>
      </w:r>
    </w:p>
    <w:p w:rsidR="00A96F2F" w:rsidRDefault="00A96F2F" w:rsidP="00A96F2F">
      <w:pPr>
        <w:pStyle w:val="aa"/>
        <w:rPr>
          <w:lang w:eastAsia="ru-RU"/>
        </w:rPr>
      </w:pPr>
      <w:r>
        <w:rPr>
          <w:lang w:eastAsia="ru-RU"/>
        </w:rPr>
        <w:t>Не достигнуто значения более 75,00 б. по показателям качества финансового менеджмента:</w:t>
      </w:r>
    </w:p>
    <w:p w:rsidR="00A96F2F" w:rsidRDefault="00A96F2F" w:rsidP="00A96F2F">
      <w:pPr>
        <w:pStyle w:val="aa"/>
        <w:rPr>
          <w:lang w:eastAsia="ru-RU"/>
        </w:rPr>
      </w:pPr>
      <w:r>
        <w:rPr>
          <w:lang w:eastAsia="ru-RU"/>
        </w:rPr>
        <w:t>-</w:t>
      </w:r>
      <w:r w:rsidR="006D14BA">
        <w:rPr>
          <w:lang w:eastAsia="ru-RU"/>
        </w:rPr>
        <w:t> </w:t>
      </w:r>
      <w:r>
        <w:rPr>
          <w:lang w:eastAsia="ru-RU"/>
        </w:rPr>
        <w:t>«Погрешность кассового планировани</w:t>
      </w:r>
      <w:r w:rsidR="00876B3F">
        <w:rPr>
          <w:lang w:eastAsia="ru-RU"/>
        </w:rPr>
        <w:t>я расходов федерального бюджета</w:t>
      </w:r>
      <w:r w:rsidR="00876B3F">
        <w:rPr>
          <w:lang w:eastAsia="ru-RU"/>
        </w:rPr>
        <w:br/>
      </w:r>
      <w:r>
        <w:rPr>
          <w:lang w:eastAsia="ru-RU"/>
        </w:rPr>
        <w:t>на социальное обеспечение» (0,00 б.), что демонстрирует увеличение значимости (уровня) бюджетного риска несвоевременного формирования и представления (непредставления) необходимых для расчета объема расходов федерального бюджета документов. В целях повышения значения указанного показателя качества финансового менеджмента ФКУ «ГУ «</w:t>
      </w:r>
      <w:proofErr w:type="gramStart"/>
      <w:r>
        <w:rPr>
          <w:lang w:eastAsia="ru-RU"/>
        </w:rPr>
        <w:t>ВО Минфина</w:t>
      </w:r>
      <w:proofErr w:type="gramEnd"/>
      <w:r>
        <w:rPr>
          <w:lang w:eastAsia="ru-RU"/>
        </w:rPr>
        <w:t xml:space="preserve"> России» планируется </w:t>
      </w:r>
      <w:r w:rsidR="00355622" w:rsidRPr="00355622">
        <w:rPr>
          <w:lang w:eastAsia="ru-RU"/>
        </w:rPr>
        <w:t>проведение анализа сроков осуществления перечислений на выплат</w:t>
      </w:r>
      <w:r w:rsidR="00355622">
        <w:rPr>
          <w:lang w:eastAsia="ru-RU"/>
        </w:rPr>
        <w:t>ы социального обеспечения</w:t>
      </w:r>
      <w:r w:rsidR="00355622" w:rsidRPr="00355622">
        <w:rPr>
          <w:lang w:eastAsia="ru-RU"/>
        </w:rPr>
        <w:t xml:space="preserve"> и установление контроля за представлением необходимых для расчета объема расходов федерального бюджета документов</w:t>
      </w:r>
      <w:r>
        <w:rPr>
          <w:lang w:eastAsia="ru-RU"/>
        </w:rPr>
        <w:t>;</w:t>
      </w:r>
    </w:p>
    <w:p w:rsidR="00A96F2F" w:rsidRPr="000143A1" w:rsidRDefault="00A96F2F" w:rsidP="001601E8">
      <w:pPr>
        <w:pStyle w:val="aa"/>
        <w:spacing w:after="240"/>
        <w:rPr>
          <w:lang w:eastAsia="ru-RU"/>
        </w:rPr>
      </w:pPr>
      <w:r>
        <w:rPr>
          <w:lang w:eastAsia="ru-RU"/>
        </w:rPr>
        <w:t>-</w:t>
      </w:r>
      <w:r w:rsidR="006D14BA">
        <w:rPr>
          <w:lang w:eastAsia="ru-RU"/>
        </w:rPr>
        <w:t> </w:t>
      </w:r>
      <w:r>
        <w:rPr>
          <w:lang w:eastAsia="ru-RU"/>
        </w:rPr>
        <w:t>«Равномерность осуществления кассовы</w:t>
      </w:r>
      <w:r w:rsidR="00876B3F">
        <w:rPr>
          <w:lang w:eastAsia="ru-RU"/>
        </w:rPr>
        <w:t>х расходов федерального бюджета</w:t>
      </w:r>
      <w:r w:rsidR="00876B3F">
        <w:rPr>
          <w:lang w:eastAsia="ru-RU"/>
        </w:rPr>
        <w:br/>
      </w:r>
      <w:r>
        <w:rPr>
          <w:lang w:eastAsia="ru-RU"/>
        </w:rPr>
        <w:t>на закупку товаров, работ и услуг» (0,00 б.), что демонстрирует увеличение значимости (уровня) бюджетного риска неравно</w:t>
      </w:r>
      <w:r w:rsidR="00355622">
        <w:rPr>
          <w:lang w:eastAsia="ru-RU"/>
        </w:rPr>
        <w:t>мерности осуществления закупок.</w:t>
      </w:r>
    </w:p>
    <w:p w:rsidR="00D316D2" w:rsidRPr="000143A1" w:rsidRDefault="00D316D2" w:rsidP="001601E8">
      <w:pPr>
        <w:pStyle w:val="aa"/>
        <w:spacing w:before="240" w:after="240"/>
        <w:ind w:firstLine="0"/>
        <w:jc w:val="center"/>
        <w:rPr>
          <w:b/>
          <w:lang w:eastAsia="ru-RU"/>
        </w:rPr>
      </w:pPr>
      <w:r w:rsidRPr="000143A1">
        <w:rPr>
          <w:b/>
          <w:lang w:eastAsia="ru-RU"/>
        </w:rPr>
        <w:t>Значени</w:t>
      </w:r>
      <w:r w:rsidR="009760BB">
        <w:rPr>
          <w:b/>
          <w:lang w:eastAsia="ru-RU"/>
        </w:rPr>
        <w:t>я</w:t>
      </w:r>
      <w:r w:rsidRPr="000143A1">
        <w:rPr>
          <w:b/>
          <w:lang w:eastAsia="ru-RU"/>
        </w:rPr>
        <w:t xml:space="preserve"> показателей качества управления источниками финансирования дефицита федерального бюджета</w:t>
      </w:r>
    </w:p>
    <w:p w:rsidR="00D316D2" w:rsidRPr="000143A1" w:rsidRDefault="00D316D2" w:rsidP="00D316D2">
      <w:pPr>
        <w:pStyle w:val="aa"/>
        <w:rPr>
          <w:i/>
          <w:lang w:eastAsia="ru-RU"/>
        </w:rPr>
      </w:pPr>
      <w:r w:rsidRPr="000143A1">
        <w:t>2.1</w:t>
      </w:r>
      <w:r w:rsidR="004C0987">
        <w:t>.</w:t>
      </w:r>
      <w:r w:rsidR="006D14BA">
        <w:t> </w:t>
      </w:r>
      <w:r w:rsidRPr="000143A1">
        <w:rPr>
          <w:lang w:eastAsia="ru-RU"/>
        </w:rPr>
        <w:t xml:space="preserve">По </w:t>
      </w:r>
      <w:r w:rsidRPr="000143A1">
        <w:rPr>
          <w:i/>
          <w:lang w:eastAsia="ru-RU"/>
        </w:rPr>
        <w:t>Гохрану России.</w:t>
      </w:r>
    </w:p>
    <w:p w:rsidR="00FA3C94" w:rsidRDefault="00D316D2" w:rsidP="00867CE7">
      <w:pPr>
        <w:pStyle w:val="aa"/>
        <w:rPr>
          <w:lang w:eastAsia="ru-RU"/>
        </w:rPr>
      </w:pPr>
      <w:r w:rsidRPr="000143A1">
        <w:rPr>
          <w:lang w:eastAsia="ru-RU"/>
        </w:rPr>
        <w:t>Не более 75,00 б. достигнуто по показателям качества финансового менеджмента</w:t>
      </w:r>
      <w:r w:rsidR="00FA3C94">
        <w:rPr>
          <w:lang w:eastAsia="ru-RU"/>
        </w:rPr>
        <w:t xml:space="preserve"> «Качество кассового планирования перечислений по источникам финансирования дефицита федерального бюджета» (4,40 б.), «Качество кассового планирования поступлений по источникам финансирования дефицита федерального бюджета» (0,00 б.), «Погрешность кассового планирования на начало отчетного пер</w:t>
      </w:r>
      <w:r w:rsidR="006D14BA">
        <w:rPr>
          <w:lang w:eastAsia="ru-RU"/>
        </w:rPr>
        <w:t>иода»</w:t>
      </w:r>
      <w:r w:rsidR="00867CE7">
        <w:rPr>
          <w:lang w:eastAsia="ru-RU"/>
        </w:rPr>
        <w:t xml:space="preserve"> </w:t>
      </w:r>
      <w:r w:rsidR="00FA3C94">
        <w:rPr>
          <w:lang w:eastAsia="ru-RU"/>
        </w:rPr>
        <w:t>(2,20</w:t>
      </w:r>
      <w:r w:rsidR="006D14BA">
        <w:rPr>
          <w:lang w:eastAsia="ru-RU"/>
        </w:rPr>
        <w:t xml:space="preserve"> </w:t>
      </w:r>
      <w:r w:rsidR="00FA3C94">
        <w:rPr>
          <w:lang w:eastAsia="ru-RU"/>
        </w:rPr>
        <w:t>б.), что демонстрирует увеличение значимости (уровня) бюджетн</w:t>
      </w:r>
      <w:r w:rsidR="00867CE7">
        <w:rPr>
          <w:lang w:eastAsia="ru-RU"/>
        </w:rPr>
        <w:t>ых</w:t>
      </w:r>
      <w:r w:rsidR="00FA3C94">
        <w:rPr>
          <w:lang w:eastAsia="ru-RU"/>
        </w:rPr>
        <w:t xml:space="preserve"> риск</w:t>
      </w:r>
      <w:r w:rsidR="00867CE7">
        <w:rPr>
          <w:lang w:eastAsia="ru-RU"/>
        </w:rPr>
        <w:t>ов</w:t>
      </w:r>
      <w:r w:rsidR="00FA3C94">
        <w:rPr>
          <w:lang w:eastAsia="ru-RU"/>
        </w:rPr>
        <w:t xml:space="preserve"> </w:t>
      </w:r>
      <w:proofErr w:type="spellStart"/>
      <w:r w:rsidR="00FA3C94">
        <w:rPr>
          <w:lang w:eastAsia="ru-RU"/>
        </w:rPr>
        <w:t>неучета</w:t>
      </w:r>
      <w:proofErr w:type="spellEnd"/>
      <w:r w:rsidR="00FA3C94">
        <w:rPr>
          <w:lang w:eastAsia="ru-RU"/>
        </w:rPr>
        <w:t xml:space="preserve"> факторов, влияющих на сроки осуществления перечислений</w:t>
      </w:r>
      <w:r w:rsidR="00DB5E2E">
        <w:rPr>
          <w:lang w:eastAsia="ru-RU"/>
        </w:rPr>
        <w:br/>
      </w:r>
      <w:r w:rsidR="00FA3C94">
        <w:rPr>
          <w:lang w:eastAsia="ru-RU"/>
        </w:rPr>
        <w:t xml:space="preserve">и </w:t>
      </w:r>
      <w:r w:rsidR="00DB5E2E">
        <w:rPr>
          <w:lang w:eastAsia="ru-RU"/>
        </w:rPr>
        <w:t xml:space="preserve">поступлений, </w:t>
      </w:r>
      <w:r w:rsidR="00FA3C94">
        <w:rPr>
          <w:lang w:eastAsia="ru-RU"/>
        </w:rPr>
        <w:t>при составлении прог</w:t>
      </w:r>
      <w:r w:rsidR="00552658">
        <w:rPr>
          <w:lang w:eastAsia="ru-RU"/>
        </w:rPr>
        <w:t>ноза поступлений и перечислений</w:t>
      </w:r>
      <w:r w:rsidR="00DB5E2E">
        <w:rPr>
          <w:lang w:eastAsia="ru-RU"/>
        </w:rPr>
        <w:br/>
      </w:r>
      <w:r w:rsidR="00FA3C94">
        <w:rPr>
          <w:lang w:eastAsia="ru-RU"/>
        </w:rPr>
        <w:t xml:space="preserve">по источникам финансирования дефицита </w:t>
      </w:r>
      <w:r w:rsidR="00FD2D9B">
        <w:rPr>
          <w:lang w:eastAsia="ru-RU"/>
        </w:rPr>
        <w:t xml:space="preserve">федерального </w:t>
      </w:r>
      <w:r w:rsidR="00FA3C94">
        <w:rPr>
          <w:lang w:eastAsia="ru-RU"/>
        </w:rPr>
        <w:t>бюджета.</w:t>
      </w:r>
    </w:p>
    <w:p w:rsidR="00344C1A" w:rsidRPr="000143A1" w:rsidRDefault="00344C1A" w:rsidP="00876B3F">
      <w:pPr>
        <w:pStyle w:val="aa"/>
        <w:spacing w:before="240" w:after="240"/>
        <w:ind w:firstLine="0"/>
        <w:jc w:val="center"/>
        <w:rPr>
          <w:b/>
          <w:lang w:eastAsia="ru-RU"/>
        </w:rPr>
      </w:pPr>
      <w:r w:rsidRPr="000143A1">
        <w:rPr>
          <w:b/>
          <w:lang w:eastAsia="ru-RU"/>
        </w:rPr>
        <w:t>Значени</w:t>
      </w:r>
      <w:r w:rsidR="009760BB">
        <w:rPr>
          <w:b/>
          <w:lang w:eastAsia="ru-RU"/>
        </w:rPr>
        <w:t>я</w:t>
      </w:r>
      <w:r w:rsidRPr="000143A1">
        <w:rPr>
          <w:b/>
          <w:lang w:eastAsia="ru-RU"/>
        </w:rPr>
        <w:t xml:space="preserve"> </w:t>
      </w:r>
      <w:r w:rsidR="00FA3C94">
        <w:rPr>
          <w:b/>
          <w:lang w:eastAsia="ru-RU"/>
        </w:rPr>
        <w:t>показателей качества управления</w:t>
      </w:r>
      <w:r w:rsidR="00876B3F">
        <w:rPr>
          <w:b/>
          <w:lang w:eastAsia="ru-RU"/>
        </w:rPr>
        <w:t xml:space="preserve"> </w:t>
      </w:r>
      <w:r w:rsidRPr="000143A1">
        <w:rPr>
          <w:b/>
          <w:lang w:eastAsia="ru-RU"/>
        </w:rPr>
        <w:t>доходами федерального бюджета</w:t>
      </w:r>
    </w:p>
    <w:p w:rsidR="00985964" w:rsidRPr="000143A1" w:rsidRDefault="00C87F14" w:rsidP="00985964">
      <w:pPr>
        <w:pStyle w:val="aa"/>
        <w:rPr>
          <w:i/>
          <w:lang w:eastAsia="ru-RU"/>
        </w:rPr>
      </w:pPr>
      <w:r>
        <w:rPr>
          <w:lang w:eastAsia="ru-RU"/>
        </w:rPr>
        <w:t>3.1</w:t>
      </w:r>
      <w:r w:rsidR="004C0987">
        <w:rPr>
          <w:lang w:eastAsia="ru-RU"/>
        </w:rPr>
        <w:t>.</w:t>
      </w:r>
      <w:r w:rsidR="006D14BA">
        <w:rPr>
          <w:lang w:eastAsia="ru-RU"/>
        </w:rPr>
        <w:t> </w:t>
      </w:r>
      <w:r w:rsidR="00985964" w:rsidRPr="000143A1">
        <w:rPr>
          <w:lang w:eastAsia="ru-RU"/>
        </w:rPr>
        <w:t xml:space="preserve">По </w:t>
      </w:r>
      <w:r w:rsidR="00985964" w:rsidRPr="000143A1">
        <w:rPr>
          <w:i/>
          <w:lang w:eastAsia="ru-RU"/>
        </w:rPr>
        <w:t>Гохрану России</w:t>
      </w:r>
      <w:r w:rsidR="00B3306B" w:rsidRPr="000143A1">
        <w:rPr>
          <w:i/>
          <w:lang w:eastAsia="ru-RU"/>
        </w:rPr>
        <w:t>.</w:t>
      </w:r>
    </w:p>
    <w:p w:rsidR="00985964" w:rsidRPr="000143A1" w:rsidRDefault="00985964" w:rsidP="00A3466B">
      <w:pPr>
        <w:pStyle w:val="aa"/>
        <w:rPr>
          <w:lang w:eastAsia="ru-RU"/>
        </w:rPr>
      </w:pPr>
      <w:r w:rsidRPr="000143A1">
        <w:rPr>
          <w:lang w:eastAsia="ru-RU"/>
        </w:rPr>
        <w:t xml:space="preserve">Не более 75,00 б. достигнуто по показателю качества </w:t>
      </w:r>
      <w:r w:rsidR="00A3466B">
        <w:rPr>
          <w:lang w:eastAsia="ru-RU"/>
        </w:rPr>
        <w:t xml:space="preserve">финансового менеджмента </w:t>
      </w:r>
      <w:r w:rsidR="00FA3C94" w:rsidRPr="00FA3C94">
        <w:rPr>
          <w:lang w:eastAsia="ru-RU"/>
        </w:rPr>
        <w:t xml:space="preserve">«Качество прогнозирования поступлений по доходам на начало отчетного периода» (73,27 б.), что демонстрирует увеличение значимости (уровня) бюджетного риска несвоевременного представления (некорректности, неполноты заполнения) Пояснительной записки к прогнозу поступлений по доходам федерального бюджета на текущий финансовый год. В целях повышения значения указанного показателя качества финансового менеджмента Гохраном России планируется </w:t>
      </w:r>
      <w:r w:rsidR="006350FA">
        <w:rPr>
          <w:lang w:eastAsia="ru-RU"/>
        </w:rPr>
        <w:t>проведение оперативного анализа поступлений доходов в федеральный бюджет в течение отчетного периода</w:t>
      </w:r>
      <w:r w:rsidR="00FA3C94" w:rsidRPr="00FA3C94">
        <w:rPr>
          <w:lang w:eastAsia="ru-RU"/>
        </w:rPr>
        <w:t>.</w:t>
      </w:r>
    </w:p>
    <w:p w:rsidR="00AA0B81" w:rsidRPr="000143A1" w:rsidRDefault="00881DC0" w:rsidP="00985964">
      <w:pPr>
        <w:pStyle w:val="aa"/>
        <w:rPr>
          <w:i/>
        </w:rPr>
      </w:pPr>
      <w:r w:rsidRPr="000143A1">
        <w:t>3.2</w:t>
      </w:r>
      <w:r w:rsidR="004C0987">
        <w:t>.</w:t>
      </w:r>
      <w:r w:rsidR="006D14BA">
        <w:t> </w:t>
      </w:r>
      <w:r w:rsidR="00AA0B81" w:rsidRPr="000143A1">
        <w:t xml:space="preserve">По </w:t>
      </w:r>
      <w:r w:rsidR="00AA0B81" w:rsidRPr="000143A1">
        <w:rPr>
          <w:i/>
        </w:rPr>
        <w:t>ФКУ «ГУ АЗ Минфина России»</w:t>
      </w:r>
      <w:r w:rsidR="00B3306B" w:rsidRPr="000143A1">
        <w:rPr>
          <w:i/>
        </w:rPr>
        <w:t>.</w:t>
      </w:r>
    </w:p>
    <w:p w:rsidR="00985964" w:rsidRPr="000143A1" w:rsidRDefault="00985964" w:rsidP="00A3466B">
      <w:pPr>
        <w:pStyle w:val="aa"/>
        <w:rPr>
          <w:lang w:eastAsia="ru-RU"/>
        </w:rPr>
      </w:pPr>
      <w:r w:rsidRPr="000143A1">
        <w:rPr>
          <w:lang w:eastAsia="ru-RU"/>
        </w:rPr>
        <w:t>Не более 75,00 б. достигнуто по показателю к</w:t>
      </w:r>
      <w:r w:rsidR="00A3466B">
        <w:rPr>
          <w:lang w:eastAsia="ru-RU"/>
        </w:rPr>
        <w:t xml:space="preserve">ачества финансового менеджмента </w:t>
      </w:r>
      <w:r w:rsidR="00FA3C94" w:rsidRPr="00FA3C94">
        <w:rPr>
          <w:lang w:eastAsia="ru-RU"/>
        </w:rPr>
        <w:t>«Качество прогнозирования поступлений по доходам на начало отчетного периода» (58,80 б.), что демонстрирует увеличение значимости (уровня) бюджетного риска несвоевременного представления (некорректности, неполноты заполнения) Пояснительной записки к прогнозу поступлений по доходам федерального бюд</w:t>
      </w:r>
      <w:r w:rsidR="009B0C03">
        <w:rPr>
          <w:lang w:eastAsia="ru-RU"/>
        </w:rPr>
        <w:t>жета на текущий финансовый год</w:t>
      </w:r>
      <w:r w:rsidR="00FA3C94" w:rsidRPr="00FA3C94">
        <w:rPr>
          <w:lang w:eastAsia="ru-RU"/>
        </w:rPr>
        <w:t>.</w:t>
      </w:r>
    </w:p>
    <w:p w:rsidR="00881DC0" w:rsidRPr="000143A1" w:rsidRDefault="00881DC0" w:rsidP="00985964">
      <w:pPr>
        <w:pStyle w:val="aa"/>
        <w:rPr>
          <w:i/>
          <w:lang w:eastAsia="ru-RU"/>
        </w:rPr>
      </w:pPr>
      <w:r w:rsidRPr="000143A1">
        <w:rPr>
          <w:lang w:eastAsia="ru-RU"/>
        </w:rPr>
        <w:t>3.3</w:t>
      </w:r>
      <w:r w:rsidR="004C0987">
        <w:rPr>
          <w:lang w:eastAsia="ru-RU"/>
        </w:rPr>
        <w:t>.</w:t>
      </w:r>
      <w:r w:rsidR="006D14BA">
        <w:rPr>
          <w:lang w:eastAsia="ru-RU"/>
        </w:rPr>
        <w:t> </w:t>
      </w:r>
      <w:r w:rsidRPr="000143A1">
        <w:rPr>
          <w:lang w:eastAsia="ru-RU"/>
        </w:rPr>
        <w:t xml:space="preserve">По </w:t>
      </w:r>
      <w:r w:rsidRPr="000143A1">
        <w:rPr>
          <w:i/>
          <w:lang w:eastAsia="ru-RU"/>
        </w:rPr>
        <w:t>ФКУ «ГУ «</w:t>
      </w:r>
      <w:proofErr w:type="gramStart"/>
      <w:r w:rsidRPr="000143A1">
        <w:rPr>
          <w:i/>
          <w:lang w:eastAsia="ru-RU"/>
        </w:rPr>
        <w:t>ВО Минфина</w:t>
      </w:r>
      <w:proofErr w:type="gramEnd"/>
      <w:r w:rsidRPr="000143A1">
        <w:rPr>
          <w:i/>
          <w:lang w:eastAsia="ru-RU"/>
        </w:rPr>
        <w:t xml:space="preserve"> России»</w:t>
      </w:r>
      <w:r w:rsidR="00B3306B" w:rsidRPr="000143A1">
        <w:rPr>
          <w:i/>
          <w:lang w:eastAsia="ru-RU"/>
        </w:rPr>
        <w:t>.</w:t>
      </w:r>
    </w:p>
    <w:p w:rsidR="00985964" w:rsidRDefault="00985964" w:rsidP="00627A2C">
      <w:pPr>
        <w:pStyle w:val="aa"/>
        <w:spacing w:after="240"/>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w:t>
      </w:r>
      <w:r w:rsidR="009F5746" w:rsidRPr="000143A1">
        <w:rPr>
          <w:lang w:eastAsia="ru-RU"/>
        </w:rPr>
        <w:t>и ниже 75,00 б., не определены.</w:t>
      </w:r>
    </w:p>
    <w:p w:rsidR="00BE0FC3" w:rsidRPr="000143A1" w:rsidRDefault="00BE0FC3" w:rsidP="00E848D5">
      <w:pPr>
        <w:pStyle w:val="aa"/>
        <w:spacing w:after="240"/>
        <w:ind w:firstLine="0"/>
        <w:jc w:val="center"/>
        <w:rPr>
          <w:b/>
          <w:lang w:eastAsia="ru-RU"/>
        </w:rPr>
      </w:pPr>
      <w:r w:rsidRPr="000143A1">
        <w:rPr>
          <w:b/>
          <w:lang w:eastAsia="ru-RU"/>
        </w:rPr>
        <w:t>Значени</w:t>
      </w:r>
      <w:r w:rsidR="009760BB">
        <w:rPr>
          <w:b/>
          <w:lang w:eastAsia="ru-RU"/>
        </w:rPr>
        <w:t>я</w:t>
      </w:r>
      <w:r w:rsidRPr="000143A1">
        <w:rPr>
          <w:b/>
          <w:lang w:eastAsia="ru-RU"/>
        </w:rPr>
        <w:t xml:space="preserve"> показателей качества ведения бюджетного учета и составления, представления и утверждения бюджетной отчетности</w:t>
      </w:r>
    </w:p>
    <w:p w:rsidR="00A758BE" w:rsidRDefault="00D316D2" w:rsidP="00A758BE">
      <w:pPr>
        <w:pStyle w:val="aa"/>
        <w:rPr>
          <w:i/>
          <w:lang w:eastAsia="ru-RU"/>
        </w:rPr>
      </w:pPr>
      <w:r w:rsidRPr="000143A1">
        <w:rPr>
          <w:lang w:eastAsia="ru-RU"/>
        </w:rPr>
        <w:t>4</w:t>
      </w:r>
      <w:r w:rsidR="00A758BE" w:rsidRPr="000143A1">
        <w:rPr>
          <w:lang w:eastAsia="ru-RU"/>
        </w:rPr>
        <w:t>.1</w:t>
      </w:r>
      <w:r w:rsidR="004C0987">
        <w:rPr>
          <w:lang w:eastAsia="ru-RU"/>
        </w:rPr>
        <w:t>.</w:t>
      </w:r>
      <w:r w:rsidR="006D14BA">
        <w:rPr>
          <w:lang w:eastAsia="ru-RU"/>
        </w:rPr>
        <w:t> </w:t>
      </w:r>
      <w:r w:rsidR="00A758BE" w:rsidRPr="000143A1">
        <w:rPr>
          <w:lang w:eastAsia="ru-RU"/>
        </w:rPr>
        <w:t xml:space="preserve">По </w:t>
      </w:r>
      <w:r w:rsidR="00A758BE" w:rsidRPr="000143A1">
        <w:rPr>
          <w:i/>
          <w:lang w:eastAsia="ru-RU"/>
        </w:rPr>
        <w:t>Гохрану России</w:t>
      </w:r>
      <w:r w:rsidR="00D50AAF" w:rsidRPr="000143A1">
        <w:rPr>
          <w:i/>
          <w:lang w:eastAsia="ru-RU"/>
        </w:rPr>
        <w:t>.</w:t>
      </w:r>
    </w:p>
    <w:p w:rsidR="00380A08" w:rsidRPr="000143A1" w:rsidRDefault="00380A08" w:rsidP="00A758BE">
      <w:pPr>
        <w:pStyle w:val="aa"/>
        <w:rPr>
          <w:lang w:eastAsia="ru-RU"/>
        </w:rPr>
      </w:pPr>
      <w:r w:rsidRPr="00380A08">
        <w:rPr>
          <w:lang w:eastAsia="ru-RU"/>
        </w:rPr>
        <w:t>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не учтено значение показателя качества финансового менеджмента «Соблюдение сроков представления бюджетной отчетности» (</w:t>
      </w:r>
      <w:r>
        <w:rPr>
          <w:lang w:eastAsia="ru-RU"/>
        </w:rPr>
        <w:t>100</w:t>
      </w:r>
      <w:r w:rsidRPr="00380A08">
        <w:rPr>
          <w:lang w:eastAsia="ru-RU"/>
        </w:rPr>
        <w:t>,00 б.) в связи с отсутствие</w:t>
      </w:r>
      <w:r w:rsidR="00876B3F">
        <w:rPr>
          <w:lang w:eastAsia="ru-RU"/>
        </w:rPr>
        <w:t>м исходных данных для сравнения</w:t>
      </w:r>
      <w:r w:rsidR="00876B3F">
        <w:rPr>
          <w:lang w:eastAsia="ru-RU"/>
        </w:rPr>
        <w:br/>
      </w:r>
      <w:r w:rsidRPr="00380A08">
        <w:rPr>
          <w:lang w:eastAsia="ru-RU"/>
        </w:rPr>
        <w:t>с другими подведомственными Минфину России федеральными казенными учреждениями.</w:t>
      </w:r>
    </w:p>
    <w:p w:rsidR="00F5550E" w:rsidRPr="000143A1" w:rsidRDefault="00F5550E" w:rsidP="00F5550E">
      <w:pPr>
        <w:pStyle w:val="aa"/>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или ниже 75,00 б., не определены.</w:t>
      </w:r>
    </w:p>
    <w:p w:rsidR="00F5550E" w:rsidRPr="000143A1" w:rsidRDefault="00D316D2" w:rsidP="00F5550E">
      <w:pPr>
        <w:pStyle w:val="aa"/>
        <w:rPr>
          <w:i/>
        </w:rPr>
      </w:pPr>
      <w:r w:rsidRPr="000143A1">
        <w:rPr>
          <w:lang w:eastAsia="ru-RU"/>
        </w:rPr>
        <w:t>4</w:t>
      </w:r>
      <w:r w:rsidR="00F5550E" w:rsidRPr="000143A1">
        <w:rPr>
          <w:lang w:eastAsia="ru-RU"/>
        </w:rPr>
        <w:t>.2</w:t>
      </w:r>
      <w:r w:rsidR="004C0987">
        <w:rPr>
          <w:lang w:eastAsia="ru-RU"/>
        </w:rPr>
        <w:t>.</w:t>
      </w:r>
      <w:r w:rsidR="006D14BA">
        <w:rPr>
          <w:lang w:eastAsia="ru-RU"/>
        </w:rPr>
        <w:t> </w:t>
      </w:r>
      <w:r w:rsidR="00F5550E" w:rsidRPr="000143A1">
        <w:t xml:space="preserve">По </w:t>
      </w:r>
      <w:r w:rsidR="00F5550E" w:rsidRPr="000143A1">
        <w:rPr>
          <w:i/>
        </w:rPr>
        <w:t>ФКУ «ГУ АЗ Минфина России»</w:t>
      </w:r>
      <w:r w:rsidR="00D50AAF" w:rsidRPr="000143A1">
        <w:rPr>
          <w:i/>
        </w:rPr>
        <w:t>.</w:t>
      </w:r>
    </w:p>
    <w:p w:rsidR="00FA3C94" w:rsidRPr="000143A1" w:rsidRDefault="00FA3C94" w:rsidP="00FA3C94">
      <w:pPr>
        <w:pStyle w:val="aa"/>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или ниже 75,00 б., не определены.</w:t>
      </w:r>
    </w:p>
    <w:p w:rsidR="00F5550E" w:rsidRPr="000143A1" w:rsidRDefault="00D316D2" w:rsidP="00F5550E">
      <w:pPr>
        <w:pStyle w:val="aa"/>
        <w:rPr>
          <w:lang w:eastAsia="ru-RU"/>
        </w:rPr>
      </w:pPr>
      <w:r w:rsidRPr="000143A1">
        <w:rPr>
          <w:lang w:eastAsia="ru-RU"/>
        </w:rPr>
        <w:t>4</w:t>
      </w:r>
      <w:r w:rsidR="00F5550E" w:rsidRPr="000143A1">
        <w:rPr>
          <w:lang w:eastAsia="ru-RU"/>
        </w:rPr>
        <w:t>.3</w:t>
      </w:r>
      <w:r w:rsidR="004C0987">
        <w:rPr>
          <w:lang w:eastAsia="ru-RU"/>
        </w:rPr>
        <w:t>.</w:t>
      </w:r>
      <w:r w:rsidR="006D14BA">
        <w:rPr>
          <w:lang w:eastAsia="ru-RU"/>
        </w:rPr>
        <w:t> </w:t>
      </w:r>
      <w:r w:rsidR="00F5550E" w:rsidRPr="000143A1">
        <w:rPr>
          <w:lang w:eastAsia="ru-RU"/>
        </w:rPr>
        <w:t xml:space="preserve">По </w:t>
      </w:r>
      <w:r w:rsidR="00F5550E" w:rsidRPr="000143A1">
        <w:rPr>
          <w:i/>
          <w:lang w:eastAsia="ru-RU"/>
        </w:rPr>
        <w:t>ФКУ «ГУ «</w:t>
      </w:r>
      <w:proofErr w:type="gramStart"/>
      <w:r w:rsidR="00F5550E" w:rsidRPr="000143A1">
        <w:rPr>
          <w:i/>
          <w:lang w:eastAsia="ru-RU"/>
        </w:rPr>
        <w:t>ВО Минфина</w:t>
      </w:r>
      <w:proofErr w:type="gramEnd"/>
      <w:r w:rsidR="00F5550E" w:rsidRPr="000143A1">
        <w:rPr>
          <w:i/>
          <w:lang w:eastAsia="ru-RU"/>
        </w:rPr>
        <w:t xml:space="preserve"> России»</w:t>
      </w:r>
      <w:r w:rsidR="00D50AAF" w:rsidRPr="000143A1">
        <w:rPr>
          <w:lang w:eastAsia="ru-RU"/>
        </w:rPr>
        <w:t>.</w:t>
      </w:r>
    </w:p>
    <w:p w:rsidR="00F5550E" w:rsidRPr="000143A1" w:rsidRDefault="00F5550E" w:rsidP="006B532F">
      <w:pPr>
        <w:pStyle w:val="aa"/>
        <w:spacing w:after="240"/>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или ниже 75,00 б., не определены.</w:t>
      </w:r>
    </w:p>
    <w:p w:rsidR="00D50AAF" w:rsidRPr="000143A1" w:rsidRDefault="00D50AAF" w:rsidP="00E848D5">
      <w:pPr>
        <w:pStyle w:val="aa"/>
        <w:spacing w:after="240"/>
        <w:ind w:firstLine="0"/>
        <w:jc w:val="center"/>
        <w:rPr>
          <w:b/>
          <w:lang w:eastAsia="ru-RU"/>
        </w:rPr>
      </w:pPr>
      <w:r w:rsidRPr="000143A1">
        <w:rPr>
          <w:b/>
          <w:lang w:eastAsia="ru-RU"/>
        </w:rPr>
        <w:t>Значени</w:t>
      </w:r>
      <w:r w:rsidR="009760BB">
        <w:rPr>
          <w:b/>
          <w:lang w:eastAsia="ru-RU"/>
        </w:rPr>
        <w:t>я</w:t>
      </w:r>
      <w:r w:rsidRPr="000143A1">
        <w:rPr>
          <w:b/>
          <w:lang w:eastAsia="ru-RU"/>
        </w:rPr>
        <w:t xml:space="preserve"> показателей управления активами</w:t>
      </w:r>
    </w:p>
    <w:p w:rsidR="00F5550E" w:rsidRPr="000143A1" w:rsidRDefault="00D316D2" w:rsidP="00627A2C">
      <w:pPr>
        <w:pStyle w:val="aa"/>
        <w:rPr>
          <w:lang w:eastAsia="ru-RU"/>
        </w:rPr>
      </w:pPr>
      <w:r w:rsidRPr="000143A1">
        <w:t>5</w:t>
      </w:r>
      <w:r w:rsidR="006D14BA">
        <w:t>.1</w:t>
      </w:r>
      <w:r w:rsidR="004C0987">
        <w:t>.</w:t>
      </w:r>
      <w:r w:rsidR="006D14BA">
        <w:t> </w:t>
      </w:r>
      <w:r w:rsidR="00627A2C" w:rsidRPr="000143A1">
        <w:t xml:space="preserve">По </w:t>
      </w:r>
      <w:r w:rsidR="00627A2C" w:rsidRPr="000143A1">
        <w:rPr>
          <w:i/>
        </w:rPr>
        <w:t>Гохрану России</w:t>
      </w:r>
      <w:r w:rsidR="00C56383" w:rsidRPr="000143A1">
        <w:rPr>
          <w:i/>
        </w:rPr>
        <w:t>.</w:t>
      </w:r>
    </w:p>
    <w:p w:rsidR="00B56B46" w:rsidRDefault="00B56B46" w:rsidP="001A4913">
      <w:pPr>
        <w:pStyle w:val="aa"/>
        <w:rPr>
          <w:lang w:eastAsia="ru-RU"/>
        </w:rPr>
      </w:pPr>
      <w:r w:rsidRPr="00B56B46">
        <w:rPr>
          <w:lang w:eastAsia="ru-RU"/>
        </w:rPr>
        <w:t>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не учтен</w:t>
      </w:r>
      <w:r>
        <w:rPr>
          <w:lang w:eastAsia="ru-RU"/>
        </w:rPr>
        <w:t>ы</w:t>
      </w:r>
      <w:r w:rsidRPr="00B56B46">
        <w:rPr>
          <w:lang w:eastAsia="ru-RU"/>
        </w:rPr>
        <w:t xml:space="preserve"> значени</w:t>
      </w:r>
      <w:r>
        <w:rPr>
          <w:lang w:eastAsia="ru-RU"/>
        </w:rPr>
        <w:t>я</w:t>
      </w:r>
      <w:r w:rsidRPr="00B56B46">
        <w:rPr>
          <w:lang w:eastAsia="ru-RU"/>
        </w:rPr>
        <w:t xml:space="preserve"> показател</w:t>
      </w:r>
      <w:r>
        <w:rPr>
          <w:lang w:eastAsia="ru-RU"/>
        </w:rPr>
        <w:t>ей</w:t>
      </w:r>
      <w:r w:rsidRPr="00B56B46">
        <w:rPr>
          <w:lang w:eastAsia="ru-RU"/>
        </w:rPr>
        <w:t xml:space="preserve"> качества финансового менеджмента «Эффективность передачи недвижимого имущества в аренду» (100,00 б.)</w:t>
      </w:r>
      <w:r>
        <w:rPr>
          <w:lang w:eastAsia="ru-RU"/>
        </w:rPr>
        <w:t xml:space="preserve">, </w:t>
      </w:r>
      <w:r w:rsidRPr="00B56B46">
        <w:rPr>
          <w:lang w:eastAsia="ru-RU"/>
        </w:rPr>
        <w:t>«Эффективность передачи недвижимого имущества в безвозмездное пользование» (100,00 б.) в связ</w:t>
      </w:r>
      <w:r w:rsidR="00876B3F">
        <w:rPr>
          <w:lang w:eastAsia="ru-RU"/>
        </w:rPr>
        <w:t>и с отсутствием исходных данных</w:t>
      </w:r>
      <w:r w:rsidR="00876B3F">
        <w:rPr>
          <w:lang w:eastAsia="ru-RU"/>
        </w:rPr>
        <w:br/>
      </w:r>
      <w:r w:rsidRPr="00B56B46">
        <w:rPr>
          <w:lang w:eastAsia="ru-RU"/>
        </w:rPr>
        <w:t>для сравнения с другими подведомственными Минфину России федеральными казенными учреждениями.</w:t>
      </w:r>
    </w:p>
    <w:p w:rsidR="00627A2C" w:rsidRPr="000143A1" w:rsidRDefault="00627A2C" w:rsidP="00627A2C">
      <w:pPr>
        <w:pStyle w:val="aa"/>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или ниже 75,00 б., не определены.</w:t>
      </w:r>
    </w:p>
    <w:p w:rsidR="00627A2C" w:rsidRDefault="00D316D2" w:rsidP="00627A2C">
      <w:pPr>
        <w:pStyle w:val="aa"/>
        <w:rPr>
          <w:i/>
        </w:rPr>
      </w:pPr>
      <w:r w:rsidRPr="000143A1">
        <w:t>5</w:t>
      </w:r>
      <w:r w:rsidR="00627A2C" w:rsidRPr="000143A1">
        <w:t>.2</w:t>
      </w:r>
      <w:r w:rsidR="004C0987">
        <w:t>.</w:t>
      </w:r>
      <w:r w:rsidR="006D14BA">
        <w:t> </w:t>
      </w:r>
      <w:r w:rsidR="00627A2C" w:rsidRPr="000143A1">
        <w:t xml:space="preserve">По </w:t>
      </w:r>
      <w:r w:rsidR="00627A2C" w:rsidRPr="000143A1">
        <w:rPr>
          <w:i/>
        </w:rPr>
        <w:t>ФКУ «ГУ АЗ Минфина России»</w:t>
      </w:r>
      <w:r w:rsidR="00FD0A71" w:rsidRPr="000143A1">
        <w:rPr>
          <w:i/>
        </w:rPr>
        <w:t>.</w:t>
      </w:r>
    </w:p>
    <w:p w:rsidR="00C222AF" w:rsidRPr="00C222AF" w:rsidRDefault="00C222AF" w:rsidP="00627A2C">
      <w:pPr>
        <w:pStyle w:val="aa"/>
      </w:pPr>
      <w:r w:rsidRPr="00C222AF">
        <w:t>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не учтено значение показателя качества финансового менеджмента «</w:t>
      </w:r>
      <w:r w:rsidR="00735361" w:rsidRPr="00735361">
        <w:t>Эффективность передачи недвижимого имущества в безвозмездное пользование</w:t>
      </w:r>
      <w:r w:rsidRPr="00C222AF">
        <w:t>» (100,00 б.) в связи с отсутствием исходных данных для сравнения с другими подведомственными Минфину России федеральными казенными учреждениями.</w:t>
      </w:r>
    </w:p>
    <w:p w:rsidR="00627A2C" w:rsidRPr="000143A1" w:rsidRDefault="00627A2C" w:rsidP="00B56B46">
      <w:pPr>
        <w:pStyle w:val="aa"/>
        <w:rPr>
          <w:lang w:eastAsia="ru-RU"/>
        </w:rPr>
      </w:pPr>
      <w:r w:rsidRPr="000143A1">
        <w:rPr>
          <w:lang w:eastAsia="ru-RU"/>
        </w:rPr>
        <w:t>Не более 75,00 б. достигнуто по показателю к</w:t>
      </w:r>
      <w:r w:rsidR="00B56B46">
        <w:rPr>
          <w:lang w:eastAsia="ru-RU"/>
        </w:rPr>
        <w:t xml:space="preserve">ачества финансового менеджмента </w:t>
      </w:r>
      <w:r w:rsidR="00C2443D" w:rsidRPr="00C2443D">
        <w:rPr>
          <w:lang w:eastAsia="ru-RU"/>
        </w:rPr>
        <w:t>«Эффективность расходов на содержание недвижимого имущества» (70,00 б.), что демонстрирует увеличение значимости (уровня) бюджетного риска снижения результативности расходов федерального бюджета на содержание находящегося на праве оперативного управления в федеральном</w:t>
      </w:r>
      <w:r w:rsidR="009B0C03">
        <w:rPr>
          <w:lang w:eastAsia="ru-RU"/>
        </w:rPr>
        <w:t xml:space="preserve"> казенном учреждении имущества</w:t>
      </w:r>
      <w:r w:rsidR="00C2443D" w:rsidRPr="00C2443D">
        <w:rPr>
          <w:lang w:eastAsia="ru-RU"/>
        </w:rPr>
        <w:t>.</w:t>
      </w:r>
    </w:p>
    <w:p w:rsidR="00627A2C" w:rsidRPr="000143A1" w:rsidRDefault="00D316D2" w:rsidP="00627A2C">
      <w:pPr>
        <w:pStyle w:val="aa"/>
        <w:rPr>
          <w:lang w:eastAsia="ru-RU"/>
        </w:rPr>
      </w:pPr>
      <w:r w:rsidRPr="000143A1">
        <w:rPr>
          <w:lang w:eastAsia="ru-RU"/>
        </w:rPr>
        <w:t>5</w:t>
      </w:r>
      <w:r w:rsidR="00627A2C" w:rsidRPr="000143A1">
        <w:rPr>
          <w:lang w:eastAsia="ru-RU"/>
        </w:rPr>
        <w:t>.3</w:t>
      </w:r>
      <w:r w:rsidR="004C0987">
        <w:rPr>
          <w:lang w:eastAsia="ru-RU"/>
        </w:rPr>
        <w:t>.</w:t>
      </w:r>
      <w:r w:rsidR="006D14BA">
        <w:rPr>
          <w:lang w:eastAsia="ru-RU"/>
        </w:rPr>
        <w:t> </w:t>
      </w:r>
      <w:r w:rsidR="00627A2C" w:rsidRPr="000143A1">
        <w:rPr>
          <w:lang w:eastAsia="ru-RU"/>
        </w:rPr>
        <w:t xml:space="preserve">По </w:t>
      </w:r>
      <w:r w:rsidR="00627A2C" w:rsidRPr="000143A1">
        <w:rPr>
          <w:i/>
          <w:lang w:eastAsia="ru-RU"/>
        </w:rPr>
        <w:t>ФКУ «ГУ «</w:t>
      </w:r>
      <w:proofErr w:type="gramStart"/>
      <w:r w:rsidR="00627A2C" w:rsidRPr="000143A1">
        <w:rPr>
          <w:i/>
          <w:lang w:eastAsia="ru-RU"/>
        </w:rPr>
        <w:t>ВО Минфина</w:t>
      </w:r>
      <w:proofErr w:type="gramEnd"/>
      <w:r w:rsidR="00627A2C" w:rsidRPr="000143A1">
        <w:rPr>
          <w:i/>
          <w:lang w:eastAsia="ru-RU"/>
        </w:rPr>
        <w:t xml:space="preserve"> России»</w:t>
      </w:r>
      <w:r w:rsidRPr="000143A1">
        <w:rPr>
          <w:lang w:eastAsia="ru-RU"/>
        </w:rPr>
        <w:t>.</w:t>
      </w:r>
    </w:p>
    <w:p w:rsidR="00627A2C" w:rsidRDefault="00024A69" w:rsidP="00D316D2">
      <w:pPr>
        <w:pStyle w:val="aa"/>
        <w:spacing w:after="240"/>
        <w:rPr>
          <w:lang w:eastAsia="ru-RU"/>
        </w:rPr>
      </w:pPr>
      <w:r w:rsidRPr="00024A69">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24A69">
        <w:rPr>
          <w:lang w:eastAsia="ru-RU"/>
        </w:rPr>
        <w:t>и</w:t>
      </w:r>
      <w:r>
        <w:rPr>
          <w:lang w:eastAsia="ru-RU"/>
        </w:rPr>
        <w:t>ли ниже 75,00 б., не определены</w:t>
      </w:r>
      <w:r w:rsidR="00C2443D" w:rsidRPr="00C2443D">
        <w:rPr>
          <w:lang w:eastAsia="ru-RU"/>
        </w:rPr>
        <w:t>.</w:t>
      </w:r>
    </w:p>
    <w:p w:rsidR="00D316D2" w:rsidRPr="000143A1" w:rsidRDefault="00D316D2" w:rsidP="00C2443D">
      <w:pPr>
        <w:pStyle w:val="aa"/>
        <w:spacing w:before="240" w:after="240"/>
        <w:ind w:firstLine="0"/>
        <w:jc w:val="center"/>
        <w:rPr>
          <w:b/>
          <w:lang w:eastAsia="ru-RU"/>
        </w:rPr>
      </w:pPr>
      <w:r w:rsidRPr="000143A1">
        <w:rPr>
          <w:b/>
          <w:lang w:eastAsia="ru-RU"/>
        </w:rPr>
        <w:t>Значени</w:t>
      </w:r>
      <w:r w:rsidR="009760BB">
        <w:rPr>
          <w:b/>
          <w:lang w:eastAsia="ru-RU"/>
        </w:rPr>
        <w:t>я</w:t>
      </w:r>
      <w:r w:rsidRPr="000143A1">
        <w:rPr>
          <w:b/>
          <w:lang w:eastAsia="ru-RU"/>
        </w:rPr>
        <w:t xml:space="preserve"> показателей качества распр</w:t>
      </w:r>
      <w:r w:rsidR="00876B3F">
        <w:rPr>
          <w:b/>
          <w:lang w:eastAsia="ru-RU"/>
        </w:rPr>
        <w:t>еделения бюджетных ассигнований</w:t>
      </w:r>
      <w:r w:rsidR="00876B3F">
        <w:rPr>
          <w:b/>
          <w:lang w:eastAsia="ru-RU"/>
        </w:rPr>
        <w:br/>
      </w:r>
      <w:r w:rsidRPr="000143A1">
        <w:rPr>
          <w:b/>
          <w:lang w:eastAsia="ru-RU"/>
        </w:rPr>
        <w:t>и лимитов бюджетных обязательств</w:t>
      </w:r>
    </w:p>
    <w:p w:rsidR="00D316D2" w:rsidRPr="000143A1" w:rsidRDefault="00E848D5" w:rsidP="00D316D2">
      <w:pPr>
        <w:pStyle w:val="aa"/>
        <w:rPr>
          <w:i/>
          <w:lang w:eastAsia="ru-RU"/>
        </w:rPr>
      </w:pPr>
      <w:r>
        <w:rPr>
          <w:lang w:eastAsia="ru-RU"/>
        </w:rPr>
        <w:t>6.1</w:t>
      </w:r>
      <w:r w:rsidR="004C0987">
        <w:rPr>
          <w:lang w:eastAsia="ru-RU"/>
        </w:rPr>
        <w:t>.</w:t>
      </w:r>
      <w:r w:rsidR="006D14BA">
        <w:rPr>
          <w:lang w:eastAsia="ru-RU"/>
        </w:rPr>
        <w:t> </w:t>
      </w:r>
      <w:r w:rsidR="00D316D2" w:rsidRPr="000143A1">
        <w:rPr>
          <w:lang w:eastAsia="ru-RU"/>
        </w:rPr>
        <w:t xml:space="preserve">По </w:t>
      </w:r>
      <w:r w:rsidR="00D316D2" w:rsidRPr="000143A1">
        <w:rPr>
          <w:i/>
          <w:lang w:eastAsia="ru-RU"/>
        </w:rPr>
        <w:t>Гохрану России.</w:t>
      </w:r>
    </w:p>
    <w:p w:rsidR="00D316D2" w:rsidRPr="000143A1" w:rsidRDefault="00D316D2" w:rsidP="00D316D2">
      <w:pPr>
        <w:pStyle w:val="aa"/>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или ниже 75,00 б., не определены.</w:t>
      </w:r>
    </w:p>
    <w:p w:rsidR="00D316D2" w:rsidRPr="000143A1" w:rsidRDefault="00E848D5" w:rsidP="00D316D2">
      <w:pPr>
        <w:pStyle w:val="aa"/>
        <w:rPr>
          <w:i/>
          <w:lang w:eastAsia="ru-RU"/>
        </w:rPr>
      </w:pPr>
      <w:r>
        <w:rPr>
          <w:lang w:eastAsia="ru-RU"/>
        </w:rPr>
        <w:t>6.2</w:t>
      </w:r>
      <w:r w:rsidR="004C0987">
        <w:rPr>
          <w:lang w:eastAsia="ru-RU"/>
        </w:rPr>
        <w:t>.</w:t>
      </w:r>
      <w:r w:rsidR="006D14BA">
        <w:rPr>
          <w:lang w:eastAsia="ru-RU"/>
        </w:rPr>
        <w:t> </w:t>
      </w:r>
      <w:r w:rsidR="00D316D2" w:rsidRPr="000143A1">
        <w:rPr>
          <w:lang w:eastAsia="ru-RU"/>
        </w:rPr>
        <w:t xml:space="preserve">По </w:t>
      </w:r>
      <w:r w:rsidR="00D316D2" w:rsidRPr="000143A1">
        <w:rPr>
          <w:i/>
          <w:lang w:eastAsia="ru-RU"/>
        </w:rPr>
        <w:t>ФКУ «ГУ «</w:t>
      </w:r>
      <w:proofErr w:type="gramStart"/>
      <w:r w:rsidR="00D316D2" w:rsidRPr="000143A1">
        <w:rPr>
          <w:i/>
          <w:lang w:eastAsia="ru-RU"/>
        </w:rPr>
        <w:t>ВО Минфина</w:t>
      </w:r>
      <w:proofErr w:type="gramEnd"/>
      <w:r w:rsidR="00D316D2" w:rsidRPr="000143A1">
        <w:rPr>
          <w:i/>
          <w:lang w:eastAsia="ru-RU"/>
        </w:rPr>
        <w:t xml:space="preserve"> России».</w:t>
      </w:r>
    </w:p>
    <w:p w:rsidR="00D316D2" w:rsidRDefault="00D316D2" w:rsidP="00D316D2">
      <w:pPr>
        <w:pStyle w:val="aa"/>
        <w:spacing w:after="240"/>
        <w:rPr>
          <w:lang w:eastAsia="ru-RU"/>
        </w:rPr>
      </w:pPr>
      <w:r w:rsidRPr="000143A1">
        <w:rPr>
          <w:lang w:eastAsia="ru-RU"/>
        </w:rPr>
        <w:t>Показатели качества финансового мене</w:t>
      </w:r>
      <w:r w:rsidR="00876B3F">
        <w:rPr>
          <w:lang w:eastAsia="ru-RU"/>
        </w:rPr>
        <w:t>джмента, значения которых равны</w:t>
      </w:r>
      <w:r w:rsidR="00876B3F">
        <w:rPr>
          <w:lang w:eastAsia="ru-RU"/>
        </w:rPr>
        <w:br/>
      </w:r>
      <w:r w:rsidRPr="000143A1">
        <w:rPr>
          <w:lang w:eastAsia="ru-RU"/>
        </w:rPr>
        <w:t>или ниже 75,00 б., не определены.</w:t>
      </w:r>
    </w:p>
    <w:p w:rsidR="005409D3" w:rsidRDefault="005409D3" w:rsidP="00D316D2">
      <w:pPr>
        <w:pStyle w:val="aa"/>
        <w:spacing w:after="240"/>
        <w:rPr>
          <w:lang w:eastAsia="ru-RU"/>
        </w:rPr>
      </w:pPr>
      <w:r w:rsidRPr="005409D3">
        <w:rPr>
          <w:lang w:eastAsia="ru-RU"/>
        </w:rPr>
        <w:t>В целях повышения значени</w:t>
      </w:r>
      <w:r>
        <w:rPr>
          <w:lang w:eastAsia="ru-RU"/>
        </w:rPr>
        <w:t>й</w:t>
      </w:r>
      <w:r w:rsidRPr="005409D3">
        <w:rPr>
          <w:lang w:eastAsia="ru-RU"/>
        </w:rPr>
        <w:t xml:space="preserve"> показател</w:t>
      </w:r>
      <w:r>
        <w:rPr>
          <w:lang w:eastAsia="ru-RU"/>
        </w:rPr>
        <w:t>ей</w:t>
      </w:r>
      <w:r w:rsidRPr="005409D3">
        <w:rPr>
          <w:lang w:eastAsia="ru-RU"/>
        </w:rPr>
        <w:t xml:space="preserve"> качества финансового менеджмента подведомственны</w:t>
      </w:r>
      <w:r>
        <w:rPr>
          <w:lang w:eastAsia="ru-RU"/>
        </w:rPr>
        <w:t>ми</w:t>
      </w:r>
      <w:r w:rsidRPr="005409D3">
        <w:rPr>
          <w:lang w:eastAsia="ru-RU"/>
        </w:rPr>
        <w:t xml:space="preserve"> </w:t>
      </w:r>
      <w:r w:rsidR="00FD2D9B">
        <w:rPr>
          <w:lang w:eastAsia="ru-RU"/>
        </w:rPr>
        <w:t>Минфину России</w:t>
      </w:r>
      <w:r w:rsidRPr="005409D3">
        <w:rPr>
          <w:lang w:eastAsia="ru-RU"/>
        </w:rPr>
        <w:t xml:space="preserve"> </w:t>
      </w:r>
      <w:r>
        <w:rPr>
          <w:lang w:eastAsia="ru-RU"/>
        </w:rPr>
        <w:t>федера</w:t>
      </w:r>
      <w:bookmarkStart w:id="0" w:name="_GoBack"/>
      <w:bookmarkEnd w:id="0"/>
      <w:r>
        <w:rPr>
          <w:lang w:eastAsia="ru-RU"/>
        </w:rPr>
        <w:t>льными казенными учреждениями</w:t>
      </w:r>
      <w:r w:rsidRPr="005409D3">
        <w:rPr>
          <w:lang w:eastAsia="ru-RU"/>
        </w:rPr>
        <w:t xml:space="preserve"> планируется </w:t>
      </w:r>
      <w:r>
        <w:rPr>
          <w:lang w:eastAsia="ru-RU"/>
        </w:rPr>
        <w:t>усилить внутренний финансовый контроль и обеспечить соблюдение законодательства Российской Федерации</w:t>
      </w:r>
      <w:r w:rsidR="00F92C28">
        <w:rPr>
          <w:lang w:eastAsia="ru-RU"/>
        </w:rPr>
        <w:t>.</w:t>
      </w:r>
    </w:p>
    <w:sectPr w:rsidR="005409D3" w:rsidSect="00E24CBA">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81" w:rsidRDefault="00334981" w:rsidP="00E24CBA">
      <w:pPr>
        <w:spacing w:after="0" w:line="240" w:lineRule="auto"/>
      </w:pPr>
      <w:r>
        <w:separator/>
      </w:r>
    </w:p>
  </w:endnote>
  <w:endnote w:type="continuationSeparator" w:id="0">
    <w:p w:rsidR="00334981" w:rsidRDefault="00334981" w:rsidP="00E2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81" w:rsidRDefault="00334981" w:rsidP="00E24CBA">
      <w:pPr>
        <w:spacing w:after="0" w:line="240" w:lineRule="auto"/>
      </w:pPr>
      <w:r>
        <w:separator/>
      </w:r>
    </w:p>
  </w:footnote>
  <w:footnote w:type="continuationSeparator" w:id="0">
    <w:p w:rsidR="00334981" w:rsidRDefault="00334981" w:rsidP="00E2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81231"/>
      <w:docPartObj>
        <w:docPartGallery w:val="Page Numbers (Top of Page)"/>
        <w:docPartUnique/>
      </w:docPartObj>
    </w:sdtPr>
    <w:sdtEndPr>
      <w:rPr>
        <w:rFonts w:cs="Times New Roman"/>
        <w:szCs w:val="28"/>
      </w:rPr>
    </w:sdtEndPr>
    <w:sdtContent>
      <w:p w:rsidR="00C06DF7" w:rsidRPr="00E24CBA" w:rsidRDefault="00C06DF7" w:rsidP="00E24CBA">
        <w:pPr>
          <w:pStyle w:val="a4"/>
          <w:rPr>
            <w:rFonts w:cs="Times New Roman"/>
            <w:szCs w:val="28"/>
          </w:rPr>
        </w:pPr>
        <w:r w:rsidRPr="00D60667">
          <w:rPr>
            <w:rFonts w:cs="Times New Roman"/>
            <w:b w:val="0"/>
            <w:szCs w:val="28"/>
          </w:rPr>
          <w:fldChar w:fldCharType="begin"/>
        </w:r>
        <w:r w:rsidRPr="00D60667">
          <w:rPr>
            <w:rFonts w:cs="Times New Roman"/>
            <w:b w:val="0"/>
            <w:szCs w:val="28"/>
          </w:rPr>
          <w:instrText>PAGE   \* MERGEFORMAT</w:instrText>
        </w:r>
        <w:r w:rsidRPr="00D60667">
          <w:rPr>
            <w:rFonts w:cs="Times New Roman"/>
            <w:b w:val="0"/>
            <w:szCs w:val="28"/>
          </w:rPr>
          <w:fldChar w:fldCharType="separate"/>
        </w:r>
        <w:r w:rsidR="00FD2D9B">
          <w:rPr>
            <w:rFonts w:cs="Times New Roman"/>
            <w:b w:val="0"/>
            <w:noProof/>
            <w:szCs w:val="28"/>
          </w:rPr>
          <w:t>3</w:t>
        </w:r>
        <w:r w:rsidRPr="00D60667">
          <w:rPr>
            <w:rFonts w:cs="Times New Roman"/>
            <w:b w:val="0"/>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46C9"/>
    <w:multiLevelType w:val="hybridMultilevel"/>
    <w:tmpl w:val="B2C238A0"/>
    <w:lvl w:ilvl="0" w:tplc="34784F5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329"/>
    <w:multiLevelType w:val="multilevel"/>
    <w:tmpl w:val="99026B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DC521F"/>
    <w:multiLevelType w:val="hybridMultilevel"/>
    <w:tmpl w:val="5F221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625C6A"/>
    <w:multiLevelType w:val="multilevel"/>
    <w:tmpl w:val="2DEC26A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77610C5A"/>
    <w:multiLevelType w:val="hybridMultilevel"/>
    <w:tmpl w:val="85408C6C"/>
    <w:lvl w:ilvl="0" w:tplc="34784F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98"/>
    <w:rsid w:val="00001117"/>
    <w:rsid w:val="00004D02"/>
    <w:rsid w:val="00011343"/>
    <w:rsid w:val="000143A1"/>
    <w:rsid w:val="0002034F"/>
    <w:rsid w:val="00024A69"/>
    <w:rsid w:val="00027ACA"/>
    <w:rsid w:val="000362D6"/>
    <w:rsid w:val="00045830"/>
    <w:rsid w:val="00060D49"/>
    <w:rsid w:val="00063A7C"/>
    <w:rsid w:val="000737BB"/>
    <w:rsid w:val="000755AC"/>
    <w:rsid w:val="00082330"/>
    <w:rsid w:val="00082B9B"/>
    <w:rsid w:val="00097D34"/>
    <w:rsid w:val="000D08A4"/>
    <w:rsid w:val="000E42E4"/>
    <w:rsid w:val="000E4E49"/>
    <w:rsid w:val="000F0DF1"/>
    <w:rsid w:val="000F22BD"/>
    <w:rsid w:val="000F6EAE"/>
    <w:rsid w:val="001063CA"/>
    <w:rsid w:val="001077D3"/>
    <w:rsid w:val="00111E65"/>
    <w:rsid w:val="00120471"/>
    <w:rsid w:val="00120568"/>
    <w:rsid w:val="001302EA"/>
    <w:rsid w:val="001601E8"/>
    <w:rsid w:val="00174467"/>
    <w:rsid w:val="001779E7"/>
    <w:rsid w:val="001A4913"/>
    <w:rsid w:val="001A7AB9"/>
    <w:rsid w:val="001B37FF"/>
    <w:rsid w:val="001C6BA5"/>
    <w:rsid w:val="001C7916"/>
    <w:rsid w:val="001C7A39"/>
    <w:rsid w:val="001E3410"/>
    <w:rsid w:val="00222B7C"/>
    <w:rsid w:val="002240C4"/>
    <w:rsid w:val="0023169A"/>
    <w:rsid w:val="00246380"/>
    <w:rsid w:val="00252C0B"/>
    <w:rsid w:val="00253E12"/>
    <w:rsid w:val="00257D60"/>
    <w:rsid w:val="00284083"/>
    <w:rsid w:val="00285A7D"/>
    <w:rsid w:val="0028629F"/>
    <w:rsid w:val="002A5B8A"/>
    <w:rsid w:val="002C45C7"/>
    <w:rsid w:val="002D2E3D"/>
    <w:rsid w:val="002E1BE6"/>
    <w:rsid w:val="002E1C80"/>
    <w:rsid w:val="00317A15"/>
    <w:rsid w:val="00334981"/>
    <w:rsid w:val="003357BD"/>
    <w:rsid w:val="003370DA"/>
    <w:rsid w:val="00344C1A"/>
    <w:rsid w:val="00355622"/>
    <w:rsid w:val="00360D8C"/>
    <w:rsid w:val="00380A08"/>
    <w:rsid w:val="003875EE"/>
    <w:rsid w:val="00397181"/>
    <w:rsid w:val="003C1CEA"/>
    <w:rsid w:val="003C5024"/>
    <w:rsid w:val="003C5879"/>
    <w:rsid w:val="003D604C"/>
    <w:rsid w:val="003E70F2"/>
    <w:rsid w:val="003F1576"/>
    <w:rsid w:val="0040020C"/>
    <w:rsid w:val="00400D9D"/>
    <w:rsid w:val="00423403"/>
    <w:rsid w:val="00423E39"/>
    <w:rsid w:val="00433D98"/>
    <w:rsid w:val="004507D5"/>
    <w:rsid w:val="0046339C"/>
    <w:rsid w:val="00472890"/>
    <w:rsid w:val="00491B2B"/>
    <w:rsid w:val="004A7925"/>
    <w:rsid w:val="004B5FA6"/>
    <w:rsid w:val="004C0987"/>
    <w:rsid w:val="004C6257"/>
    <w:rsid w:val="004D62F5"/>
    <w:rsid w:val="004F0683"/>
    <w:rsid w:val="004F2F60"/>
    <w:rsid w:val="00506010"/>
    <w:rsid w:val="00516F0A"/>
    <w:rsid w:val="00516F6B"/>
    <w:rsid w:val="00516FA7"/>
    <w:rsid w:val="005409D3"/>
    <w:rsid w:val="00544262"/>
    <w:rsid w:val="0055249C"/>
    <w:rsid w:val="00552658"/>
    <w:rsid w:val="0055772F"/>
    <w:rsid w:val="00561AC0"/>
    <w:rsid w:val="00572E7B"/>
    <w:rsid w:val="00594A45"/>
    <w:rsid w:val="00594FE6"/>
    <w:rsid w:val="005A4377"/>
    <w:rsid w:val="005C39FB"/>
    <w:rsid w:val="005E236E"/>
    <w:rsid w:val="005F7BDF"/>
    <w:rsid w:val="0061419A"/>
    <w:rsid w:val="006177DA"/>
    <w:rsid w:val="00627A2C"/>
    <w:rsid w:val="006350FA"/>
    <w:rsid w:val="00651530"/>
    <w:rsid w:val="0067309B"/>
    <w:rsid w:val="00692E77"/>
    <w:rsid w:val="006B532F"/>
    <w:rsid w:val="006B5C3E"/>
    <w:rsid w:val="006C2BE8"/>
    <w:rsid w:val="006D14BA"/>
    <w:rsid w:val="006D479A"/>
    <w:rsid w:val="006E1A4D"/>
    <w:rsid w:val="006F1CBD"/>
    <w:rsid w:val="006F360C"/>
    <w:rsid w:val="006F6C54"/>
    <w:rsid w:val="00713CEA"/>
    <w:rsid w:val="00726DCF"/>
    <w:rsid w:val="007277EA"/>
    <w:rsid w:val="0073350A"/>
    <w:rsid w:val="00734528"/>
    <w:rsid w:val="00735361"/>
    <w:rsid w:val="007513CD"/>
    <w:rsid w:val="00763500"/>
    <w:rsid w:val="00767372"/>
    <w:rsid w:val="00783F30"/>
    <w:rsid w:val="0078501F"/>
    <w:rsid w:val="007A270C"/>
    <w:rsid w:val="007A58AE"/>
    <w:rsid w:val="007A6843"/>
    <w:rsid w:val="007B35F9"/>
    <w:rsid w:val="007C7522"/>
    <w:rsid w:val="007D7916"/>
    <w:rsid w:val="007F45CD"/>
    <w:rsid w:val="007F7441"/>
    <w:rsid w:val="00831B98"/>
    <w:rsid w:val="00836CFE"/>
    <w:rsid w:val="0084712E"/>
    <w:rsid w:val="00867CE7"/>
    <w:rsid w:val="00876B3F"/>
    <w:rsid w:val="00881DC0"/>
    <w:rsid w:val="008821B8"/>
    <w:rsid w:val="00885462"/>
    <w:rsid w:val="00886F4B"/>
    <w:rsid w:val="00887E2E"/>
    <w:rsid w:val="008A451E"/>
    <w:rsid w:val="008D133D"/>
    <w:rsid w:val="00913078"/>
    <w:rsid w:val="0091363B"/>
    <w:rsid w:val="00922AA1"/>
    <w:rsid w:val="00923825"/>
    <w:rsid w:val="00925FCE"/>
    <w:rsid w:val="00927CA4"/>
    <w:rsid w:val="00930858"/>
    <w:rsid w:val="009617E5"/>
    <w:rsid w:val="00962BC0"/>
    <w:rsid w:val="00963664"/>
    <w:rsid w:val="009760BB"/>
    <w:rsid w:val="009770BC"/>
    <w:rsid w:val="0098198F"/>
    <w:rsid w:val="00983B29"/>
    <w:rsid w:val="009842CC"/>
    <w:rsid w:val="009852C1"/>
    <w:rsid w:val="00985964"/>
    <w:rsid w:val="00987B8E"/>
    <w:rsid w:val="009A7103"/>
    <w:rsid w:val="009B0C03"/>
    <w:rsid w:val="009C6839"/>
    <w:rsid w:val="009D3238"/>
    <w:rsid w:val="009E6E43"/>
    <w:rsid w:val="009F09F1"/>
    <w:rsid w:val="009F5746"/>
    <w:rsid w:val="00A03809"/>
    <w:rsid w:val="00A110EF"/>
    <w:rsid w:val="00A21D15"/>
    <w:rsid w:val="00A3466B"/>
    <w:rsid w:val="00A36FBB"/>
    <w:rsid w:val="00A46317"/>
    <w:rsid w:val="00A52D82"/>
    <w:rsid w:val="00A53C72"/>
    <w:rsid w:val="00A758BE"/>
    <w:rsid w:val="00A80AD2"/>
    <w:rsid w:val="00A8599C"/>
    <w:rsid w:val="00A95B55"/>
    <w:rsid w:val="00A96F2F"/>
    <w:rsid w:val="00AA0B81"/>
    <w:rsid w:val="00AA451A"/>
    <w:rsid w:val="00AA6FBB"/>
    <w:rsid w:val="00AF0CE2"/>
    <w:rsid w:val="00B02848"/>
    <w:rsid w:val="00B104C0"/>
    <w:rsid w:val="00B1235E"/>
    <w:rsid w:val="00B13CE8"/>
    <w:rsid w:val="00B206F0"/>
    <w:rsid w:val="00B3306B"/>
    <w:rsid w:val="00B56B46"/>
    <w:rsid w:val="00B614BE"/>
    <w:rsid w:val="00B67932"/>
    <w:rsid w:val="00B850F3"/>
    <w:rsid w:val="00B91C95"/>
    <w:rsid w:val="00BA48AF"/>
    <w:rsid w:val="00BB7C0C"/>
    <w:rsid w:val="00BC0A78"/>
    <w:rsid w:val="00BE0FC3"/>
    <w:rsid w:val="00BF3241"/>
    <w:rsid w:val="00BF5985"/>
    <w:rsid w:val="00BF5DA0"/>
    <w:rsid w:val="00BF7ADC"/>
    <w:rsid w:val="00C02C08"/>
    <w:rsid w:val="00C0427C"/>
    <w:rsid w:val="00C06C54"/>
    <w:rsid w:val="00C06DF7"/>
    <w:rsid w:val="00C10022"/>
    <w:rsid w:val="00C154D6"/>
    <w:rsid w:val="00C222AF"/>
    <w:rsid w:val="00C2443D"/>
    <w:rsid w:val="00C30240"/>
    <w:rsid w:val="00C50EC1"/>
    <w:rsid w:val="00C52F3F"/>
    <w:rsid w:val="00C56383"/>
    <w:rsid w:val="00C56DBB"/>
    <w:rsid w:val="00C65896"/>
    <w:rsid w:val="00C75812"/>
    <w:rsid w:val="00C87F14"/>
    <w:rsid w:val="00C942A5"/>
    <w:rsid w:val="00CA48DE"/>
    <w:rsid w:val="00CB1118"/>
    <w:rsid w:val="00CC154C"/>
    <w:rsid w:val="00D25633"/>
    <w:rsid w:val="00D25FD7"/>
    <w:rsid w:val="00D316D2"/>
    <w:rsid w:val="00D378C6"/>
    <w:rsid w:val="00D45786"/>
    <w:rsid w:val="00D50AAF"/>
    <w:rsid w:val="00D537FA"/>
    <w:rsid w:val="00D60667"/>
    <w:rsid w:val="00D70B6D"/>
    <w:rsid w:val="00D70D2F"/>
    <w:rsid w:val="00DA2785"/>
    <w:rsid w:val="00DA712F"/>
    <w:rsid w:val="00DB5E2E"/>
    <w:rsid w:val="00DB65BC"/>
    <w:rsid w:val="00DE30BA"/>
    <w:rsid w:val="00DE4016"/>
    <w:rsid w:val="00DF2EBE"/>
    <w:rsid w:val="00DF4C83"/>
    <w:rsid w:val="00E06830"/>
    <w:rsid w:val="00E10942"/>
    <w:rsid w:val="00E123AF"/>
    <w:rsid w:val="00E24966"/>
    <w:rsid w:val="00E24CBA"/>
    <w:rsid w:val="00E27A4A"/>
    <w:rsid w:val="00E5283C"/>
    <w:rsid w:val="00E54FAF"/>
    <w:rsid w:val="00E56037"/>
    <w:rsid w:val="00E65270"/>
    <w:rsid w:val="00E67782"/>
    <w:rsid w:val="00E70DDA"/>
    <w:rsid w:val="00E76DE2"/>
    <w:rsid w:val="00E848D5"/>
    <w:rsid w:val="00EA78DC"/>
    <w:rsid w:val="00EB2D43"/>
    <w:rsid w:val="00EB3819"/>
    <w:rsid w:val="00EF42E4"/>
    <w:rsid w:val="00F06F01"/>
    <w:rsid w:val="00F153CE"/>
    <w:rsid w:val="00F231B6"/>
    <w:rsid w:val="00F2792E"/>
    <w:rsid w:val="00F31C9C"/>
    <w:rsid w:val="00F46DA1"/>
    <w:rsid w:val="00F5550E"/>
    <w:rsid w:val="00F80B25"/>
    <w:rsid w:val="00F92C28"/>
    <w:rsid w:val="00FA26B6"/>
    <w:rsid w:val="00FA3C94"/>
    <w:rsid w:val="00FD0A71"/>
    <w:rsid w:val="00FD2D9B"/>
    <w:rsid w:val="00FD37E7"/>
    <w:rsid w:val="00FE4FB2"/>
    <w:rsid w:val="00FE6C02"/>
    <w:rsid w:val="00FF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536"/>
  <w15:chartTrackingRefBased/>
  <w15:docId w15:val="{CF5093C9-C3F5-46C0-A79F-9DA30503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одзаголовок - оценка качества"/>
    <w:qFormat/>
    <w:rsid w:val="0046339C"/>
    <w:pPr>
      <w:jc w:val="center"/>
    </w:pPr>
    <w:rPr>
      <w:rFonts w:ascii="Times New Roman" w:hAnsi="Times New Roman"/>
      <w:b/>
      <w:sz w:val="28"/>
    </w:rPr>
  </w:style>
  <w:style w:type="paragraph" w:styleId="1">
    <w:name w:val="heading 1"/>
    <w:aliases w:val="риски (если много)"/>
    <w:basedOn w:val="a"/>
    <w:next w:val="a"/>
    <w:link w:val="10"/>
    <w:uiPriority w:val="9"/>
    <w:qFormat/>
    <w:rsid w:val="0046339C"/>
    <w:pPr>
      <w:keepNext/>
      <w:keepLines/>
      <w:spacing w:before="240" w:after="0"/>
      <w:jc w:val="both"/>
      <w:outlineLvl w:val="0"/>
    </w:pPr>
    <w:rPr>
      <w:rFonts w:eastAsiaTheme="majorEastAsia" w:cstheme="majorBidi"/>
      <w:b w:val="0"/>
      <w:color w:val="ED7D31" w:themeColor="accent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25"/>
    <w:pPr>
      <w:ind w:left="720"/>
      <w:contextualSpacing/>
    </w:pPr>
  </w:style>
  <w:style w:type="paragraph" w:styleId="a4">
    <w:name w:val="header"/>
    <w:basedOn w:val="a"/>
    <w:link w:val="a5"/>
    <w:uiPriority w:val="99"/>
    <w:unhideWhenUsed/>
    <w:rsid w:val="00E24C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4CBA"/>
  </w:style>
  <w:style w:type="paragraph" w:styleId="a6">
    <w:name w:val="footer"/>
    <w:basedOn w:val="a"/>
    <w:link w:val="a7"/>
    <w:uiPriority w:val="99"/>
    <w:unhideWhenUsed/>
    <w:rsid w:val="00E24C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CBA"/>
  </w:style>
  <w:style w:type="paragraph" w:styleId="a8">
    <w:name w:val="Balloon Text"/>
    <w:basedOn w:val="a"/>
    <w:link w:val="a9"/>
    <w:uiPriority w:val="99"/>
    <w:semiHidden/>
    <w:unhideWhenUsed/>
    <w:rsid w:val="000755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55AC"/>
    <w:rPr>
      <w:rFonts w:ascii="Segoe UI" w:hAnsi="Segoe UI" w:cs="Segoe UI"/>
      <w:sz w:val="18"/>
      <w:szCs w:val="18"/>
    </w:rPr>
  </w:style>
  <w:style w:type="paragraph" w:styleId="aa">
    <w:name w:val="No Spacing"/>
    <w:aliases w:val="Тест основной"/>
    <w:uiPriority w:val="1"/>
    <w:qFormat/>
    <w:rsid w:val="0046339C"/>
    <w:pPr>
      <w:spacing w:after="0" w:line="240" w:lineRule="auto"/>
      <w:ind w:firstLine="709"/>
      <w:jc w:val="both"/>
    </w:pPr>
    <w:rPr>
      <w:rFonts w:ascii="Times New Roman" w:hAnsi="Times New Roman"/>
      <w:sz w:val="28"/>
    </w:rPr>
  </w:style>
  <w:style w:type="character" w:customStyle="1" w:styleId="10">
    <w:name w:val="Заголовок 1 Знак"/>
    <w:aliases w:val="риски (если много) Знак"/>
    <w:basedOn w:val="a0"/>
    <w:link w:val="1"/>
    <w:uiPriority w:val="9"/>
    <w:rsid w:val="0046339C"/>
    <w:rPr>
      <w:rFonts w:ascii="Times New Roman" w:eastAsiaTheme="majorEastAsia" w:hAnsi="Times New Roman" w:cstheme="majorBidi"/>
      <w:color w:val="ED7D31" w:themeColor="accent2"/>
      <w:sz w:val="28"/>
      <w:szCs w:val="32"/>
    </w:rPr>
  </w:style>
  <w:style w:type="paragraph" w:styleId="ab">
    <w:name w:val="Title"/>
    <w:aliases w:val="Выбор (ввод данных)"/>
    <w:basedOn w:val="a"/>
    <w:next w:val="a"/>
    <w:link w:val="ac"/>
    <w:uiPriority w:val="10"/>
    <w:qFormat/>
    <w:rsid w:val="009C6839"/>
    <w:pPr>
      <w:spacing w:after="0" w:line="240" w:lineRule="auto"/>
      <w:contextualSpacing/>
      <w:jc w:val="both"/>
    </w:pPr>
    <w:rPr>
      <w:rFonts w:eastAsiaTheme="majorEastAsia" w:cstheme="majorBidi"/>
      <w:b w:val="0"/>
      <w:i/>
      <w:color w:val="ED7D31" w:themeColor="accent2"/>
      <w:spacing w:val="-10"/>
      <w:kern w:val="28"/>
      <w:szCs w:val="56"/>
      <w:u w:val="single"/>
    </w:rPr>
  </w:style>
  <w:style w:type="character" w:customStyle="1" w:styleId="ac">
    <w:name w:val="Заголовок Знак"/>
    <w:aliases w:val="Выбор (ввод данных) Знак"/>
    <w:basedOn w:val="a0"/>
    <w:link w:val="ab"/>
    <w:uiPriority w:val="10"/>
    <w:rsid w:val="009C6839"/>
    <w:rPr>
      <w:rFonts w:ascii="Times New Roman" w:eastAsiaTheme="majorEastAsia" w:hAnsi="Times New Roman" w:cstheme="majorBidi"/>
      <w:i/>
      <w:color w:val="ED7D31" w:themeColor="accent2"/>
      <w:spacing w:val="-10"/>
      <w:kern w:val="28"/>
      <w:sz w:val="28"/>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5421">
      <w:bodyDiv w:val="1"/>
      <w:marLeft w:val="0"/>
      <w:marRight w:val="0"/>
      <w:marTop w:val="0"/>
      <w:marBottom w:val="0"/>
      <w:divBdr>
        <w:top w:val="none" w:sz="0" w:space="0" w:color="auto"/>
        <w:left w:val="none" w:sz="0" w:space="0" w:color="auto"/>
        <w:bottom w:val="none" w:sz="0" w:space="0" w:color="auto"/>
        <w:right w:val="none" w:sz="0" w:space="0" w:color="auto"/>
      </w:divBdr>
    </w:div>
    <w:div w:id="374431558">
      <w:bodyDiv w:val="1"/>
      <w:marLeft w:val="0"/>
      <w:marRight w:val="0"/>
      <w:marTop w:val="0"/>
      <w:marBottom w:val="0"/>
      <w:divBdr>
        <w:top w:val="none" w:sz="0" w:space="0" w:color="auto"/>
        <w:left w:val="none" w:sz="0" w:space="0" w:color="auto"/>
        <w:bottom w:val="none" w:sz="0" w:space="0" w:color="auto"/>
        <w:right w:val="none" w:sz="0" w:space="0" w:color="auto"/>
      </w:divBdr>
    </w:div>
    <w:div w:id="466238814">
      <w:bodyDiv w:val="1"/>
      <w:marLeft w:val="0"/>
      <w:marRight w:val="0"/>
      <w:marTop w:val="0"/>
      <w:marBottom w:val="0"/>
      <w:divBdr>
        <w:top w:val="none" w:sz="0" w:space="0" w:color="auto"/>
        <w:left w:val="none" w:sz="0" w:space="0" w:color="auto"/>
        <w:bottom w:val="none" w:sz="0" w:space="0" w:color="auto"/>
        <w:right w:val="none" w:sz="0" w:space="0" w:color="auto"/>
      </w:divBdr>
    </w:div>
    <w:div w:id="524682807">
      <w:bodyDiv w:val="1"/>
      <w:marLeft w:val="0"/>
      <w:marRight w:val="0"/>
      <w:marTop w:val="0"/>
      <w:marBottom w:val="0"/>
      <w:divBdr>
        <w:top w:val="none" w:sz="0" w:space="0" w:color="auto"/>
        <w:left w:val="none" w:sz="0" w:space="0" w:color="auto"/>
        <w:bottom w:val="none" w:sz="0" w:space="0" w:color="auto"/>
        <w:right w:val="none" w:sz="0" w:space="0" w:color="auto"/>
      </w:divBdr>
    </w:div>
    <w:div w:id="549651372">
      <w:bodyDiv w:val="1"/>
      <w:marLeft w:val="0"/>
      <w:marRight w:val="0"/>
      <w:marTop w:val="0"/>
      <w:marBottom w:val="0"/>
      <w:divBdr>
        <w:top w:val="none" w:sz="0" w:space="0" w:color="auto"/>
        <w:left w:val="none" w:sz="0" w:space="0" w:color="auto"/>
        <w:bottom w:val="none" w:sz="0" w:space="0" w:color="auto"/>
        <w:right w:val="none" w:sz="0" w:space="0" w:color="auto"/>
      </w:divBdr>
    </w:div>
    <w:div w:id="613638223">
      <w:bodyDiv w:val="1"/>
      <w:marLeft w:val="0"/>
      <w:marRight w:val="0"/>
      <w:marTop w:val="0"/>
      <w:marBottom w:val="0"/>
      <w:divBdr>
        <w:top w:val="none" w:sz="0" w:space="0" w:color="auto"/>
        <w:left w:val="none" w:sz="0" w:space="0" w:color="auto"/>
        <w:bottom w:val="none" w:sz="0" w:space="0" w:color="auto"/>
        <w:right w:val="none" w:sz="0" w:space="0" w:color="auto"/>
      </w:divBdr>
    </w:div>
    <w:div w:id="662514870">
      <w:bodyDiv w:val="1"/>
      <w:marLeft w:val="0"/>
      <w:marRight w:val="0"/>
      <w:marTop w:val="0"/>
      <w:marBottom w:val="0"/>
      <w:divBdr>
        <w:top w:val="none" w:sz="0" w:space="0" w:color="auto"/>
        <w:left w:val="none" w:sz="0" w:space="0" w:color="auto"/>
        <w:bottom w:val="none" w:sz="0" w:space="0" w:color="auto"/>
        <w:right w:val="none" w:sz="0" w:space="0" w:color="auto"/>
      </w:divBdr>
    </w:div>
    <w:div w:id="674770348">
      <w:bodyDiv w:val="1"/>
      <w:marLeft w:val="0"/>
      <w:marRight w:val="0"/>
      <w:marTop w:val="0"/>
      <w:marBottom w:val="0"/>
      <w:divBdr>
        <w:top w:val="none" w:sz="0" w:space="0" w:color="auto"/>
        <w:left w:val="none" w:sz="0" w:space="0" w:color="auto"/>
        <w:bottom w:val="none" w:sz="0" w:space="0" w:color="auto"/>
        <w:right w:val="none" w:sz="0" w:space="0" w:color="auto"/>
      </w:divBdr>
    </w:div>
    <w:div w:id="1000935309">
      <w:bodyDiv w:val="1"/>
      <w:marLeft w:val="0"/>
      <w:marRight w:val="0"/>
      <w:marTop w:val="0"/>
      <w:marBottom w:val="0"/>
      <w:divBdr>
        <w:top w:val="none" w:sz="0" w:space="0" w:color="auto"/>
        <w:left w:val="none" w:sz="0" w:space="0" w:color="auto"/>
        <w:bottom w:val="none" w:sz="0" w:space="0" w:color="auto"/>
        <w:right w:val="none" w:sz="0" w:space="0" w:color="auto"/>
      </w:divBdr>
    </w:div>
    <w:div w:id="1026440712">
      <w:bodyDiv w:val="1"/>
      <w:marLeft w:val="0"/>
      <w:marRight w:val="0"/>
      <w:marTop w:val="0"/>
      <w:marBottom w:val="0"/>
      <w:divBdr>
        <w:top w:val="none" w:sz="0" w:space="0" w:color="auto"/>
        <w:left w:val="none" w:sz="0" w:space="0" w:color="auto"/>
        <w:bottom w:val="none" w:sz="0" w:space="0" w:color="auto"/>
        <w:right w:val="none" w:sz="0" w:space="0" w:color="auto"/>
      </w:divBdr>
    </w:div>
    <w:div w:id="1055155919">
      <w:bodyDiv w:val="1"/>
      <w:marLeft w:val="0"/>
      <w:marRight w:val="0"/>
      <w:marTop w:val="0"/>
      <w:marBottom w:val="0"/>
      <w:divBdr>
        <w:top w:val="none" w:sz="0" w:space="0" w:color="auto"/>
        <w:left w:val="none" w:sz="0" w:space="0" w:color="auto"/>
        <w:bottom w:val="none" w:sz="0" w:space="0" w:color="auto"/>
        <w:right w:val="none" w:sz="0" w:space="0" w:color="auto"/>
      </w:divBdr>
    </w:div>
    <w:div w:id="1195845176">
      <w:bodyDiv w:val="1"/>
      <w:marLeft w:val="0"/>
      <w:marRight w:val="0"/>
      <w:marTop w:val="0"/>
      <w:marBottom w:val="0"/>
      <w:divBdr>
        <w:top w:val="none" w:sz="0" w:space="0" w:color="auto"/>
        <w:left w:val="none" w:sz="0" w:space="0" w:color="auto"/>
        <w:bottom w:val="none" w:sz="0" w:space="0" w:color="auto"/>
        <w:right w:val="none" w:sz="0" w:space="0" w:color="auto"/>
      </w:divBdr>
    </w:div>
    <w:div w:id="1272007427">
      <w:bodyDiv w:val="1"/>
      <w:marLeft w:val="0"/>
      <w:marRight w:val="0"/>
      <w:marTop w:val="0"/>
      <w:marBottom w:val="0"/>
      <w:divBdr>
        <w:top w:val="none" w:sz="0" w:space="0" w:color="auto"/>
        <w:left w:val="none" w:sz="0" w:space="0" w:color="auto"/>
        <w:bottom w:val="none" w:sz="0" w:space="0" w:color="auto"/>
        <w:right w:val="none" w:sz="0" w:space="0" w:color="auto"/>
      </w:divBdr>
    </w:div>
    <w:div w:id="1323778589">
      <w:bodyDiv w:val="1"/>
      <w:marLeft w:val="0"/>
      <w:marRight w:val="0"/>
      <w:marTop w:val="0"/>
      <w:marBottom w:val="0"/>
      <w:divBdr>
        <w:top w:val="none" w:sz="0" w:space="0" w:color="auto"/>
        <w:left w:val="none" w:sz="0" w:space="0" w:color="auto"/>
        <w:bottom w:val="none" w:sz="0" w:space="0" w:color="auto"/>
        <w:right w:val="none" w:sz="0" w:space="0" w:color="auto"/>
      </w:divBdr>
    </w:div>
    <w:div w:id="1403067239">
      <w:bodyDiv w:val="1"/>
      <w:marLeft w:val="0"/>
      <w:marRight w:val="0"/>
      <w:marTop w:val="0"/>
      <w:marBottom w:val="0"/>
      <w:divBdr>
        <w:top w:val="none" w:sz="0" w:space="0" w:color="auto"/>
        <w:left w:val="none" w:sz="0" w:space="0" w:color="auto"/>
        <w:bottom w:val="none" w:sz="0" w:space="0" w:color="auto"/>
        <w:right w:val="none" w:sz="0" w:space="0" w:color="auto"/>
      </w:divBdr>
    </w:div>
    <w:div w:id="1532063570">
      <w:bodyDiv w:val="1"/>
      <w:marLeft w:val="0"/>
      <w:marRight w:val="0"/>
      <w:marTop w:val="0"/>
      <w:marBottom w:val="0"/>
      <w:divBdr>
        <w:top w:val="none" w:sz="0" w:space="0" w:color="auto"/>
        <w:left w:val="none" w:sz="0" w:space="0" w:color="auto"/>
        <w:bottom w:val="none" w:sz="0" w:space="0" w:color="auto"/>
        <w:right w:val="none" w:sz="0" w:space="0" w:color="auto"/>
      </w:divBdr>
    </w:div>
    <w:div w:id="1549612222">
      <w:bodyDiv w:val="1"/>
      <w:marLeft w:val="0"/>
      <w:marRight w:val="0"/>
      <w:marTop w:val="0"/>
      <w:marBottom w:val="0"/>
      <w:divBdr>
        <w:top w:val="none" w:sz="0" w:space="0" w:color="auto"/>
        <w:left w:val="none" w:sz="0" w:space="0" w:color="auto"/>
        <w:bottom w:val="none" w:sz="0" w:space="0" w:color="auto"/>
        <w:right w:val="none" w:sz="0" w:space="0" w:color="auto"/>
      </w:divBdr>
    </w:div>
    <w:div w:id="1696077245">
      <w:bodyDiv w:val="1"/>
      <w:marLeft w:val="0"/>
      <w:marRight w:val="0"/>
      <w:marTop w:val="0"/>
      <w:marBottom w:val="0"/>
      <w:divBdr>
        <w:top w:val="none" w:sz="0" w:space="0" w:color="auto"/>
        <w:left w:val="none" w:sz="0" w:space="0" w:color="auto"/>
        <w:bottom w:val="none" w:sz="0" w:space="0" w:color="auto"/>
        <w:right w:val="none" w:sz="0" w:space="0" w:color="auto"/>
      </w:divBdr>
    </w:div>
    <w:div w:id="1920556878">
      <w:bodyDiv w:val="1"/>
      <w:marLeft w:val="0"/>
      <w:marRight w:val="0"/>
      <w:marTop w:val="0"/>
      <w:marBottom w:val="0"/>
      <w:divBdr>
        <w:top w:val="none" w:sz="0" w:space="0" w:color="auto"/>
        <w:left w:val="none" w:sz="0" w:space="0" w:color="auto"/>
        <w:bottom w:val="none" w:sz="0" w:space="0" w:color="auto"/>
        <w:right w:val="none" w:sz="0" w:space="0" w:color="auto"/>
      </w:divBdr>
    </w:div>
    <w:div w:id="20612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Надежда Андреевна</dc:creator>
  <cp:keywords/>
  <dc:description/>
  <cp:lastModifiedBy>Голубев Артем Петрович</cp:lastModifiedBy>
  <cp:revision>109</cp:revision>
  <cp:lastPrinted>2022-05-16T14:33:00Z</cp:lastPrinted>
  <dcterms:created xsi:type="dcterms:W3CDTF">2021-09-28T07:40:00Z</dcterms:created>
  <dcterms:modified xsi:type="dcterms:W3CDTF">2022-05-16T15:41:00Z</dcterms:modified>
</cp:coreProperties>
</file>