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8FB66" w14:textId="77777777" w:rsidR="00B120DD" w:rsidRPr="00B120DD" w:rsidRDefault="00B120DD" w:rsidP="00620CB1">
      <w:pPr>
        <w:rPr>
          <w:rFonts w:ascii="Times New Roman" w:eastAsia="Calibri" w:hAnsi="Times New Roman"/>
          <w:bCs/>
          <w:sz w:val="28"/>
          <w:szCs w:val="28"/>
          <w:lang w:eastAsia="en-US"/>
        </w:rPr>
      </w:pPr>
      <w:bookmarkStart w:id="0" w:name="_GoBack"/>
      <w:bookmarkEnd w:id="0"/>
    </w:p>
    <w:p w14:paraId="47F686F2" w14:textId="77777777" w:rsidR="00BC5CBD" w:rsidRDefault="00BC5CBD" w:rsidP="00BC5CBD">
      <w:pPr>
        <w:jc w:val="center"/>
        <w:rPr>
          <w:rFonts w:ascii="Times New Roman" w:hAnsi="Times New Roman"/>
          <w:b/>
          <w:bCs/>
          <w:sz w:val="28"/>
          <w:szCs w:val="28"/>
        </w:rPr>
      </w:pPr>
      <w:r>
        <w:rPr>
          <w:rFonts w:ascii="Times New Roman" w:hAnsi="Times New Roman"/>
          <w:b/>
          <w:bCs/>
          <w:sz w:val="28"/>
          <w:szCs w:val="28"/>
        </w:rPr>
        <w:t>О применении Международных стандартов финансовой отчетности</w:t>
      </w:r>
    </w:p>
    <w:p w14:paraId="57A3DCC3" w14:textId="77777777" w:rsidR="00BC5CBD" w:rsidRDefault="00BC5CBD" w:rsidP="00BC5CBD">
      <w:pPr>
        <w:spacing w:after="120"/>
        <w:jc w:val="center"/>
        <w:rPr>
          <w:rFonts w:ascii="Times New Roman" w:hAnsi="Times New Roman"/>
          <w:b/>
          <w:bCs/>
          <w:sz w:val="28"/>
          <w:szCs w:val="28"/>
        </w:rPr>
      </w:pPr>
    </w:p>
    <w:p w14:paraId="1BA4ACB1" w14:textId="77777777" w:rsidR="00AF5588" w:rsidRDefault="00AF5588" w:rsidP="00AF5588">
      <w:pPr>
        <w:ind w:firstLine="709"/>
        <w:jc w:val="both"/>
        <w:rPr>
          <w:lang w:eastAsia="en-US"/>
        </w:rPr>
      </w:pPr>
      <w:r>
        <w:rPr>
          <w:rFonts w:ascii="Times New Roman" w:hAnsi="Times New Roman"/>
          <w:sz w:val="28"/>
          <w:szCs w:val="28"/>
        </w:rPr>
        <w:t>Межведомственная рабочая группа по применению Международных стандартов финансовой отчетности обобщила вопросы, поступающие в отношении применения Международных стандартов финансовой отчетности (далее – МСФО), и сообщает следующее.</w:t>
      </w:r>
    </w:p>
    <w:p w14:paraId="1781B69B" w14:textId="77777777" w:rsidR="00AF5588" w:rsidRDefault="00AF5588" w:rsidP="00AF5588">
      <w:r>
        <w:t> </w:t>
      </w:r>
    </w:p>
    <w:p w14:paraId="6647038A" w14:textId="77777777" w:rsidR="00AF5588" w:rsidRDefault="00AF5588" w:rsidP="00AF5588">
      <w:pPr>
        <w:jc w:val="center"/>
      </w:pPr>
      <w:r>
        <w:rPr>
          <w:rFonts w:ascii="Times New Roman" w:hAnsi="Times New Roman"/>
          <w:b/>
          <w:bCs/>
          <w:sz w:val="28"/>
          <w:szCs w:val="28"/>
        </w:rPr>
        <w:t xml:space="preserve">Раскрытие </w:t>
      </w:r>
      <w:proofErr w:type="spellStart"/>
      <w:r>
        <w:rPr>
          <w:rFonts w:ascii="Times New Roman" w:hAnsi="Times New Roman"/>
          <w:b/>
          <w:bCs/>
          <w:sz w:val="28"/>
          <w:szCs w:val="28"/>
        </w:rPr>
        <w:t>некорректирующих</w:t>
      </w:r>
      <w:proofErr w:type="spellEnd"/>
      <w:r>
        <w:rPr>
          <w:rFonts w:ascii="Times New Roman" w:hAnsi="Times New Roman"/>
          <w:b/>
          <w:bCs/>
          <w:sz w:val="28"/>
          <w:szCs w:val="28"/>
        </w:rPr>
        <w:t xml:space="preserve"> событий после отчетного периода</w:t>
      </w:r>
    </w:p>
    <w:p w14:paraId="4D5FBDEB" w14:textId="77777777" w:rsidR="00AF5588" w:rsidRDefault="00AF5588" w:rsidP="00AF5588">
      <w:pPr>
        <w:ind w:firstLine="709"/>
        <w:jc w:val="both"/>
      </w:pPr>
      <w:r>
        <w:rPr>
          <w:rFonts w:ascii="Times New Roman" w:hAnsi="Times New Roman"/>
          <w:sz w:val="28"/>
          <w:szCs w:val="28"/>
        </w:rPr>
        <w:t> </w:t>
      </w:r>
    </w:p>
    <w:p w14:paraId="6D05B2B7" w14:textId="77777777" w:rsidR="00AF5588" w:rsidRDefault="00AF5588" w:rsidP="00AF5588">
      <w:pPr>
        <w:ind w:firstLine="709"/>
        <w:jc w:val="both"/>
      </w:pPr>
      <w:r>
        <w:rPr>
          <w:rFonts w:ascii="Times New Roman" w:hAnsi="Times New Roman"/>
          <w:sz w:val="28"/>
          <w:szCs w:val="28"/>
        </w:rPr>
        <w:t>Исходя из МСФО (</w:t>
      </w:r>
      <w:r>
        <w:rPr>
          <w:rFonts w:ascii="Times New Roman" w:hAnsi="Times New Roman"/>
          <w:sz w:val="28"/>
          <w:szCs w:val="28"/>
          <w:lang w:val="en-US"/>
        </w:rPr>
        <w:t>IAS</w:t>
      </w:r>
      <w:r>
        <w:rPr>
          <w:rFonts w:ascii="Times New Roman" w:hAnsi="Times New Roman"/>
          <w:sz w:val="28"/>
          <w:szCs w:val="28"/>
        </w:rPr>
        <w:t xml:space="preserve">) 10 «События после отчетного периода», события после отчетного периода – это благоприятные и неблагоприятные для организации события, которые происходят в период между концом отчетного периода и датой одобрения финансовой отчетности к выпуску. </w:t>
      </w:r>
      <w:proofErr w:type="spellStart"/>
      <w:r>
        <w:rPr>
          <w:rFonts w:ascii="Times New Roman" w:hAnsi="Times New Roman"/>
          <w:sz w:val="28"/>
          <w:szCs w:val="28"/>
        </w:rPr>
        <w:t>Некорректирующие</w:t>
      </w:r>
      <w:proofErr w:type="spellEnd"/>
      <w:r>
        <w:rPr>
          <w:rFonts w:ascii="Times New Roman" w:hAnsi="Times New Roman"/>
          <w:sz w:val="28"/>
          <w:szCs w:val="28"/>
        </w:rPr>
        <w:t xml:space="preserve"> события после отчетного периода - события, свидетельствующие о возникших после отчетного периода условиях.</w:t>
      </w:r>
    </w:p>
    <w:p w14:paraId="0EA6083A" w14:textId="77777777" w:rsidR="00AF5588" w:rsidRDefault="00AF5588" w:rsidP="00AF5588">
      <w:pPr>
        <w:autoSpaceDE w:val="0"/>
        <w:autoSpaceDN w:val="0"/>
        <w:ind w:firstLine="708"/>
        <w:jc w:val="both"/>
      </w:pPr>
      <w:r>
        <w:rPr>
          <w:rFonts w:ascii="Times New Roman" w:hAnsi="Times New Roman"/>
          <w:sz w:val="28"/>
          <w:szCs w:val="28"/>
        </w:rPr>
        <w:t xml:space="preserve">Организация не должна корректировать суммы, признанные в финансовой отчетности, для отражения </w:t>
      </w:r>
      <w:proofErr w:type="spellStart"/>
      <w:r>
        <w:rPr>
          <w:rFonts w:ascii="Times New Roman" w:hAnsi="Times New Roman"/>
          <w:sz w:val="28"/>
          <w:szCs w:val="28"/>
        </w:rPr>
        <w:t>некорректирующих</w:t>
      </w:r>
      <w:proofErr w:type="spellEnd"/>
      <w:r>
        <w:rPr>
          <w:rFonts w:ascii="Times New Roman" w:hAnsi="Times New Roman"/>
          <w:sz w:val="28"/>
          <w:szCs w:val="28"/>
        </w:rPr>
        <w:t xml:space="preserve"> событий после отчетного периода. Иными словами, </w:t>
      </w:r>
      <w:proofErr w:type="spellStart"/>
      <w:r>
        <w:rPr>
          <w:rFonts w:ascii="Times New Roman" w:hAnsi="Times New Roman"/>
          <w:sz w:val="28"/>
          <w:szCs w:val="28"/>
        </w:rPr>
        <w:t>некорректирующие</w:t>
      </w:r>
      <w:proofErr w:type="spellEnd"/>
      <w:r>
        <w:rPr>
          <w:rFonts w:ascii="Times New Roman" w:hAnsi="Times New Roman"/>
          <w:sz w:val="28"/>
          <w:szCs w:val="28"/>
        </w:rPr>
        <w:t xml:space="preserve"> события после отчетной даты не влияют на оценку активов и обязательств на отчетную дату. Это относится, в частности, к оценочным значениям, включая обесценение активов, справедливую стоимость и оценочные обязательства.</w:t>
      </w:r>
    </w:p>
    <w:p w14:paraId="12964236" w14:textId="77777777" w:rsidR="00AF5588" w:rsidRPr="0065001A" w:rsidRDefault="00AF5588" w:rsidP="00AF5588">
      <w:pPr>
        <w:autoSpaceDE w:val="0"/>
        <w:autoSpaceDN w:val="0"/>
        <w:ind w:firstLine="708"/>
        <w:jc w:val="both"/>
      </w:pPr>
      <w:r>
        <w:rPr>
          <w:rFonts w:ascii="Times New Roman" w:hAnsi="Times New Roman"/>
          <w:sz w:val="28"/>
          <w:szCs w:val="28"/>
        </w:rPr>
        <w:t xml:space="preserve">Однако если </w:t>
      </w:r>
      <w:proofErr w:type="spellStart"/>
      <w:r>
        <w:rPr>
          <w:rFonts w:ascii="Times New Roman" w:hAnsi="Times New Roman"/>
          <w:sz w:val="28"/>
          <w:szCs w:val="28"/>
        </w:rPr>
        <w:t>некорректирующие</w:t>
      </w:r>
      <w:proofErr w:type="spellEnd"/>
      <w:r>
        <w:rPr>
          <w:rFonts w:ascii="Times New Roman" w:hAnsi="Times New Roman"/>
          <w:sz w:val="28"/>
          <w:szCs w:val="28"/>
        </w:rPr>
        <w:t xml:space="preserve"> события после отчетного периода существенны, можно обоснованно ожидать, что их </w:t>
      </w:r>
      <w:proofErr w:type="spellStart"/>
      <w:r>
        <w:rPr>
          <w:rFonts w:ascii="Times New Roman" w:hAnsi="Times New Roman"/>
          <w:sz w:val="28"/>
          <w:szCs w:val="28"/>
        </w:rPr>
        <w:t>нераскрытие</w:t>
      </w:r>
      <w:proofErr w:type="spellEnd"/>
      <w:r>
        <w:rPr>
          <w:rFonts w:ascii="Times New Roman" w:hAnsi="Times New Roman"/>
          <w:sz w:val="28"/>
          <w:szCs w:val="28"/>
        </w:rPr>
        <w:t xml:space="preserve"> повлияет на решения основных пользователей финансовой отчетности общего назначения, </w:t>
      </w:r>
      <w:r w:rsidRPr="0065001A">
        <w:rPr>
          <w:rFonts w:ascii="Times New Roman" w:hAnsi="Times New Roman"/>
          <w:sz w:val="28"/>
          <w:szCs w:val="28"/>
        </w:rPr>
        <w:t xml:space="preserve">принимаемые на основе данной финансовой отчетности. Кроме того, </w:t>
      </w:r>
      <w:proofErr w:type="spellStart"/>
      <w:r w:rsidRPr="0065001A">
        <w:rPr>
          <w:rFonts w:ascii="Times New Roman" w:hAnsi="Times New Roman"/>
          <w:sz w:val="28"/>
          <w:szCs w:val="28"/>
        </w:rPr>
        <w:t>некорректирующие</w:t>
      </w:r>
      <w:proofErr w:type="spellEnd"/>
      <w:r w:rsidRPr="0065001A">
        <w:rPr>
          <w:rFonts w:ascii="Times New Roman" w:hAnsi="Times New Roman"/>
          <w:sz w:val="28"/>
          <w:szCs w:val="28"/>
        </w:rPr>
        <w:t xml:space="preserve"> события после отчетного периода должны приниматься в расчет руководством организации при анализе правомерности использования допущения о непрерывности деятельности организации при подготовке ее отчетности за отчетный период.</w:t>
      </w:r>
    </w:p>
    <w:p w14:paraId="2976BA61" w14:textId="77777777" w:rsidR="00AF5588" w:rsidRPr="0065001A" w:rsidRDefault="00AF5588" w:rsidP="00AF5588">
      <w:pPr>
        <w:ind w:firstLine="709"/>
        <w:jc w:val="both"/>
      </w:pPr>
      <w:r w:rsidRPr="0065001A">
        <w:rPr>
          <w:rFonts w:ascii="Times New Roman" w:hAnsi="Times New Roman"/>
          <w:sz w:val="28"/>
          <w:szCs w:val="28"/>
        </w:rPr>
        <w:t xml:space="preserve">При раскрытии </w:t>
      </w:r>
      <w:proofErr w:type="spellStart"/>
      <w:r w:rsidRPr="0065001A">
        <w:rPr>
          <w:rFonts w:ascii="Times New Roman" w:hAnsi="Times New Roman"/>
          <w:sz w:val="28"/>
          <w:szCs w:val="28"/>
        </w:rPr>
        <w:t>некорректирующих</w:t>
      </w:r>
      <w:proofErr w:type="spellEnd"/>
      <w:r w:rsidRPr="0065001A">
        <w:rPr>
          <w:rFonts w:ascii="Times New Roman" w:hAnsi="Times New Roman"/>
          <w:sz w:val="28"/>
          <w:szCs w:val="28"/>
        </w:rPr>
        <w:t xml:space="preserve"> событий после отчетного периода может потребоваться указание конкретного влияния их, в том числе оценки финансового эффекта, (если оно существенно) даже в ситуации, когда такие события не приводят к неопределенности в отношении допущения о непрерывности деятельности. </w:t>
      </w:r>
    </w:p>
    <w:p w14:paraId="4AD8EDE2" w14:textId="77777777" w:rsidR="00AF5588" w:rsidRDefault="00AF5588" w:rsidP="00AF5588">
      <w:pPr>
        <w:autoSpaceDE w:val="0"/>
        <w:autoSpaceDN w:val="0"/>
        <w:ind w:firstLine="708"/>
        <w:jc w:val="both"/>
      </w:pPr>
      <w:r w:rsidRPr="0065001A">
        <w:rPr>
          <w:rFonts w:ascii="Times New Roman" w:hAnsi="Times New Roman"/>
          <w:sz w:val="28"/>
          <w:szCs w:val="28"/>
        </w:rPr>
        <w:t>Исходя из приведенных положений, для целей финансовой отчетности за 2021 г. связанные с введением в отношении организаций и отдельных лиц в феврале-апреле 2022 г</w:t>
      </w:r>
      <w:r>
        <w:rPr>
          <w:rFonts w:ascii="Times New Roman" w:hAnsi="Times New Roman"/>
          <w:sz w:val="28"/>
          <w:szCs w:val="28"/>
        </w:rPr>
        <w:t xml:space="preserve">. мер ограничительного характера события, оказавшие влияние на экономическое положение данных организаций и лиц, а также их контрагентов и даже некоторых отраслей экономики, являются </w:t>
      </w:r>
      <w:proofErr w:type="spellStart"/>
      <w:r>
        <w:rPr>
          <w:rFonts w:ascii="Times New Roman" w:hAnsi="Times New Roman"/>
          <w:sz w:val="28"/>
          <w:szCs w:val="28"/>
        </w:rPr>
        <w:t>некорректирующими</w:t>
      </w:r>
      <w:proofErr w:type="spellEnd"/>
      <w:r>
        <w:rPr>
          <w:rFonts w:ascii="Times New Roman" w:hAnsi="Times New Roman"/>
          <w:sz w:val="28"/>
          <w:szCs w:val="28"/>
        </w:rPr>
        <w:t xml:space="preserve"> событиями после отчетного периода. В силу существенности для большинства организаций эти события подлежат раскрытию в финансовой отчетности за 2021 г., составляемой в 2022 г.</w:t>
      </w:r>
    </w:p>
    <w:p w14:paraId="7F2ADE59" w14:textId="77777777" w:rsidR="00AF5588" w:rsidRPr="0065001A" w:rsidRDefault="00AF5588" w:rsidP="00AF5588">
      <w:pPr>
        <w:ind w:firstLine="709"/>
        <w:jc w:val="both"/>
      </w:pPr>
      <w:r>
        <w:rPr>
          <w:rFonts w:ascii="Times New Roman" w:hAnsi="Times New Roman"/>
          <w:sz w:val="28"/>
          <w:szCs w:val="28"/>
        </w:rPr>
        <w:t xml:space="preserve">Информация, раскрываемая в отчетности, должна быть подготовлена, исходя из обстоятельств ведения хозяйственной деятельности конкретной </w:t>
      </w:r>
      <w:r>
        <w:rPr>
          <w:rFonts w:ascii="Times New Roman" w:hAnsi="Times New Roman"/>
          <w:sz w:val="28"/>
          <w:szCs w:val="28"/>
        </w:rPr>
        <w:lastRenderedPageBreak/>
        <w:t xml:space="preserve">организацией с учетом факторов, наиболее повлиявших на показатели именно ее отчетности. В случае, если в результате событий после отчетной даты у организации возникает существенная неопределенность в отношении </w:t>
      </w:r>
      <w:r w:rsidRPr="0065001A">
        <w:rPr>
          <w:rFonts w:ascii="Times New Roman" w:hAnsi="Times New Roman"/>
          <w:sz w:val="28"/>
          <w:szCs w:val="28"/>
        </w:rPr>
        <w:t>возможности продолжать непрерывно свою деятельность, необходимо раскрыть информацию о неопределенности, а также почему применение допущения о непрерывности деятельности является обоснованным. Если у организации отсутствует возможность продолжать деятельность, применение допущения о непрерывности деятельности при подготовке отчетности за 2021 г. некорректно.</w:t>
      </w:r>
    </w:p>
    <w:p w14:paraId="2AA10813" w14:textId="77777777" w:rsidR="00AF5588" w:rsidRDefault="00AF5588" w:rsidP="00AF5588">
      <w:pPr>
        <w:jc w:val="center"/>
      </w:pPr>
      <w:r>
        <w:rPr>
          <w:rFonts w:ascii="Times New Roman" w:hAnsi="Times New Roman"/>
          <w:b/>
          <w:bCs/>
          <w:sz w:val="28"/>
          <w:szCs w:val="28"/>
        </w:rPr>
        <w:t> </w:t>
      </w:r>
    </w:p>
    <w:p w14:paraId="7EBF9199" w14:textId="77777777" w:rsidR="00AF5588" w:rsidRDefault="00AF5588" w:rsidP="00AF5588">
      <w:pPr>
        <w:jc w:val="center"/>
      </w:pPr>
      <w:r>
        <w:rPr>
          <w:rFonts w:ascii="Times New Roman" w:hAnsi="Times New Roman"/>
          <w:b/>
          <w:bCs/>
          <w:sz w:val="28"/>
          <w:szCs w:val="28"/>
        </w:rPr>
        <w:t xml:space="preserve">Оценка справедливой стоимости </w:t>
      </w:r>
    </w:p>
    <w:p w14:paraId="16418C7A" w14:textId="77777777" w:rsidR="00AF5588" w:rsidRDefault="00AF5588" w:rsidP="00AF5588">
      <w:pPr>
        <w:jc w:val="center"/>
      </w:pPr>
      <w:r>
        <w:rPr>
          <w:rFonts w:ascii="Times New Roman" w:hAnsi="Times New Roman"/>
          <w:b/>
          <w:bCs/>
          <w:sz w:val="28"/>
          <w:szCs w:val="28"/>
        </w:rPr>
        <w:t xml:space="preserve">финансовых активов и финансовых обязательств </w:t>
      </w:r>
      <w:r>
        <w:rPr>
          <w:rFonts w:ascii="Times New Roman" w:hAnsi="Times New Roman"/>
          <w:b/>
          <w:bCs/>
          <w:sz w:val="28"/>
          <w:szCs w:val="28"/>
        </w:rPr>
        <w:br/>
        <w:t>в условиях снижения ликвидности и повышенной волатильности финансовых рынков</w:t>
      </w:r>
    </w:p>
    <w:p w14:paraId="6BB6DB64" w14:textId="77777777" w:rsidR="00AF5588" w:rsidRDefault="00AF5588" w:rsidP="00AF5588">
      <w:pPr>
        <w:autoSpaceDE w:val="0"/>
        <w:autoSpaceDN w:val="0"/>
        <w:ind w:firstLine="709"/>
        <w:jc w:val="both"/>
      </w:pPr>
      <w:r>
        <w:rPr>
          <w:rFonts w:ascii="Times New Roman" w:hAnsi="Times New Roman"/>
          <w:sz w:val="28"/>
          <w:szCs w:val="28"/>
        </w:rPr>
        <w:t> </w:t>
      </w:r>
    </w:p>
    <w:p w14:paraId="610B7892" w14:textId="77777777" w:rsidR="00AF5588" w:rsidRDefault="00AF5588" w:rsidP="00AF5588">
      <w:pPr>
        <w:autoSpaceDE w:val="0"/>
        <w:autoSpaceDN w:val="0"/>
        <w:ind w:firstLine="709"/>
        <w:jc w:val="both"/>
      </w:pPr>
      <w:r>
        <w:rPr>
          <w:rFonts w:ascii="Times New Roman" w:hAnsi="Times New Roman"/>
          <w:sz w:val="28"/>
          <w:szCs w:val="28"/>
        </w:rPr>
        <w:t>Для целей составления финансовой отчетности справедливая стоимость финансового актива или обязательства на отчетную дату определяется в соответствии с МСФО (</w:t>
      </w:r>
      <w:r>
        <w:rPr>
          <w:rFonts w:ascii="Times New Roman" w:hAnsi="Times New Roman"/>
          <w:sz w:val="28"/>
          <w:szCs w:val="28"/>
          <w:lang w:val="en-US"/>
        </w:rPr>
        <w:t>IFRS</w:t>
      </w:r>
      <w:r>
        <w:rPr>
          <w:rFonts w:ascii="Times New Roman" w:hAnsi="Times New Roman"/>
          <w:sz w:val="28"/>
          <w:szCs w:val="28"/>
        </w:rPr>
        <w:t>) 13 «Оценка справедливой стоимости». Если оценка справедливой стоимости основывается на наблюдаемых рыночных данных, то для оценки должны использоваться котировки по состоянию на отчетную дату. Изменения рыночных цен после отчетной даты не влияют на такую оценку.</w:t>
      </w:r>
    </w:p>
    <w:p w14:paraId="101D72CD" w14:textId="77777777" w:rsidR="00AF5588" w:rsidRDefault="00AF5588" w:rsidP="00AF5588">
      <w:pPr>
        <w:autoSpaceDE w:val="0"/>
        <w:autoSpaceDN w:val="0"/>
        <w:ind w:firstLine="709"/>
        <w:jc w:val="both"/>
      </w:pPr>
      <w:r>
        <w:rPr>
          <w:rFonts w:ascii="Times New Roman" w:hAnsi="Times New Roman"/>
          <w:sz w:val="28"/>
          <w:szCs w:val="28"/>
        </w:rPr>
        <w:t xml:space="preserve">В настоящее время наблюдается существенный рост волатильности финансовых рынков. Для финансовых инструментов, обращающихся на финансовых рынках, наблюдаемые цены по состоянию на отчетную дату отражают позицию участников рынков и должны использоваться для оценки справедливой стоимости, несмотря на повышенную волатильность этих рынков. </w:t>
      </w:r>
    </w:p>
    <w:p w14:paraId="54C9DC51" w14:textId="77777777" w:rsidR="00AF5588" w:rsidRDefault="00AF5588" w:rsidP="00AF5588">
      <w:pPr>
        <w:autoSpaceDE w:val="0"/>
        <w:autoSpaceDN w:val="0"/>
        <w:ind w:firstLine="709"/>
        <w:jc w:val="both"/>
      </w:pPr>
      <w:r>
        <w:rPr>
          <w:rFonts w:ascii="Times New Roman" w:hAnsi="Times New Roman"/>
          <w:sz w:val="28"/>
          <w:szCs w:val="28"/>
        </w:rPr>
        <w:t xml:space="preserve">Повышенная волатильность финансовых рынков также оказывает косвенное влияние, если метод определения справедливой стоимости предусматривает использование данных </w:t>
      </w:r>
      <w:proofErr w:type="spellStart"/>
      <w:r>
        <w:rPr>
          <w:rFonts w:ascii="Times New Roman" w:hAnsi="Times New Roman"/>
          <w:sz w:val="28"/>
          <w:szCs w:val="28"/>
        </w:rPr>
        <w:t>волатильных</w:t>
      </w:r>
      <w:proofErr w:type="spellEnd"/>
      <w:r>
        <w:rPr>
          <w:rFonts w:ascii="Times New Roman" w:hAnsi="Times New Roman"/>
          <w:sz w:val="28"/>
          <w:szCs w:val="28"/>
        </w:rPr>
        <w:t xml:space="preserve"> рынков в качестве предпосылок оценки. Кроме того, кредитный риск, который учитывается в качестве одной из предпосылок при определении справедливой стоимости долговых финансовых инструментов, мог возрасти, в частности, из-за введения экономических санкций.</w:t>
      </w:r>
    </w:p>
    <w:p w14:paraId="5F15F1F4" w14:textId="77777777" w:rsidR="00AF5588" w:rsidRDefault="00AF5588" w:rsidP="00AF5588">
      <w:pPr>
        <w:autoSpaceDE w:val="0"/>
        <w:autoSpaceDN w:val="0"/>
        <w:ind w:firstLine="709"/>
        <w:jc w:val="both"/>
      </w:pPr>
      <w:r>
        <w:rPr>
          <w:rFonts w:ascii="Times New Roman" w:hAnsi="Times New Roman"/>
          <w:sz w:val="28"/>
          <w:szCs w:val="28"/>
        </w:rPr>
        <w:t xml:space="preserve">Высокая степень неопределенности по состоянию на конец первого квартала 2022 г., сокращение количества сделок и высокая волатильность финансовых и товарных рынков, а также другие факторы, осложняющие определение справедливой стоимости финансовых инструментов, не отменяют требования МСФО по учету финансовых инструментов по справедливой стоимости. Названные факторы влияют на ожидаемые денежные потоки по финансовым инструментам, котировки и цены фактических сделок, в связи с чем они должны быть учтены при определении справедливой стоимости финансовых инструментов. </w:t>
      </w:r>
    </w:p>
    <w:p w14:paraId="67F0185F" w14:textId="77777777" w:rsidR="00AF5588" w:rsidRDefault="00AF5588" w:rsidP="00AF5588">
      <w:pPr>
        <w:autoSpaceDE w:val="0"/>
        <w:autoSpaceDN w:val="0"/>
        <w:ind w:firstLine="709"/>
        <w:jc w:val="both"/>
      </w:pPr>
      <w:r>
        <w:rPr>
          <w:rFonts w:ascii="Times New Roman" w:hAnsi="Times New Roman"/>
          <w:sz w:val="28"/>
          <w:szCs w:val="28"/>
        </w:rPr>
        <w:lastRenderedPageBreak/>
        <w:t>Влияние текущей экономической ситуации на денежные потоки по финансовым инструментам сложно прогнозировать, поскольку ситуация продолжает развиваться и включение всех видов неопределенностей, которым подвержены денежные потоки по финансовому инструменту в единый прогноз денежных потоков может быть затруднительно. В таком случае организация, определяющая справедливую стоимость финансового инструмента на основе метода дисконтирования денежных потоков, может подготовить несколько возможных сценариев и применить веса для построения общей оценки справедливой стоимости.</w:t>
      </w:r>
    </w:p>
    <w:p w14:paraId="00E3E296" w14:textId="77777777" w:rsidR="00AF5588" w:rsidRPr="0065001A" w:rsidRDefault="00AF5588" w:rsidP="00AF5588">
      <w:pPr>
        <w:autoSpaceDE w:val="0"/>
        <w:autoSpaceDN w:val="0"/>
        <w:ind w:firstLine="709"/>
        <w:jc w:val="both"/>
      </w:pPr>
      <w:r>
        <w:rPr>
          <w:rFonts w:ascii="Times New Roman" w:hAnsi="Times New Roman"/>
          <w:sz w:val="28"/>
          <w:szCs w:val="28"/>
        </w:rPr>
        <w:t xml:space="preserve">При определении справедливой стоимости финансового инструмента на основе нескольких сценариев, как правило, определяются ожидаемые денежные потоки в каждом из сценариев и вероятность наступления каждого из сценариев. Справедливая стоимость определяется как взвешенная по вероятности сумма приведенных стоимостей всех сценариев. При использовании данного подхода, как правило, организации учитывают влияние </w:t>
      </w:r>
      <w:r w:rsidRPr="0065001A">
        <w:rPr>
          <w:rFonts w:ascii="Times New Roman" w:hAnsi="Times New Roman"/>
          <w:sz w:val="28"/>
          <w:szCs w:val="28"/>
        </w:rPr>
        <w:t xml:space="preserve">рисков (санкции, невозможность проведения платежей, сбои в цепочках поставок) в каждый из сценариев в разной степени. Денежный поток каждого сценария дисконтируется с использованием ставки, учитывающей риски, не включенные в оценку денежных потоков. </w:t>
      </w:r>
    </w:p>
    <w:p w14:paraId="41784173" w14:textId="77777777" w:rsidR="00AF5588" w:rsidRPr="0065001A" w:rsidRDefault="00AF5588" w:rsidP="00AF5588">
      <w:pPr>
        <w:autoSpaceDE w:val="0"/>
        <w:autoSpaceDN w:val="0"/>
        <w:ind w:firstLine="709"/>
        <w:jc w:val="both"/>
      </w:pPr>
      <w:r w:rsidRPr="0065001A">
        <w:rPr>
          <w:rFonts w:ascii="Times New Roman" w:hAnsi="Times New Roman"/>
          <w:sz w:val="28"/>
          <w:szCs w:val="28"/>
        </w:rPr>
        <w:t>Для обеспечения соответствия определению справедливой стоимости, предусмотренному МСФО (</w:t>
      </w:r>
      <w:r w:rsidRPr="0065001A">
        <w:rPr>
          <w:rFonts w:ascii="Times New Roman" w:hAnsi="Times New Roman"/>
          <w:sz w:val="28"/>
          <w:szCs w:val="28"/>
          <w:lang w:val="en-US"/>
        </w:rPr>
        <w:t>IFRS</w:t>
      </w:r>
      <w:r w:rsidRPr="0065001A">
        <w:rPr>
          <w:rFonts w:ascii="Times New Roman" w:hAnsi="Times New Roman"/>
          <w:sz w:val="28"/>
          <w:szCs w:val="28"/>
        </w:rPr>
        <w:t>) 13, все параметры, используемые при моделировании денежных потоков, должны базироваться, насколько это возможно, на наблюдаемых данных и ожиданиях участников рынков.</w:t>
      </w:r>
    </w:p>
    <w:p w14:paraId="3D73B205" w14:textId="77777777" w:rsidR="00AF5588" w:rsidRDefault="00AF5588" w:rsidP="00AF5588">
      <w:pPr>
        <w:autoSpaceDE w:val="0"/>
        <w:autoSpaceDN w:val="0"/>
        <w:ind w:firstLine="709"/>
        <w:jc w:val="both"/>
      </w:pPr>
      <w:r w:rsidRPr="0065001A">
        <w:rPr>
          <w:rFonts w:ascii="Times New Roman" w:hAnsi="Times New Roman"/>
          <w:sz w:val="28"/>
          <w:szCs w:val="28"/>
        </w:rPr>
        <w:t xml:space="preserve">Организация также может исключить влияние кредитного или иных рисков из оценки будущих </w:t>
      </w:r>
      <w:r>
        <w:rPr>
          <w:rFonts w:ascii="Times New Roman" w:hAnsi="Times New Roman"/>
          <w:sz w:val="28"/>
          <w:szCs w:val="28"/>
        </w:rPr>
        <w:t>денежных потоков и учесть данный фактор в ставке дисконтирования, если такой подход позволит получить более надежную оценку. Однако, если ожидаемые денежные потоки в одном из сценариев были скорректированы на определенный риск, то этот риск не должен корректировать ставку дисконтирования. Если же риск не был учтен при оценке ожидаемых денежных потоков, он должен быть учтен при определении ставки дисконтирования.</w:t>
      </w:r>
    </w:p>
    <w:p w14:paraId="1A813592" w14:textId="77777777" w:rsidR="00AF5588" w:rsidRDefault="00AF5588" w:rsidP="00AF5588">
      <w:pPr>
        <w:autoSpaceDE w:val="0"/>
        <w:autoSpaceDN w:val="0"/>
        <w:ind w:firstLine="709"/>
        <w:jc w:val="both"/>
      </w:pPr>
      <w:r>
        <w:rPr>
          <w:rFonts w:ascii="Times New Roman" w:hAnsi="Times New Roman"/>
          <w:sz w:val="28"/>
          <w:szCs w:val="28"/>
        </w:rPr>
        <w:t>Изменения в подходе к определению справедливой стоимости влияют также на информацию, которую необходимо раскрывать в финансовой отчетности в соответствии с МСФО (</w:t>
      </w:r>
      <w:r>
        <w:rPr>
          <w:rFonts w:ascii="Times New Roman" w:hAnsi="Times New Roman"/>
          <w:sz w:val="28"/>
          <w:szCs w:val="28"/>
          <w:lang w:val="en-US"/>
        </w:rPr>
        <w:t>IFRS</w:t>
      </w:r>
      <w:r>
        <w:rPr>
          <w:rFonts w:ascii="Times New Roman" w:hAnsi="Times New Roman"/>
          <w:sz w:val="28"/>
          <w:szCs w:val="28"/>
        </w:rPr>
        <w:t xml:space="preserve">) 13. Требования стандарта распространяются на раскрытие методов оценки и исходных данных для оценки, а также чувствительности оценки к изменению предпосылок. Необходимо учитывать, что в текущей ситуации количество инструментов, относимых в Уровню 3 в целях определения справедливой стоимости, может увеличиться, что приведет к увеличению объема раскрываемой информации. </w:t>
      </w:r>
    </w:p>
    <w:p w14:paraId="69F0EE04" w14:textId="77777777" w:rsidR="00AF5588" w:rsidRDefault="00AF5588" w:rsidP="00AF5588">
      <w:pPr>
        <w:autoSpaceDE w:val="0"/>
        <w:autoSpaceDN w:val="0"/>
        <w:ind w:firstLine="709"/>
        <w:jc w:val="both"/>
      </w:pPr>
      <w:r>
        <w:rPr>
          <w:rFonts w:ascii="Times New Roman" w:hAnsi="Times New Roman"/>
          <w:sz w:val="28"/>
          <w:szCs w:val="28"/>
        </w:rPr>
        <w:t>Необходимо также обратить внимание, что требования МСФО (</w:t>
      </w:r>
      <w:r>
        <w:rPr>
          <w:rFonts w:ascii="Times New Roman" w:hAnsi="Times New Roman"/>
          <w:sz w:val="28"/>
          <w:szCs w:val="28"/>
          <w:lang w:val="en-US"/>
        </w:rPr>
        <w:t>IFRS</w:t>
      </w:r>
      <w:r>
        <w:rPr>
          <w:rFonts w:ascii="Times New Roman" w:hAnsi="Times New Roman"/>
          <w:sz w:val="28"/>
          <w:szCs w:val="28"/>
        </w:rPr>
        <w:t xml:space="preserve">) 13 в отношении определения справедливой стоимости применяются не только к финансовым активам и обязательствам, которые отражаются по справедливой стоимости на регулярной основе, но и к финансовым активам и обязательствам, учитываемым по амортизированной стоимости, но </w:t>
      </w:r>
      <w:r>
        <w:rPr>
          <w:rFonts w:ascii="Times New Roman" w:hAnsi="Times New Roman"/>
          <w:sz w:val="28"/>
          <w:szCs w:val="28"/>
        </w:rPr>
        <w:lastRenderedPageBreak/>
        <w:t xml:space="preserve">информация </w:t>
      </w:r>
      <w:r w:rsidRPr="0065001A">
        <w:rPr>
          <w:rFonts w:ascii="Times New Roman" w:hAnsi="Times New Roman"/>
          <w:sz w:val="28"/>
          <w:szCs w:val="28"/>
        </w:rPr>
        <w:t>о справедливой стоимости которых подлежит раскрытию в соответствии с МСФО (</w:t>
      </w:r>
      <w:r w:rsidRPr="0065001A">
        <w:rPr>
          <w:rFonts w:ascii="Times New Roman" w:hAnsi="Times New Roman"/>
          <w:sz w:val="28"/>
          <w:szCs w:val="28"/>
          <w:lang w:val="en-US"/>
        </w:rPr>
        <w:t>IFRS</w:t>
      </w:r>
      <w:r w:rsidRPr="0065001A">
        <w:rPr>
          <w:rFonts w:ascii="Times New Roman" w:hAnsi="Times New Roman"/>
          <w:sz w:val="28"/>
          <w:szCs w:val="28"/>
        </w:rPr>
        <w:t xml:space="preserve">) 7 «Финансовые инструменты: раскрытие информации». При этом по финансовым инструментам, учитываемым по амортизированной стоимости, требование по раскрытию их справедливой стоимости применимо </w:t>
      </w:r>
      <w:r>
        <w:rPr>
          <w:rFonts w:ascii="Times New Roman" w:hAnsi="Times New Roman"/>
          <w:sz w:val="28"/>
          <w:szCs w:val="28"/>
        </w:rPr>
        <w:t>и для промежуточной отчетности (в соответствии с МСФО (</w:t>
      </w:r>
      <w:r>
        <w:rPr>
          <w:rFonts w:ascii="Times New Roman" w:hAnsi="Times New Roman"/>
          <w:sz w:val="28"/>
          <w:szCs w:val="28"/>
          <w:lang w:val="en-US"/>
        </w:rPr>
        <w:t>IAS</w:t>
      </w:r>
      <w:r>
        <w:rPr>
          <w:rFonts w:ascii="Times New Roman" w:hAnsi="Times New Roman"/>
          <w:sz w:val="28"/>
          <w:szCs w:val="28"/>
        </w:rPr>
        <w:t>) 34 «Промежуточная финансовая отчетность»).</w:t>
      </w:r>
    </w:p>
    <w:p w14:paraId="5AE7F056" w14:textId="77777777" w:rsidR="00AF5588" w:rsidRDefault="00AF5588" w:rsidP="00AF5588">
      <w:pPr>
        <w:autoSpaceDE w:val="0"/>
        <w:autoSpaceDN w:val="0"/>
        <w:jc w:val="both"/>
      </w:pPr>
      <w:r>
        <w:rPr>
          <w:rFonts w:ascii="Times New Roman" w:hAnsi="Times New Roman"/>
          <w:sz w:val="28"/>
          <w:szCs w:val="28"/>
        </w:rPr>
        <w:t> </w:t>
      </w:r>
    </w:p>
    <w:p w14:paraId="0EFBE7C4" w14:textId="77777777" w:rsidR="00AF5588" w:rsidRDefault="00AF5588" w:rsidP="00AF5588">
      <w:pPr>
        <w:jc w:val="center"/>
      </w:pPr>
      <w:r>
        <w:rPr>
          <w:rFonts w:ascii="Times New Roman" w:hAnsi="Times New Roman"/>
          <w:b/>
          <w:bCs/>
          <w:sz w:val="28"/>
          <w:szCs w:val="28"/>
        </w:rPr>
        <w:t>Изменение классификации финансовых активов</w:t>
      </w:r>
    </w:p>
    <w:p w14:paraId="70F6F97B" w14:textId="77777777" w:rsidR="00AF5588" w:rsidRDefault="00AF5588" w:rsidP="00AF5588">
      <w:pPr>
        <w:autoSpaceDE w:val="0"/>
        <w:autoSpaceDN w:val="0"/>
        <w:jc w:val="both"/>
      </w:pPr>
      <w:r>
        <w:rPr>
          <w:rFonts w:ascii="Times New Roman" w:hAnsi="Times New Roman"/>
          <w:sz w:val="28"/>
          <w:szCs w:val="28"/>
        </w:rPr>
        <w:t> </w:t>
      </w:r>
    </w:p>
    <w:p w14:paraId="4DCDD520" w14:textId="77777777" w:rsidR="00AF5588" w:rsidRDefault="00AF5588" w:rsidP="00AF5588">
      <w:pPr>
        <w:autoSpaceDE w:val="0"/>
        <w:autoSpaceDN w:val="0"/>
        <w:ind w:firstLine="709"/>
        <w:jc w:val="both"/>
      </w:pPr>
      <w:r>
        <w:rPr>
          <w:rFonts w:ascii="Times New Roman" w:hAnsi="Times New Roman"/>
          <w:sz w:val="28"/>
          <w:szCs w:val="28"/>
        </w:rPr>
        <w:t>МСФО (</w:t>
      </w:r>
      <w:r>
        <w:rPr>
          <w:rFonts w:ascii="Times New Roman" w:hAnsi="Times New Roman"/>
          <w:sz w:val="28"/>
          <w:szCs w:val="28"/>
          <w:lang w:val="en-US"/>
        </w:rPr>
        <w:t>IFRS</w:t>
      </w:r>
      <w:r>
        <w:rPr>
          <w:rFonts w:ascii="Times New Roman" w:hAnsi="Times New Roman"/>
          <w:sz w:val="28"/>
          <w:szCs w:val="28"/>
        </w:rPr>
        <w:t>) 9 «Финансовые инструменты» позволяет менять классификацию финансовых активов тогда и только тогда, когда меняется бизнес-модель управления данными активами. Предполагается, что изменения бизнес-модели происходят крайне редко. Такие изменения должны определяться высшим руководством организации в результате внешних или внутренних изменений и должны быть значительными для деятельности организации и очевидными для внешних сторон.</w:t>
      </w:r>
    </w:p>
    <w:p w14:paraId="6C76069D" w14:textId="77777777" w:rsidR="00AF5588" w:rsidRDefault="00AF5588" w:rsidP="00AF5588">
      <w:pPr>
        <w:autoSpaceDE w:val="0"/>
        <w:autoSpaceDN w:val="0"/>
        <w:ind w:firstLine="709"/>
        <w:jc w:val="both"/>
      </w:pPr>
      <w:r>
        <w:rPr>
          <w:rFonts w:ascii="Times New Roman" w:hAnsi="Times New Roman"/>
          <w:sz w:val="28"/>
          <w:szCs w:val="28"/>
        </w:rPr>
        <w:t xml:space="preserve">Изменение бизнес-модели происходит только тогда, когда организация начинает или прекращает вести деятельность, существенную для ее операций. При этом изменение намерений в отношении отдельных активов, даже в условиях существенного изменения рыночных условий, или временное исчезновение активного рынка, не является изменением бизнес-модели. </w:t>
      </w:r>
    </w:p>
    <w:p w14:paraId="06E894A6" w14:textId="77777777" w:rsidR="00AF5588" w:rsidRDefault="00AF5588" w:rsidP="00AF5588">
      <w:pPr>
        <w:autoSpaceDE w:val="0"/>
        <w:autoSpaceDN w:val="0"/>
        <w:ind w:firstLine="709"/>
        <w:jc w:val="both"/>
      </w:pPr>
      <w:r>
        <w:rPr>
          <w:rFonts w:ascii="Times New Roman" w:hAnsi="Times New Roman"/>
          <w:sz w:val="28"/>
          <w:szCs w:val="28"/>
        </w:rPr>
        <w:t xml:space="preserve">При изменении бизнес-модели изменение классификации финансовых активов производится перспективно в первый день отчетного периода, следующего за датой изменения бизнес-модели и определением «даты </w:t>
      </w:r>
      <w:proofErr w:type="spellStart"/>
      <w:r>
        <w:rPr>
          <w:rFonts w:ascii="Times New Roman" w:hAnsi="Times New Roman"/>
          <w:sz w:val="28"/>
          <w:szCs w:val="28"/>
        </w:rPr>
        <w:t>реклассификации</w:t>
      </w:r>
      <w:proofErr w:type="spellEnd"/>
      <w:r>
        <w:rPr>
          <w:rFonts w:ascii="Times New Roman" w:hAnsi="Times New Roman"/>
          <w:sz w:val="28"/>
          <w:szCs w:val="28"/>
        </w:rPr>
        <w:t>». Исходя из этого, для организации, которая составляет промежуточную финансовую отчетность ежеквартально, изменение бизнес-модели, произошедшее в первом квартале 2022 г., подлежит отражению в отчетности перспективно начиная с 1 апреля 2022 г.</w:t>
      </w:r>
    </w:p>
    <w:p w14:paraId="2687F991" w14:textId="77777777" w:rsidR="00B120DD" w:rsidRPr="00B120DD" w:rsidRDefault="00B120DD" w:rsidP="00B120DD">
      <w:pPr>
        <w:jc w:val="center"/>
        <w:rPr>
          <w:rFonts w:ascii="Times New Roman" w:eastAsia="Calibri" w:hAnsi="Times New Roman"/>
          <w:b/>
          <w:bCs/>
          <w:sz w:val="28"/>
          <w:szCs w:val="28"/>
          <w:lang w:eastAsia="en-US"/>
        </w:rPr>
      </w:pPr>
    </w:p>
    <w:sectPr w:rsidR="00B120DD" w:rsidRPr="00B120DD" w:rsidSect="00B3407F">
      <w:headerReference w:type="default" r:id="rId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5F10D8" w15:done="0"/>
  <w15:commentEx w15:paraId="17630ADA" w15:done="0"/>
  <w15:commentEx w15:paraId="4A0EFB4F" w15:done="0"/>
  <w15:commentEx w15:paraId="7FBA2CDE" w15:done="0"/>
  <w15:commentEx w15:paraId="4E1B21C7" w15:done="0"/>
  <w15:commentEx w15:paraId="20668ADC" w15:paraIdParent="4E1B21C7" w15:done="0"/>
  <w15:commentEx w15:paraId="6BBD1A1B" w15:done="0"/>
  <w15:commentEx w15:paraId="753ECB3B" w15:paraIdParent="6BBD1A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051FC" w16cex:dateUtc="2022-04-12T16:31:00Z"/>
  <w16cex:commentExtensible w16cex:durableId="25FE7B5F" w16cex:dateUtc="2022-04-11T07:03:00Z"/>
  <w16cex:commentExtensible w16cex:durableId="260052A6" w16cex:dateUtc="2022-04-12T16:33:00Z"/>
  <w16cex:commentExtensible w16cex:durableId="25FE7BBB" w16cex:dateUtc="2022-04-11T07:04:00Z"/>
  <w16cex:commentExtensible w16cex:durableId="25FE7C69" w16cex:dateUtc="2022-04-11T07:07:00Z"/>
  <w16cex:commentExtensible w16cex:durableId="260052FA" w16cex:dateUtc="2022-04-12T16:35:00Z"/>
  <w16cex:commentExtensible w16cex:durableId="25FE7D23" w16cex:dateUtc="2022-04-11T07:10:00Z"/>
  <w16cex:commentExtensible w16cex:durableId="26005327" w16cex:dateUtc="2022-04-12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F10D8" w16cid:durableId="260051FC"/>
  <w16cid:commentId w16cid:paraId="17630ADA" w16cid:durableId="25FE7B5F"/>
  <w16cid:commentId w16cid:paraId="4A0EFB4F" w16cid:durableId="260052A6"/>
  <w16cid:commentId w16cid:paraId="7FBA2CDE" w16cid:durableId="25FE7BBB"/>
  <w16cid:commentId w16cid:paraId="4E1B21C7" w16cid:durableId="25FE7C69"/>
  <w16cid:commentId w16cid:paraId="20668ADC" w16cid:durableId="260052FA"/>
  <w16cid:commentId w16cid:paraId="6BBD1A1B" w16cid:durableId="25FE7D23"/>
  <w16cid:commentId w16cid:paraId="753ECB3B" w16cid:durableId="260053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583B5" w14:textId="77777777" w:rsidR="004D7493" w:rsidRDefault="004D7493" w:rsidP="00B3407F">
      <w:r>
        <w:separator/>
      </w:r>
    </w:p>
  </w:endnote>
  <w:endnote w:type="continuationSeparator" w:id="0">
    <w:p w14:paraId="26E24E58" w14:textId="77777777" w:rsidR="004D7493" w:rsidRDefault="004D7493" w:rsidP="00B3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A8EA0" w14:textId="77777777" w:rsidR="004D7493" w:rsidRDefault="004D7493" w:rsidP="00B3407F">
      <w:r>
        <w:separator/>
      </w:r>
    </w:p>
  </w:footnote>
  <w:footnote w:type="continuationSeparator" w:id="0">
    <w:p w14:paraId="7305F03E" w14:textId="77777777" w:rsidR="004D7493" w:rsidRDefault="004D7493" w:rsidP="00B3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2302"/>
      <w:docPartObj>
        <w:docPartGallery w:val="Page Numbers (Top of Page)"/>
        <w:docPartUnique/>
      </w:docPartObj>
    </w:sdtPr>
    <w:sdtEndPr/>
    <w:sdtContent>
      <w:p w14:paraId="1EA0977A" w14:textId="77777777" w:rsidR="00B3407F" w:rsidRDefault="00B3407F">
        <w:pPr>
          <w:pStyle w:val="a4"/>
          <w:jc w:val="center"/>
        </w:pPr>
        <w:r>
          <w:fldChar w:fldCharType="begin"/>
        </w:r>
        <w:r>
          <w:instrText>PAGE   \* MERGEFORMAT</w:instrText>
        </w:r>
        <w:r>
          <w:fldChar w:fldCharType="separate"/>
        </w:r>
        <w:r w:rsidR="00620CB1">
          <w:rPr>
            <w:noProof/>
          </w:rPr>
          <w:t>4</w:t>
        </w:r>
        <w:r>
          <w:fldChar w:fldCharType="end"/>
        </w:r>
      </w:p>
    </w:sdtContent>
  </w:sdt>
  <w:p w14:paraId="11DFF79E" w14:textId="77777777" w:rsidR="00B3407F" w:rsidRDefault="00B3407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Uzornikova (RU)">
    <w15:presenceInfo w15:providerId="AD" w15:userId="S::anna.uzornikova@PwC.onmicrosoft.com::c5a2e5d9-cf6e-4e2f-9b9d-18ac3a5d30bd"/>
  </w15:person>
  <w15:person w15:author="Dmitry Weinstein">
    <w15:presenceInfo w15:providerId="AD" w15:userId="S::Dmitry.Weinstein@ru.ey.com::80c2d770-b893-4b03-960e-af73b44fc487"/>
  </w15:person>
  <w15:person w15:author="Anna Uzornikova (RU) [2]">
    <w15:presenceInfo w15:providerId="AD" w15:userId="S::anna.uzornikova@pwc.ru::c5a2e5d9-cf6e-4e2f-9b9d-18ac3a5d30bd"/>
  </w15:person>
  <w15:person w15:author="Viktor Trubnikov (RU)">
    <w15:presenceInfo w15:providerId="AD" w15:userId="S::viktor.trubnikov@pwc.ru::fd0056a7-92b3-4b16-b2ff-d944cdf3ea07"/>
  </w15:person>
  <w15:person w15:author="Dmitry E Weinstein">
    <w15:presenceInfo w15:providerId="AD" w15:userId="S::Dmitry.Weinstein@ru.ey.com::80c2d770-b893-4b03-960e-af73b44fc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D"/>
    <w:rsid w:val="0005331E"/>
    <w:rsid w:val="000805AD"/>
    <w:rsid w:val="000A60E3"/>
    <w:rsid w:val="000F6FA0"/>
    <w:rsid w:val="00194C00"/>
    <w:rsid w:val="002113D4"/>
    <w:rsid w:val="00220631"/>
    <w:rsid w:val="00240FE7"/>
    <w:rsid w:val="00245030"/>
    <w:rsid w:val="00264B05"/>
    <w:rsid w:val="00291FD5"/>
    <w:rsid w:val="002D52C9"/>
    <w:rsid w:val="00306323"/>
    <w:rsid w:val="00335D63"/>
    <w:rsid w:val="00355317"/>
    <w:rsid w:val="00370EC0"/>
    <w:rsid w:val="00420D1F"/>
    <w:rsid w:val="00463F88"/>
    <w:rsid w:val="00466239"/>
    <w:rsid w:val="004950F4"/>
    <w:rsid w:val="004B5E72"/>
    <w:rsid w:val="004C2CAE"/>
    <w:rsid w:val="004D7493"/>
    <w:rsid w:val="004F76F0"/>
    <w:rsid w:val="005143D5"/>
    <w:rsid w:val="00534022"/>
    <w:rsid w:val="005500EE"/>
    <w:rsid w:val="005532C6"/>
    <w:rsid w:val="00571CE1"/>
    <w:rsid w:val="005E60FC"/>
    <w:rsid w:val="00620CB1"/>
    <w:rsid w:val="0065001A"/>
    <w:rsid w:val="0065782C"/>
    <w:rsid w:val="006607BB"/>
    <w:rsid w:val="006936BA"/>
    <w:rsid w:val="006A3AD2"/>
    <w:rsid w:val="007035E1"/>
    <w:rsid w:val="00705B5E"/>
    <w:rsid w:val="00714CAB"/>
    <w:rsid w:val="00742F51"/>
    <w:rsid w:val="007A7E98"/>
    <w:rsid w:val="007F1E9D"/>
    <w:rsid w:val="00811532"/>
    <w:rsid w:val="00822D2B"/>
    <w:rsid w:val="00883747"/>
    <w:rsid w:val="00890312"/>
    <w:rsid w:val="008B0FDF"/>
    <w:rsid w:val="009333A8"/>
    <w:rsid w:val="009600C5"/>
    <w:rsid w:val="00987CE5"/>
    <w:rsid w:val="009B2FEB"/>
    <w:rsid w:val="009B7747"/>
    <w:rsid w:val="00A62370"/>
    <w:rsid w:val="00A87F63"/>
    <w:rsid w:val="00AB2743"/>
    <w:rsid w:val="00AF5588"/>
    <w:rsid w:val="00B07580"/>
    <w:rsid w:val="00B0762A"/>
    <w:rsid w:val="00B120DD"/>
    <w:rsid w:val="00B20F6D"/>
    <w:rsid w:val="00B3407F"/>
    <w:rsid w:val="00B84D21"/>
    <w:rsid w:val="00BC5CBD"/>
    <w:rsid w:val="00C1400A"/>
    <w:rsid w:val="00C23F92"/>
    <w:rsid w:val="00CB34EB"/>
    <w:rsid w:val="00D11EAA"/>
    <w:rsid w:val="00D8230E"/>
    <w:rsid w:val="00D9620C"/>
    <w:rsid w:val="00DA46E5"/>
    <w:rsid w:val="00E74B34"/>
    <w:rsid w:val="00ED6CE7"/>
    <w:rsid w:val="00F0420A"/>
    <w:rsid w:val="00F446C6"/>
    <w:rsid w:val="00F55253"/>
    <w:rsid w:val="00FC1CDD"/>
    <w:rsid w:val="00FF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DD"/>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0D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07F"/>
    <w:pPr>
      <w:tabs>
        <w:tab w:val="center" w:pos="4677"/>
        <w:tab w:val="right" w:pos="9355"/>
      </w:tabs>
    </w:pPr>
  </w:style>
  <w:style w:type="character" w:customStyle="1" w:styleId="a5">
    <w:name w:val="Верхний колонтитул Знак"/>
    <w:basedOn w:val="a0"/>
    <w:link w:val="a4"/>
    <w:uiPriority w:val="99"/>
    <w:rsid w:val="00B3407F"/>
    <w:rPr>
      <w:rFonts w:ascii="Calibri" w:hAnsi="Calibri" w:cs="Times New Roman"/>
      <w:lang w:eastAsia="ru-RU"/>
    </w:rPr>
  </w:style>
  <w:style w:type="paragraph" w:styleId="a6">
    <w:name w:val="footer"/>
    <w:basedOn w:val="a"/>
    <w:link w:val="a7"/>
    <w:uiPriority w:val="99"/>
    <w:unhideWhenUsed/>
    <w:rsid w:val="00B3407F"/>
    <w:pPr>
      <w:tabs>
        <w:tab w:val="center" w:pos="4677"/>
        <w:tab w:val="right" w:pos="9355"/>
      </w:tabs>
    </w:pPr>
  </w:style>
  <w:style w:type="character" w:customStyle="1" w:styleId="a7">
    <w:name w:val="Нижний колонтитул Знак"/>
    <w:basedOn w:val="a0"/>
    <w:link w:val="a6"/>
    <w:uiPriority w:val="99"/>
    <w:rsid w:val="00B3407F"/>
    <w:rPr>
      <w:rFonts w:ascii="Calibri" w:hAnsi="Calibri" w:cs="Times New Roman"/>
      <w:lang w:eastAsia="ru-RU"/>
    </w:rPr>
  </w:style>
  <w:style w:type="paragraph" w:styleId="a8">
    <w:name w:val="Balloon Text"/>
    <w:basedOn w:val="a"/>
    <w:link w:val="a9"/>
    <w:uiPriority w:val="99"/>
    <w:semiHidden/>
    <w:unhideWhenUsed/>
    <w:rsid w:val="005532C6"/>
    <w:rPr>
      <w:rFonts w:ascii="Tahoma" w:hAnsi="Tahoma" w:cs="Tahoma"/>
      <w:sz w:val="16"/>
      <w:szCs w:val="16"/>
    </w:rPr>
  </w:style>
  <w:style w:type="character" w:customStyle="1" w:styleId="a9">
    <w:name w:val="Текст выноски Знак"/>
    <w:basedOn w:val="a0"/>
    <w:link w:val="a8"/>
    <w:uiPriority w:val="99"/>
    <w:semiHidden/>
    <w:rsid w:val="005532C6"/>
    <w:rPr>
      <w:rFonts w:ascii="Tahoma" w:hAnsi="Tahoma" w:cs="Tahoma"/>
      <w:sz w:val="16"/>
      <w:szCs w:val="16"/>
      <w:lang w:eastAsia="ru-RU"/>
    </w:rPr>
  </w:style>
  <w:style w:type="paragraph" w:styleId="aa">
    <w:name w:val="Normal (Web)"/>
    <w:basedOn w:val="a"/>
    <w:uiPriority w:val="99"/>
    <w:semiHidden/>
    <w:unhideWhenUsed/>
    <w:rsid w:val="00B0762A"/>
    <w:pPr>
      <w:spacing w:before="100" w:beforeAutospacing="1" w:after="100" w:afterAutospacing="1"/>
    </w:pPr>
    <w:rPr>
      <w:rFonts w:ascii="Times New Roman" w:eastAsia="Times New Roman" w:hAnsi="Times New Roman"/>
      <w:sz w:val="24"/>
      <w:szCs w:val="24"/>
    </w:rPr>
  </w:style>
  <w:style w:type="character" w:styleId="ab">
    <w:name w:val="annotation reference"/>
    <w:basedOn w:val="a0"/>
    <w:uiPriority w:val="99"/>
    <w:semiHidden/>
    <w:unhideWhenUsed/>
    <w:rsid w:val="004B5E72"/>
    <w:rPr>
      <w:sz w:val="16"/>
      <w:szCs w:val="16"/>
    </w:rPr>
  </w:style>
  <w:style w:type="paragraph" w:styleId="ac">
    <w:name w:val="annotation text"/>
    <w:basedOn w:val="a"/>
    <w:link w:val="ad"/>
    <w:uiPriority w:val="99"/>
    <w:semiHidden/>
    <w:unhideWhenUsed/>
    <w:rsid w:val="004B5E72"/>
    <w:rPr>
      <w:sz w:val="20"/>
      <w:szCs w:val="20"/>
    </w:rPr>
  </w:style>
  <w:style w:type="character" w:customStyle="1" w:styleId="ad">
    <w:name w:val="Текст примечания Знак"/>
    <w:basedOn w:val="a0"/>
    <w:link w:val="ac"/>
    <w:uiPriority w:val="99"/>
    <w:semiHidden/>
    <w:rsid w:val="004B5E72"/>
    <w:rPr>
      <w:rFonts w:ascii="Calibri" w:hAnsi="Calibri" w:cs="Times New Roman"/>
      <w:sz w:val="20"/>
      <w:szCs w:val="20"/>
      <w:lang w:eastAsia="ru-RU"/>
    </w:rPr>
  </w:style>
  <w:style w:type="paragraph" w:styleId="ae">
    <w:name w:val="annotation subject"/>
    <w:basedOn w:val="ac"/>
    <w:next w:val="ac"/>
    <w:link w:val="af"/>
    <w:uiPriority w:val="99"/>
    <w:semiHidden/>
    <w:unhideWhenUsed/>
    <w:rsid w:val="004B5E72"/>
    <w:rPr>
      <w:b/>
      <w:bCs/>
    </w:rPr>
  </w:style>
  <w:style w:type="character" w:customStyle="1" w:styleId="af">
    <w:name w:val="Тема примечания Знак"/>
    <w:basedOn w:val="ad"/>
    <w:link w:val="ae"/>
    <w:uiPriority w:val="99"/>
    <w:semiHidden/>
    <w:rsid w:val="004B5E72"/>
    <w:rPr>
      <w:rFonts w:ascii="Calibri" w:hAnsi="Calibri" w:cs="Times New Roman"/>
      <w:b/>
      <w:bCs/>
      <w:sz w:val="20"/>
      <w:szCs w:val="20"/>
      <w:lang w:eastAsia="ru-RU"/>
    </w:rPr>
  </w:style>
  <w:style w:type="paragraph" w:styleId="af0">
    <w:name w:val="Revision"/>
    <w:hidden/>
    <w:uiPriority w:val="99"/>
    <w:semiHidden/>
    <w:rsid w:val="007F1E9D"/>
    <w:pPr>
      <w:spacing w:after="0" w:line="240" w:lineRule="auto"/>
    </w:pPr>
    <w:rPr>
      <w:rFonts w:ascii="Calibri" w:hAnsi="Calibri" w:cs="Times New Roman"/>
      <w:lang w:eastAsia="ru-RU"/>
    </w:rPr>
  </w:style>
  <w:style w:type="table" w:customStyle="1" w:styleId="1">
    <w:name w:val="Сетка таблицы1"/>
    <w:basedOn w:val="a1"/>
    <w:next w:val="a3"/>
    <w:uiPriority w:val="59"/>
    <w:rsid w:val="00650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DD"/>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0D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07F"/>
    <w:pPr>
      <w:tabs>
        <w:tab w:val="center" w:pos="4677"/>
        <w:tab w:val="right" w:pos="9355"/>
      </w:tabs>
    </w:pPr>
  </w:style>
  <w:style w:type="character" w:customStyle="1" w:styleId="a5">
    <w:name w:val="Верхний колонтитул Знак"/>
    <w:basedOn w:val="a0"/>
    <w:link w:val="a4"/>
    <w:uiPriority w:val="99"/>
    <w:rsid w:val="00B3407F"/>
    <w:rPr>
      <w:rFonts w:ascii="Calibri" w:hAnsi="Calibri" w:cs="Times New Roman"/>
      <w:lang w:eastAsia="ru-RU"/>
    </w:rPr>
  </w:style>
  <w:style w:type="paragraph" w:styleId="a6">
    <w:name w:val="footer"/>
    <w:basedOn w:val="a"/>
    <w:link w:val="a7"/>
    <w:uiPriority w:val="99"/>
    <w:unhideWhenUsed/>
    <w:rsid w:val="00B3407F"/>
    <w:pPr>
      <w:tabs>
        <w:tab w:val="center" w:pos="4677"/>
        <w:tab w:val="right" w:pos="9355"/>
      </w:tabs>
    </w:pPr>
  </w:style>
  <w:style w:type="character" w:customStyle="1" w:styleId="a7">
    <w:name w:val="Нижний колонтитул Знак"/>
    <w:basedOn w:val="a0"/>
    <w:link w:val="a6"/>
    <w:uiPriority w:val="99"/>
    <w:rsid w:val="00B3407F"/>
    <w:rPr>
      <w:rFonts w:ascii="Calibri" w:hAnsi="Calibri" w:cs="Times New Roman"/>
      <w:lang w:eastAsia="ru-RU"/>
    </w:rPr>
  </w:style>
  <w:style w:type="paragraph" w:styleId="a8">
    <w:name w:val="Balloon Text"/>
    <w:basedOn w:val="a"/>
    <w:link w:val="a9"/>
    <w:uiPriority w:val="99"/>
    <w:semiHidden/>
    <w:unhideWhenUsed/>
    <w:rsid w:val="005532C6"/>
    <w:rPr>
      <w:rFonts w:ascii="Tahoma" w:hAnsi="Tahoma" w:cs="Tahoma"/>
      <w:sz w:val="16"/>
      <w:szCs w:val="16"/>
    </w:rPr>
  </w:style>
  <w:style w:type="character" w:customStyle="1" w:styleId="a9">
    <w:name w:val="Текст выноски Знак"/>
    <w:basedOn w:val="a0"/>
    <w:link w:val="a8"/>
    <w:uiPriority w:val="99"/>
    <w:semiHidden/>
    <w:rsid w:val="005532C6"/>
    <w:rPr>
      <w:rFonts w:ascii="Tahoma" w:hAnsi="Tahoma" w:cs="Tahoma"/>
      <w:sz w:val="16"/>
      <w:szCs w:val="16"/>
      <w:lang w:eastAsia="ru-RU"/>
    </w:rPr>
  </w:style>
  <w:style w:type="paragraph" w:styleId="aa">
    <w:name w:val="Normal (Web)"/>
    <w:basedOn w:val="a"/>
    <w:uiPriority w:val="99"/>
    <w:semiHidden/>
    <w:unhideWhenUsed/>
    <w:rsid w:val="00B0762A"/>
    <w:pPr>
      <w:spacing w:before="100" w:beforeAutospacing="1" w:after="100" w:afterAutospacing="1"/>
    </w:pPr>
    <w:rPr>
      <w:rFonts w:ascii="Times New Roman" w:eastAsia="Times New Roman" w:hAnsi="Times New Roman"/>
      <w:sz w:val="24"/>
      <w:szCs w:val="24"/>
    </w:rPr>
  </w:style>
  <w:style w:type="character" w:styleId="ab">
    <w:name w:val="annotation reference"/>
    <w:basedOn w:val="a0"/>
    <w:uiPriority w:val="99"/>
    <w:semiHidden/>
    <w:unhideWhenUsed/>
    <w:rsid w:val="004B5E72"/>
    <w:rPr>
      <w:sz w:val="16"/>
      <w:szCs w:val="16"/>
    </w:rPr>
  </w:style>
  <w:style w:type="paragraph" w:styleId="ac">
    <w:name w:val="annotation text"/>
    <w:basedOn w:val="a"/>
    <w:link w:val="ad"/>
    <w:uiPriority w:val="99"/>
    <w:semiHidden/>
    <w:unhideWhenUsed/>
    <w:rsid w:val="004B5E72"/>
    <w:rPr>
      <w:sz w:val="20"/>
      <w:szCs w:val="20"/>
    </w:rPr>
  </w:style>
  <w:style w:type="character" w:customStyle="1" w:styleId="ad">
    <w:name w:val="Текст примечания Знак"/>
    <w:basedOn w:val="a0"/>
    <w:link w:val="ac"/>
    <w:uiPriority w:val="99"/>
    <w:semiHidden/>
    <w:rsid w:val="004B5E72"/>
    <w:rPr>
      <w:rFonts w:ascii="Calibri" w:hAnsi="Calibri" w:cs="Times New Roman"/>
      <w:sz w:val="20"/>
      <w:szCs w:val="20"/>
      <w:lang w:eastAsia="ru-RU"/>
    </w:rPr>
  </w:style>
  <w:style w:type="paragraph" w:styleId="ae">
    <w:name w:val="annotation subject"/>
    <w:basedOn w:val="ac"/>
    <w:next w:val="ac"/>
    <w:link w:val="af"/>
    <w:uiPriority w:val="99"/>
    <w:semiHidden/>
    <w:unhideWhenUsed/>
    <w:rsid w:val="004B5E72"/>
    <w:rPr>
      <w:b/>
      <w:bCs/>
    </w:rPr>
  </w:style>
  <w:style w:type="character" w:customStyle="1" w:styleId="af">
    <w:name w:val="Тема примечания Знак"/>
    <w:basedOn w:val="ad"/>
    <w:link w:val="ae"/>
    <w:uiPriority w:val="99"/>
    <w:semiHidden/>
    <w:rsid w:val="004B5E72"/>
    <w:rPr>
      <w:rFonts w:ascii="Calibri" w:hAnsi="Calibri" w:cs="Times New Roman"/>
      <w:b/>
      <w:bCs/>
      <w:sz w:val="20"/>
      <w:szCs w:val="20"/>
      <w:lang w:eastAsia="ru-RU"/>
    </w:rPr>
  </w:style>
  <w:style w:type="paragraph" w:styleId="af0">
    <w:name w:val="Revision"/>
    <w:hidden/>
    <w:uiPriority w:val="99"/>
    <w:semiHidden/>
    <w:rsid w:val="007F1E9D"/>
    <w:pPr>
      <w:spacing w:after="0" w:line="240" w:lineRule="auto"/>
    </w:pPr>
    <w:rPr>
      <w:rFonts w:ascii="Calibri" w:hAnsi="Calibri" w:cs="Times New Roman"/>
      <w:lang w:eastAsia="ru-RU"/>
    </w:rPr>
  </w:style>
  <w:style w:type="table" w:customStyle="1" w:styleId="1">
    <w:name w:val="Сетка таблицы1"/>
    <w:basedOn w:val="a1"/>
    <w:next w:val="a3"/>
    <w:uiPriority w:val="59"/>
    <w:rsid w:val="00650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330">
      <w:bodyDiv w:val="1"/>
      <w:marLeft w:val="0"/>
      <w:marRight w:val="0"/>
      <w:marTop w:val="0"/>
      <w:marBottom w:val="0"/>
      <w:divBdr>
        <w:top w:val="none" w:sz="0" w:space="0" w:color="auto"/>
        <w:left w:val="none" w:sz="0" w:space="0" w:color="auto"/>
        <w:bottom w:val="none" w:sz="0" w:space="0" w:color="auto"/>
        <w:right w:val="none" w:sz="0" w:space="0" w:color="auto"/>
      </w:divBdr>
    </w:div>
    <w:div w:id="1316488319">
      <w:bodyDiv w:val="1"/>
      <w:marLeft w:val="0"/>
      <w:marRight w:val="0"/>
      <w:marTop w:val="0"/>
      <w:marBottom w:val="0"/>
      <w:divBdr>
        <w:top w:val="none" w:sz="0" w:space="0" w:color="auto"/>
        <w:left w:val="none" w:sz="0" w:space="0" w:color="auto"/>
        <w:bottom w:val="none" w:sz="0" w:space="0" w:color="auto"/>
        <w:right w:val="none" w:sz="0" w:space="0" w:color="auto"/>
      </w:divBdr>
    </w:div>
    <w:div w:id="1888028914">
      <w:bodyDiv w:val="1"/>
      <w:marLeft w:val="0"/>
      <w:marRight w:val="0"/>
      <w:marTop w:val="0"/>
      <w:marBottom w:val="0"/>
      <w:divBdr>
        <w:top w:val="none" w:sz="0" w:space="0" w:color="auto"/>
        <w:left w:val="none" w:sz="0" w:space="0" w:color="auto"/>
        <w:bottom w:val="none" w:sz="0" w:space="0" w:color="auto"/>
        <w:right w:val="none" w:sz="0" w:space="0" w:color="auto"/>
      </w:divBdr>
    </w:div>
    <w:div w:id="1947157329">
      <w:bodyDiv w:val="1"/>
      <w:marLeft w:val="0"/>
      <w:marRight w:val="0"/>
      <w:marTop w:val="0"/>
      <w:marBottom w:val="0"/>
      <w:divBdr>
        <w:top w:val="none" w:sz="0" w:space="0" w:color="auto"/>
        <w:left w:val="none" w:sz="0" w:space="0" w:color="auto"/>
        <w:bottom w:val="none" w:sz="0" w:space="0" w:color="auto"/>
        <w:right w:val="none" w:sz="0" w:space="0" w:color="auto"/>
      </w:divBdr>
    </w:div>
    <w:div w:id="2036954018">
      <w:bodyDiv w:val="1"/>
      <w:marLeft w:val="0"/>
      <w:marRight w:val="0"/>
      <w:marTop w:val="0"/>
      <w:marBottom w:val="0"/>
      <w:divBdr>
        <w:top w:val="none" w:sz="0" w:space="0" w:color="auto"/>
        <w:left w:val="none" w:sz="0" w:space="0" w:color="auto"/>
        <w:bottom w:val="none" w:sz="0" w:space="0" w:color="auto"/>
        <w:right w:val="none" w:sz="0" w:space="0" w:color="auto"/>
      </w:divBdr>
    </w:div>
    <w:div w:id="21286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B4E9-F9C6-4414-B625-CE1B02D8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1438</Words>
  <Characters>8203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 ТАТЬЯНА СЕРГЕЕВНА</dc:creator>
  <cp:lastModifiedBy>ГУБИНА ТАТЬЯНА СЕРГЕЕВНА</cp:lastModifiedBy>
  <cp:revision>11</cp:revision>
  <cp:lastPrinted>2022-04-08T09:58:00Z</cp:lastPrinted>
  <dcterms:created xsi:type="dcterms:W3CDTF">2022-04-13T06:27:00Z</dcterms:created>
  <dcterms:modified xsi:type="dcterms:W3CDTF">2022-04-21T08:24:00Z</dcterms:modified>
</cp:coreProperties>
</file>