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F" w:rsidRDefault="003E67CF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0" w:name="_GoBack"/>
      <w:bookmarkEnd w:id="0"/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ЗАКЛЮЧЕНИЕ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 xml:space="preserve">по результатам экспертизы </w:t>
      </w:r>
      <w:r>
        <w:rPr>
          <w:b/>
          <w:bCs/>
          <w:sz w:val="28"/>
          <w:szCs w:val="28"/>
        </w:rPr>
        <w:t xml:space="preserve">проекта федерального стандарта бухгалтерского учета «Нематериальные активы» в редакции, учитывающей предложения </w:t>
      </w:r>
      <w:r w:rsidR="0050648D" w:rsidRPr="0050648D">
        <w:rPr>
          <w:rFonts w:cs="Times New Roman"/>
          <w:b/>
          <w:sz w:val="28"/>
          <w:szCs w:val="28"/>
        </w:rPr>
        <w:t>экспертной группы по сопровождению разработки и реализации плана мероприятий («дорожной карты»)</w:t>
      </w:r>
      <w:r w:rsidRPr="00506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«Интеллектуальная собственность»</w:t>
      </w:r>
    </w:p>
    <w:p w:rsidR="0004038A" w:rsidRDefault="0004038A" w:rsidP="0004038A">
      <w:pPr>
        <w:jc w:val="both"/>
        <w:rPr>
          <w:sz w:val="28"/>
          <w:szCs w:val="28"/>
          <w:bdr w:val="none" w:sz="0" w:space="0" w:color="auto" w:frame="1"/>
        </w:rPr>
      </w:pPr>
    </w:p>
    <w:p w:rsidR="0004038A" w:rsidRDefault="0004038A" w:rsidP="0004038A">
      <w:pPr>
        <w:ind w:firstLine="709"/>
        <w:jc w:val="both"/>
        <w:rPr>
          <w:sz w:val="22"/>
          <w:szCs w:val="22"/>
          <w:bdr w:val="none" w:sz="0" w:space="0" w:color="auto"/>
        </w:rPr>
      </w:pPr>
      <w:proofErr w:type="gramStart"/>
      <w:r>
        <w:rPr>
          <w:sz w:val="28"/>
          <w:szCs w:val="28"/>
          <w:bdr w:val="none" w:sz="0" w:space="0" w:color="auto" w:frame="1"/>
        </w:rPr>
        <w:t xml:space="preserve">Нами, Советом по стандартам бухгалтерского учета, созданным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учета, проведена экспертиза </w:t>
      </w:r>
      <w:r>
        <w:rPr>
          <w:sz w:val="28"/>
          <w:szCs w:val="28"/>
        </w:rPr>
        <w:t>проекта федерального стандарта бухгалтерского</w:t>
      </w:r>
      <w:proofErr w:type="gramEnd"/>
      <w:r>
        <w:rPr>
          <w:sz w:val="28"/>
          <w:szCs w:val="28"/>
        </w:rPr>
        <w:t xml:space="preserve"> учета «Нематериальные активы» в редакции, учитывающей предложения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0648D">
        <w:rPr>
          <w:rFonts w:cs="Times New Roman"/>
          <w:sz w:val="28"/>
          <w:szCs w:val="28"/>
        </w:rPr>
        <w:t>экспертной группы</w:t>
      </w:r>
      <w:r w:rsidR="0050648D" w:rsidRPr="00C175FA">
        <w:rPr>
          <w:rFonts w:cs="Times New Roman"/>
          <w:sz w:val="28"/>
          <w:szCs w:val="28"/>
        </w:rPr>
        <w:t xml:space="preserve"> по сопровождению разработки и реализации плана мероприятий («дорожной карты») </w:t>
      </w:r>
      <w:r>
        <w:rPr>
          <w:sz w:val="28"/>
          <w:szCs w:val="28"/>
        </w:rPr>
        <w:t>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«Интеллектуальная собственность»</w:t>
      </w:r>
      <w:r>
        <w:rPr>
          <w:sz w:val="28"/>
          <w:szCs w:val="28"/>
          <w:bdr w:val="none" w:sz="0" w:space="0" w:color="auto" w:frame="1"/>
        </w:rPr>
        <w:t xml:space="preserve"> (далее – Предложения). 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 xml:space="preserve">Основания для проведения экспертизы 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 xml:space="preserve">Совет по стандартам бухгалтерского учета поддержал проект федерального стандарта бухгалтерского учета «Нематериальные активы» и предложил </w:t>
      </w:r>
      <w:r>
        <w:rPr>
          <w:sz w:val="28"/>
          <w:szCs w:val="28"/>
          <w:bdr w:val="none" w:sz="0" w:space="0" w:color="auto" w:frame="1"/>
        </w:rPr>
        <w:t xml:space="preserve">Министерству финансов Российской Федерации </w:t>
      </w:r>
      <w:r>
        <w:rPr>
          <w:sz w:val="28"/>
          <w:szCs w:val="28"/>
        </w:rPr>
        <w:t xml:space="preserve">принять его (протокол заседания Совета от 14 декабря 2021 г. № 42). Руководствуясь </w:t>
      </w:r>
      <w:r>
        <w:rPr>
          <w:sz w:val="28"/>
          <w:szCs w:val="28"/>
          <w:bdr w:val="none" w:sz="0" w:space="0" w:color="auto" w:frame="1"/>
        </w:rPr>
        <w:t xml:space="preserve">Положением о Совете по стандартам бухгалтерского учета, утвержденным приказом Минфина России от 14 ноября 2012 г. № 145н, </w:t>
      </w:r>
      <w:r>
        <w:rPr>
          <w:sz w:val="28"/>
          <w:szCs w:val="28"/>
        </w:rPr>
        <w:t xml:space="preserve">Министерство финансов Российской Федерации поручило Совету по стандартам бухгалтерского учета провести экспертизу проекта федерального стандарта бухгалтерского учета «Нематериальные активы» в редакции, учитывающей Предложения (далее – Проект). 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Экспертиза проведена в соответствии с требованиями Федерального закона «О бухгалтерском учете», Положением о Совете по стандартам бухгалтерского учета и Регламентом Совета по стандартам бухгалтерского учета, утвержденным Советом по стандартам бухгалтерского учета 18 февраля 2016 г. (протокол № 1).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lastRenderedPageBreak/>
        <w:t> 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Содержание экспертизы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 xml:space="preserve">С учетом решения Совета </w:t>
      </w:r>
      <w:r>
        <w:rPr>
          <w:sz w:val="28"/>
          <w:szCs w:val="28"/>
        </w:rPr>
        <w:t>по стандартам бухгалтерского учета от 14 декабря 2021 г. (протокол № 42) предмет экспертизы ограничен Предложениями.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Экспертиза Предложений проведена на предмет: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1) соответствия законодательству Российской Федерации о бухгалтерском учете, в частности, Федеральному закону «О бухгалтерском учете»;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2) соответствия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3) обеспечения единства системы требований к бухгалтерскому учету;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4) обеспечения условий для единообразного применения стандартов бухгалтерского учета.</w:t>
      </w:r>
      <w:r>
        <w:t xml:space="preserve"> 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keepNext/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Результаты экспертизы</w:t>
      </w:r>
    </w:p>
    <w:p w:rsidR="0004038A" w:rsidRDefault="0004038A" w:rsidP="0004038A">
      <w:pPr>
        <w:keepNext/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>Рассмотрев и обсудив Предложения, Совет по стандартам бухгалтерского учета пришел к следующим выводам.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>1. Предложение предусмотреть в Проекте право организации проводить переоценку нематериальных активов, учитываемых на бухгалтерском балансе организации по состоянию на 1 января 2022 г., по рыночной стоимости</w:t>
      </w:r>
    </w:p>
    <w:p w:rsidR="0004038A" w:rsidRDefault="0004038A" w:rsidP="0004038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1.1. Проект предусматривает две модели оценки нематериальных активов после признания – по первоначальной или по переоцененной стоимости. Выбор конкретной модели осуществляется организацией самостоятельно с учетом конкретных условий и обстоятельств ее деятельности.</w:t>
      </w:r>
    </w:p>
    <w:p w:rsidR="0004038A" w:rsidRDefault="0004038A" w:rsidP="0004038A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Рассматриваемое предложение, по существу, «навязывает» всем организациям единый способ оценки нематериальных активов после признания безотносительно конкретных условий и обстоятельств деятельности. Реализация данного предложения приведет к ограничению возможности организации в формировании своей учетной политики, в полной мере реализующей допущения и требования, установленные пунктами 5 и 6 Положения по бухгалтерскому учету ПБУ 1/2008 «Учетная политика организации», утвержденного приказом Минфина России от 6 октября 2008 г. № 106н. Это, в свою очередь, может привести к составлению бухгалтерской (финансовой) отчетности организации, не соответствующей требованию части 1 статьи 13 Федерального закона «О бухгалтерском учете».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>1.2. В соответствии с пунктом 17 Проекта способ оценки по переоцененной стоимости может применяться для оценки нематериальных активов, для которых существует активный рынок.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>В связи с этим рассматриваемое предложение не соответствует требованиям к переоценке объектов нематериальных активов, предусмотренным Проектом в части нематериальных активов, для которых активный рынок отсутствует.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lastRenderedPageBreak/>
        <w:t>1.3. Данное предложение предусматривает применение для целей бухгалтерского учета одного вида оценки – по рыночной стоимости. В то время как принятые к настоящему времени федеральные стандарты бухгалтерского учета и Проект обеспечивают применение широкого круга способов оценки рыночного характера, обозначаемых в современных нормативных правовых актах по бухгалтерскому учету как оценка по справедливой стоимости.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 xml:space="preserve">1.4. Реализация данного предложения может привести к необоснованному дополнительному финансовому бремени организаций, связанному с обязательным проведением переоценки соответствующих объектов нематериальных активов. При этом получаемая от переоценки выгода в сравнении с расходами, понесенными в связи с ней, не является очевидной и однозначной. 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 xml:space="preserve">2. Предложение предусмотреть в Проекте положения, регулирующие принятие к бухгалтерскому учету нематериальных активов, выявляемых при инвентаризации </w:t>
      </w:r>
    </w:p>
    <w:p w:rsidR="0004038A" w:rsidRDefault="0004038A" w:rsidP="0004038A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2.1. В настоящее время регулирование инвентаризации активов и обязательств организации осуществляется, в основном, следующими законодательными и иными нормативными правовыми актами: Федеральным законом «О бухгалтерском учете»; Положением по ведению бухгалтерского учета и бухгалтерской отчетности в Российской Федерации, утвержденным приказом Минфина России от 29 июля 1998 г. № 34н; Методическими указаниями по инвентаризации имущества и финансовых обязательств, утвержденными приказом Минфина от 13 июня 1995 г. № 49; Положением по бухгалтерскому учету ПБУ 22/2010 «Исправление ошибок в бухгалтерском учете и отчетности», утвержденным приказом Минфина России от 28 июня 2010 г. № 63н. В частности, в соответствии с частью 4 статьи 11 Федерального закона «О бухгалтерском учете»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учете. Согласно пункту 28 Положения по ведению бухгалтерского учета и бухгалтерской отчетности в Российской Федерации, излишек имущества, выявленного при инвентаризации, приходуется по рыночной стоимости на дату проведения инвентаризации, и соответствующая сумма зачисляется на финансовые результаты у коммерческой организации. Порядок проведения инвентаризации активов и обязательств, в том числе нематериальных активов, установлен Методическими указаниями по инвентаризации имущества и финансовых обязательств.</w:t>
      </w:r>
    </w:p>
    <w:p w:rsidR="0004038A" w:rsidRDefault="0004038A" w:rsidP="0004038A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Таким образом, существующее в настоящее время регулирование инвентаризации активов и обязательств организации охватывает все вопросы организации и проведения инвентаризации, а также отражения ее результатов в бухгалтерском учете, включая вопрос принятия к бухгалтерскому учету нематериальных активов, выявляемых при инвентаризации. Включение положения, регулирующего принятие к бухгалтерскому учету нематериальных активов, выявляемых при инвентаризации, в Проект </w:t>
      </w:r>
      <w:proofErr w:type="gramStart"/>
      <w:r>
        <w:rPr>
          <w:sz w:val="28"/>
          <w:szCs w:val="28"/>
        </w:rPr>
        <w:t>является избыточным и приведет</w:t>
      </w:r>
      <w:proofErr w:type="gramEnd"/>
      <w:r>
        <w:rPr>
          <w:sz w:val="28"/>
          <w:szCs w:val="28"/>
        </w:rPr>
        <w:t xml:space="preserve"> к дублированию соответствующих норм права. </w:t>
      </w:r>
    </w:p>
    <w:p w:rsidR="0004038A" w:rsidRDefault="0004038A" w:rsidP="0004038A">
      <w:pPr>
        <w:spacing w:after="1" w:line="280" w:lineRule="atLeast"/>
        <w:ind w:firstLine="709"/>
        <w:jc w:val="both"/>
      </w:pPr>
      <w:r>
        <w:rPr>
          <w:sz w:val="28"/>
          <w:szCs w:val="28"/>
        </w:rPr>
        <w:lastRenderedPageBreak/>
        <w:t>2.2. В Проекте принятие к бухгалтерскому учету объектов нематериальных активов регулируется применительно к случаям приобретения и создания таких объектов. Принятие к бухгалтерскому учету нематериальных активов, выявляемых при инвентаризации, не может быть квалифицировано как приобретение или создание соответствующих объектов. Для целей бухгалтерского учета выявление неучтенного объекта нематериальных активов при инвентаризации в большей степени свидетельствует об ошибке в бухгалтерском учете, допущенной в прошлые отчетные периоды, в смысле Положения по бухгалтерскому учету ПБУ 22/2010 «Исправление ошибок в бухгалтерском учете и отчетности».</w:t>
      </w:r>
    </w:p>
    <w:p w:rsidR="0004038A" w:rsidRDefault="0004038A" w:rsidP="0004038A">
      <w:pPr>
        <w:autoSpaceDE w:val="0"/>
        <w:autoSpaceDN w:val="0"/>
        <w:ind w:firstLine="709"/>
        <w:jc w:val="both"/>
      </w:pPr>
      <w:r>
        <w:rPr>
          <w:sz w:val="28"/>
          <w:szCs w:val="28"/>
        </w:rPr>
        <w:t> 2.3. Исходя из пункта 4 части 3 статьи 21 Федерального закона «О бухгалтерском учете», требования к инвентаризации активов и обязательств (независимо от вида экономической деятельности) устанавливаются федеральным стандартом бухгалтерского учета. При этом, исходя из смысла данной нормы и сложившейся практики регулирования и организации бухгалтерского учета в Российской Федерации, речь идет об отдельном федеральном стандарте бухгалтерского учета. Программой разработки федеральных стандартов бухгалтерского учета на 2022 – 2026 гг., утвержденной приказом Минфина России от 22 февраля 2022 г. № 23н, предусмотрена разработка и принятие федерального стандарта бухгалтерского учета «Инвентаризация».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> 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Вывод</w:t>
      </w:r>
    </w:p>
    <w:p w:rsidR="0004038A" w:rsidRDefault="0004038A" w:rsidP="0004038A">
      <w:pPr>
        <w:jc w:val="center"/>
      </w:pPr>
      <w:r>
        <w:rPr>
          <w:b/>
          <w:bCs/>
          <w:sz w:val="28"/>
          <w:szCs w:val="28"/>
          <w:bdr w:val="none" w:sz="0" w:space="0" w:color="auto" w:frame="1"/>
        </w:rPr>
        <w:t> </w:t>
      </w:r>
    </w:p>
    <w:p w:rsidR="0004038A" w:rsidRDefault="0004038A" w:rsidP="0004038A">
      <w:pPr>
        <w:ind w:firstLine="709"/>
        <w:jc w:val="both"/>
      </w:pPr>
      <w:r>
        <w:rPr>
          <w:sz w:val="28"/>
          <w:szCs w:val="28"/>
        </w:rPr>
        <w:t xml:space="preserve">На основе результатов экспертизы Совет по стандартам бухгалтерского учета предлагает </w:t>
      </w:r>
      <w:r>
        <w:rPr>
          <w:sz w:val="28"/>
          <w:szCs w:val="28"/>
          <w:bdr w:val="none" w:sz="0" w:space="0" w:color="auto" w:frame="1"/>
        </w:rPr>
        <w:t xml:space="preserve">Министерству финансов Российской Федерации </w:t>
      </w:r>
      <w:r>
        <w:rPr>
          <w:sz w:val="28"/>
          <w:szCs w:val="28"/>
        </w:rPr>
        <w:t xml:space="preserve">отклонить Предложения. </w:t>
      </w:r>
    </w:p>
    <w:p w:rsidR="003E7419" w:rsidRPr="002C3DCB" w:rsidRDefault="003E7419" w:rsidP="0004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hAnsi="Times New Roman Cyr"/>
          <w:sz w:val="28"/>
          <w:szCs w:val="28"/>
        </w:rPr>
      </w:pPr>
    </w:p>
    <w:sectPr w:rsidR="003E7419" w:rsidRPr="002C3DCB" w:rsidSect="003E67CF">
      <w:headerReference w:type="default" r:id="rId9"/>
      <w:headerReference w:type="first" r:id="rId10"/>
      <w:pgSz w:w="11900" w:h="16840"/>
      <w:pgMar w:top="1208" w:right="985" w:bottom="1134" w:left="1276" w:header="357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10" w:rsidRDefault="00030110">
      <w:r>
        <w:separator/>
      </w:r>
    </w:p>
  </w:endnote>
  <w:endnote w:type="continuationSeparator" w:id="0">
    <w:p w:rsidR="00030110" w:rsidRDefault="0003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10" w:rsidRDefault="00030110">
      <w:r>
        <w:separator/>
      </w:r>
    </w:p>
  </w:footnote>
  <w:footnote w:type="continuationSeparator" w:id="0">
    <w:p w:rsidR="00030110" w:rsidRDefault="0003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204875"/>
      <w:docPartObj>
        <w:docPartGallery w:val="Page Numbers (Top of Page)"/>
        <w:docPartUnique/>
      </w:docPartObj>
    </w:sdtPr>
    <w:sdtEndPr/>
    <w:sdtContent>
      <w:p w:rsidR="002C3DCB" w:rsidRDefault="002C3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3C">
          <w:rPr>
            <w:noProof/>
          </w:rPr>
          <w:t>4</w:t>
        </w:r>
        <w:r>
          <w:fldChar w:fldCharType="end"/>
        </w:r>
      </w:p>
    </w:sdtContent>
  </w:sdt>
  <w:p w:rsidR="00064A58" w:rsidRDefault="00064A58">
    <w:pPr>
      <w:pStyle w:val="a4"/>
      <w:tabs>
        <w:tab w:val="clear" w:pos="9689"/>
        <w:tab w:val="left" w:pos="4320"/>
        <w:tab w:val="right" w:pos="8733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CF" w:rsidRDefault="00DB073C" w:rsidP="00DB073C">
    <w:pPr>
      <w:ind w:left="6521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>Приложение</w:t>
    </w:r>
  </w:p>
  <w:p w:rsidR="00DB073C" w:rsidRDefault="00DB073C" w:rsidP="00DB073C">
    <w:pPr>
      <w:ind w:left="6521"/>
      <w:rPr>
        <w:rFonts w:cs="Times New Roman"/>
        <w:sz w:val="28"/>
      </w:rPr>
    </w:pPr>
    <w:r>
      <w:rPr>
        <w:rFonts w:cs="Times New Roman"/>
        <w:sz w:val="28"/>
      </w:rPr>
      <w:t>к протоколу</w:t>
    </w:r>
  </w:p>
  <w:p w:rsidR="00DB073C" w:rsidRDefault="00DB073C" w:rsidP="00DB073C">
    <w:pPr>
      <w:ind w:left="6521"/>
      <w:rPr>
        <w:rFonts w:cs="Times New Roman"/>
        <w:sz w:val="28"/>
      </w:rPr>
    </w:pPr>
    <w:r>
      <w:rPr>
        <w:rFonts w:cs="Times New Roman"/>
        <w:sz w:val="28"/>
      </w:rPr>
      <w:t xml:space="preserve">заочного голосования </w:t>
    </w:r>
  </w:p>
  <w:p w:rsidR="00DB073C" w:rsidRDefault="00DB073C" w:rsidP="00DB073C">
    <w:pPr>
      <w:ind w:left="6521"/>
      <w:rPr>
        <w:rFonts w:cs="Times New Roman"/>
        <w:sz w:val="28"/>
      </w:rPr>
    </w:pPr>
    <w:r>
      <w:rPr>
        <w:rFonts w:cs="Times New Roman"/>
        <w:sz w:val="28"/>
      </w:rPr>
      <w:t>Совета по стандартам</w:t>
    </w:r>
  </w:p>
  <w:p w:rsidR="00DB073C" w:rsidRDefault="00DB073C" w:rsidP="00DB073C">
    <w:pPr>
      <w:ind w:left="6521"/>
      <w:rPr>
        <w:rFonts w:cs="Times New Roman"/>
        <w:sz w:val="28"/>
      </w:rPr>
    </w:pPr>
    <w:r>
      <w:rPr>
        <w:rFonts w:cs="Times New Roman"/>
        <w:sz w:val="28"/>
      </w:rPr>
      <w:t xml:space="preserve">бухгалтерского учета </w:t>
    </w:r>
  </w:p>
  <w:p w:rsidR="003423A7" w:rsidRDefault="00DB073C" w:rsidP="00DB073C">
    <w:pPr>
      <w:ind w:left="6521"/>
      <w:rPr>
        <w:sz w:val="28"/>
        <w:szCs w:val="28"/>
      </w:rPr>
    </w:pPr>
    <w:r>
      <w:rPr>
        <w:rFonts w:cs="Times New Roman"/>
        <w:sz w:val="28"/>
      </w:rPr>
      <w:t xml:space="preserve">от </w:t>
    </w:r>
    <w:r w:rsidR="004105CE">
      <w:rPr>
        <w:rFonts w:cs="Times New Roman"/>
        <w:sz w:val="28"/>
        <w:szCs w:val="28"/>
      </w:rPr>
      <w:t>2</w:t>
    </w:r>
    <w:r w:rsidR="000F0CFB">
      <w:rPr>
        <w:rFonts w:cs="Times New Roman"/>
        <w:sz w:val="28"/>
        <w:szCs w:val="28"/>
      </w:rPr>
      <w:t>6</w:t>
    </w:r>
    <w:r w:rsidR="003E67CF">
      <w:rPr>
        <w:rFonts w:cs="Times New Roman"/>
        <w:sz w:val="28"/>
        <w:szCs w:val="28"/>
      </w:rPr>
      <w:t xml:space="preserve"> апреля 2022 г.</w:t>
    </w:r>
    <w:r>
      <w:rPr>
        <w:rFonts w:cs="Times New Roman"/>
        <w:sz w:val="28"/>
        <w:szCs w:val="28"/>
      </w:rPr>
      <w:t xml:space="preserve"> № 46</w:t>
    </w:r>
  </w:p>
  <w:p w:rsidR="00BB5C9C" w:rsidRPr="00BB5C9C" w:rsidRDefault="00BB5C9C" w:rsidP="003423A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954"/>
      <w:rPr>
        <w:rFonts w:eastAsia="Calibri" w:cs="Times New Roman"/>
        <w:iCs/>
        <w:color w:val="auto"/>
        <w:spacing w:val="20"/>
        <w:sz w:val="28"/>
        <w:szCs w:val="28"/>
        <w:bdr w:val="none" w:sz="0" w:space="0" w:color="auto"/>
        <w:lang w:eastAsia="en-US"/>
      </w:rPr>
    </w:pPr>
  </w:p>
  <w:p w:rsidR="002C3DCB" w:rsidRDefault="002C3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218"/>
    <w:multiLevelType w:val="hybridMultilevel"/>
    <w:tmpl w:val="ED94DBC4"/>
    <w:lvl w:ilvl="0" w:tplc="04190001">
      <w:start w:val="1"/>
      <w:numFmt w:val="bullet"/>
      <w:lvlText w:val=""/>
      <w:lvlJc w:val="left"/>
      <w:pPr>
        <w:ind w:left="1921" w:hanging="121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4DD5"/>
    <w:multiLevelType w:val="hybridMultilevel"/>
    <w:tmpl w:val="4A2E4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853ADF"/>
    <w:multiLevelType w:val="hybridMultilevel"/>
    <w:tmpl w:val="59300C16"/>
    <w:lvl w:ilvl="0" w:tplc="58A07C2A">
      <w:start w:val="1"/>
      <w:numFmt w:val="decimal"/>
      <w:lvlText w:val="%1."/>
      <w:lvlJc w:val="left"/>
      <w:pPr>
        <w:ind w:left="258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FDC1589"/>
    <w:multiLevelType w:val="hybridMultilevel"/>
    <w:tmpl w:val="BD58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5C04"/>
    <w:multiLevelType w:val="hybridMultilevel"/>
    <w:tmpl w:val="99364F88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2" w:hanging="115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240D6"/>
    <w:multiLevelType w:val="hybridMultilevel"/>
    <w:tmpl w:val="C1C6466E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58A07C2A">
      <w:start w:val="1"/>
      <w:numFmt w:val="decimal"/>
      <w:lvlText w:val="%2.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61660"/>
    <w:multiLevelType w:val="hybridMultilevel"/>
    <w:tmpl w:val="0DBA0AB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1126C60"/>
    <w:multiLevelType w:val="hybridMultilevel"/>
    <w:tmpl w:val="D1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8"/>
    <w:rsid w:val="00002F40"/>
    <w:rsid w:val="00011292"/>
    <w:rsid w:val="00011BAC"/>
    <w:rsid w:val="00030110"/>
    <w:rsid w:val="00035556"/>
    <w:rsid w:val="0004038A"/>
    <w:rsid w:val="0004357F"/>
    <w:rsid w:val="0005502E"/>
    <w:rsid w:val="000605BF"/>
    <w:rsid w:val="00063EBD"/>
    <w:rsid w:val="00064A58"/>
    <w:rsid w:val="00072FFD"/>
    <w:rsid w:val="00073E9D"/>
    <w:rsid w:val="00083DBF"/>
    <w:rsid w:val="000926F5"/>
    <w:rsid w:val="000A023B"/>
    <w:rsid w:val="000A0E3F"/>
    <w:rsid w:val="000A4CB4"/>
    <w:rsid w:val="000D22CE"/>
    <w:rsid w:val="000F0CFB"/>
    <w:rsid w:val="000F31E8"/>
    <w:rsid w:val="001038C5"/>
    <w:rsid w:val="00104B99"/>
    <w:rsid w:val="00121ECB"/>
    <w:rsid w:val="00137515"/>
    <w:rsid w:val="00173E1D"/>
    <w:rsid w:val="00177203"/>
    <w:rsid w:val="00186C81"/>
    <w:rsid w:val="001947A5"/>
    <w:rsid w:val="001A1F07"/>
    <w:rsid w:val="001A7032"/>
    <w:rsid w:val="001E6F39"/>
    <w:rsid w:val="001F5D10"/>
    <w:rsid w:val="002044D2"/>
    <w:rsid w:val="00204A45"/>
    <w:rsid w:val="00211792"/>
    <w:rsid w:val="00247018"/>
    <w:rsid w:val="00247397"/>
    <w:rsid w:val="002557BF"/>
    <w:rsid w:val="00273996"/>
    <w:rsid w:val="002777EE"/>
    <w:rsid w:val="002A16BE"/>
    <w:rsid w:val="002A3A81"/>
    <w:rsid w:val="002A5EDF"/>
    <w:rsid w:val="002C3DCB"/>
    <w:rsid w:val="002D05D9"/>
    <w:rsid w:val="002D606A"/>
    <w:rsid w:val="003228DB"/>
    <w:rsid w:val="0032409E"/>
    <w:rsid w:val="00336190"/>
    <w:rsid w:val="003423A7"/>
    <w:rsid w:val="003468F2"/>
    <w:rsid w:val="00367DA7"/>
    <w:rsid w:val="0039376E"/>
    <w:rsid w:val="003A6E0E"/>
    <w:rsid w:val="003C7DDB"/>
    <w:rsid w:val="003E67CF"/>
    <w:rsid w:val="003E7419"/>
    <w:rsid w:val="004105CE"/>
    <w:rsid w:val="004307D4"/>
    <w:rsid w:val="00446819"/>
    <w:rsid w:val="004556F6"/>
    <w:rsid w:val="00471237"/>
    <w:rsid w:val="00472FCE"/>
    <w:rsid w:val="00475FD5"/>
    <w:rsid w:val="0047777F"/>
    <w:rsid w:val="004A49EE"/>
    <w:rsid w:val="004B7817"/>
    <w:rsid w:val="004D0451"/>
    <w:rsid w:val="004D2B1E"/>
    <w:rsid w:val="004E1B7A"/>
    <w:rsid w:val="004F2697"/>
    <w:rsid w:val="00501BFC"/>
    <w:rsid w:val="00504F33"/>
    <w:rsid w:val="00505D7A"/>
    <w:rsid w:val="0050648D"/>
    <w:rsid w:val="00521145"/>
    <w:rsid w:val="00535156"/>
    <w:rsid w:val="005633C6"/>
    <w:rsid w:val="00565D44"/>
    <w:rsid w:val="0057765C"/>
    <w:rsid w:val="005932EF"/>
    <w:rsid w:val="00595A08"/>
    <w:rsid w:val="00596D5E"/>
    <w:rsid w:val="005B1705"/>
    <w:rsid w:val="005B26C8"/>
    <w:rsid w:val="005E4C61"/>
    <w:rsid w:val="005E4ED9"/>
    <w:rsid w:val="005E7DA7"/>
    <w:rsid w:val="00602721"/>
    <w:rsid w:val="006070E0"/>
    <w:rsid w:val="0063500C"/>
    <w:rsid w:val="00643CFE"/>
    <w:rsid w:val="00677CA2"/>
    <w:rsid w:val="00681E7E"/>
    <w:rsid w:val="00687229"/>
    <w:rsid w:val="00687E7C"/>
    <w:rsid w:val="00691CFA"/>
    <w:rsid w:val="006B31DA"/>
    <w:rsid w:val="006D7D85"/>
    <w:rsid w:val="006F77AF"/>
    <w:rsid w:val="0070617C"/>
    <w:rsid w:val="00727957"/>
    <w:rsid w:val="00731130"/>
    <w:rsid w:val="00740DC7"/>
    <w:rsid w:val="00767F49"/>
    <w:rsid w:val="007771AB"/>
    <w:rsid w:val="00787B5E"/>
    <w:rsid w:val="007A61EE"/>
    <w:rsid w:val="007D409C"/>
    <w:rsid w:val="007D53D5"/>
    <w:rsid w:val="007E0DE2"/>
    <w:rsid w:val="007E48F2"/>
    <w:rsid w:val="007E6AA6"/>
    <w:rsid w:val="00816ADC"/>
    <w:rsid w:val="00846DC6"/>
    <w:rsid w:val="00855BDC"/>
    <w:rsid w:val="00870FE9"/>
    <w:rsid w:val="00886957"/>
    <w:rsid w:val="008954DB"/>
    <w:rsid w:val="008B44C7"/>
    <w:rsid w:val="008C31A1"/>
    <w:rsid w:val="008D0E9D"/>
    <w:rsid w:val="008D291D"/>
    <w:rsid w:val="008E0561"/>
    <w:rsid w:val="008E47EB"/>
    <w:rsid w:val="008E60F6"/>
    <w:rsid w:val="008E65C8"/>
    <w:rsid w:val="008E7562"/>
    <w:rsid w:val="008E773A"/>
    <w:rsid w:val="0091072C"/>
    <w:rsid w:val="0092461D"/>
    <w:rsid w:val="00926DD1"/>
    <w:rsid w:val="009525EA"/>
    <w:rsid w:val="00975726"/>
    <w:rsid w:val="009A0774"/>
    <w:rsid w:val="009B2DDD"/>
    <w:rsid w:val="009B3F35"/>
    <w:rsid w:val="009D0541"/>
    <w:rsid w:val="009F0C8F"/>
    <w:rsid w:val="009F1DB7"/>
    <w:rsid w:val="00A12DBA"/>
    <w:rsid w:val="00A3351D"/>
    <w:rsid w:val="00A6512F"/>
    <w:rsid w:val="00A65161"/>
    <w:rsid w:val="00A70D7B"/>
    <w:rsid w:val="00A74301"/>
    <w:rsid w:val="00A75F94"/>
    <w:rsid w:val="00A83429"/>
    <w:rsid w:val="00AA0B84"/>
    <w:rsid w:val="00AC5549"/>
    <w:rsid w:val="00B0361F"/>
    <w:rsid w:val="00B306BB"/>
    <w:rsid w:val="00B666E8"/>
    <w:rsid w:val="00B72B64"/>
    <w:rsid w:val="00B73525"/>
    <w:rsid w:val="00B779F1"/>
    <w:rsid w:val="00B81D22"/>
    <w:rsid w:val="00B86A14"/>
    <w:rsid w:val="00BA111E"/>
    <w:rsid w:val="00BB1CAC"/>
    <w:rsid w:val="00BB508F"/>
    <w:rsid w:val="00BB5A67"/>
    <w:rsid w:val="00BB5C9C"/>
    <w:rsid w:val="00BB629A"/>
    <w:rsid w:val="00BB6826"/>
    <w:rsid w:val="00BC2E6A"/>
    <w:rsid w:val="00BE2205"/>
    <w:rsid w:val="00BE2DBE"/>
    <w:rsid w:val="00BE6149"/>
    <w:rsid w:val="00C0226D"/>
    <w:rsid w:val="00C22181"/>
    <w:rsid w:val="00C40156"/>
    <w:rsid w:val="00C5053F"/>
    <w:rsid w:val="00C512D1"/>
    <w:rsid w:val="00C56E9A"/>
    <w:rsid w:val="00C75932"/>
    <w:rsid w:val="00C77CB2"/>
    <w:rsid w:val="00C972BF"/>
    <w:rsid w:val="00CB7007"/>
    <w:rsid w:val="00CB7930"/>
    <w:rsid w:val="00CC66AF"/>
    <w:rsid w:val="00CD3074"/>
    <w:rsid w:val="00CF7271"/>
    <w:rsid w:val="00D028A7"/>
    <w:rsid w:val="00D11024"/>
    <w:rsid w:val="00D16F2D"/>
    <w:rsid w:val="00D21F7E"/>
    <w:rsid w:val="00D35860"/>
    <w:rsid w:val="00D4685E"/>
    <w:rsid w:val="00D525C1"/>
    <w:rsid w:val="00D63AD6"/>
    <w:rsid w:val="00D63F0C"/>
    <w:rsid w:val="00D71991"/>
    <w:rsid w:val="00D813D5"/>
    <w:rsid w:val="00D830E0"/>
    <w:rsid w:val="00D90DBD"/>
    <w:rsid w:val="00D927AC"/>
    <w:rsid w:val="00D93C5C"/>
    <w:rsid w:val="00D97CA7"/>
    <w:rsid w:val="00DB073C"/>
    <w:rsid w:val="00DB13D8"/>
    <w:rsid w:val="00DB73A6"/>
    <w:rsid w:val="00DC7098"/>
    <w:rsid w:val="00DF00C1"/>
    <w:rsid w:val="00E06825"/>
    <w:rsid w:val="00E07199"/>
    <w:rsid w:val="00E1541D"/>
    <w:rsid w:val="00E24AF1"/>
    <w:rsid w:val="00E456B5"/>
    <w:rsid w:val="00E556FB"/>
    <w:rsid w:val="00E65293"/>
    <w:rsid w:val="00E747AD"/>
    <w:rsid w:val="00F11B5B"/>
    <w:rsid w:val="00F11EF1"/>
    <w:rsid w:val="00F21D17"/>
    <w:rsid w:val="00F23696"/>
    <w:rsid w:val="00F35579"/>
    <w:rsid w:val="00F42CF2"/>
    <w:rsid w:val="00F63170"/>
    <w:rsid w:val="00F73D2C"/>
    <w:rsid w:val="00F81ACC"/>
    <w:rsid w:val="00F81D58"/>
    <w:rsid w:val="00FA034C"/>
    <w:rsid w:val="00FA78D8"/>
    <w:rsid w:val="00FB55CE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a7">
    <w:name w:val="page number"/>
    <w:rPr>
      <w:lang w:val="ru-RU"/>
    </w:rPr>
  </w:style>
  <w:style w:type="paragraph" w:styleId="a8">
    <w:name w:val="footer"/>
    <w:basedOn w:val="a"/>
    <w:link w:val="a9"/>
    <w:uiPriority w:val="99"/>
    <w:unhideWhenUsed/>
    <w:rsid w:val="002C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DCB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C3DCB"/>
    <w:rPr>
      <w:rFonts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link w:val="ab"/>
    <w:uiPriority w:val="34"/>
    <w:qFormat/>
    <w:rsid w:val="000926F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816ADC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a7">
    <w:name w:val="page number"/>
    <w:rPr>
      <w:lang w:val="ru-RU"/>
    </w:rPr>
  </w:style>
  <w:style w:type="paragraph" w:styleId="a8">
    <w:name w:val="footer"/>
    <w:basedOn w:val="a"/>
    <w:link w:val="a9"/>
    <w:uiPriority w:val="99"/>
    <w:unhideWhenUsed/>
    <w:rsid w:val="002C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DCB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C3DCB"/>
    <w:rPr>
      <w:rFonts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link w:val="ab"/>
    <w:uiPriority w:val="34"/>
    <w:qFormat/>
    <w:rsid w:val="000926F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816AD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6D1CE9-5C36-4DCD-AE92-BA71496C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ИГОРЬ РОБЕРТОВИЧ</dc:creator>
  <cp:lastModifiedBy>ПЫЛЕВА ИРИНА АНАТОЛЬЕВНА</cp:lastModifiedBy>
  <cp:revision>2</cp:revision>
  <cp:lastPrinted>2021-12-03T11:44:00Z</cp:lastPrinted>
  <dcterms:created xsi:type="dcterms:W3CDTF">2022-04-26T12:40:00Z</dcterms:created>
  <dcterms:modified xsi:type="dcterms:W3CDTF">2022-04-26T12:40:00Z</dcterms:modified>
</cp:coreProperties>
</file>