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F6" w:rsidRPr="00A741F6" w:rsidRDefault="00A741F6" w:rsidP="00760B42">
      <w:pPr>
        <w:spacing w:line="240" w:lineRule="auto"/>
        <w:jc w:val="center"/>
        <w:rPr>
          <w:rFonts w:ascii="Times New Roman" w:hAnsi="Times New Roman" w:cs="Times New Roman"/>
          <w:b/>
          <w:sz w:val="28"/>
          <w:szCs w:val="28"/>
        </w:rPr>
      </w:pPr>
      <w:r w:rsidRPr="00A741F6">
        <w:rPr>
          <w:rFonts w:ascii="Times New Roman" w:hAnsi="Times New Roman" w:cs="Times New Roman"/>
          <w:b/>
          <w:sz w:val="28"/>
          <w:szCs w:val="28"/>
        </w:rPr>
        <w:t xml:space="preserve">Информация о рассмотрении Протокола заочного заседания Общественного совета </w:t>
      </w:r>
      <w:r w:rsidR="00760B42">
        <w:rPr>
          <w:rFonts w:ascii="Times New Roman" w:hAnsi="Times New Roman" w:cs="Times New Roman"/>
          <w:b/>
          <w:sz w:val="28"/>
          <w:szCs w:val="28"/>
        </w:rPr>
        <w:br/>
      </w:r>
      <w:r w:rsidRPr="00A741F6">
        <w:rPr>
          <w:rFonts w:ascii="Times New Roman" w:hAnsi="Times New Roman" w:cs="Times New Roman"/>
          <w:b/>
          <w:sz w:val="28"/>
          <w:szCs w:val="28"/>
        </w:rPr>
        <w:t xml:space="preserve">при Министерстве финансов Российской Федерации от </w:t>
      </w:r>
      <w:r w:rsidR="00B83282" w:rsidRPr="00B83282">
        <w:rPr>
          <w:rFonts w:ascii="Times New Roman" w:hAnsi="Times New Roman" w:cs="Times New Roman"/>
          <w:b/>
          <w:sz w:val="28"/>
          <w:szCs w:val="28"/>
        </w:rPr>
        <w:t>16-23</w:t>
      </w:r>
      <w:r w:rsidR="00760B42">
        <w:rPr>
          <w:rFonts w:ascii="Times New Roman" w:hAnsi="Times New Roman" w:cs="Times New Roman"/>
          <w:b/>
          <w:sz w:val="28"/>
          <w:szCs w:val="28"/>
        </w:rPr>
        <w:t xml:space="preserve"> </w:t>
      </w:r>
      <w:r w:rsidR="00B83282">
        <w:rPr>
          <w:rFonts w:ascii="Times New Roman" w:hAnsi="Times New Roman" w:cs="Times New Roman"/>
          <w:b/>
          <w:sz w:val="28"/>
          <w:szCs w:val="28"/>
        </w:rPr>
        <w:t>февраля</w:t>
      </w:r>
      <w:r w:rsidRPr="00A741F6">
        <w:rPr>
          <w:rFonts w:ascii="Times New Roman" w:hAnsi="Times New Roman" w:cs="Times New Roman"/>
          <w:b/>
          <w:sz w:val="28"/>
          <w:szCs w:val="28"/>
        </w:rPr>
        <w:t xml:space="preserve"> 202</w:t>
      </w:r>
      <w:r w:rsidR="00B83282">
        <w:rPr>
          <w:rFonts w:ascii="Times New Roman" w:hAnsi="Times New Roman" w:cs="Times New Roman"/>
          <w:b/>
          <w:sz w:val="28"/>
          <w:szCs w:val="28"/>
        </w:rPr>
        <w:t>2</w:t>
      </w:r>
      <w:r w:rsidRPr="00A741F6">
        <w:rPr>
          <w:rFonts w:ascii="Times New Roman" w:hAnsi="Times New Roman" w:cs="Times New Roman"/>
          <w:b/>
          <w:sz w:val="28"/>
          <w:szCs w:val="28"/>
        </w:rPr>
        <w:t xml:space="preserve"> г. № </w:t>
      </w:r>
      <w:r w:rsidR="00B83282">
        <w:rPr>
          <w:rFonts w:ascii="Times New Roman" w:hAnsi="Times New Roman" w:cs="Times New Roman"/>
          <w:b/>
          <w:sz w:val="28"/>
          <w:szCs w:val="28"/>
        </w:rPr>
        <w:t>3</w:t>
      </w:r>
    </w:p>
    <w:tbl>
      <w:tblPr>
        <w:tblStyle w:val="a4"/>
        <w:tblW w:w="0" w:type="auto"/>
        <w:tblLook w:val="04A0" w:firstRow="1" w:lastRow="0" w:firstColumn="1" w:lastColumn="0" w:noHBand="0" w:noVBand="1"/>
      </w:tblPr>
      <w:tblGrid>
        <w:gridCol w:w="6799"/>
        <w:gridCol w:w="7761"/>
      </w:tblGrid>
      <w:tr w:rsidR="00A741F6" w:rsidRPr="00A741F6" w:rsidTr="009322C2">
        <w:tc>
          <w:tcPr>
            <w:tcW w:w="6799" w:type="dxa"/>
          </w:tcPr>
          <w:p w:rsidR="00A741F6" w:rsidRPr="00A741F6" w:rsidRDefault="00A741F6" w:rsidP="00A741F6">
            <w:pPr>
              <w:jc w:val="center"/>
              <w:rPr>
                <w:rFonts w:ascii="Times New Roman" w:hAnsi="Times New Roman" w:cs="Times New Roman"/>
                <w:b/>
                <w:sz w:val="24"/>
                <w:szCs w:val="24"/>
              </w:rPr>
            </w:pPr>
            <w:r w:rsidRPr="00A741F6">
              <w:rPr>
                <w:rFonts w:ascii="Times New Roman" w:hAnsi="Times New Roman" w:cs="Times New Roman"/>
                <w:b/>
                <w:sz w:val="24"/>
                <w:szCs w:val="24"/>
              </w:rPr>
              <w:t>Особое мне</w:t>
            </w:r>
            <w:r w:rsidR="00D63E95">
              <w:rPr>
                <w:rFonts w:ascii="Times New Roman" w:hAnsi="Times New Roman" w:cs="Times New Roman"/>
                <w:b/>
                <w:sz w:val="24"/>
                <w:szCs w:val="24"/>
              </w:rPr>
              <w:t>ние членов Общественного совета</w:t>
            </w:r>
          </w:p>
        </w:tc>
        <w:tc>
          <w:tcPr>
            <w:tcW w:w="7761" w:type="dxa"/>
          </w:tcPr>
          <w:p w:rsidR="00A741F6" w:rsidRPr="00A741F6" w:rsidRDefault="00A741F6" w:rsidP="00A741F6">
            <w:pPr>
              <w:jc w:val="center"/>
              <w:rPr>
                <w:rFonts w:ascii="Times New Roman" w:hAnsi="Times New Roman" w:cs="Times New Roman"/>
                <w:b/>
                <w:sz w:val="24"/>
                <w:szCs w:val="24"/>
              </w:rPr>
            </w:pPr>
            <w:r w:rsidRPr="00A741F6">
              <w:rPr>
                <w:rFonts w:ascii="Times New Roman" w:hAnsi="Times New Roman" w:cs="Times New Roman"/>
                <w:b/>
                <w:sz w:val="24"/>
                <w:szCs w:val="24"/>
              </w:rPr>
              <w:t xml:space="preserve">Позиция Министерства финансов Российской Федерации </w:t>
            </w:r>
          </w:p>
        </w:tc>
      </w:tr>
      <w:tr w:rsidR="00760B42" w:rsidRPr="00A741F6" w:rsidTr="001A0FD6">
        <w:tc>
          <w:tcPr>
            <w:tcW w:w="14560" w:type="dxa"/>
            <w:gridSpan w:val="2"/>
          </w:tcPr>
          <w:p w:rsidR="00760B42" w:rsidRPr="00A741F6" w:rsidRDefault="00760B42" w:rsidP="00760B42">
            <w:pPr>
              <w:jc w:val="center"/>
              <w:rPr>
                <w:rFonts w:ascii="Times New Roman" w:hAnsi="Times New Roman" w:cs="Times New Roman"/>
                <w:b/>
                <w:sz w:val="24"/>
                <w:szCs w:val="24"/>
              </w:rPr>
            </w:pPr>
            <w:r w:rsidRPr="00A741F6">
              <w:rPr>
                <w:rFonts w:ascii="Times New Roman" w:hAnsi="Times New Roman" w:cs="Times New Roman"/>
                <w:b/>
                <w:sz w:val="24"/>
                <w:szCs w:val="24"/>
              </w:rPr>
              <w:t>Член Общественного совета при Министерстве финансов Российской Федерации</w:t>
            </w:r>
            <w:r>
              <w:rPr>
                <w:rFonts w:ascii="Times New Roman" w:hAnsi="Times New Roman" w:cs="Times New Roman"/>
                <w:b/>
                <w:sz w:val="24"/>
                <w:szCs w:val="24"/>
              </w:rPr>
              <w:t xml:space="preserve"> </w:t>
            </w:r>
            <w:r w:rsidRPr="00A741F6">
              <w:rPr>
                <w:rFonts w:ascii="Times New Roman" w:hAnsi="Times New Roman" w:cs="Times New Roman"/>
                <w:b/>
                <w:sz w:val="24"/>
                <w:szCs w:val="24"/>
              </w:rPr>
              <w:t xml:space="preserve">- Лисин В.С. </w:t>
            </w:r>
          </w:p>
        </w:tc>
      </w:tr>
      <w:tr w:rsidR="00760B42" w:rsidRPr="00A741F6" w:rsidTr="009322C2">
        <w:tc>
          <w:tcPr>
            <w:tcW w:w="6799" w:type="dxa"/>
          </w:tcPr>
          <w:p w:rsidR="00B83282" w:rsidRPr="00B8328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t>Целесообразно предусмотреть способы снижения негативных последствий отмены КГН, в том числе в рассматриваемом проекте постановления: предусмотреть альтернативный порядок исчисления налога на прибыль, учитывающий особенности КГН, либо предусмотреть переходные положения отмены КГН.</w:t>
            </w:r>
          </w:p>
          <w:p w:rsidR="00760B42" w:rsidRPr="00760B4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t>Отмена КГН с 2023 года повлечет негативные последствия для бюджетов ряда регионов, у которых резко снизятся налоговые доходы из-за изменений в распределении налога на прибыль. В то же время сохранение КГН будет отвечать как интересам крупного бизнеса, обеспечивающего существенную часть налоговых поступлений, так и государства, поскольку отмена КГН приведет к перераспределению налога в пользу Москвы и Санкт-Петербурга (что, очевидно, ухудшит финансовое положение целого ряда регионов). Таким образом, сохранение КГН или элементов КГН призвано продемонстрировать стабильность как налоговой, так и бюджетной систем Российской Федерации.</w:t>
            </w:r>
          </w:p>
        </w:tc>
        <w:tc>
          <w:tcPr>
            <w:tcW w:w="7761" w:type="dxa"/>
          </w:tcPr>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Федеральным законом от 03.08.2018 № 302-ФЗ «О внесении изменений в части первую и вторую Налогового кодекса Российской Федерации» (далее</w:t>
            </w:r>
            <w:r>
              <w:rPr>
                <w:rFonts w:ascii="Times New Roman" w:hAnsi="Times New Roman" w:cs="Times New Roman"/>
                <w:sz w:val="24"/>
                <w:szCs w:val="24"/>
              </w:rPr>
              <w:t> </w:t>
            </w:r>
            <w:r w:rsidRPr="00D237BC">
              <w:rPr>
                <w:rFonts w:ascii="Times New Roman" w:hAnsi="Times New Roman" w:cs="Times New Roman"/>
                <w:sz w:val="24"/>
                <w:szCs w:val="24"/>
              </w:rPr>
              <w:t xml:space="preserve">– Федеральный закон № 302-ФЗ) установлен предельный срок действия договоров о создании консолидированных групп налогоплательщиков (далее </w:t>
            </w:r>
            <w:r>
              <w:rPr>
                <w:rFonts w:ascii="Times New Roman" w:hAnsi="Times New Roman" w:cs="Times New Roman"/>
                <w:sz w:val="24"/>
                <w:szCs w:val="24"/>
              </w:rPr>
              <w:t xml:space="preserve">– КГН) </w:t>
            </w:r>
            <w:r w:rsidRPr="00D237BC">
              <w:rPr>
                <w:rFonts w:ascii="Times New Roman" w:hAnsi="Times New Roman" w:cs="Times New Roman"/>
                <w:sz w:val="24"/>
                <w:szCs w:val="24"/>
              </w:rPr>
              <w:t>– 1 января 2023 года, по истечении которого функционирование института КГН будет прекращено.</w:t>
            </w:r>
          </w:p>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Реализованное в вышеуказанном Федеральном законе решение о прекращении функционирования института КГН было основано на ре</w:t>
            </w:r>
            <w:r>
              <w:rPr>
                <w:rFonts w:ascii="Times New Roman" w:hAnsi="Times New Roman" w:cs="Times New Roman"/>
                <w:sz w:val="24"/>
                <w:szCs w:val="24"/>
              </w:rPr>
              <w:t xml:space="preserve">зультатах его функционирования </w:t>
            </w:r>
            <w:r w:rsidRPr="00D237BC">
              <w:rPr>
                <w:rFonts w:ascii="Times New Roman" w:hAnsi="Times New Roman" w:cs="Times New Roman"/>
                <w:sz w:val="24"/>
                <w:szCs w:val="24"/>
              </w:rPr>
              <w:t>за период с 2012 по 2017 гг. и согласовано с субъектами Российской Федерации.</w:t>
            </w:r>
          </w:p>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Результаты проведенного анализа, в частности, показали, что функционирование КГН за период с 2012 по 2017 гг. привело к снижению поступлений от уплаты налога на прибыль организаций в консолидированные бюджеты субъектов Российской Федерации: в 2012 году – на 8,2 млрд руб., в 2013 году – на 16,4 млрд руб., в 2014 году – на 65,1 млрд руб., в 2015 году – на 125,9 млрд руб., в 2016 году – на 78,4 млрд руб., в 2017 году – на 34,0 млрд руб.</w:t>
            </w:r>
          </w:p>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 xml:space="preserve">Необходимо отметить, что в 2018 – 2021 гг. тенденция, связанная со снижением поступлений от уплаты налога на прибыль организаций в консолидированные бюджеты субъектов Российской Федерации в результате функционирования КГН, сохранилась. </w:t>
            </w:r>
          </w:p>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Функционирование КГН за вышеуказанный период привело к снижению поступлений в консолидированные бюджеты субъектов Российской Федерации: в 2018 году – на 38,4 млрд руб., в 2019 году – на 25,7 млрд руб., в 2020 году – на 76,5 млрд руб., по итогам 9 месяцев 2021 года – на 35,6 млрд руб.</w:t>
            </w:r>
          </w:p>
          <w:p w:rsid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В связи с этим продление действия института КГН не поддерживается.</w:t>
            </w:r>
          </w:p>
          <w:p w:rsidR="00D237BC" w:rsidRDefault="00D237BC" w:rsidP="009322C2">
            <w:pPr>
              <w:ind w:firstLine="164"/>
              <w:jc w:val="both"/>
              <w:rPr>
                <w:rFonts w:ascii="Times New Roman" w:hAnsi="Times New Roman" w:cs="Times New Roman"/>
                <w:sz w:val="24"/>
                <w:szCs w:val="24"/>
              </w:rPr>
            </w:pPr>
            <w:r>
              <w:rPr>
                <w:rFonts w:ascii="Times New Roman" w:hAnsi="Times New Roman" w:cs="Times New Roman"/>
                <w:sz w:val="24"/>
                <w:szCs w:val="24"/>
              </w:rPr>
              <w:lastRenderedPageBreak/>
              <w:t>Одновременно отмечаем, что одной из задач ведомственного проекта «</w:t>
            </w:r>
            <w:r w:rsidRPr="00D237BC">
              <w:rPr>
                <w:rFonts w:ascii="Times New Roman" w:hAnsi="Times New Roman" w:cs="Times New Roman"/>
                <w:sz w:val="24"/>
                <w:szCs w:val="24"/>
              </w:rPr>
              <w:t>Нормативное правовое регулирование совершенствования межбюджетных отношений</w:t>
            </w:r>
            <w:r>
              <w:rPr>
                <w:rFonts w:ascii="Times New Roman" w:hAnsi="Times New Roman" w:cs="Times New Roman"/>
                <w:sz w:val="24"/>
                <w:szCs w:val="24"/>
              </w:rPr>
              <w:t xml:space="preserve">», являющегося структурным элементом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является обеспечение справедливого распределения налога на прибыль организаций. В рамках данной задачи планируется подготовка и принятие </w:t>
            </w:r>
            <w:r w:rsidRPr="00D237BC">
              <w:rPr>
                <w:rFonts w:ascii="Times New Roman" w:hAnsi="Times New Roman" w:cs="Times New Roman"/>
                <w:sz w:val="24"/>
                <w:szCs w:val="24"/>
              </w:rPr>
              <w:t>Федеральн</w:t>
            </w:r>
            <w:r>
              <w:rPr>
                <w:rFonts w:ascii="Times New Roman" w:hAnsi="Times New Roman" w:cs="Times New Roman"/>
                <w:sz w:val="24"/>
                <w:szCs w:val="24"/>
              </w:rPr>
              <w:t>ого</w:t>
            </w:r>
            <w:r w:rsidRPr="00D237BC">
              <w:rPr>
                <w:rFonts w:ascii="Times New Roman" w:hAnsi="Times New Roman" w:cs="Times New Roman"/>
                <w:sz w:val="24"/>
                <w:szCs w:val="24"/>
              </w:rPr>
              <w:t xml:space="preserve"> закон</w:t>
            </w:r>
            <w:r>
              <w:rPr>
                <w:rFonts w:ascii="Times New Roman" w:hAnsi="Times New Roman" w:cs="Times New Roman"/>
                <w:sz w:val="24"/>
                <w:szCs w:val="24"/>
              </w:rPr>
              <w:t>а</w:t>
            </w:r>
            <w:r w:rsidRPr="00D237BC">
              <w:rPr>
                <w:rFonts w:ascii="Times New Roman" w:hAnsi="Times New Roman" w:cs="Times New Roman"/>
                <w:sz w:val="24"/>
                <w:szCs w:val="24"/>
              </w:rPr>
              <w:t xml:space="preserve"> «Об установлении особенности применения статьи 56 Бюджетного</w:t>
            </w:r>
            <w:r>
              <w:rPr>
                <w:rFonts w:ascii="Times New Roman" w:hAnsi="Times New Roman" w:cs="Times New Roman"/>
                <w:sz w:val="24"/>
                <w:szCs w:val="24"/>
              </w:rPr>
              <w:t xml:space="preserve"> кодекса Российской Федерации» </w:t>
            </w:r>
            <w:r w:rsidRPr="00D237BC">
              <w:rPr>
                <w:rFonts w:ascii="Times New Roman" w:hAnsi="Times New Roman" w:cs="Times New Roman"/>
                <w:sz w:val="24"/>
                <w:szCs w:val="24"/>
              </w:rPr>
              <w:t>(в части распределения налога на п</w:t>
            </w:r>
            <w:r>
              <w:rPr>
                <w:rFonts w:ascii="Times New Roman" w:hAnsi="Times New Roman" w:cs="Times New Roman"/>
                <w:sz w:val="24"/>
                <w:szCs w:val="24"/>
              </w:rPr>
              <w:t xml:space="preserve">рибыль организаций, уплаченной </w:t>
            </w:r>
            <w:r w:rsidRPr="00D237BC">
              <w:rPr>
                <w:rFonts w:ascii="Times New Roman" w:hAnsi="Times New Roman" w:cs="Times New Roman"/>
                <w:sz w:val="24"/>
                <w:szCs w:val="24"/>
              </w:rPr>
              <w:t>налогоплательщиками, которые до 1 января 2023 года являлись участниками договора о создании консолидированной группы налогоплательщиков)</w:t>
            </w:r>
            <w:r>
              <w:rPr>
                <w:rFonts w:ascii="Times New Roman" w:hAnsi="Times New Roman" w:cs="Times New Roman"/>
                <w:sz w:val="24"/>
                <w:szCs w:val="24"/>
              </w:rPr>
              <w:t xml:space="preserve"> и </w:t>
            </w:r>
            <w:r w:rsidRPr="00D237BC">
              <w:rPr>
                <w:rFonts w:ascii="Times New Roman" w:hAnsi="Times New Roman" w:cs="Times New Roman"/>
                <w:sz w:val="24"/>
                <w:szCs w:val="24"/>
              </w:rPr>
              <w:t>Федеральн</w:t>
            </w:r>
            <w:r>
              <w:rPr>
                <w:rFonts w:ascii="Times New Roman" w:hAnsi="Times New Roman" w:cs="Times New Roman"/>
                <w:sz w:val="24"/>
                <w:szCs w:val="24"/>
              </w:rPr>
              <w:t>ого</w:t>
            </w:r>
            <w:r w:rsidRPr="00D237BC">
              <w:rPr>
                <w:rFonts w:ascii="Times New Roman" w:hAnsi="Times New Roman" w:cs="Times New Roman"/>
                <w:sz w:val="24"/>
                <w:szCs w:val="24"/>
              </w:rPr>
              <w:t xml:space="preserve"> закон</w:t>
            </w:r>
            <w:r>
              <w:rPr>
                <w:rFonts w:ascii="Times New Roman" w:hAnsi="Times New Roman" w:cs="Times New Roman"/>
                <w:sz w:val="24"/>
                <w:szCs w:val="24"/>
              </w:rPr>
              <w:t>а</w:t>
            </w:r>
            <w:r w:rsidRPr="00D237BC">
              <w:rPr>
                <w:rFonts w:ascii="Times New Roman" w:hAnsi="Times New Roman" w:cs="Times New Roman"/>
                <w:sz w:val="24"/>
                <w:szCs w:val="24"/>
              </w:rPr>
              <w:t xml:space="preserve"> </w:t>
            </w:r>
            <w:r w:rsidR="009322C2">
              <w:rPr>
                <w:rFonts w:ascii="Times New Roman" w:hAnsi="Times New Roman" w:cs="Times New Roman"/>
                <w:sz w:val="24"/>
                <w:szCs w:val="24"/>
              </w:rPr>
              <w:t>«О</w:t>
            </w:r>
            <w:r w:rsidRPr="00D237BC">
              <w:rPr>
                <w:rFonts w:ascii="Times New Roman" w:hAnsi="Times New Roman" w:cs="Times New Roman"/>
                <w:sz w:val="24"/>
                <w:szCs w:val="24"/>
              </w:rPr>
              <w:t xml:space="preserve"> внесении изменений в Налоговый кодекс Российской Федерации (в части уточнения опреде</w:t>
            </w:r>
            <w:r w:rsidR="009322C2">
              <w:rPr>
                <w:rFonts w:ascii="Times New Roman" w:hAnsi="Times New Roman" w:cs="Times New Roman"/>
                <w:sz w:val="24"/>
                <w:szCs w:val="24"/>
              </w:rPr>
              <w:t>ления доли прибыли обособленного подразделения).</w:t>
            </w:r>
          </w:p>
          <w:p w:rsidR="009322C2" w:rsidRPr="00A741F6" w:rsidRDefault="009322C2" w:rsidP="009322C2">
            <w:pPr>
              <w:ind w:firstLine="164"/>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предусмотрены меры, направленные на   </w:t>
            </w:r>
            <w:r w:rsidRPr="009322C2">
              <w:rPr>
                <w:rFonts w:ascii="Times New Roman" w:hAnsi="Times New Roman" w:cs="Times New Roman"/>
                <w:sz w:val="24"/>
                <w:szCs w:val="24"/>
              </w:rPr>
              <w:t>снижени</w:t>
            </w:r>
            <w:r>
              <w:rPr>
                <w:rFonts w:ascii="Times New Roman" w:hAnsi="Times New Roman" w:cs="Times New Roman"/>
                <w:sz w:val="24"/>
                <w:szCs w:val="24"/>
              </w:rPr>
              <w:t>е</w:t>
            </w:r>
            <w:r w:rsidRPr="009322C2">
              <w:rPr>
                <w:rFonts w:ascii="Times New Roman" w:hAnsi="Times New Roman" w:cs="Times New Roman"/>
                <w:sz w:val="24"/>
                <w:szCs w:val="24"/>
              </w:rPr>
              <w:t xml:space="preserve"> негативных последствий отмены КГН</w:t>
            </w:r>
            <w:r>
              <w:rPr>
                <w:rFonts w:ascii="Times New Roman" w:hAnsi="Times New Roman" w:cs="Times New Roman"/>
                <w:sz w:val="24"/>
                <w:szCs w:val="24"/>
              </w:rPr>
              <w:t>.</w:t>
            </w:r>
          </w:p>
        </w:tc>
      </w:tr>
      <w:tr w:rsidR="00B83282" w:rsidRPr="00A741F6" w:rsidTr="009322C2">
        <w:tc>
          <w:tcPr>
            <w:tcW w:w="6799" w:type="dxa"/>
          </w:tcPr>
          <w:p w:rsidR="00B83282" w:rsidRPr="00B8328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lastRenderedPageBreak/>
              <w:t>В целях стимулирования увеличения объемов частных инвестиций, необходимых, в том числе, для реализации национальных целей развития Российской Федерации и комплекса стратегических инициатив в сфере социально-экономического развития, предлагаю:</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1)</w:t>
            </w:r>
            <w:r w:rsidR="00B83282" w:rsidRPr="00B83282">
              <w:rPr>
                <w:rFonts w:ascii="Times New Roman" w:hAnsi="Times New Roman" w:cs="Times New Roman"/>
                <w:sz w:val="24"/>
              </w:rPr>
              <w:t xml:space="preserve"> рассмотреть возможность продления инвестиционного налогового вычета (ИНВ) до 2050 года и введения компенсации регионам со стороны федерального центра части выпадающих доходов из-за введения ИНВ;</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2)</w:t>
            </w:r>
            <w:r w:rsidR="00B83282" w:rsidRPr="00B83282">
              <w:rPr>
                <w:rFonts w:ascii="Times New Roman" w:hAnsi="Times New Roman" w:cs="Times New Roman"/>
                <w:sz w:val="24"/>
              </w:rPr>
              <w:t xml:space="preserve"> закрепить единые для всех регионов условия применения инвестиционного налогового вычета (ИНВ);</w:t>
            </w:r>
          </w:p>
          <w:p w:rsidR="00B83282" w:rsidRPr="00B83282" w:rsidRDefault="009322C2" w:rsidP="009322C2">
            <w:pPr>
              <w:ind w:firstLine="164"/>
              <w:jc w:val="both"/>
              <w:rPr>
                <w:rFonts w:ascii="Times New Roman" w:hAnsi="Times New Roman" w:cs="Times New Roman"/>
                <w:sz w:val="24"/>
              </w:rPr>
            </w:pPr>
            <w:r>
              <w:rPr>
                <w:rFonts w:ascii="Times New Roman" w:hAnsi="Times New Roman" w:cs="Times New Roman"/>
                <w:sz w:val="24"/>
              </w:rPr>
              <w:lastRenderedPageBreak/>
              <w:t>3)</w:t>
            </w:r>
            <w:r w:rsidR="00B83282" w:rsidRPr="00B83282">
              <w:rPr>
                <w:rFonts w:ascii="Times New Roman" w:hAnsi="Times New Roman" w:cs="Times New Roman"/>
                <w:sz w:val="24"/>
              </w:rPr>
              <w:t xml:space="preserve"> предоставить налогоплательщикам право начислять амортизацию и применять амортизационную </w:t>
            </w:r>
            <w:r>
              <w:rPr>
                <w:rFonts w:ascii="Times New Roman" w:hAnsi="Times New Roman" w:cs="Times New Roman"/>
                <w:sz w:val="24"/>
              </w:rPr>
              <w:t xml:space="preserve">премию в отношении расходов на </w:t>
            </w:r>
            <w:r w:rsidR="00B83282" w:rsidRPr="00B83282">
              <w:rPr>
                <w:rFonts w:ascii="Times New Roman" w:hAnsi="Times New Roman" w:cs="Times New Roman"/>
                <w:sz w:val="24"/>
              </w:rPr>
              <w:t>создание/</w:t>
            </w:r>
            <w:r>
              <w:rPr>
                <w:rFonts w:ascii="Times New Roman" w:hAnsi="Times New Roman" w:cs="Times New Roman"/>
                <w:sz w:val="24"/>
              </w:rPr>
              <w:t xml:space="preserve"> </w:t>
            </w:r>
            <w:r w:rsidR="00B83282" w:rsidRPr="00B83282">
              <w:rPr>
                <w:rFonts w:ascii="Times New Roman" w:hAnsi="Times New Roman" w:cs="Times New Roman"/>
                <w:sz w:val="24"/>
              </w:rPr>
              <w:t>приобретение/</w:t>
            </w:r>
            <w:r>
              <w:rPr>
                <w:rFonts w:ascii="Times New Roman" w:hAnsi="Times New Roman" w:cs="Times New Roman"/>
                <w:sz w:val="24"/>
              </w:rPr>
              <w:t xml:space="preserve"> </w:t>
            </w:r>
            <w:r w:rsidR="00B83282" w:rsidRPr="00B83282">
              <w:rPr>
                <w:rFonts w:ascii="Times New Roman" w:hAnsi="Times New Roman" w:cs="Times New Roman"/>
                <w:sz w:val="24"/>
              </w:rPr>
              <w:t>реконструкцию/</w:t>
            </w:r>
            <w:r>
              <w:rPr>
                <w:rFonts w:ascii="Times New Roman" w:hAnsi="Times New Roman" w:cs="Times New Roman"/>
                <w:sz w:val="24"/>
              </w:rPr>
              <w:t xml:space="preserve"> </w:t>
            </w:r>
            <w:r w:rsidR="00B83282" w:rsidRPr="00B83282">
              <w:rPr>
                <w:rFonts w:ascii="Times New Roman" w:hAnsi="Times New Roman" w:cs="Times New Roman"/>
                <w:sz w:val="24"/>
              </w:rPr>
              <w:t>модернизацию объектов ОС, превышающих предельный размер расходов, установленный законами субъектов РФ для целей ИНВ;</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4)</w:t>
            </w:r>
            <w:r w:rsidR="00B83282" w:rsidRPr="00B83282">
              <w:rPr>
                <w:rFonts w:ascii="Times New Roman" w:hAnsi="Times New Roman" w:cs="Times New Roman"/>
                <w:sz w:val="24"/>
              </w:rPr>
              <w:t xml:space="preserve"> закрепить на федеральном уровне максимальный размер ставки налога на прибыль, применяемой для расчета предельной величины ИНВ;</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5)</w:t>
            </w:r>
            <w:r w:rsidR="00B83282" w:rsidRPr="00B83282">
              <w:rPr>
                <w:rFonts w:ascii="Times New Roman" w:hAnsi="Times New Roman" w:cs="Times New Roman"/>
                <w:sz w:val="24"/>
              </w:rPr>
              <w:t xml:space="preserve"> предусмотреть возможность применения ИНВ организациями, имеющими обособленные подразделения на территории субъектов РФ, отличных от места регистрации организации;</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6)</w:t>
            </w:r>
            <w:r w:rsidR="00B83282" w:rsidRPr="00B83282">
              <w:rPr>
                <w:rFonts w:ascii="Times New Roman" w:hAnsi="Times New Roman" w:cs="Times New Roman"/>
                <w:sz w:val="24"/>
              </w:rPr>
              <w:t xml:space="preserve"> предусмотреть возможность «льготирования» федеральной части налога на прибыль вне зависимости от решения субъекта РФ;</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7)</w:t>
            </w:r>
            <w:r w:rsidR="00B83282" w:rsidRPr="00B83282">
              <w:rPr>
                <w:rFonts w:ascii="Times New Roman" w:hAnsi="Times New Roman" w:cs="Times New Roman"/>
                <w:sz w:val="24"/>
              </w:rPr>
              <w:t xml:space="preserve"> предоставить налогоплательщикам право в случае принятия ими решения об отказе от использования права на ИНВ применять положения НК РФ в части начисления амортизации и применения амортизационной премии в отношении стоимости объектов ОС, сформированной за счет расходов, по которым не было использовано право на применение ИНВ, а также не было использовано право уменьшить сумму налога, подлежащую зачислению в федеральный бюджет;</w:t>
            </w:r>
          </w:p>
          <w:p w:rsidR="00B83282" w:rsidRPr="00B83282" w:rsidRDefault="009322C2" w:rsidP="00B83282">
            <w:pPr>
              <w:ind w:firstLine="164"/>
              <w:jc w:val="both"/>
              <w:rPr>
                <w:rFonts w:ascii="Times New Roman" w:hAnsi="Times New Roman" w:cs="Times New Roman"/>
                <w:sz w:val="24"/>
              </w:rPr>
            </w:pPr>
            <w:r>
              <w:rPr>
                <w:rFonts w:ascii="Times New Roman" w:hAnsi="Times New Roman" w:cs="Times New Roman"/>
                <w:sz w:val="24"/>
              </w:rPr>
              <w:t>8)</w:t>
            </w:r>
            <w:r w:rsidR="00B83282" w:rsidRPr="00B83282">
              <w:rPr>
                <w:rFonts w:ascii="Times New Roman" w:hAnsi="Times New Roman" w:cs="Times New Roman"/>
                <w:sz w:val="24"/>
              </w:rPr>
              <w:t xml:space="preserve"> предусмотреть порядок переноса ИНВ после окончания действия ст. 286.1. НК РФ;</w:t>
            </w:r>
          </w:p>
          <w:p w:rsidR="00B83282" w:rsidRPr="00760B42" w:rsidRDefault="009322C2" w:rsidP="00B83282">
            <w:pPr>
              <w:ind w:firstLine="164"/>
              <w:jc w:val="both"/>
              <w:rPr>
                <w:rFonts w:ascii="Times New Roman" w:hAnsi="Times New Roman" w:cs="Times New Roman"/>
                <w:sz w:val="24"/>
              </w:rPr>
            </w:pPr>
            <w:r>
              <w:rPr>
                <w:rFonts w:ascii="Times New Roman" w:hAnsi="Times New Roman" w:cs="Times New Roman"/>
                <w:sz w:val="24"/>
              </w:rPr>
              <w:t>9)</w:t>
            </w:r>
            <w:r w:rsidR="00B83282" w:rsidRPr="00B83282">
              <w:rPr>
                <w:rFonts w:ascii="Times New Roman" w:hAnsi="Times New Roman" w:cs="Times New Roman"/>
                <w:sz w:val="24"/>
              </w:rPr>
              <w:t xml:space="preserve"> закрепить в НК РФ случаи выбытия имущества, при которых нет необходимости восстанавливать ИНВ и платить пени (гибель, утрата и прочие, а также любое выбытие более чем через 5 лет непрерывного владения).</w:t>
            </w:r>
          </w:p>
        </w:tc>
        <w:tc>
          <w:tcPr>
            <w:tcW w:w="7761" w:type="dxa"/>
          </w:tcPr>
          <w:p w:rsidR="00B83282" w:rsidRDefault="009322C2" w:rsidP="00E67B47">
            <w:pPr>
              <w:ind w:firstLine="164"/>
              <w:jc w:val="both"/>
              <w:rPr>
                <w:rFonts w:ascii="Times New Roman" w:hAnsi="Times New Roman" w:cs="Times New Roman"/>
                <w:sz w:val="24"/>
                <w:szCs w:val="24"/>
              </w:rPr>
            </w:pPr>
            <w:r>
              <w:rPr>
                <w:rFonts w:ascii="Times New Roman" w:hAnsi="Times New Roman" w:cs="Times New Roman"/>
                <w:sz w:val="24"/>
                <w:szCs w:val="24"/>
              </w:rPr>
              <w:lastRenderedPageBreak/>
              <w:t>В части предложения 1.</w:t>
            </w:r>
          </w:p>
          <w:p w:rsidR="009322C2" w:rsidRDefault="009322C2" w:rsidP="00E67B47">
            <w:pPr>
              <w:ind w:firstLine="164"/>
              <w:jc w:val="both"/>
              <w:rPr>
                <w:rFonts w:ascii="Times New Roman" w:hAnsi="Times New Roman" w:cs="Times New Roman"/>
                <w:sz w:val="24"/>
                <w:szCs w:val="24"/>
              </w:rPr>
            </w:pPr>
            <w:r>
              <w:rPr>
                <w:rFonts w:ascii="Times New Roman" w:hAnsi="Times New Roman" w:cs="Times New Roman"/>
                <w:sz w:val="24"/>
                <w:szCs w:val="24"/>
              </w:rPr>
              <w:t>П</w:t>
            </w:r>
            <w:r w:rsidRPr="009322C2">
              <w:rPr>
                <w:rFonts w:ascii="Times New Roman" w:hAnsi="Times New Roman" w:cs="Times New Roman"/>
                <w:sz w:val="24"/>
                <w:szCs w:val="24"/>
              </w:rPr>
              <w:t>редложение по продлению периода действия механизма ИНВ в настоящее время прорабатывается в рамках подготовки Основных направлений бюджетной, налоговой и таможенно-тарифной политики на 2023 год и плановый период 2024 и 2025 годов.</w:t>
            </w:r>
          </w:p>
          <w:p w:rsidR="009322C2" w:rsidRDefault="009322C2" w:rsidP="00E67B47">
            <w:pPr>
              <w:ind w:firstLine="164"/>
              <w:jc w:val="both"/>
              <w:rPr>
                <w:rFonts w:ascii="Times New Roman" w:hAnsi="Times New Roman" w:cs="Times New Roman"/>
                <w:sz w:val="24"/>
                <w:szCs w:val="24"/>
              </w:rPr>
            </w:pPr>
            <w:r w:rsidRPr="009322C2">
              <w:rPr>
                <w:rFonts w:ascii="Times New Roman" w:hAnsi="Times New Roman" w:cs="Times New Roman"/>
                <w:sz w:val="24"/>
                <w:szCs w:val="24"/>
              </w:rPr>
              <w:t>В части предложени</w:t>
            </w:r>
            <w:r>
              <w:rPr>
                <w:rFonts w:ascii="Times New Roman" w:hAnsi="Times New Roman" w:cs="Times New Roman"/>
                <w:sz w:val="24"/>
                <w:szCs w:val="24"/>
              </w:rPr>
              <w:t>й 2-4 и 7</w:t>
            </w:r>
            <w:r w:rsidRPr="009322C2">
              <w:rPr>
                <w:rFonts w:ascii="Times New Roman" w:hAnsi="Times New Roman" w:cs="Times New Roman"/>
                <w:sz w:val="24"/>
                <w:szCs w:val="24"/>
              </w:rPr>
              <w:t>.</w:t>
            </w:r>
          </w:p>
          <w:p w:rsidR="009322C2" w:rsidRDefault="009322C2" w:rsidP="00E67B47">
            <w:pPr>
              <w:ind w:firstLine="164"/>
              <w:jc w:val="both"/>
              <w:rPr>
                <w:rFonts w:ascii="Times New Roman" w:hAnsi="Times New Roman" w:cs="Times New Roman"/>
                <w:sz w:val="24"/>
                <w:szCs w:val="24"/>
              </w:rPr>
            </w:pPr>
            <w:r w:rsidRPr="009322C2">
              <w:rPr>
                <w:rFonts w:ascii="Times New Roman" w:hAnsi="Times New Roman" w:cs="Times New Roman"/>
                <w:sz w:val="24"/>
                <w:szCs w:val="24"/>
              </w:rPr>
              <w:t xml:space="preserve">Данные предложения не поддерживаются, поскольку предлагаемые мероприятия направлены на сужение полномочий субъектов Российской Федерации, в то время как ИНВ уменьшает непосредственно сумму налога на прибыль организаций, подлежащего уплате в бюджеты субъектов Российской Федерации, и решение по его введению на </w:t>
            </w:r>
            <w:r w:rsidRPr="009322C2">
              <w:rPr>
                <w:rFonts w:ascii="Times New Roman" w:hAnsi="Times New Roman" w:cs="Times New Roman"/>
                <w:sz w:val="24"/>
                <w:szCs w:val="24"/>
              </w:rPr>
              <w:lastRenderedPageBreak/>
              <w:t>соответствующей территории также принимают субъекты Российской Федерации.</w:t>
            </w:r>
          </w:p>
          <w:p w:rsidR="009322C2" w:rsidRDefault="009322C2" w:rsidP="00E67B47">
            <w:pPr>
              <w:ind w:firstLine="164"/>
              <w:jc w:val="both"/>
              <w:rPr>
                <w:rFonts w:ascii="Times New Roman" w:hAnsi="Times New Roman" w:cs="Times New Roman"/>
                <w:sz w:val="24"/>
                <w:szCs w:val="24"/>
              </w:rPr>
            </w:pPr>
            <w:r w:rsidRPr="009322C2">
              <w:rPr>
                <w:rFonts w:ascii="Times New Roman" w:hAnsi="Times New Roman" w:cs="Times New Roman"/>
                <w:sz w:val="24"/>
                <w:szCs w:val="24"/>
              </w:rPr>
              <w:t xml:space="preserve">В части предложения </w:t>
            </w:r>
            <w:r>
              <w:rPr>
                <w:rFonts w:ascii="Times New Roman" w:hAnsi="Times New Roman" w:cs="Times New Roman"/>
                <w:sz w:val="24"/>
                <w:szCs w:val="24"/>
              </w:rPr>
              <w:t>5</w:t>
            </w:r>
            <w:r w:rsidRPr="009322C2">
              <w:rPr>
                <w:rFonts w:ascii="Times New Roman" w:hAnsi="Times New Roman" w:cs="Times New Roman"/>
                <w:sz w:val="24"/>
                <w:szCs w:val="24"/>
              </w:rPr>
              <w:t>.</w:t>
            </w:r>
          </w:p>
          <w:p w:rsidR="009322C2" w:rsidRDefault="009322C2" w:rsidP="009322C2">
            <w:pPr>
              <w:ind w:firstLine="164"/>
              <w:jc w:val="both"/>
              <w:rPr>
                <w:rFonts w:ascii="Times New Roman" w:hAnsi="Times New Roman" w:cs="Times New Roman"/>
                <w:sz w:val="24"/>
                <w:szCs w:val="24"/>
              </w:rPr>
            </w:pPr>
            <w:r w:rsidRPr="009322C2">
              <w:rPr>
                <w:rFonts w:ascii="Times New Roman" w:hAnsi="Times New Roman" w:cs="Times New Roman"/>
                <w:sz w:val="24"/>
                <w:szCs w:val="24"/>
              </w:rPr>
              <w:t>Предложение требует уточнения, учитывая то, что статьей 286</w:t>
            </w:r>
            <w:r w:rsidRPr="00B673BF">
              <w:rPr>
                <w:rFonts w:ascii="Times New Roman" w:hAnsi="Times New Roman" w:cs="Times New Roman"/>
                <w:sz w:val="24"/>
                <w:szCs w:val="24"/>
                <w:vertAlign w:val="superscript"/>
              </w:rPr>
              <w:t>1</w:t>
            </w:r>
            <w:r w:rsidRPr="009322C2">
              <w:rPr>
                <w:rFonts w:ascii="Times New Roman" w:hAnsi="Times New Roman" w:cs="Times New Roman"/>
                <w:sz w:val="24"/>
                <w:szCs w:val="24"/>
              </w:rPr>
              <w:t xml:space="preserve"> Налогового кодекса Российской </w:t>
            </w:r>
            <w:r>
              <w:rPr>
                <w:rFonts w:ascii="Times New Roman" w:hAnsi="Times New Roman" w:cs="Times New Roman"/>
                <w:sz w:val="24"/>
                <w:szCs w:val="24"/>
              </w:rPr>
              <w:t xml:space="preserve">Федерации </w:t>
            </w:r>
            <w:r w:rsidRPr="009322C2">
              <w:rPr>
                <w:rFonts w:ascii="Times New Roman" w:hAnsi="Times New Roman" w:cs="Times New Roman"/>
                <w:sz w:val="24"/>
                <w:szCs w:val="24"/>
              </w:rPr>
              <w:t>уже предусмотрено применение ИНВ к сумме налога на прибыль организаций, подлежащего зачислению в бюджет того субъекта Российской Федерации, в котором располагается соответствующее обособленное подразделение налогоплательщика.</w:t>
            </w:r>
          </w:p>
          <w:p w:rsidR="00C038F2" w:rsidRDefault="00C038F2" w:rsidP="00C038F2">
            <w:pPr>
              <w:ind w:firstLine="164"/>
              <w:jc w:val="both"/>
              <w:rPr>
                <w:rFonts w:ascii="Times New Roman" w:hAnsi="Times New Roman" w:cs="Times New Roman"/>
                <w:sz w:val="24"/>
                <w:szCs w:val="24"/>
              </w:rPr>
            </w:pPr>
            <w:r w:rsidRPr="009322C2">
              <w:rPr>
                <w:rFonts w:ascii="Times New Roman" w:hAnsi="Times New Roman" w:cs="Times New Roman"/>
                <w:sz w:val="24"/>
                <w:szCs w:val="24"/>
              </w:rPr>
              <w:t xml:space="preserve">В части предложения </w:t>
            </w:r>
            <w:r>
              <w:rPr>
                <w:rFonts w:ascii="Times New Roman" w:hAnsi="Times New Roman" w:cs="Times New Roman"/>
                <w:sz w:val="24"/>
                <w:szCs w:val="24"/>
              </w:rPr>
              <w:t>8</w:t>
            </w:r>
            <w:r w:rsidRPr="009322C2">
              <w:rPr>
                <w:rFonts w:ascii="Times New Roman" w:hAnsi="Times New Roman" w:cs="Times New Roman"/>
                <w:sz w:val="24"/>
                <w:szCs w:val="24"/>
              </w:rPr>
              <w:t>.</w:t>
            </w:r>
          </w:p>
          <w:p w:rsidR="00C038F2" w:rsidRPr="009322C2" w:rsidRDefault="00C038F2" w:rsidP="00C038F2">
            <w:pPr>
              <w:ind w:firstLine="164"/>
              <w:jc w:val="both"/>
              <w:rPr>
                <w:rFonts w:ascii="Times New Roman" w:hAnsi="Times New Roman" w:cs="Times New Roman"/>
                <w:sz w:val="24"/>
                <w:szCs w:val="24"/>
              </w:rPr>
            </w:pPr>
            <w:r w:rsidRPr="009322C2">
              <w:rPr>
                <w:rFonts w:ascii="Times New Roman" w:hAnsi="Times New Roman" w:cs="Times New Roman"/>
                <w:sz w:val="24"/>
                <w:szCs w:val="24"/>
              </w:rPr>
              <w:t>Следует отметить, что в соответствии с гражданским законодательством предпринимательской деятельностью я</w:t>
            </w:r>
            <w:bookmarkStart w:id="0" w:name="_GoBack"/>
            <w:bookmarkEnd w:id="0"/>
            <w:r w:rsidRPr="009322C2">
              <w:rPr>
                <w:rFonts w:ascii="Times New Roman" w:hAnsi="Times New Roman" w:cs="Times New Roman"/>
                <w:sz w:val="24"/>
                <w:szCs w:val="24"/>
              </w:rPr>
              <w:t xml:space="preserve">вляется самостоятельная, осуществляемая на свой риск деятельность, направленная </w:t>
            </w:r>
            <w:r>
              <w:rPr>
                <w:rFonts w:ascii="Times New Roman" w:hAnsi="Times New Roman" w:cs="Times New Roman"/>
                <w:sz w:val="24"/>
                <w:szCs w:val="24"/>
              </w:rPr>
              <w:t>на систематическое получение</w:t>
            </w:r>
            <w:r w:rsidRPr="009322C2">
              <w:rPr>
                <w:rFonts w:ascii="Times New Roman" w:hAnsi="Times New Roman" w:cs="Times New Roman"/>
                <w:sz w:val="24"/>
                <w:szCs w:val="24"/>
              </w:rPr>
              <w:t xml:space="preserve"> прибыли от пользования имуществом, продажи товаров, выполнения работ или оказания услуг (пункт 1 статьи 2 Гражданского кодекса Российской Федерации).</w:t>
            </w:r>
          </w:p>
          <w:p w:rsidR="00C038F2" w:rsidRDefault="00C038F2" w:rsidP="00C038F2">
            <w:pPr>
              <w:ind w:firstLine="164"/>
              <w:jc w:val="both"/>
              <w:rPr>
                <w:rFonts w:ascii="Times New Roman" w:hAnsi="Times New Roman" w:cs="Times New Roman"/>
                <w:sz w:val="24"/>
                <w:szCs w:val="24"/>
              </w:rPr>
            </w:pPr>
            <w:r w:rsidRPr="009322C2">
              <w:rPr>
                <w:rFonts w:ascii="Times New Roman" w:hAnsi="Times New Roman" w:cs="Times New Roman"/>
                <w:sz w:val="24"/>
                <w:szCs w:val="24"/>
              </w:rPr>
              <w:t>Таким образом, полагаем, что инвестор при принятии решения о возможности применения ИНВ должен рассчитывать последствия своего выбора.</w:t>
            </w:r>
          </w:p>
          <w:p w:rsidR="009322C2" w:rsidRDefault="009322C2" w:rsidP="009322C2">
            <w:pPr>
              <w:ind w:firstLine="164"/>
              <w:jc w:val="both"/>
              <w:rPr>
                <w:rFonts w:ascii="Times New Roman" w:hAnsi="Times New Roman" w:cs="Times New Roman"/>
                <w:sz w:val="24"/>
                <w:szCs w:val="24"/>
              </w:rPr>
            </w:pPr>
            <w:r w:rsidRPr="009322C2">
              <w:rPr>
                <w:rFonts w:ascii="Times New Roman" w:hAnsi="Times New Roman" w:cs="Times New Roman"/>
                <w:sz w:val="24"/>
                <w:szCs w:val="24"/>
              </w:rPr>
              <w:t>В части предлож</w:t>
            </w:r>
            <w:r>
              <w:rPr>
                <w:rFonts w:ascii="Times New Roman" w:hAnsi="Times New Roman" w:cs="Times New Roman"/>
                <w:sz w:val="24"/>
                <w:szCs w:val="24"/>
              </w:rPr>
              <w:t>ений 6</w:t>
            </w:r>
            <w:r w:rsidRPr="009322C2">
              <w:rPr>
                <w:rFonts w:ascii="Times New Roman" w:hAnsi="Times New Roman" w:cs="Times New Roman"/>
                <w:sz w:val="24"/>
                <w:szCs w:val="24"/>
              </w:rPr>
              <w:t xml:space="preserve"> и </w:t>
            </w:r>
            <w:r>
              <w:rPr>
                <w:rFonts w:ascii="Times New Roman" w:hAnsi="Times New Roman" w:cs="Times New Roman"/>
                <w:sz w:val="24"/>
                <w:szCs w:val="24"/>
              </w:rPr>
              <w:t>9</w:t>
            </w:r>
            <w:r w:rsidRPr="009322C2">
              <w:rPr>
                <w:rFonts w:ascii="Times New Roman" w:hAnsi="Times New Roman" w:cs="Times New Roman"/>
                <w:sz w:val="24"/>
                <w:szCs w:val="24"/>
              </w:rPr>
              <w:t>.</w:t>
            </w:r>
          </w:p>
          <w:p w:rsidR="00C038F2" w:rsidRPr="00C038F2" w:rsidRDefault="00C038F2" w:rsidP="00C038F2">
            <w:pPr>
              <w:ind w:firstLine="164"/>
              <w:jc w:val="both"/>
              <w:rPr>
                <w:rFonts w:ascii="Times New Roman" w:hAnsi="Times New Roman" w:cs="Times New Roman"/>
                <w:sz w:val="24"/>
                <w:szCs w:val="24"/>
              </w:rPr>
            </w:pPr>
            <w:r w:rsidRPr="00C038F2">
              <w:rPr>
                <w:rFonts w:ascii="Times New Roman" w:hAnsi="Times New Roman" w:cs="Times New Roman"/>
                <w:sz w:val="24"/>
                <w:szCs w:val="24"/>
              </w:rPr>
              <w:t>ИНВ по налогу на прибыль организаций – это преференциальный механизм, который устанавливается субъектом Российской Федерации в целях формирования у налогоплательщиков стимула к созданию и обновлению тех или иных основных производственных фондов (а также к поддержке государственных или муниципальных учреждений культуры), расположенных на территории соответствующего субъекта Российской Федерации.</w:t>
            </w:r>
          </w:p>
          <w:p w:rsidR="00C038F2" w:rsidRDefault="00C038F2" w:rsidP="00C038F2">
            <w:pPr>
              <w:ind w:firstLine="164"/>
              <w:jc w:val="both"/>
              <w:rPr>
                <w:rFonts w:ascii="Times New Roman" w:hAnsi="Times New Roman" w:cs="Times New Roman"/>
                <w:sz w:val="24"/>
                <w:szCs w:val="24"/>
              </w:rPr>
            </w:pPr>
            <w:r w:rsidRPr="00C038F2">
              <w:rPr>
                <w:rFonts w:ascii="Times New Roman" w:hAnsi="Times New Roman" w:cs="Times New Roman"/>
                <w:sz w:val="24"/>
                <w:szCs w:val="24"/>
              </w:rPr>
              <w:t xml:space="preserve">В целях сохранения указанных объектов основных средств на территории таких субъектов Российской Федерации, а также в целях исключения злоупотреблений указанной налоговой преференцией было установлено требование по восстановлению и уплате налога на прибыль организаций с учетом пеней в случае реализации (выбытия) объектов </w:t>
            </w:r>
            <w:r w:rsidRPr="00C038F2">
              <w:rPr>
                <w:rFonts w:ascii="Times New Roman" w:hAnsi="Times New Roman" w:cs="Times New Roman"/>
                <w:sz w:val="24"/>
                <w:szCs w:val="24"/>
              </w:rPr>
              <w:lastRenderedPageBreak/>
              <w:t>основных средств, по которым налогоплательщик использовал право на применение ИНВ, до истечения срока их полезного использования.</w:t>
            </w:r>
          </w:p>
          <w:p w:rsidR="009322C2" w:rsidRPr="00A741F6" w:rsidRDefault="009322C2" w:rsidP="00C038F2">
            <w:pPr>
              <w:ind w:firstLine="164"/>
              <w:jc w:val="both"/>
              <w:rPr>
                <w:rFonts w:ascii="Times New Roman" w:hAnsi="Times New Roman" w:cs="Times New Roman"/>
                <w:sz w:val="24"/>
                <w:szCs w:val="24"/>
              </w:rPr>
            </w:pPr>
            <w:r w:rsidRPr="009322C2">
              <w:rPr>
                <w:rFonts w:ascii="Times New Roman" w:hAnsi="Times New Roman" w:cs="Times New Roman"/>
                <w:sz w:val="24"/>
                <w:szCs w:val="24"/>
              </w:rPr>
              <w:t>Учитывая изложенное, предложения не поддерживаются.</w:t>
            </w:r>
          </w:p>
        </w:tc>
      </w:tr>
      <w:tr w:rsidR="00B83282" w:rsidRPr="00A741F6" w:rsidTr="009322C2">
        <w:tc>
          <w:tcPr>
            <w:tcW w:w="6799" w:type="dxa"/>
          </w:tcPr>
          <w:p w:rsidR="00B83282" w:rsidRPr="00B8328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lastRenderedPageBreak/>
              <w:t>В рамках последних налоговых решений (очередное увеличение НДПИ, введение акциза на сталь) дополнительные налоговые поступления изымаются в федеральный бюджет, что может свидетельствовать о снижении эффективности управления региональными и муниципальными финансами.</w:t>
            </w:r>
          </w:p>
          <w:p w:rsidR="00B83282" w:rsidRPr="00B8328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t>Считаю необходимым предусмотреть в рассматриваемом проекте постановления параметры анонсируемых налоговых изменений, оказывающих влияние на федеративные отношения.</w:t>
            </w:r>
          </w:p>
          <w:p w:rsidR="00B83282" w:rsidRPr="00760B42" w:rsidRDefault="00B83282" w:rsidP="00B83282">
            <w:pPr>
              <w:ind w:firstLine="164"/>
              <w:jc w:val="both"/>
              <w:rPr>
                <w:rFonts w:ascii="Times New Roman" w:hAnsi="Times New Roman" w:cs="Times New Roman"/>
                <w:sz w:val="24"/>
              </w:rPr>
            </w:pPr>
            <w:r w:rsidRPr="00B83282">
              <w:rPr>
                <w:rFonts w:ascii="Times New Roman" w:hAnsi="Times New Roman" w:cs="Times New Roman"/>
                <w:sz w:val="24"/>
              </w:rPr>
              <w:t>В случае, если такие изменения оказывают негативное влияние на федеративные отношения, считаю необходимым предусмотреть в проекте постановления подходы по минимизации такого негативного влияния.</w:t>
            </w:r>
          </w:p>
        </w:tc>
        <w:tc>
          <w:tcPr>
            <w:tcW w:w="7761" w:type="dxa"/>
          </w:tcPr>
          <w:p w:rsidR="00D237BC" w:rsidRP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 xml:space="preserve">Введение акциза на жидкую сталь, используемую для производства продукции металлургического производства, и изменение подходов к налогообложению налогом на добычу полезных ископаемых (далее – НДПИ) добычи железных руд (за исключением окисленных железистых кварцитов) оказывает косвенное влияние на доходы региональных бюджетов за счет изменения поступления налога на прибыль организаций, ставка которого для региональных бюджетов составляет 17 процентов. </w:t>
            </w:r>
          </w:p>
          <w:p w:rsidR="00D237BC" w:rsidRDefault="00D237BC" w:rsidP="00D237BC">
            <w:pPr>
              <w:ind w:firstLine="164"/>
              <w:jc w:val="both"/>
              <w:rPr>
                <w:rFonts w:ascii="Times New Roman" w:hAnsi="Times New Roman" w:cs="Times New Roman"/>
                <w:sz w:val="24"/>
                <w:szCs w:val="24"/>
              </w:rPr>
            </w:pPr>
            <w:r w:rsidRPr="00D237BC">
              <w:rPr>
                <w:rFonts w:ascii="Times New Roman" w:hAnsi="Times New Roman" w:cs="Times New Roman"/>
                <w:sz w:val="24"/>
                <w:szCs w:val="24"/>
              </w:rPr>
              <w:t>При этом дополнительные поступления по НДПИ и от акциза на жидкую сталь, зачисляемые в доходы региональных бюджетов по нормативу 17 %, полностью компенсируют возможное снижение налога на прибыль организаций, зачисляемого в бюджеты субъектов Российской Федерации. Таким образом, указанные изменения налогообложения нейтральны для региональных бюджетов.</w:t>
            </w:r>
          </w:p>
          <w:p w:rsidR="00D237BC" w:rsidRPr="00A741F6" w:rsidRDefault="00D237BC" w:rsidP="00D237BC">
            <w:pPr>
              <w:ind w:firstLine="164"/>
              <w:jc w:val="both"/>
              <w:rPr>
                <w:rFonts w:ascii="Times New Roman" w:hAnsi="Times New Roman" w:cs="Times New Roman"/>
                <w:sz w:val="24"/>
                <w:szCs w:val="24"/>
              </w:rPr>
            </w:pPr>
            <w:r>
              <w:rPr>
                <w:rFonts w:ascii="Times New Roman" w:hAnsi="Times New Roman" w:cs="Times New Roman"/>
                <w:sz w:val="24"/>
                <w:szCs w:val="24"/>
              </w:rPr>
              <w:t>В связи с этим установление в государственной программе дополнительных мер нецелесообразно.</w:t>
            </w:r>
          </w:p>
        </w:tc>
      </w:tr>
    </w:tbl>
    <w:p w:rsidR="00A741F6" w:rsidRPr="00A741F6" w:rsidRDefault="00A741F6" w:rsidP="00A741F6">
      <w:pPr>
        <w:pStyle w:val="a3"/>
        <w:rPr>
          <w:rFonts w:ascii="Times New Roman" w:hAnsi="Times New Roman" w:cs="Times New Roman"/>
          <w:sz w:val="28"/>
        </w:rPr>
      </w:pPr>
    </w:p>
    <w:sectPr w:rsidR="00A741F6" w:rsidRPr="00A741F6" w:rsidSect="00760B42">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5C" w:rsidRDefault="00883C5C" w:rsidP="00760B42">
      <w:pPr>
        <w:spacing w:after="0" w:line="240" w:lineRule="auto"/>
      </w:pPr>
      <w:r>
        <w:separator/>
      </w:r>
    </w:p>
  </w:endnote>
  <w:endnote w:type="continuationSeparator" w:id="0">
    <w:p w:rsidR="00883C5C" w:rsidRDefault="00883C5C" w:rsidP="0076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5C" w:rsidRDefault="00883C5C" w:rsidP="00760B42">
      <w:pPr>
        <w:spacing w:after="0" w:line="240" w:lineRule="auto"/>
      </w:pPr>
      <w:r>
        <w:separator/>
      </w:r>
    </w:p>
  </w:footnote>
  <w:footnote w:type="continuationSeparator" w:id="0">
    <w:p w:rsidR="00883C5C" w:rsidRDefault="00883C5C" w:rsidP="0076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49509"/>
      <w:docPartObj>
        <w:docPartGallery w:val="Page Numbers (Top of Page)"/>
        <w:docPartUnique/>
      </w:docPartObj>
    </w:sdtPr>
    <w:sdtEndPr/>
    <w:sdtContent>
      <w:p w:rsidR="00760B42" w:rsidRDefault="00760B42">
        <w:pPr>
          <w:pStyle w:val="a5"/>
          <w:jc w:val="center"/>
        </w:pPr>
        <w:r>
          <w:fldChar w:fldCharType="begin"/>
        </w:r>
        <w:r>
          <w:instrText>PAGE   \* MERGEFORMAT</w:instrText>
        </w:r>
        <w:r>
          <w:fldChar w:fldCharType="separate"/>
        </w:r>
        <w:r w:rsidR="00B673BF">
          <w:rPr>
            <w:noProof/>
          </w:rPr>
          <w:t>4</w:t>
        </w:r>
        <w:r>
          <w:fldChar w:fldCharType="end"/>
        </w:r>
      </w:p>
    </w:sdtContent>
  </w:sdt>
  <w:p w:rsidR="00760B42" w:rsidRDefault="00760B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568"/>
    <w:multiLevelType w:val="hybridMultilevel"/>
    <w:tmpl w:val="8C504192"/>
    <w:lvl w:ilvl="0" w:tplc="1F6A6D0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5D"/>
    <w:rsid w:val="00030C9F"/>
    <w:rsid w:val="000568A3"/>
    <w:rsid w:val="000D7EF3"/>
    <w:rsid w:val="001043F0"/>
    <w:rsid w:val="001127C8"/>
    <w:rsid w:val="00207712"/>
    <w:rsid w:val="002C042D"/>
    <w:rsid w:val="002C0A68"/>
    <w:rsid w:val="0030171E"/>
    <w:rsid w:val="00313DBF"/>
    <w:rsid w:val="003813F5"/>
    <w:rsid w:val="004857F7"/>
    <w:rsid w:val="004D2E89"/>
    <w:rsid w:val="00516C93"/>
    <w:rsid w:val="00666C6F"/>
    <w:rsid w:val="00727F83"/>
    <w:rsid w:val="00760B42"/>
    <w:rsid w:val="007E718B"/>
    <w:rsid w:val="00883C5C"/>
    <w:rsid w:val="008879E9"/>
    <w:rsid w:val="008B4507"/>
    <w:rsid w:val="0091572F"/>
    <w:rsid w:val="00916B08"/>
    <w:rsid w:val="00920829"/>
    <w:rsid w:val="009322C2"/>
    <w:rsid w:val="00947E7D"/>
    <w:rsid w:val="009A4160"/>
    <w:rsid w:val="009D73CA"/>
    <w:rsid w:val="00A523E5"/>
    <w:rsid w:val="00A741F6"/>
    <w:rsid w:val="00AE735D"/>
    <w:rsid w:val="00AF29B5"/>
    <w:rsid w:val="00B25B55"/>
    <w:rsid w:val="00B673BF"/>
    <w:rsid w:val="00B83282"/>
    <w:rsid w:val="00C038F2"/>
    <w:rsid w:val="00C11F9E"/>
    <w:rsid w:val="00C75FA7"/>
    <w:rsid w:val="00D01EFC"/>
    <w:rsid w:val="00D02C74"/>
    <w:rsid w:val="00D237BC"/>
    <w:rsid w:val="00D63E95"/>
    <w:rsid w:val="00D81A56"/>
    <w:rsid w:val="00D96C90"/>
    <w:rsid w:val="00DE5D40"/>
    <w:rsid w:val="00DF3BC4"/>
    <w:rsid w:val="00E613F7"/>
    <w:rsid w:val="00E67B47"/>
    <w:rsid w:val="00E73B76"/>
    <w:rsid w:val="00EE7C7E"/>
    <w:rsid w:val="00F23515"/>
    <w:rsid w:val="00F7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FDFC-F95E-40BB-B46F-05B53C03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1F6"/>
    <w:pPr>
      <w:spacing w:after="0" w:line="240" w:lineRule="auto"/>
    </w:pPr>
  </w:style>
  <w:style w:type="table" w:styleId="a4">
    <w:name w:val="Table Grid"/>
    <w:basedOn w:val="a1"/>
    <w:uiPriority w:val="39"/>
    <w:rsid w:val="00A7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0B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B42"/>
  </w:style>
  <w:style w:type="paragraph" w:styleId="a7">
    <w:name w:val="footer"/>
    <w:basedOn w:val="a"/>
    <w:link w:val="a8"/>
    <w:uiPriority w:val="99"/>
    <w:unhideWhenUsed/>
    <w:rsid w:val="00760B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B42"/>
  </w:style>
  <w:style w:type="character" w:styleId="a9">
    <w:name w:val="Hyperlink"/>
    <w:basedOn w:val="a0"/>
    <w:uiPriority w:val="99"/>
    <w:unhideWhenUsed/>
    <w:rsid w:val="00516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Ханяфиева Эльнара Бариевна</dc:creator>
  <cp:keywords/>
  <dc:description/>
  <cp:lastModifiedBy>Ханяфиева Эльнара Бариевна</cp:lastModifiedBy>
  <cp:revision>9</cp:revision>
  <cp:lastPrinted>2022-03-24T16:18:00Z</cp:lastPrinted>
  <dcterms:created xsi:type="dcterms:W3CDTF">2021-09-16T10:03:00Z</dcterms:created>
  <dcterms:modified xsi:type="dcterms:W3CDTF">2022-03-25T07:22:00Z</dcterms:modified>
</cp:coreProperties>
</file>