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BCC" w:rsidRPr="00AA3EDD" w:rsidRDefault="007D4BCC" w:rsidP="007D4BCC">
      <w:pPr>
        <w:pStyle w:val="IASBSectionTitle2NonInd"/>
        <w:rPr>
          <w:sz w:val="36"/>
          <w:szCs w:val="36"/>
          <w:lang w:val="ru-RU"/>
        </w:rPr>
      </w:pPr>
      <w:bookmarkStart w:id="0" w:name="F32626243"/>
      <w:bookmarkStart w:id="1" w:name="F32515053"/>
      <w:bookmarkStart w:id="2" w:name="_GoBack"/>
      <w:bookmarkEnd w:id="2"/>
      <w:r w:rsidRPr="00AA3EDD">
        <w:rPr>
          <w:sz w:val="36"/>
          <w:szCs w:val="36"/>
          <w:lang w:val="ru-RU"/>
        </w:rPr>
        <w:t>М</w:t>
      </w:r>
      <w:r w:rsidR="00AC4681" w:rsidRPr="00AA3EDD">
        <w:rPr>
          <w:sz w:val="36"/>
          <w:szCs w:val="36"/>
          <w:lang w:val="ru-RU"/>
        </w:rPr>
        <w:t>еждународный стандарт финансовой отчетности</w:t>
      </w:r>
      <w:r w:rsidRPr="00AA3EDD">
        <w:rPr>
          <w:sz w:val="36"/>
          <w:szCs w:val="36"/>
          <w:lang w:val="ru-RU"/>
        </w:rPr>
        <w:t xml:space="preserve"> </w:t>
      </w:r>
      <w:r w:rsidR="00F420DA">
        <w:rPr>
          <w:sz w:val="36"/>
          <w:szCs w:val="36"/>
          <w:lang w:val="ru-RU"/>
        </w:rPr>
        <w:t>(</w:t>
      </w:r>
      <w:r w:rsidR="00F420DA">
        <w:rPr>
          <w:sz w:val="36"/>
          <w:szCs w:val="36"/>
        </w:rPr>
        <w:t>IFRS</w:t>
      </w:r>
      <w:r w:rsidR="00F420DA">
        <w:rPr>
          <w:sz w:val="36"/>
          <w:szCs w:val="36"/>
          <w:lang w:val="ru-RU"/>
        </w:rPr>
        <w:t xml:space="preserve">) </w:t>
      </w:r>
      <w:r w:rsidRPr="00AA3EDD">
        <w:rPr>
          <w:sz w:val="36"/>
          <w:szCs w:val="36"/>
          <w:lang w:val="ru-RU"/>
        </w:rPr>
        <w:t>9</w:t>
      </w:r>
      <w:r w:rsidRPr="00AA3EDD">
        <w:rPr>
          <w:sz w:val="36"/>
          <w:szCs w:val="36"/>
          <w:lang w:val="ru-RU"/>
        </w:rPr>
        <w:br/>
      </w:r>
      <w:r w:rsidR="00AC4681" w:rsidRPr="00AA3EDD">
        <w:rPr>
          <w:i/>
          <w:sz w:val="36"/>
          <w:szCs w:val="36"/>
          <w:lang w:val="ru-RU"/>
        </w:rPr>
        <w:t>«</w:t>
      </w:r>
      <w:r w:rsidRPr="00AA3EDD">
        <w:rPr>
          <w:i/>
          <w:sz w:val="36"/>
          <w:szCs w:val="36"/>
          <w:lang w:val="ru-RU"/>
        </w:rPr>
        <w:t>Финансовые инструменты</w:t>
      </w:r>
      <w:r w:rsidR="00AC4681" w:rsidRPr="00AA3EDD">
        <w:rPr>
          <w:i/>
          <w:sz w:val="36"/>
          <w:szCs w:val="36"/>
          <w:lang w:val="ru-RU"/>
        </w:rPr>
        <w:t>»</w:t>
      </w:r>
    </w:p>
    <w:p w:rsidR="007D4BCC" w:rsidRPr="0049187C" w:rsidRDefault="007D4BCC" w:rsidP="007D4BCC">
      <w:pPr>
        <w:pStyle w:val="IASBSectionTitle1NonInd"/>
        <w:pBdr>
          <w:bottom w:val="none" w:sz="0" w:space="0" w:color="auto"/>
        </w:pBdr>
        <w:rPr>
          <w:lang w:val="ru-RU"/>
        </w:rPr>
      </w:pPr>
      <w:r w:rsidRPr="0049187C">
        <w:rPr>
          <w:lang w:val="ru-RU"/>
        </w:rPr>
        <w:t>Глава 1 Цель</w:t>
      </w:r>
    </w:p>
    <w:bookmarkEnd w:id="1"/>
    <w:p w:rsidR="007D4BCC" w:rsidRPr="0049187C" w:rsidRDefault="007D4BCC" w:rsidP="007D4BCC">
      <w:pPr>
        <w:pStyle w:val="IASBNormalnpara"/>
        <w:rPr>
          <w:lang w:val="ru-RU"/>
        </w:rPr>
      </w:pPr>
      <w:r w:rsidRPr="0049187C">
        <w:rPr>
          <w:lang w:val="ru-RU"/>
        </w:rPr>
        <w:t>1.1</w:t>
      </w:r>
      <w:r w:rsidRPr="0049187C">
        <w:rPr>
          <w:lang w:val="ru-RU"/>
        </w:rPr>
        <w:tab/>
      </w:r>
      <w:r w:rsidR="00B643A3" w:rsidRPr="00170D8F">
        <w:rPr>
          <w:lang w:val="ru-RU"/>
        </w:rPr>
        <w:t xml:space="preserve">Цель настоящего стандарта – установить принципы отражения </w:t>
      </w:r>
      <w:r w:rsidR="00B643A3" w:rsidRPr="00170D8F">
        <w:rPr>
          <w:i/>
          <w:lang w:val="ru-RU"/>
        </w:rPr>
        <w:t>финансовых активов</w:t>
      </w:r>
      <w:r w:rsidR="00B643A3" w:rsidRPr="00170D8F">
        <w:rPr>
          <w:lang w:val="ru-RU"/>
        </w:rPr>
        <w:t xml:space="preserve"> и </w:t>
      </w:r>
      <w:r w:rsidR="00B643A3" w:rsidRPr="00170D8F">
        <w:rPr>
          <w:i/>
          <w:lang w:val="ru-RU"/>
        </w:rPr>
        <w:t xml:space="preserve">финансовых обязательств </w:t>
      </w:r>
      <w:r w:rsidR="00B643A3" w:rsidRPr="00170D8F">
        <w:rPr>
          <w:lang w:val="ru-RU"/>
        </w:rPr>
        <w:t>в финансовой отчетности для представления пользователям финансовой отчетност</w:t>
      </w:r>
      <w:r w:rsidR="00C674F5">
        <w:rPr>
          <w:lang w:val="ru-RU"/>
        </w:rPr>
        <w:t>и уместной и полезной информации</w:t>
      </w:r>
      <w:r w:rsidR="00B643A3" w:rsidRPr="00170D8F">
        <w:rPr>
          <w:lang w:val="ru-RU"/>
        </w:rPr>
        <w:t>, позволяющей им оценить суммы, сроки возникновения и неопределенность будущих денежных потоков организации.</w:t>
      </w:r>
    </w:p>
    <w:p w:rsidR="007D4BCC" w:rsidRPr="0049187C" w:rsidRDefault="007D4BCC" w:rsidP="007D4BCC">
      <w:pPr>
        <w:pStyle w:val="IASBSectionTitle1NonInd"/>
        <w:pBdr>
          <w:bottom w:val="none" w:sz="0" w:space="0" w:color="auto"/>
        </w:pBdr>
        <w:rPr>
          <w:lang w:val="ru-RU"/>
        </w:rPr>
      </w:pPr>
      <w:bookmarkStart w:id="3" w:name="F32515061"/>
      <w:r w:rsidRPr="0049187C">
        <w:rPr>
          <w:lang w:val="ru-RU"/>
        </w:rPr>
        <w:t xml:space="preserve">Глава 2 </w:t>
      </w:r>
      <w:bookmarkEnd w:id="3"/>
      <w:r w:rsidRPr="0049187C">
        <w:rPr>
          <w:lang w:val="ru-RU"/>
        </w:rPr>
        <w:t>Сфера применения</w:t>
      </w:r>
    </w:p>
    <w:p w:rsidR="00B643A3" w:rsidRPr="00170D8F" w:rsidRDefault="00B643A3" w:rsidP="00B643A3">
      <w:pPr>
        <w:pStyle w:val="IASBNormalnpara"/>
        <w:rPr>
          <w:b/>
          <w:lang w:val="ru-RU"/>
        </w:rPr>
      </w:pPr>
      <w:r w:rsidRPr="00170D8F">
        <w:rPr>
          <w:b/>
          <w:lang w:val="ru-RU"/>
        </w:rPr>
        <w:t>2.1</w:t>
      </w:r>
      <w:r w:rsidRPr="00170D8F">
        <w:rPr>
          <w:b/>
          <w:lang w:val="ru-RU"/>
        </w:rPr>
        <w:tab/>
        <w:t xml:space="preserve">Настоящий стандарт должен применяться всеми организациями ко всем </w:t>
      </w:r>
      <w:r w:rsidR="000234C7">
        <w:rPr>
          <w:b/>
          <w:lang w:val="ru-RU"/>
        </w:rPr>
        <w:t>типам</w:t>
      </w:r>
      <w:r w:rsidRPr="00170D8F">
        <w:rPr>
          <w:b/>
          <w:lang w:val="ru-RU"/>
        </w:rPr>
        <w:t xml:space="preserve"> финансовых инструментов, за исключением:</w:t>
      </w:r>
    </w:p>
    <w:p w:rsidR="00B643A3" w:rsidRPr="00170D8F" w:rsidRDefault="00B643A3" w:rsidP="00B643A3">
      <w:pPr>
        <w:pStyle w:val="IASBNormalnparaL1"/>
        <w:rPr>
          <w:b/>
          <w:lang w:val="ru-RU"/>
        </w:rPr>
      </w:pPr>
      <w:r w:rsidRPr="00170D8F">
        <w:rPr>
          <w:b/>
          <w:lang w:val="ru-RU"/>
        </w:rPr>
        <w:t>(a)</w:t>
      </w:r>
      <w:r w:rsidRPr="00170D8F">
        <w:rPr>
          <w:b/>
          <w:lang w:val="ru-RU"/>
        </w:rPr>
        <w:tab/>
      </w:r>
      <w:r w:rsidR="000234C7" w:rsidRPr="000234C7">
        <w:rPr>
          <w:b/>
          <w:lang w:val="ru-RU"/>
        </w:rPr>
        <w:t xml:space="preserve">тех долей участия в дочерних организациях, ассоциированных организациях и совместных предприятиях, которые учитываются в соответствии с МСФО (IFRS) 10 </w:t>
      </w:r>
      <w:r w:rsidR="000234C7" w:rsidRPr="000234C7">
        <w:rPr>
          <w:b/>
          <w:i/>
          <w:lang w:val="ru-RU"/>
        </w:rPr>
        <w:t>«Консолидированная финансовая отчетность»</w:t>
      </w:r>
      <w:r w:rsidR="000234C7" w:rsidRPr="000234C7">
        <w:rPr>
          <w:b/>
          <w:lang w:val="ru-RU"/>
        </w:rPr>
        <w:t xml:space="preserve">, МСФО (IAS) 27 </w:t>
      </w:r>
      <w:r w:rsidR="000234C7" w:rsidRPr="000234C7">
        <w:rPr>
          <w:b/>
          <w:i/>
          <w:lang w:val="ru-RU"/>
        </w:rPr>
        <w:t>«Отдельная финансовая отчетность»</w:t>
      </w:r>
      <w:r w:rsidR="000234C7" w:rsidRPr="000234C7">
        <w:rPr>
          <w:b/>
          <w:lang w:val="ru-RU"/>
        </w:rPr>
        <w:t xml:space="preserve"> или МСФО (IAS) 28 </w:t>
      </w:r>
      <w:r w:rsidR="000234C7" w:rsidRPr="000234C7">
        <w:rPr>
          <w:b/>
          <w:i/>
          <w:lang w:val="ru-RU"/>
        </w:rPr>
        <w:t>«Инвестиции в ассоциированные организации и совместные предприятия»</w:t>
      </w:r>
      <w:r w:rsidR="000234C7" w:rsidRPr="000234C7">
        <w:rPr>
          <w:b/>
          <w:lang w:val="ru-RU"/>
        </w:rPr>
        <w:t>. Однако в некоторых случаях МСФО (IFRS) 10, МСФО</w:t>
      </w:r>
      <w:r w:rsidR="000234C7" w:rsidRPr="000234C7">
        <w:rPr>
          <w:b/>
        </w:rPr>
        <w:t> </w:t>
      </w:r>
      <w:r w:rsidR="000234C7" w:rsidRPr="000234C7">
        <w:rPr>
          <w:b/>
          <w:lang w:val="ru-RU"/>
        </w:rPr>
        <w:t>(IAS)</w:t>
      </w:r>
      <w:r w:rsidR="000234C7" w:rsidRPr="000234C7">
        <w:rPr>
          <w:b/>
        </w:rPr>
        <w:t> </w:t>
      </w:r>
      <w:r w:rsidR="000234C7" w:rsidRPr="000234C7">
        <w:rPr>
          <w:b/>
          <w:lang w:val="ru-RU"/>
        </w:rPr>
        <w:t>27 или МСФО (IAS) 28 требуют от организации или разрешают ей осуществлять учет доли участия в дочерней организации, ассоциированной организации или в совместном предприятии в соответствии с некоторыми или всеми требованиями настоящего стандарта. Организации также должны применять настоящий стандарт к производным инструментам, предметом которых является доля участия в дочерней организации, ассоциированной организации или совместном предприятии, кроме случаев, когда такой производный инструмент отвечает определению долевого инструмента организации, приведенному в</w:t>
      </w:r>
      <w:r w:rsidR="000234C7">
        <w:rPr>
          <w:lang w:val="ru-RU"/>
        </w:rPr>
        <w:t xml:space="preserve"> </w:t>
      </w:r>
      <w:r w:rsidRPr="00170D8F">
        <w:rPr>
          <w:b/>
          <w:lang w:val="ru-RU"/>
        </w:rPr>
        <w:t xml:space="preserve">МСФО (IAS) 32 </w:t>
      </w:r>
      <w:r w:rsidRPr="00170D8F">
        <w:rPr>
          <w:b/>
          <w:i/>
          <w:lang w:val="ru-RU"/>
        </w:rPr>
        <w:t>«Финансовые инструменты: представление»</w:t>
      </w:r>
      <w:r w:rsidR="000234C7">
        <w:rPr>
          <w:b/>
          <w:lang w:val="ru-RU"/>
        </w:rPr>
        <w:t>;</w:t>
      </w:r>
    </w:p>
    <w:p w:rsidR="00047253" w:rsidRPr="00170D8F" w:rsidRDefault="00B643A3" w:rsidP="00047253">
      <w:pPr>
        <w:pStyle w:val="IASBNormalnparaL1"/>
        <w:rPr>
          <w:b/>
          <w:lang w:val="ru-RU"/>
        </w:rPr>
      </w:pPr>
      <w:r w:rsidRPr="00170D8F">
        <w:rPr>
          <w:b/>
          <w:lang w:val="ru-RU"/>
        </w:rPr>
        <w:t>(b)</w:t>
      </w:r>
      <w:r w:rsidRPr="00170D8F">
        <w:rPr>
          <w:b/>
          <w:lang w:val="ru-RU"/>
        </w:rPr>
        <w:tab/>
        <w:t>прав и обязанностей по договорам аренды,</w:t>
      </w:r>
      <w:r w:rsidR="00015E5A">
        <w:rPr>
          <w:b/>
          <w:lang w:val="ru-RU"/>
        </w:rPr>
        <w:t xml:space="preserve"> к которым применяется </w:t>
      </w:r>
      <w:r w:rsidR="00047253" w:rsidRPr="00423EC7">
        <w:rPr>
          <w:b/>
          <w:lang w:val="ru-RU"/>
        </w:rPr>
        <w:t xml:space="preserve">МСФО (IFRS) 16 </w:t>
      </w:r>
      <w:r w:rsidR="00047253" w:rsidRPr="00423EC7">
        <w:rPr>
          <w:b/>
          <w:i/>
          <w:lang w:val="ru-RU"/>
        </w:rPr>
        <w:t>«Аренда»</w:t>
      </w:r>
      <w:r w:rsidRPr="00170D8F">
        <w:rPr>
          <w:b/>
          <w:lang w:val="ru-RU"/>
        </w:rPr>
        <w:t>. Вместе с тем:</w:t>
      </w:r>
    </w:p>
    <w:p w:rsidR="00047253" w:rsidRPr="00047253" w:rsidRDefault="00047253" w:rsidP="00047253">
      <w:pPr>
        <w:pStyle w:val="IASBNormalnparaL2"/>
        <w:rPr>
          <w:b/>
          <w:lang w:val="ru-RU"/>
        </w:rPr>
      </w:pPr>
      <w:r w:rsidRPr="00047253">
        <w:rPr>
          <w:b/>
          <w:lang w:val="ru-RU"/>
        </w:rPr>
        <w:t>(i)</w:t>
      </w:r>
      <w:r w:rsidRPr="00047253">
        <w:rPr>
          <w:b/>
          <w:lang w:val="ru-RU"/>
        </w:rPr>
        <w:tab/>
        <w:t xml:space="preserve">к дебиторской задолженности по финансовой аренде (т. е. чистой инвестиции в финансовую аренду) и к дебиторской задолженности по операционной аренде, признанной арендодателем, применяются требования настоящего стандарта в части прекращения признания и в части обесценения; </w:t>
      </w:r>
    </w:p>
    <w:p w:rsidR="00047253" w:rsidRPr="00047253" w:rsidRDefault="00047253" w:rsidP="00047253">
      <w:pPr>
        <w:pStyle w:val="IASBNormalnparaL2"/>
        <w:rPr>
          <w:b/>
          <w:lang w:val="ru-RU"/>
        </w:rPr>
      </w:pPr>
      <w:r w:rsidRPr="00047253">
        <w:rPr>
          <w:b/>
          <w:lang w:val="ru-RU"/>
        </w:rPr>
        <w:t>(ii)</w:t>
      </w:r>
      <w:r w:rsidRPr="00047253">
        <w:rPr>
          <w:b/>
          <w:lang w:val="ru-RU"/>
        </w:rPr>
        <w:tab/>
        <w:t>к обязательствам по аренде, признанным арендатором, применяются требования пункта 3.3.1 настоящего стандарта в части прекращения признания; и</w:t>
      </w:r>
    </w:p>
    <w:p w:rsidR="00B643A3" w:rsidRPr="00170D8F" w:rsidRDefault="00047253" w:rsidP="00047253">
      <w:pPr>
        <w:pStyle w:val="IASBNormalnparaL2"/>
        <w:rPr>
          <w:b/>
          <w:lang w:val="ru-RU"/>
        </w:rPr>
      </w:pPr>
      <w:r w:rsidRPr="00047253">
        <w:rPr>
          <w:b/>
          <w:lang w:val="ru-RU"/>
        </w:rPr>
        <w:t>(iii)</w:t>
      </w:r>
      <w:r w:rsidRPr="00047253">
        <w:rPr>
          <w:b/>
          <w:lang w:val="ru-RU"/>
        </w:rPr>
        <w:tab/>
        <w:t>к производным инструментам, встроенным в договоры аренды, применяются требования настоящего стандарта, касающиеся встроенных производных инструментов.</w:t>
      </w:r>
    </w:p>
    <w:p w:rsidR="00B643A3" w:rsidRPr="00170D8F" w:rsidRDefault="00B643A3" w:rsidP="00B643A3">
      <w:pPr>
        <w:pStyle w:val="IASBNormalnparaL1"/>
        <w:rPr>
          <w:b/>
          <w:lang w:val="ru-RU"/>
        </w:rPr>
      </w:pPr>
      <w:r w:rsidRPr="00170D8F">
        <w:rPr>
          <w:b/>
          <w:lang w:val="ru-RU"/>
        </w:rPr>
        <w:t>(c)</w:t>
      </w:r>
      <w:r w:rsidRPr="00170D8F">
        <w:rPr>
          <w:b/>
          <w:lang w:val="ru-RU"/>
        </w:rPr>
        <w:tab/>
      </w:r>
      <w:r w:rsidR="000234C7" w:rsidRPr="000234C7">
        <w:rPr>
          <w:b/>
          <w:lang w:val="ru-RU"/>
        </w:rPr>
        <w:t>прав и обязанностей, возникающих у работодателей в рамках программ вознаграждений работникам, к которым применяется МСФО (</w:t>
      </w:r>
      <w:r w:rsidR="000234C7" w:rsidRPr="007A6CF7">
        <w:rPr>
          <w:b/>
        </w:rPr>
        <w:t>IAS</w:t>
      </w:r>
      <w:r w:rsidR="000234C7" w:rsidRPr="000234C7">
        <w:rPr>
          <w:b/>
          <w:lang w:val="ru-RU"/>
        </w:rPr>
        <w:t xml:space="preserve">) 19 </w:t>
      </w:r>
      <w:r w:rsidR="000234C7" w:rsidRPr="000234C7">
        <w:rPr>
          <w:b/>
          <w:i/>
          <w:lang w:val="ru-RU"/>
        </w:rPr>
        <w:t>«Вознаграждения работникам»</w:t>
      </w:r>
      <w:r w:rsidR="000234C7">
        <w:rPr>
          <w:b/>
          <w:lang w:val="ru-RU"/>
        </w:rPr>
        <w:t>;</w:t>
      </w:r>
    </w:p>
    <w:p w:rsidR="00B643A3" w:rsidRPr="00170D8F" w:rsidRDefault="00B643A3" w:rsidP="00B643A3">
      <w:pPr>
        <w:pStyle w:val="IASBNormalnparaL1"/>
        <w:rPr>
          <w:b/>
          <w:lang w:val="ru-RU"/>
        </w:rPr>
      </w:pPr>
      <w:r w:rsidRPr="00170D8F">
        <w:rPr>
          <w:b/>
          <w:lang w:val="ru-RU"/>
        </w:rPr>
        <w:t>(d)</w:t>
      </w:r>
      <w:r w:rsidRPr="00170D8F">
        <w:rPr>
          <w:b/>
          <w:lang w:val="ru-RU"/>
        </w:rPr>
        <w:tab/>
      </w:r>
      <w:r w:rsidR="000234C7" w:rsidRPr="000234C7">
        <w:rPr>
          <w:b/>
          <w:lang w:val="ru-RU"/>
        </w:rPr>
        <w:t>финансовых инструментов, выпущенных организацией, которые отвечают определению долевого инструмента согласно МСФО (</w:t>
      </w:r>
      <w:r w:rsidR="000234C7" w:rsidRPr="007A6CF7">
        <w:rPr>
          <w:b/>
        </w:rPr>
        <w:t>IAS</w:t>
      </w:r>
      <w:r w:rsidR="000234C7" w:rsidRPr="000234C7">
        <w:rPr>
          <w:b/>
          <w:lang w:val="ru-RU"/>
        </w:rPr>
        <w:t>) 32 (включая опционы и варранты) или которые требуется классифицировать как долевой инструмент в соответствии с пунктами 16</w:t>
      </w:r>
      <w:r w:rsidR="000234C7" w:rsidRPr="007A6CF7">
        <w:rPr>
          <w:b/>
        </w:rPr>
        <w:t>A</w:t>
      </w:r>
      <w:r w:rsidR="000234C7" w:rsidRPr="000234C7">
        <w:rPr>
          <w:b/>
          <w:lang w:val="ru-RU"/>
        </w:rPr>
        <w:t xml:space="preserve"> и 16</w:t>
      </w:r>
      <w:r w:rsidR="000234C7" w:rsidRPr="007A6CF7">
        <w:rPr>
          <w:b/>
        </w:rPr>
        <w:t>B</w:t>
      </w:r>
      <w:r w:rsidR="000234C7" w:rsidRPr="000234C7">
        <w:rPr>
          <w:b/>
          <w:lang w:val="ru-RU"/>
        </w:rPr>
        <w:t xml:space="preserve"> или пунктами 16</w:t>
      </w:r>
      <w:r w:rsidR="000234C7" w:rsidRPr="007A6CF7">
        <w:rPr>
          <w:b/>
        </w:rPr>
        <w:t>C</w:t>
      </w:r>
      <w:r w:rsidR="000234C7" w:rsidRPr="000234C7">
        <w:rPr>
          <w:b/>
          <w:lang w:val="ru-RU"/>
        </w:rPr>
        <w:t xml:space="preserve"> и 16</w:t>
      </w:r>
      <w:r w:rsidR="000234C7" w:rsidRPr="007A6CF7">
        <w:rPr>
          <w:b/>
        </w:rPr>
        <w:t>D</w:t>
      </w:r>
      <w:r w:rsidR="000234C7" w:rsidRPr="000234C7">
        <w:rPr>
          <w:b/>
          <w:lang w:val="ru-RU"/>
        </w:rPr>
        <w:t xml:space="preserve"> МСФО (</w:t>
      </w:r>
      <w:r w:rsidR="000234C7" w:rsidRPr="007A6CF7">
        <w:rPr>
          <w:b/>
        </w:rPr>
        <w:t>IAS</w:t>
      </w:r>
      <w:r w:rsidR="000234C7" w:rsidRPr="000234C7">
        <w:rPr>
          <w:b/>
          <w:lang w:val="ru-RU"/>
        </w:rPr>
        <w:t>) 32. Однако держатель таких долевых инструментов должен применять настоящий стандарт</w:t>
      </w:r>
      <w:r w:rsidR="000234C7" w:rsidRPr="000234C7" w:rsidDel="00302621">
        <w:rPr>
          <w:b/>
          <w:lang w:val="ru-RU"/>
        </w:rPr>
        <w:t xml:space="preserve"> </w:t>
      </w:r>
      <w:r w:rsidR="000234C7" w:rsidRPr="000234C7">
        <w:rPr>
          <w:b/>
          <w:lang w:val="ru-RU"/>
        </w:rPr>
        <w:t>для учета данных инструментов, если только они не подпадают под исключение, указанное в подпункте</w:t>
      </w:r>
      <w:r w:rsidR="000234C7" w:rsidRPr="00170D8F">
        <w:rPr>
          <w:b/>
          <w:lang w:val="ru-RU"/>
        </w:rPr>
        <w:t xml:space="preserve"> </w:t>
      </w:r>
      <w:r w:rsidR="000234C7">
        <w:rPr>
          <w:b/>
          <w:lang w:val="ru-RU"/>
        </w:rPr>
        <w:t>(a);</w:t>
      </w:r>
    </w:p>
    <w:p w:rsidR="006E399A" w:rsidRPr="006E399A" w:rsidRDefault="006E399A" w:rsidP="006E399A">
      <w:pPr>
        <w:spacing w:before="100"/>
        <w:ind w:left="1564" w:hanging="782"/>
        <w:jc w:val="both"/>
        <w:rPr>
          <w:rFonts w:eastAsia="Batang"/>
          <w:sz w:val="19"/>
          <w:szCs w:val="20"/>
          <w:lang w:val="ru-RU"/>
        </w:rPr>
      </w:pPr>
      <w:r w:rsidRPr="006E399A">
        <w:rPr>
          <w:rFonts w:eastAsia="Batang"/>
          <w:b/>
          <w:sz w:val="19"/>
          <w:szCs w:val="20"/>
          <w:lang w:val="ru-RU"/>
        </w:rPr>
        <w:lastRenderedPageBreak/>
        <w:t>(e)</w:t>
      </w:r>
      <w:r w:rsidRPr="006E399A">
        <w:rPr>
          <w:rFonts w:eastAsia="Batang"/>
          <w:sz w:val="19"/>
          <w:szCs w:val="20"/>
          <w:lang w:val="ru-RU"/>
        </w:rPr>
        <w:tab/>
      </w:r>
      <w:r w:rsidRPr="006E399A">
        <w:rPr>
          <w:rFonts w:eastAsia="Batang"/>
          <w:b/>
          <w:sz w:val="19"/>
          <w:szCs w:val="20"/>
          <w:lang w:val="ru-RU"/>
        </w:rPr>
        <w:t>прав и обязанностей, возникающих по договору страхования, как он определен в МСФО (IFRS) 17</w:t>
      </w:r>
      <w:r w:rsidRPr="006E399A">
        <w:rPr>
          <w:rFonts w:eastAsia="Batang"/>
          <w:b/>
          <w:i/>
          <w:sz w:val="19"/>
          <w:szCs w:val="20"/>
          <w:lang w:val="ru-RU"/>
        </w:rPr>
        <w:t xml:space="preserve"> «Договоры страхования»</w:t>
      </w:r>
      <w:r w:rsidRPr="006E399A">
        <w:rPr>
          <w:rFonts w:eastAsia="Batang"/>
          <w:b/>
          <w:sz w:val="19"/>
          <w:szCs w:val="20"/>
          <w:lang w:val="ru-RU"/>
        </w:rPr>
        <w:t>, или по инвестиционному договору с условиями дискреционного участия, который относится к сфере применения МСФО (IFRS) 17. Однако настоящий стандарт применяется к:</w:t>
      </w:r>
    </w:p>
    <w:p w:rsidR="006E399A" w:rsidRPr="006E399A" w:rsidRDefault="006E399A" w:rsidP="006E399A">
      <w:pPr>
        <w:spacing w:before="100"/>
        <w:ind w:left="2347" w:hanging="782"/>
        <w:jc w:val="both"/>
        <w:rPr>
          <w:rFonts w:eastAsia="Batang"/>
          <w:sz w:val="19"/>
          <w:szCs w:val="20"/>
          <w:lang w:val="ru-RU"/>
        </w:rPr>
      </w:pPr>
      <w:r w:rsidRPr="006E399A">
        <w:rPr>
          <w:rFonts w:eastAsia="Batang"/>
          <w:b/>
          <w:sz w:val="19"/>
          <w:szCs w:val="20"/>
          <w:lang w:val="ru-RU"/>
        </w:rPr>
        <w:t>(i)</w:t>
      </w:r>
      <w:r w:rsidRPr="006E399A">
        <w:rPr>
          <w:rFonts w:eastAsia="Batang"/>
          <w:sz w:val="19"/>
          <w:szCs w:val="20"/>
          <w:lang w:val="ru-RU"/>
        </w:rPr>
        <w:tab/>
      </w:r>
      <w:r w:rsidRPr="006E399A">
        <w:rPr>
          <w:rFonts w:eastAsia="Batang"/>
          <w:b/>
          <w:sz w:val="19"/>
          <w:szCs w:val="20"/>
          <w:lang w:val="ru-RU"/>
        </w:rPr>
        <w:t>производным инструментам, которые встроены в договоры, относящиеся к сфере применения МСФО (IFRS) 17, если сами эти производные инструменты не являются договорами, относящимися к сфере применения МСФО (IFRS) 17;</w:t>
      </w:r>
    </w:p>
    <w:p w:rsidR="006E399A" w:rsidRPr="006E399A" w:rsidRDefault="006E399A" w:rsidP="006E399A">
      <w:pPr>
        <w:spacing w:before="100"/>
        <w:ind w:left="2347" w:hanging="782"/>
        <w:jc w:val="both"/>
        <w:rPr>
          <w:rFonts w:eastAsia="Batang"/>
          <w:sz w:val="19"/>
          <w:szCs w:val="20"/>
          <w:lang w:val="ru-RU"/>
        </w:rPr>
      </w:pPr>
      <w:r w:rsidRPr="006E399A">
        <w:rPr>
          <w:rFonts w:eastAsia="Batang"/>
          <w:b/>
          <w:sz w:val="19"/>
          <w:szCs w:val="20"/>
          <w:lang w:val="ru-RU"/>
        </w:rPr>
        <w:t>(ii)</w:t>
      </w:r>
      <w:r w:rsidRPr="006E399A">
        <w:rPr>
          <w:rFonts w:eastAsia="Batang"/>
          <w:sz w:val="19"/>
          <w:szCs w:val="20"/>
          <w:lang w:val="ru-RU"/>
        </w:rPr>
        <w:tab/>
      </w:r>
      <w:r w:rsidRPr="006E399A">
        <w:rPr>
          <w:rFonts w:eastAsia="Batang"/>
          <w:b/>
          <w:sz w:val="19"/>
          <w:szCs w:val="20"/>
          <w:lang w:val="ru-RU"/>
        </w:rPr>
        <w:t>инвестиционным составляющим, которые отделяются от договоров, относящихся к сфере применения МСФО (IFRS) 17, если МСФО (IFRS) 17 требует такого отделения, кроме случаев, когда эта инвестиционная составляющая представляет собой инвестиционный договор с условиями дискреционного участия, относящийся к сфере применения МСФО (IFRS) 17;</w:t>
      </w:r>
    </w:p>
    <w:p w:rsidR="006E399A" w:rsidRPr="006E399A" w:rsidRDefault="006E399A" w:rsidP="006E399A">
      <w:pPr>
        <w:spacing w:before="100"/>
        <w:ind w:left="2347" w:hanging="782"/>
        <w:jc w:val="both"/>
        <w:rPr>
          <w:rFonts w:eastAsia="Batang"/>
          <w:sz w:val="19"/>
          <w:szCs w:val="20"/>
          <w:lang w:val="ru-RU"/>
        </w:rPr>
      </w:pPr>
      <w:r w:rsidRPr="006E399A">
        <w:rPr>
          <w:rFonts w:eastAsia="Batang"/>
          <w:b/>
          <w:sz w:val="19"/>
          <w:szCs w:val="20"/>
          <w:lang w:val="ru-RU"/>
        </w:rPr>
        <w:t>(iii)</w:t>
      </w:r>
      <w:r w:rsidRPr="006E399A">
        <w:rPr>
          <w:rFonts w:eastAsia="Batang"/>
          <w:sz w:val="19"/>
          <w:szCs w:val="20"/>
          <w:lang w:val="ru-RU"/>
        </w:rPr>
        <w:tab/>
      </w:r>
      <w:r w:rsidRPr="006E399A">
        <w:rPr>
          <w:rFonts w:eastAsia="Batang"/>
          <w:b/>
          <w:sz w:val="19"/>
          <w:szCs w:val="20"/>
          <w:lang w:val="ru-RU"/>
        </w:rPr>
        <w:t>правам и обязанностям стороны, выпустившей договоры страхования, которые отвечают определению договора финансовой гарантии. Однако если сторона, выпустившая договоры финансовой гарантии, ранее в явной форме заявляла, что рассматривает такие договоры как договоры страхования, и учитывала их в порядке, применимом к договорам страхования, то эта сторона может по своему усмотрению применять к таким договорам финансовой гарантии либо настоящий стандарт, либо МСФО (IFRS) 17 (см. пункты B2.5–B2.6). Данная сторона может принимать такое решение в отношении каждого договора в отдельности, однако решение, принятое по каждому договору, не может быть впоследствии пересмотрено;</w:t>
      </w:r>
    </w:p>
    <w:p w:rsidR="006E399A" w:rsidRPr="006E399A" w:rsidRDefault="006E399A" w:rsidP="006E399A">
      <w:pPr>
        <w:spacing w:before="100"/>
        <w:ind w:left="2347" w:hanging="782"/>
        <w:jc w:val="both"/>
        <w:rPr>
          <w:rFonts w:eastAsia="Batang"/>
          <w:sz w:val="19"/>
          <w:szCs w:val="20"/>
          <w:lang w:val="ru-RU"/>
        </w:rPr>
      </w:pPr>
      <w:r w:rsidRPr="006E399A">
        <w:rPr>
          <w:rFonts w:eastAsia="Batang"/>
          <w:b/>
          <w:sz w:val="19"/>
          <w:szCs w:val="20"/>
          <w:lang w:val="ru-RU"/>
        </w:rPr>
        <w:t>(</w:t>
      </w:r>
      <w:r w:rsidRPr="006E399A">
        <w:rPr>
          <w:rFonts w:eastAsia="Batang"/>
          <w:b/>
          <w:sz w:val="19"/>
          <w:szCs w:val="20"/>
          <w:lang w:val="en-US"/>
        </w:rPr>
        <w:t>iv</w:t>
      </w:r>
      <w:r w:rsidRPr="006E399A">
        <w:rPr>
          <w:rFonts w:eastAsia="Batang"/>
          <w:b/>
          <w:sz w:val="19"/>
          <w:szCs w:val="20"/>
          <w:lang w:val="ru-RU"/>
        </w:rPr>
        <w:t>)</w:t>
      </w:r>
      <w:r w:rsidRPr="006E399A">
        <w:rPr>
          <w:rFonts w:eastAsia="Batang"/>
          <w:sz w:val="19"/>
          <w:szCs w:val="20"/>
          <w:lang w:val="ru-RU"/>
        </w:rPr>
        <w:tab/>
      </w:r>
      <w:r w:rsidRPr="006E399A">
        <w:rPr>
          <w:rFonts w:eastAsia="Batang"/>
          <w:b/>
          <w:sz w:val="19"/>
          <w:szCs w:val="20"/>
          <w:lang w:val="ru-RU"/>
        </w:rPr>
        <w:t>правам и обязанностям организации, которые представляют собой финансовые инструменты, возникающим по договорам кредитных карт или по аналогичным договорам, закрепляющим кредитные соглашения или соглашения об обслуживании платежей, которые выпускает организация и которые отвечают определению договора страхования, но которые исключаются из сферы применения МСФО (</w:t>
      </w:r>
      <w:r w:rsidRPr="006E399A">
        <w:rPr>
          <w:rFonts w:eastAsia="Batang"/>
          <w:b/>
          <w:sz w:val="19"/>
          <w:szCs w:val="20"/>
          <w:lang w:val="en-US"/>
        </w:rPr>
        <w:t>IFRS</w:t>
      </w:r>
      <w:r w:rsidRPr="006E399A">
        <w:rPr>
          <w:rFonts w:eastAsia="Batang"/>
          <w:b/>
          <w:sz w:val="19"/>
          <w:szCs w:val="20"/>
          <w:lang w:val="ru-RU"/>
        </w:rPr>
        <w:t>) 17 пунктом 7(</w:t>
      </w:r>
      <w:r w:rsidRPr="006E399A">
        <w:rPr>
          <w:rFonts w:eastAsia="Batang"/>
          <w:b/>
          <w:sz w:val="19"/>
          <w:szCs w:val="20"/>
          <w:lang w:val="en-US"/>
        </w:rPr>
        <w:t>h</w:t>
      </w:r>
      <w:r w:rsidRPr="006E399A">
        <w:rPr>
          <w:rFonts w:eastAsia="Batang"/>
          <w:b/>
          <w:sz w:val="19"/>
          <w:szCs w:val="20"/>
          <w:lang w:val="ru-RU"/>
        </w:rPr>
        <w:t>). Однако в том и только в том случае, если страховое покрытие является договорным условием такого финансового инструмента, организация должна отделить этот компонент и применить к нему МСФО (</w:t>
      </w:r>
      <w:r w:rsidRPr="006E399A">
        <w:rPr>
          <w:rFonts w:eastAsia="Batang"/>
          <w:b/>
          <w:sz w:val="19"/>
          <w:szCs w:val="20"/>
          <w:lang w:val="en-US"/>
        </w:rPr>
        <w:t>IFRS</w:t>
      </w:r>
      <w:r w:rsidRPr="006E399A">
        <w:rPr>
          <w:rFonts w:eastAsia="Batang"/>
          <w:b/>
          <w:sz w:val="19"/>
          <w:szCs w:val="20"/>
          <w:lang w:val="ru-RU"/>
        </w:rPr>
        <w:t>) 17 (см. пункт 7(</w:t>
      </w:r>
      <w:r w:rsidRPr="006E399A">
        <w:rPr>
          <w:rFonts w:eastAsia="Batang"/>
          <w:b/>
          <w:sz w:val="19"/>
          <w:szCs w:val="20"/>
          <w:lang w:val="en-US"/>
        </w:rPr>
        <w:t>h</w:t>
      </w:r>
      <w:r w:rsidRPr="006E399A">
        <w:rPr>
          <w:rFonts w:eastAsia="Batang"/>
          <w:b/>
          <w:sz w:val="19"/>
          <w:szCs w:val="20"/>
          <w:lang w:val="ru-RU"/>
        </w:rPr>
        <w:t>) МСФО (</w:t>
      </w:r>
      <w:r w:rsidRPr="006E399A">
        <w:rPr>
          <w:rFonts w:eastAsia="Batang"/>
          <w:b/>
          <w:sz w:val="19"/>
          <w:szCs w:val="20"/>
          <w:lang w:val="en-US"/>
        </w:rPr>
        <w:t>IFRS</w:t>
      </w:r>
      <w:r w:rsidRPr="006E399A">
        <w:rPr>
          <w:rFonts w:eastAsia="Batang"/>
          <w:b/>
          <w:sz w:val="19"/>
          <w:szCs w:val="20"/>
          <w:lang w:val="ru-RU"/>
        </w:rPr>
        <w:t>) 17);</w:t>
      </w:r>
    </w:p>
    <w:p w:rsidR="006E399A" w:rsidRPr="006E399A" w:rsidRDefault="006E399A" w:rsidP="006E399A">
      <w:pPr>
        <w:spacing w:before="100"/>
        <w:ind w:left="2347" w:hanging="782"/>
        <w:jc w:val="both"/>
        <w:rPr>
          <w:rFonts w:eastAsia="Batang"/>
          <w:sz w:val="19"/>
          <w:szCs w:val="20"/>
          <w:lang w:val="ru-RU"/>
        </w:rPr>
      </w:pPr>
      <w:r w:rsidRPr="006E399A">
        <w:rPr>
          <w:rFonts w:eastAsia="Batang"/>
          <w:b/>
          <w:sz w:val="19"/>
          <w:szCs w:val="20"/>
          <w:lang w:val="ru-RU"/>
        </w:rPr>
        <w:t>(</w:t>
      </w:r>
      <w:r w:rsidRPr="006E399A">
        <w:rPr>
          <w:rFonts w:eastAsia="Batang"/>
          <w:b/>
          <w:sz w:val="19"/>
          <w:szCs w:val="20"/>
          <w:lang w:val="en-US"/>
        </w:rPr>
        <w:t>v</w:t>
      </w:r>
      <w:r w:rsidRPr="006E399A">
        <w:rPr>
          <w:rFonts w:eastAsia="Batang"/>
          <w:b/>
          <w:sz w:val="19"/>
          <w:szCs w:val="20"/>
          <w:lang w:val="ru-RU"/>
        </w:rPr>
        <w:t>)</w:t>
      </w:r>
      <w:r w:rsidRPr="006E399A">
        <w:rPr>
          <w:rFonts w:eastAsia="Batang"/>
          <w:sz w:val="19"/>
          <w:szCs w:val="20"/>
          <w:lang w:val="ru-RU"/>
        </w:rPr>
        <w:tab/>
      </w:r>
      <w:r w:rsidRPr="006E399A">
        <w:rPr>
          <w:rFonts w:eastAsia="Batang"/>
          <w:b/>
          <w:sz w:val="19"/>
          <w:szCs w:val="20"/>
          <w:lang w:val="ru-RU"/>
        </w:rPr>
        <w:t>правам и обязанностям организации, которые представляют собой финансовые инструменты, возникающим по выпускаемым организацией договорам страхования,  которые ограничивают сумму компенсации по страховым случаям суммой, которая иначе потребовалась бы для урегулирования обязанности держателя полиса, созданной этим договором, если организация примет решение в соответствии с пунктом 8</w:t>
      </w:r>
      <w:r w:rsidRPr="006E399A">
        <w:rPr>
          <w:rFonts w:eastAsia="Batang"/>
          <w:b/>
          <w:sz w:val="19"/>
          <w:szCs w:val="20"/>
          <w:lang w:val="en-US"/>
        </w:rPr>
        <w:t>A</w:t>
      </w:r>
      <w:r w:rsidRPr="006E399A">
        <w:rPr>
          <w:rFonts w:eastAsia="Batang"/>
          <w:b/>
          <w:sz w:val="19"/>
          <w:szCs w:val="20"/>
          <w:lang w:val="ru-RU"/>
        </w:rPr>
        <w:t xml:space="preserve"> МСФО (</w:t>
      </w:r>
      <w:r w:rsidRPr="006E399A">
        <w:rPr>
          <w:rFonts w:eastAsia="Batang"/>
          <w:b/>
          <w:sz w:val="19"/>
          <w:szCs w:val="20"/>
          <w:lang w:val="en-US"/>
        </w:rPr>
        <w:t>IFRS</w:t>
      </w:r>
      <w:r w:rsidRPr="006E399A">
        <w:rPr>
          <w:rFonts w:eastAsia="Batang"/>
          <w:b/>
          <w:sz w:val="19"/>
          <w:szCs w:val="20"/>
          <w:lang w:val="ru-RU"/>
        </w:rPr>
        <w:t>) 17 применять к таким договорам МСФО (</w:t>
      </w:r>
      <w:r w:rsidRPr="006E399A">
        <w:rPr>
          <w:rFonts w:eastAsia="Batang"/>
          <w:b/>
          <w:sz w:val="19"/>
          <w:szCs w:val="20"/>
          <w:lang w:val="en-US"/>
        </w:rPr>
        <w:t>IFRS</w:t>
      </w:r>
      <w:r w:rsidRPr="006E399A">
        <w:rPr>
          <w:rFonts w:eastAsia="Batang"/>
          <w:b/>
          <w:sz w:val="19"/>
          <w:szCs w:val="20"/>
          <w:lang w:val="ru-RU"/>
        </w:rPr>
        <w:t>) 9 вместо МСФО (</w:t>
      </w:r>
      <w:r w:rsidRPr="006E399A">
        <w:rPr>
          <w:rFonts w:eastAsia="Batang"/>
          <w:b/>
          <w:sz w:val="19"/>
          <w:szCs w:val="20"/>
          <w:lang w:val="en-US"/>
        </w:rPr>
        <w:t>IFRS</w:t>
      </w:r>
      <w:r w:rsidRPr="006E399A">
        <w:rPr>
          <w:rFonts w:eastAsia="Batang"/>
          <w:b/>
          <w:sz w:val="19"/>
          <w:szCs w:val="20"/>
          <w:lang w:val="ru-RU"/>
        </w:rPr>
        <w:t>) 17.</w:t>
      </w:r>
    </w:p>
    <w:p w:rsidR="00B643A3" w:rsidRPr="00170D8F" w:rsidRDefault="00A2200D" w:rsidP="00B643A3">
      <w:pPr>
        <w:pStyle w:val="IASBNormalnparaL1"/>
        <w:rPr>
          <w:b/>
          <w:lang w:val="ru-RU"/>
        </w:rPr>
      </w:pPr>
      <w:r w:rsidRPr="00170D8F">
        <w:rPr>
          <w:b/>
          <w:lang w:val="ru-RU"/>
        </w:rPr>
        <w:t xml:space="preserve"> </w:t>
      </w:r>
      <w:r w:rsidR="00B643A3" w:rsidRPr="00170D8F">
        <w:rPr>
          <w:b/>
          <w:lang w:val="ru-RU"/>
        </w:rPr>
        <w:t>(f)</w:t>
      </w:r>
      <w:r w:rsidR="00B643A3" w:rsidRPr="00170D8F">
        <w:rPr>
          <w:b/>
          <w:lang w:val="ru-RU"/>
        </w:rPr>
        <w:tab/>
      </w:r>
      <w:r w:rsidR="000234C7" w:rsidRPr="000234C7">
        <w:rPr>
          <w:b/>
          <w:lang w:val="ru-RU"/>
        </w:rPr>
        <w:t>форвардного договора между приобретателем и акционером-продавцом о покупке или продаже объекта приобретения, вследствие которого на дату приобретения в будущем произойдет сделка по объединению бизнесов, относящаяся к сфере применения МСФО (</w:t>
      </w:r>
      <w:r w:rsidR="000234C7" w:rsidRPr="007A6CF7">
        <w:rPr>
          <w:b/>
        </w:rPr>
        <w:t>IFRS</w:t>
      </w:r>
      <w:r w:rsidR="000234C7" w:rsidRPr="000234C7">
        <w:rPr>
          <w:b/>
          <w:lang w:val="ru-RU"/>
        </w:rPr>
        <w:t xml:space="preserve">) 3 </w:t>
      </w:r>
      <w:r w:rsidR="000234C7" w:rsidRPr="000234C7">
        <w:rPr>
          <w:b/>
          <w:i/>
          <w:lang w:val="ru-RU"/>
        </w:rPr>
        <w:t>«Объединения бизнесов»</w:t>
      </w:r>
      <w:r w:rsidR="000234C7" w:rsidRPr="000234C7">
        <w:rPr>
          <w:b/>
          <w:lang w:val="ru-RU"/>
        </w:rPr>
        <w:t>. Срок действия такого форвардного договора не должен по длительности превышать разумный период, который обычно необходим для получения всех требуемых разрешений и завершения сделки</w:t>
      </w:r>
      <w:r w:rsidR="000234C7">
        <w:rPr>
          <w:b/>
          <w:lang w:val="ru-RU"/>
        </w:rPr>
        <w:t>;</w:t>
      </w:r>
    </w:p>
    <w:p w:rsidR="00B643A3" w:rsidRPr="00170D8F" w:rsidRDefault="00B643A3" w:rsidP="00B643A3">
      <w:pPr>
        <w:pStyle w:val="IASBNormalnparaL1"/>
        <w:rPr>
          <w:b/>
          <w:lang w:val="ru-RU"/>
        </w:rPr>
      </w:pPr>
      <w:r w:rsidRPr="00170D8F">
        <w:rPr>
          <w:b/>
          <w:lang w:val="ru-RU"/>
        </w:rPr>
        <w:t>(g)</w:t>
      </w:r>
      <w:r w:rsidRPr="00170D8F">
        <w:rPr>
          <w:b/>
          <w:lang w:val="ru-RU"/>
        </w:rPr>
        <w:tab/>
      </w:r>
      <w:r w:rsidR="000234C7" w:rsidRPr="000234C7">
        <w:rPr>
          <w:b/>
          <w:lang w:val="ru-RU"/>
        </w:rPr>
        <w:t>обязательств по предоставлению займов, кроме тех обязательств по предоставлению займов, которые описаны в пункте</w:t>
      </w:r>
      <w:r w:rsidRPr="00170D8F">
        <w:rPr>
          <w:b/>
          <w:lang w:val="ru-RU"/>
        </w:rPr>
        <w:t xml:space="preserve"> 2.3. Однако </w:t>
      </w:r>
      <w:r w:rsidR="000234C7">
        <w:rPr>
          <w:b/>
          <w:lang w:val="ru-RU"/>
        </w:rPr>
        <w:t>с</w:t>
      </w:r>
      <w:r w:rsidR="000234C7" w:rsidRPr="000234C7">
        <w:rPr>
          <w:b/>
          <w:lang w:val="ru-RU"/>
        </w:rPr>
        <w:t>торона, принявшая на себя обязательства по предоставлению займов, должна применять</w:t>
      </w:r>
      <w:r w:rsidRPr="00170D8F">
        <w:rPr>
          <w:b/>
          <w:lang w:val="ru-RU"/>
        </w:rPr>
        <w:t xml:space="preserve"> требования настоящего стандарта, касающиеся обесценения, к тем обязательствам по предоставлению займов, которые не относятся к сфере применения настоящего стандарта по иным основаниям. Кроме того, на все обязательства по предоставлению займов рас</w:t>
      </w:r>
      <w:r w:rsidR="000234C7">
        <w:rPr>
          <w:b/>
          <w:lang w:val="ru-RU"/>
        </w:rPr>
        <w:t>пространяются положения</w:t>
      </w:r>
      <w:r w:rsidRPr="00170D8F">
        <w:rPr>
          <w:b/>
          <w:lang w:val="ru-RU"/>
        </w:rPr>
        <w:t xml:space="preserve"> настоящего стандарта, к</w:t>
      </w:r>
      <w:r w:rsidR="000234C7">
        <w:rPr>
          <w:b/>
          <w:lang w:val="ru-RU"/>
        </w:rPr>
        <w:t>асающиеся прекращения признания;</w:t>
      </w:r>
    </w:p>
    <w:p w:rsidR="00B643A3" w:rsidRPr="00170D8F" w:rsidRDefault="00B643A3" w:rsidP="00B643A3">
      <w:pPr>
        <w:pStyle w:val="IASBNormalnparaL1"/>
        <w:rPr>
          <w:b/>
          <w:lang w:val="ru-RU"/>
        </w:rPr>
      </w:pPr>
      <w:r w:rsidRPr="00170D8F">
        <w:rPr>
          <w:b/>
          <w:lang w:val="ru-RU"/>
        </w:rPr>
        <w:t>(h)</w:t>
      </w:r>
      <w:r w:rsidRPr="00170D8F">
        <w:rPr>
          <w:b/>
          <w:lang w:val="ru-RU"/>
        </w:rPr>
        <w:tab/>
      </w:r>
      <w:r w:rsidR="000234C7" w:rsidRPr="000234C7">
        <w:rPr>
          <w:b/>
          <w:lang w:val="ru-RU"/>
        </w:rPr>
        <w:t>финансовых инструментов, договоров и обязанностей в рамках тех операций по выплатам на основе акций, к которым применяется МСФО (</w:t>
      </w:r>
      <w:r w:rsidR="000234C7" w:rsidRPr="007A6CF7">
        <w:rPr>
          <w:b/>
        </w:rPr>
        <w:t>IFRS</w:t>
      </w:r>
      <w:r w:rsidR="000234C7" w:rsidRPr="000234C7">
        <w:rPr>
          <w:b/>
          <w:lang w:val="ru-RU"/>
        </w:rPr>
        <w:t xml:space="preserve">) 2 </w:t>
      </w:r>
      <w:r w:rsidR="000234C7" w:rsidRPr="000234C7">
        <w:rPr>
          <w:b/>
          <w:i/>
          <w:lang w:val="ru-RU"/>
        </w:rPr>
        <w:t xml:space="preserve">«Выплаты на </w:t>
      </w:r>
      <w:r w:rsidR="000234C7" w:rsidRPr="000234C7">
        <w:rPr>
          <w:b/>
          <w:i/>
          <w:lang w:val="ru-RU"/>
        </w:rPr>
        <w:lastRenderedPageBreak/>
        <w:t>основе акций»</w:t>
      </w:r>
      <w:r w:rsidR="000234C7" w:rsidRPr="000234C7">
        <w:rPr>
          <w:b/>
          <w:lang w:val="ru-RU"/>
        </w:rPr>
        <w:t>, за исключением описанных в пунктах</w:t>
      </w:r>
      <w:r w:rsidRPr="00170D8F">
        <w:rPr>
          <w:b/>
          <w:lang w:val="ru-RU"/>
        </w:rPr>
        <w:t xml:space="preserve"> 2.4–2.7 </w:t>
      </w:r>
      <w:r w:rsidR="000234C7" w:rsidRPr="000234C7">
        <w:rPr>
          <w:b/>
          <w:lang w:val="ru-RU"/>
        </w:rPr>
        <w:t>настоящего стандарта договоров, к которым применяется настоящий стандарт</w:t>
      </w:r>
      <w:r w:rsidR="000234C7">
        <w:rPr>
          <w:b/>
          <w:lang w:val="ru-RU"/>
        </w:rPr>
        <w:t>;</w:t>
      </w:r>
    </w:p>
    <w:p w:rsidR="00B643A3" w:rsidRPr="00170D8F" w:rsidRDefault="00B643A3" w:rsidP="00B643A3">
      <w:pPr>
        <w:pStyle w:val="IASBNormalnparaL1"/>
        <w:rPr>
          <w:b/>
          <w:lang w:val="ru-RU"/>
        </w:rPr>
      </w:pPr>
      <w:r w:rsidRPr="00170D8F">
        <w:rPr>
          <w:b/>
          <w:lang w:val="ru-RU"/>
        </w:rPr>
        <w:t>(i)</w:t>
      </w:r>
      <w:r w:rsidRPr="00170D8F">
        <w:rPr>
          <w:b/>
          <w:lang w:val="ru-RU"/>
        </w:rPr>
        <w:tab/>
      </w:r>
      <w:r w:rsidR="000234C7" w:rsidRPr="000234C7">
        <w:rPr>
          <w:b/>
          <w:lang w:val="ru-RU"/>
        </w:rPr>
        <w:t>прав на получение платежей в счет компенсации затрат, которые организация должна осуществить для погашения обязательства, которое она признает в качестве оценочного обязательства в соответствии с</w:t>
      </w:r>
      <w:r w:rsidR="000234C7" w:rsidRPr="00170D8F">
        <w:rPr>
          <w:b/>
          <w:lang w:val="ru-RU"/>
        </w:rPr>
        <w:t xml:space="preserve"> </w:t>
      </w:r>
      <w:r w:rsidRPr="00170D8F">
        <w:rPr>
          <w:b/>
          <w:lang w:val="ru-RU"/>
        </w:rPr>
        <w:t xml:space="preserve">МСФО (IAS) 37 </w:t>
      </w:r>
      <w:r w:rsidRPr="00170D8F">
        <w:rPr>
          <w:b/>
          <w:i/>
          <w:lang w:val="ru-RU"/>
        </w:rPr>
        <w:t>«</w:t>
      </w:r>
      <w:r w:rsidRPr="00E00C40">
        <w:rPr>
          <w:b/>
          <w:i/>
          <w:lang w:val="ru-RU"/>
        </w:rPr>
        <w:t>Оценочные обязательства</w:t>
      </w:r>
      <w:r w:rsidRPr="00170D8F">
        <w:rPr>
          <w:b/>
          <w:i/>
          <w:lang w:val="ru-RU"/>
        </w:rPr>
        <w:t>, условные обязательства и условные активы»</w:t>
      </w:r>
      <w:r w:rsidRPr="00170D8F">
        <w:rPr>
          <w:b/>
          <w:lang w:val="ru-RU"/>
        </w:rPr>
        <w:t>, и</w:t>
      </w:r>
      <w:r w:rsidR="0082090A">
        <w:rPr>
          <w:b/>
          <w:lang w:val="ru-RU"/>
        </w:rPr>
        <w:t>ли в отношении которого она ран</w:t>
      </w:r>
      <w:r w:rsidRPr="00170D8F">
        <w:rPr>
          <w:b/>
          <w:lang w:val="ru-RU"/>
        </w:rPr>
        <w:t xml:space="preserve">ее уже признала </w:t>
      </w:r>
      <w:r w:rsidR="000234C7" w:rsidRPr="000234C7">
        <w:rPr>
          <w:b/>
          <w:lang w:val="ru-RU"/>
        </w:rPr>
        <w:t>оценочное обязательство</w:t>
      </w:r>
      <w:r w:rsidR="000234C7">
        <w:rPr>
          <w:b/>
          <w:lang w:val="ru-RU"/>
        </w:rPr>
        <w:t xml:space="preserve"> в соответствии с МСФО (IAS) 37;</w:t>
      </w:r>
    </w:p>
    <w:p w:rsidR="00B643A3" w:rsidRPr="00170D8F" w:rsidRDefault="00B643A3" w:rsidP="00B643A3">
      <w:pPr>
        <w:pStyle w:val="IASBNormalnparaL1"/>
        <w:rPr>
          <w:b/>
          <w:lang w:val="ru-RU"/>
        </w:rPr>
      </w:pPr>
      <w:r w:rsidRPr="00170D8F">
        <w:rPr>
          <w:b/>
          <w:lang w:val="ru-RU"/>
        </w:rPr>
        <w:t>(j)</w:t>
      </w:r>
      <w:r w:rsidRPr="00170D8F">
        <w:rPr>
          <w:b/>
          <w:lang w:val="ru-RU"/>
        </w:rPr>
        <w:tab/>
        <w:t xml:space="preserve">прав и обязанностей, являющихся финансовыми инструментами и относящихся к сфере применения МСФО (IFRS) 15 </w:t>
      </w:r>
      <w:r w:rsidRPr="00170D8F">
        <w:rPr>
          <w:b/>
          <w:i/>
          <w:lang w:val="ru-RU"/>
        </w:rPr>
        <w:t>«Выручка по договорам с покупателями»</w:t>
      </w:r>
      <w:r w:rsidRPr="00170D8F">
        <w:rPr>
          <w:b/>
          <w:lang w:val="ru-RU"/>
        </w:rPr>
        <w:t>, за исключением тех,</w:t>
      </w:r>
      <w:r w:rsidRPr="00170D8F">
        <w:rPr>
          <w:lang w:val="ru-RU"/>
        </w:rPr>
        <w:t xml:space="preserve"> </w:t>
      </w:r>
      <w:r w:rsidRPr="00170D8F">
        <w:rPr>
          <w:b/>
          <w:lang w:val="ru-RU"/>
        </w:rPr>
        <w:t>которые МСФО (IFRS) 15 требует учитывать в соответствии с настоящим стандартом.</w:t>
      </w:r>
    </w:p>
    <w:p w:rsidR="00B643A3" w:rsidRPr="00170D8F" w:rsidRDefault="00B643A3" w:rsidP="00B643A3">
      <w:pPr>
        <w:pStyle w:val="IASBNormalnpara"/>
        <w:rPr>
          <w:b/>
          <w:lang w:val="ru-RU"/>
        </w:rPr>
      </w:pPr>
      <w:r w:rsidRPr="00170D8F">
        <w:rPr>
          <w:b/>
          <w:lang w:val="ru-RU"/>
        </w:rPr>
        <w:t>2.2</w:t>
      </w:r>
      <w:r w:rsidRPr="00170D8F">
        <w:rPr>
          <w:b/>
          <w:lang w:val="ru-RU"/>
        </w:rPr>
        <w:tab/>
        <w:t>Для целей признания прибылей или убытков от обесценения прав, которые согласно МСФО (IFRS) 15 учитываются в соответствии с настоящим стандартом, применяются требования настоящего стандарта в части обесценения.</w:t>
      </w:r>
    </w:p>
    <w:p w:rsidR="00B643A3" w:rsidRPr="00170D8F" w:rsidRDefault="00B643A3" w:rsidP="00B643A3">
      <w:pPr>
        <w:pStyle w:val="IASBNormalnpara"/>
        <w:rPr>
          <w:b/>
          <w:lang w:val="ru-RU"/>
        </w:rPr>
      </w:pPr>
      <w:r w:rsidRPr="00170D8F">
        <w:rPr>
          <w:b/>
          <w:lang w:val="ru-RU"/>
        </w:rPr>
        <w:t>2.3</w:t>
      </w:r>
      <w:r w:rsidRPr="00170D8F">
        <w:rPr>
          <w:b/>
          <w:lang w:val="ru-RU"/>
        </w:rPr>
        <w:tab/>
      </w:r>
      <w:r w:rsidR="000234C7" w:rsidRPr="000234C7">
        <w:rPr>
          <w:b/>
          <w:lang w:val="ru-RU"/>
        </w:rPr>
        <w:t>В сферу применения настоящего стандарта входят следующие обязательства по предоставлению займов</w:t>
      </w:r>
      <w:r w:rsidRPr="00170D8F">
        <w:rPr>
          <w:b/>
          <w:lang w:val="ru-RU"/>
        </w:rPr>
        <w:t>:</w:t>
      </w:r>
    </w:p>
    <w:p w:rsidR="00B643A3" w:rsidRPr="00170D8F" w:rsidRDefault="00B643A3" w:rsidP="00B643A3">
      <w:pPr>
        <w:pStyle w:val="IASBNormalnparaL1"/>
        <w:rPr>
          <w:b/>
          <w:lang w:val="ru-RU"/>
        </w:rPr>
      </w:pPr>
      <w:r w:rsidRPr="00170D8F">
        <w:rPr>
          <w:b/>
          <w:lang w:val="ru-RU"/>
        </w:rPr>
        <w:t>(a)</w:t>
      </w:r>
      <w:r w:rsidRPr="00170D8F">
        <w:rPr>
          <w:b/>
          <w:lang w:val="ru-RU"/>
        </w:rPr>
        <w:tab/>
      </w:r>
      <w:r w:rsidR="000234C7" w:rsidRPr="000234C7">
        <w:rPr>
          <w:b/>
          <w:lang w:val="ru-RU"/>
        </w:rPr>
        <w:t>обязательства по предоставлению займов, которые организация по собственному усмотрению классифицирует как финансовые обязательства, оцениваемые по справедливой стоимости через прибыль или убыток</w:t>
      </w:r>
      <w:r w:rsidR="000234C7" w:rsidRPr="00170D8F">
        <w:rPr>
          <w:b/>
          <w:lang w:val="ru-RU"/>
        </w:rPr>
        <w:t xml:space="preserve"> </w:t>
      </w:r>
      <w:r w:rsidRPr="00170D8F">
        <w:rPr>
          <w:b/>
          <w:lang w:val="ru-RU"/>
        </w:rPr>
        <w:t xml:space="preserve">(см. пункт 4.2.2). </w:t>
      </w:r>
      <w:r w:rsidR="000234C7" w:rsidRPr="000234C7">
        <w:rPr>
          <w:b/>
          <w:lang w:val="ru-RU"/>
        </w:rPr>
        <w:t>Организация, которая в прошлом практиковала продажу активов, возникавших вследствие ее обязательств по предоставлению займов, вскоре после предоставления соответствующих займов, должна применять настоящий стандарт ко всем своим обязательствам по предоставлению займов, относящимся к одному и тому же виду</w:t>
      </w:r>
      <w:r w:rsidR="000234C7">
        <w:rPr>
          <w:b/>
          <w:lang w:val="ru-RU"/>
        </w:rPr>
        <w:t>;</w:t>
      </w:r>
    </w:p>
    <w:p w:rsidR="00B643A3" w:rsidRPr="00170D8F" w:rsidRDefault="00B643A3" w:rsidP="00B643A3">
      <w:pPr>
        <w:pStyle w:val="IASBNormalnparaL1"/>
        <w:rPr>
          <w:b/>
          <w:lang w:val="ru-RU"/>
        </w:rPr>
      </w:pPr>
      <w:r w:rsidRPr="00170D8F">
        <w:rPr>
          <w:b/>
          <w:lang w:val="ru-RU"/>
        </w:rPr>
        <w:t>(b)</w:t>
      </w:r>
      <w:r w:rsidRPr="00170D8F">
        <w:rPr>
          <w:b/>
          <w:lang w:val="ru-RU"/>
        </w:rPr>
        <w:tab/>
      </w:r>
      <w:r w:rsidR="000234C7" w:rsidRPr="000234C7">
        <w:rPr>
          <w:b/>
          <w:lang w:val="ru-RU"/>
        </w:rPr>
        <w:t>обязательства по предоставлению займов, которые могут быть урегулированы на нетто-основе денежными средствами или путем передачи или выпуска другого финансового инструмента. Такие обязательства по предоставлению займов являются производными инструментами. Обязательство по предоставлению займа не может считаться урегулированным на нетто-основе только на том основании, что соответствующий заем предоставляется частями (например, ипотечный кредит на строительство, который выдается частями по мере того, как продвигается строительство)</w:t>
      </w:r>
      <w:r w:rsidR="000234C7">
        <w:rPr>
          <w:b/>
          <w:lang w:val="ru-RU"/>
        </w:rPr>
        <w:t>;</w:t>
      </w:r>
    </w:p>
    <w:p w:rsidR="00B643A3" w:rsidRPr="00170D8F" w:rsidRDefault="00B643A3" w:rsidP="00B643A3">
      <w:pPr>
        <w:pStyle w:val="IASBNormalnparaL1"/>
        <w:rPr>
          <w:b/>
          <w:lang w:val="ru-RU"/>
        </w:rPr>
      </w:pPr>
      <w:r w:rsidRPr="00170D8F">
        <w:rPr>
          <w:b/>
          <w:lang w:val="ru-RU"/>
        </w:rPr>
        <w:t>(c)</w:t>
      </w:r>
      <w:r w:rsidRPr="00170D8F">
        <w:rPr>
          <w:b/>
          <w:lang w:val="ru-RU"/>
        </w:rPr>
        <w:tab/>
      </w:r>
      <w:r w:rsidR="000234C7" w:rsidRPr="000234C7">
        <w:rPr>
          <w:b/>
          <w:lang w:val="ru-RU"/>
        </w:rPr>
        <w:t>обязательства по предоставлению займа по процентной ставке ниже рыночной</w:t>
      </w:r>
      <w:r w:rsidRPr="00170D8F">
        <w:rPr>
          <w:b/>
          <w:lang w:val="ru-RU"/>
        </w:rPr>
        <w:t xml:space="preserve"> (см. пункт 4.2.1(d))</w:t>
      </w:r>
      <w:r w:rsidRPr="00E00C40">
        <w:rPr>
          <w:b/>
          <w:lang w:val="ru-RU"/>
        </w:rPr>
        <w:t>.</w:t>
      </w:r>
      <w:r w:rsidRPr="00170D8F">
        <w:rPr>
          <w:b/>
          <w:lang w:val="ru-RU"/>
        </w:rPr>
        <w:t xml:space="preserve"> </w:t>
      </w:r>
    </w:p>
    <w:p w:rsidR="00B643A3" w:rsidRPr="00170D8F" w:rsidRDefault="00B643A3" w:rsidP="00B643A3">
      <w:pPr>
        <w:pStyle w:val="IASBNormalnpara"/>
        <w:rPr>
          <w:b/>
          <w:lang w:val="ru-RU"/>
        </w:rPr>
      </w:pPr>
      <w:r w:rsidRPr="00170D8F">
        <w:rPr>
          <w:b/>
          <w:lang w:val="ru-RU"/>
        </w:rPr>
        <w:t>2.4</w:t>
      </w:r>
      <w:r w:rsidRPr="00170D8F">
        <w:rPr>
          <w:b/>
          <w:lang w:val="ru-RU"/>
        </w:rPr>
        <w:tab/>
      </w:r>
      <w:r w:rsidR="000234C7" w:rsidRPr="000234C7">
        <w:rPr>
          <w:b/>
          <w:lang w:val="ru-RU"/>
        </w:rPr>
        <w:t>Настоящий стандарт следует применять к тем договорам на покупку или продажу нефинансового объекта, которые могут быть урегулированы на нетто-основе денежными средствами или иным финансовым инструментом либо путем обмена финансовыми инструментами, как если бы эти договоры были финансовыми инструментами. Исключением являются договоры, которые были заключены и продолжают удерживаться в целях получения или поставки какого-либо нефинансового объекта в соответствии с ожидаемыми потребностями организации в закупках, продажах или использовании</w:t>
      </w:r>
      <w:r w:rsidRPr="000234C7">
        <w:rPr>
          <w:b/>
          <w:lang w:val="ru-RU"/>
        </w:rPr>
        <w:t>.</w:t>
      </w:r>
      <w:r w:rsidRPr="00170D8F">
        <w:rPr>
          <w:b/>
          <w:lang w:val="ru-RU"/>
        </w:rPr>
        <w:t xml:space="preserve"> Однако настоящий стандарт следует применять к тем договорам, которые организация </w:t>
      </w:r>
      <w:r w:rsidRPr="00E00C40">
        <w:rPr>
          <w:b/>
          <w:lang w:val="ru-RU"/>
        </w:rPr>
        <w:t>по собственному усмотрению классифицирует</w:t>
      </w:r>
      <w:r w:rsidRPr="00170D8F">
        <w:rPr>
          <w:b/>
          <w:lang w:val="ru-RU"/>
        </w:rPr>
        <w:t xml:space="preserve"> как оцениваемые по справедливой стоимости через прибыль или убыток в соответствии с пунктом 2.5.</w:t>
      </w:r>
    </w:p>
    <w:p w:rsidR="00B643A3" w:rsidRPr="00170D8F" w:rsidRDefault="00B643A3" w:rsidP="00B643A3">
      <w:pPr>
        <w:pStyle w:val="IASBNormalnpara"/>
        <w:rPr>
          <w:b/>
          <w:lang w:val="ru-RU"/>
        </w:rPr>
      </w:pPr>
      <w:r w:rsidRPr="00170D8F">
        <w:rPr>
          <w:b/>
          <w:lang w:val="ru-RU"/>
        </w:rPr>
        <w:t>2.5</w:t>
      </w:r>
      <w:r w:rsidRPr="00170D8F">
        <w:rPr>
          <w:b/>
          <w:lang w:val="ru-RU"/>
        </w:rPr>
        <w:tab/>
        <w:t xml:space="preserve">Договор на покупку или продажу нефинансовых объектов, который может быть урегулирован на нетто-основе денежными средствами или </w:t>
      </w:r>
      <w:r w:rsidR="00C674F5">
        <w:rPr>
          <w:b/>
          <w:lang w:val="ru-RU"/>
        </w:rPr>
        <w:t>иным финансовым инструментом либо</w:t>
      </w:r>
      <w:r w:rsidRPr="00170D8F">
        <w:rPr>
          <w:b/>
          <w:lang w:val="ru-RU"/>
        </w:rPr>
        <w:t xml:space="preserve"> путем обмена финансовыми инструментами, как если бы этот договор был финансовым инструментом, может быть </w:t>
      </w:r>
      <w:r w:rsidRPr="00E00C40">
        <w:rPr>
          <w:b/>
          <w:lang w:val="ru-RU"/>
        </w:rPr>
        <w:t>по усмотрению организации классифицирован, без права последующей реклассификации</w:t>
      </w:r>
      <w:r w:rsidRPr="00170D8F">
        <w:rPr>
          <w:b/>
          <w:lang w:val="ru-RU"/>
        </w:rPr>
        <w:t xml:space="preserve">, как оцениваемый по справедливой стоимости через прибыль или убыток, даже если он был заключен с целью получения или поставки нефинансового объекта в соответствии с ожидаемыми потребностями организации в закупках, продажах или использовании. </w:t>
      </w:r>
      <w:r w:rsidRPr="00E00C40">
        <w:rPr>
          <w:b/>
          <w:lang w:val="ru-RU"/>
        </w:rPr>
        <w:t xml:space="preserve">Данная классификация может быть осуществлена </w:t>
      </w:r>
      <w:r w:rsidRPr="00170D8F">
        <w:rPr>
          <w:b/>
          <w:lang w:val="ru-RU"/>
        </w:rPr>
        <w:t>только при заключении договора и только в том случае, если она позволит устранить или значительно уменьшить непоследовательность подходов к признанию (иногда именуемую «учетным несоответствием»), которая иначе возникла бы вследствие непризнания указанного договора на том основании, что он исключен из сферы применения настоящего стандарта (см. пункт 2.4).</w:t>
      </w:r>
    </w:p>
    <w:p w:rsidR="00B643A3" w:rsidRPr="00170D8F" w:rsidRDefault="00B643A3" w:rsidP="00B643A3">
      <w:pPr>
        <w:pStyle w:val="IASBNormalnpara"/>
        <w:rPr>
          <w:lang w:val="ru-RU"/>
        </w:rPr>
      </w:pPr>
      <w:r w:rsidRPr="00170D8F">
        <w:rPr>
          <w:lang w:val="ru-RU"/>
        </w:rPr>
        <w:t>2.6</w:t>
      </w:r>
      <w:r w:rsidRPr="00170D8F">
        <w:rPr>
          <w:lang w:val="ru-RU"/>
        </w:rPr>
        <w:tab/>
      </w:r>
      <w:r w:rsidR="00871240" w:rsidRPr="00871240">
        <w:rPr>
          <w:lang w:val="ru-RU"/>
        </w:rPr>
        <w:t>Существуют различные обстоятельства, при которых договор на покупку или продажу нефинансового объекта может быть урегулирован на нетто-основе денежными средствами или иным финансовым инструментом либо путем обмена финансовыми инструментами. К таковым относятся ситуации</w:t>
      </w:r>
      <w:r w:rsidRPr="00170D8F">
        <w:rPr>
          <w:lang w:val="ru-RU"/>
        </w:rPr>
        <w:t>:</w:t>
      </w:r>
    </w:p>
    <w:p w:rsidR="00B643A3" w:rsidRPr="00170D8F" w:rsidRDefault="00B643A3" w:rsidP="00B643A3">
      <w:pPr>
        <w:pStyle w:val="IASBNormalnparaL1"/>
        <w:rPr>
          <w:lang w:val="ru-RU"/>
        </w:rPr>
      </w:pPr>
      <w:r w:rsidRPr="00170D8F">
        <w:rPr>
          <w:lang w:val="ru-RU"/>
        </w:rPr>
        <w:t>(a)</w:t>
      </w:r>
      <w:r w:rsidRPr="00170D8F">
        <w:rPr>
          <w:lang w:val="ru-RU"/>
        </w:rPr>
        <w:tab/>
      </w:r>
      <w:r w:rsidR="00871240" w:rsidRPr="00871240">
        <w:rPr>
          <w:lang w:val="ru-RU"/>
        </w:rPr>
        <w:t>когда условия данного договора позволяют любой из сторон урегулировать его на нетто-основе денежными средствами или иным финансовым инструментом либо путем обмена финансовыми инструментами</w:t>
      </w:r>
      <w:r w:rsidRPr="00170D8F">
        <w:rPr>
          <w:lang w:val="ru-RU"/>
        </w:rPr>
        <w:t>;</w:t>
      </w:r>
    </w:p>
    <w:p w:rsidR="00B643A3" w:rsidRPr="00170D8F" w:rsidRDefault="00B643A3" w:rsidP="00B643A3">
      <w:pPr>
        <w:pStyle w:val="IASBNormalnparaL1"/>
        <w:rPr>
          <w:lang w:val="ru-RU"/>
        </w:rPr>
      </w:pPr>
      <w:r w:rsidRPr="00170D8F">
        <w:rPr>
          <w:lang w:val="ru-RU"/>
        </w:rPr>
        <w:t>(b)</w:t>
      </w:r>
      <w:r w:rsidRPr="00170D8F">
        <w:rPr>
          <w:lang w:val="ru-RU"/>
        </w:rPr>
        <w:tab/>
      </w:r>
      <w:r w:rsidR="00871240" w:rsidRPr="00871240">
        <w:rPr>
          <w:lang w:val="ru-RU"/>
        </w:rPr>
        <w:t>когда условия договора прямо не предусматривают возможность его урегулирования на нетто-основе денежными средствами или иным финансовым инструментом либо путем обмена финансовыми инструментами, но организация практикует урегулирование аналогичных договоров на нетто-основе денежными средствами или иным финансовым инструментом либо путем обмена финансовыми инструментами (будь то с контрагентом</w:t>
      </w:r>
      <w:r w:rsidR="00871240" w:rsidRPr="007A6CF7">
        <w:t> </w:t>
      </w:r>
      <w:r w:rsidR="00871240" w:rsidRPr="00871240">
        <w:rPr>
          <w:lang w:val="ru-RU"/>
        </w:rPr>
        <w:t>– путем заключения договоров, имеющих компенсирующий эффект,</w:t>
      </w:r>
      <w:r w:rsidR="00871240" w:rsidRPr="00871240" w:rsidDel="009D2BC2">
        <w:rPr>
          <w:lang w:val="ru-RU"/>
        </w:rPr>
        <w:t xml:space="preserve"> </w:t>
      </w:r>
      <w:r w:rsidR="00871240" w:rsidRPr="00871240">
        <w:rPr>
          <w:lang w:val="ru-RU"/>
        </w:rPr>
        <w:t>или путем продажи соответствующего договора до его исполнения или истечения срока его действия)</w:t>
      </w:r>
      <w:r w:rsidRPr="00170D8F">
        <w:rPr>
          <w:lang w:val="ru-RU"/>
        </w:rPr>
        <w:t>;</w:t>
      </w:r>
    </w:p>
    <w:p w:rsidR="00B643A3" w:rsidRPr="00170D8F" w:rsidRDefault="00B643A3" w:rsidP="00B643A3">
      <w:pPr>
        <w:pStyle w:val="IASBNormalnparaL1"/>
        <w:rPr>
          <w:lang w:val="ru-RU"/>
        </w:rPr>
      </w:pPr>
      <w:r w:rsidRPr="00170D8F">
        <w:rPr>
          <w:lang w:val="ru-RU"/>
        </w:rPr>
        <w:t>(c)</w:t>
      </w:r>
      <w:r w:rsidRPr="00170D8F">
        <w:rPr>
          <w:lang w:val="ru-RU"/>
        </w:rPr>
        <w:tab/>
      </w:r>
      <w:r w:rsidR="00871240" w:rsidRPr="00871240">
        <w:rPr>
          <w:lang w:val="ru-RU"/>
        </w:rPr>
        <w:t>когда</w:t>
      </w:r>
      <w:r w:rsidR="00871240" w:rsidRPr="007A6CF7">
        <w:t> </w:t>
      </w:r>
      <w:r w:rsidR="00871240" w:rsidRPr="00871240">
        <w:rPr>
          <w:lang w:val="ru-RU"/>
        </w:rPr>
        <w:t>– по аналогичным договорам</w:t>
      </w:r>
      <w:r w:rsidR="00871240" w:rsidRPr="007A6CF7">
        <w:t> </w:t>
      </w:r>
      <w:r w:rsidR="00871240" w:rsidRPr="00871240">
        <w:rPr>
          <w:lang w:val="ru-RU"/>
        </w:rPr>
        <w:t>– организация практикует получение базового актива и его перепродажу вскоре после получения, с тем чтобы сгенерировать прибыль от краткосрочных колебаний цены или маржи дилера</w:t>
      </w:r>
      <w:r w:rsidRPr="00170D8F">
        <w:rPr>
          <w:lang w:val="ru-RU"/>
        </w:rPr>
        <w:t>;</w:t>
      </w:r>
    </w:p>
    <w:p w:rsidR="00B643A3" w:rsidRPr="00170D8F" w:rsidRDefault="00B643A3" w:rsidP="00B643A3">
      <w:pPr>
        <w:pStyle w:val="IASBNormalnparaL1"/>
        <w:rPr>
          <w:lang w:val="ru-RU"/>
        </w:rPr>
      </w:pPr>
      <w:r w:rsidRPr="00170D8F">
        <w:rPr>
          <w:lang w:val="ru-RU"/>
        </w:rPr>
        <w:t>(d)</w:t>
      </w:r>
      <w:r w:rsidRPr="00170D8F">
        <w:rPr>
          <w:lang w:val="ru-RU"/>
        </w:rPr>
        <w:tab/>
      </w:r>
      <w:r w:rsidR="00871240" w:rsidRPr="00871240">
        <w:rPr>
          <w:lang w:val="ru-RU"/>
        </w:rPr>
        <w:t>когда нефинансовый объект, составляющий предмет договора, можно легко обратить в денежные средства</w:t>
      </w:r>
      <w:r w:rsidRPr="00170D8F">
        <w:rPr>
          <w:lang w:val="ru-RU"/>
        </w:rPr>
        <w:t>.</w:t>
      </w:r>
    </w:p>
    <w:p w:rsidR="00B643A3" w:rsidRPr="00170D8F" w:rsidRDefault="00871240" w:rsidP="00B643A3">
      <w:pPr>
        <w:pStyle w:val="IASBNormalnparaP"/>
        <w:rPr>
          <w:lang w:val="ru-RU"/>
        </w:rPr>
      </w:pPr>
      <w:r w:rsidRPr="007A6CF7">
        <w:rPr>
          <w:lang w:val="ru-RU"/>
        </w:rPr>
        <w:t xml:space="preserve">Договор, который соответствует </w:t>
      </w:r>
      <w:r>
        <w:rPr>
          <w:lang w:val="ru-RU"/>
        </w:rPr>
        <w:t>под</w:t>
      </w:r>
      <w:r w:rsidRPr="007A6CF7">
        <w:rPr>
          <w:lang w:val="ru-RU"/>
        </w:rPr>
        <w:t xml:space="preserve">пункту (b) или </w:t>
      </w:r>
      <w:r>
        <w:rPr>
          <w:lang w:val="ru-RU"/>
        </w:rPr>
        <w:t>под</w:t>
      </w:r>
      <w:r w:rsidRPr="007A6CF7">
        <w:rPr>
          <w:lang w:val="ru-RU"/>
        </w:rPr>
        <w:t>пункту (c), нельзя считать заключенным с целью получения или поставки нефинансового объекта в соответствии с ожидаемыми потребностями организации в закупках, продажах или</w:t>
      </w:r>
      <w:r>
        <w:rPr>
          <w:lang w:val="ru-RU"/>
        </w:rPr>
        <w:t xml:space="preserve"> использовании и, следовательно</w:t>
      </w:r>
      <w:r w:rsidRPr="007A6CF7">
        <w:rPr>
          <w:lang w:val="ru-RU"/>
        </w:rPr>
        <w:t>, он относится к сфере применения настоящего стандарта. Другие договоры, на которые распространяется пункт</w:t>
      </w:r>
      <w:r w:rsidR="00B643A3" w:rsidRPr="00170D8F">
        <w:rPr>
          <w:lang w:val="ru-RU"/>
        </w:rPr>
        <w:t xml:space="preserve"> 2.4, </w:t>
      </w:r>
      <w:r w:rsidRPr="007A6CF7">
        <w:rPr>
          <w:lang w:val="ru-RU"/>
        </w:rPr>
        <w:t>подлежат оценке, с тем чтобы определить, были ли они заключены и продолжают ли они удерживаться с целью получения или поставки нефинансового объекта в соответствии с ожидаемыми потребностями организации в закупках, продажах или</w:t>
      </w:r>
      <w:r>
        <w:rPr>
          <w:lang w:val="ru-RU"/>
        </w:rPr>
        <w:t xml:space="preserve"> использовании и, следовательно</w:t>
      </w:r>
      <w:r w:rsidRPr="007A6CF7">
        <w:rPr>
          <w:lang w:val="ru-RU"/>
        </w:rPr>
        <w:t>, относятся ли они к сфере применения настоящего стандарта</w:t>
      </w:r>
      <w:r w:rsidR="00B643A3" w:rsidRPr="00170D8F">
        <w:rPr>
          <w:lang w:val="ru-RU"/>
        </w:rPr>
        <w:t>.</w:t>
      </w:r>
    </w:p>
    <w:p w:rsidR="00B643A3" w:rsidRPr="00170D8F" w:rsidRDefault="00B643A3" w:rsidP="00B643A3">
      <w:pPr>
        <w:pStyle w:val="IASBNormalnpara"/>
        <w:rPr>
          <w:lang w:val="ru-RU"/>
        </w:rPr>
      </w:pPr>
      <w:r w:rsidRPr="00170D8F">
        <w:rPr>
          <w:lang w:val="ru-RU"/>
        </w:rPr>
        <w:t>2.7</w:t>
      </w:r>
      <w:r w:rsidRPr="00170D8F">
        <w:rPr>
          <w:lang w:val="ru-RU"/>
        </w:rPr>
        <w:tab/>
      </w:r>
      <w:r w:rsidR="00871240" w:rsidRPr="007A6CF7">
        <w:rPr>
          <w:lang w:val="ru-RU"/>
        </w:rPr>
        <w:t>Выпущенный опцион на покупку или продажу нефинансового объекта, допускающий урегулирование на нетто-основе денежными средствами или иным финансовым инструментом либо путем обмена финансовыми инстру</w:t>
      </w:r>
      <w:r w:rsidR="00871240">
        <w:rPr>
          <w:lang w:val="ru-RU"/>
        </w:rPr>
        <w:t>ментами в соответствии с пунктами</w:t>
      </w:r>
      <w:r w:rsidR="00871240" w:rsidRPr="007A6CF7">
        <w:rPr>
          <w:lang w:val="ru-RU"/>
        </w:rPr>
        <w:t xml:space="preserve"> </w:t>
      </w:r>
      <w:r w:rsidRPr="00170D8F">
        <w:rPr>
          <w:lang w:val="ru-RU"/>
        </w:rPr>
        <w:t xml:space="preserve">2.6(a) или 2.6(d), </w:t>
      </w:r>
      <w:r w:rsidR="00871240" w:rsidRPr="007A6CF7">
        <w:rPr>
          <w:lang w:val="ru-RU"/>
        </w:rPr>
        <w:t>относится к сфере применения настоящего стандарта. Такой договор не может быть заключен с целью получения или поставки нефинансового объекта в соответствии с ожидаемыми потребностями организации в закупках, продажах или использовании</w:t>
      </w:r>
      <w:r w:rsidRPr="00170D8F">
        <w:rPr>
          <w:lang w:val="ru-RU"/>
        </w:rPr>
        <w:t>.</w:t>
      </w:r>
    </w:p>
    <w:p w:rsidR="00B643A3" w:rsidRPr="00170D8F" w:rsidRDefault="00B643A3" w:rsidP="00B643A3">
      <w:pPr>
        <w:pStyle w:val="IASBSectionTitle1NonInd"/>
        <w:pBdr>
          <w:bottom w:val="none" w:sz="0" w:space="0" w:color="auto"/>
        </w:pBdr>
        <w:rPr>
          <w:lang w:val="ru-RU"/>
        </w:rPr>
      </w:pPr>
      <w:r w:rsidRPr="00170D8F">
        <w:rPr>
          <w:lang w:val="ru-RU"/>
        </w:rPr>
        <w:t>Глава 3 Признание и прекращение признания</w:t>
      </w:r>
    </w:p>
    <w:p w:rsidR="00B643A3" w:rsidRPr="00170D8F" w:rsidRDefault="00B643A3" w:rsidP="00B643A3">
      <w:pPr>
        <w:pStyle w:val="IASBSectionTitle1NonInd"/>
        <w:rPr>
          <w:lang w:val="ru-RU"/>
        </w:rPr>
      </w:pPr>
      <w:r w:rsidRPr="00170D8F">
        <w:rPr>
          <w:lang w:val="ru-RU"/>
        </w:rPr>
        <w:t>3.1 Первоначальное признание</w:t>
      </w:r>
    </w:p>
    <w:p w:rsidR="00B643A3" w:rsidRPr="00170D8F" w:rsidRDefault="00B643A3" w:rsidP="00B643A3">
      <w:pPr>
        <w:pStyle w:val="IASBNormalnpara"/>
        <w:rPr>
          <w:b/>
          <w:lang w:val="ru-RU"/>
        </w:rPr>
      </w:pPr>
      <w:r w:rsidRPr="00170D8F">
        <w:rPr>
          <w:b/>
          <w:lang w:val="ru-RU"/>
        </w:rPr>
        <w:t>3.1.1</w:t>
      </w:r>
      <w:r w:rsidRPr="00170D8F">
        <w:rPr>
          <w:b/>
          <w:lang w:val="ru-RU"/>
        </w:rPr>
        <w:tab/>
      </w:r>
      <w:r w:rsidR="009A64E9" w:rsidRPr="009A64E9">
        <w:rPr>
          <w:b/>
          <w:lang w:val="ru-RU"/>
        </w:rPr>
        <w:t>Организация признает финансовый актив или финансовое обязательство в своем отчете о финансовом положении тогда и только тогда, когда организация становится стороной по договору, определяющему условия соответствующего инструмента</w:t>
      </w:r>
      <w:r w:rsidRPr="00170D8F">
        <w:rPr>
          <w:b/>
          <w:lang w:val="ru-RU"/>
        </w:rPr>
        <w:t xml:space="preserve"> (см. пункты B3.1.1 и B3.1.2). Когда организация впервые признает финансовый актив, она должна классифицировать его в соответствии с пунктами 4.1.1–4.1.5 и оценить его в соответствии с пунктами 5.1.1–5.1.3. Когда организация впервые признает финансовое обязательство, она должна классифицировать его в соответствии с пунктами 4.2.1 и 4.2.2 и оценить его в соответствии с пунктом 5.1.1.</w:t>
      </w:r>
    </w:p>
    <w:p w:rsidR="00B643A3" w:rsidRPr="00170D8F" w:rsidRDefault="00B643A3" w:rsidP="00B643A3">
      <w:pPr>
        <w:pStyle w:val="IASBSectionTitle2Ind"/>
        <w:rPr>
          <w:lang w:val="ru-RU"/>
        </w:rPr>
      </w:pPr>
      <w:r w:rsidRPr="00170D8F">
        <w:rPr>
          <w:lang w:val="ru-RU"/>
        </w:rPr>
        <w:t>Покупка или продажа финансовых активов на стандартных условиях</w:t>
      </w:r>
    </w:p>
    <w:p w:rsidR="00B643A3" w:rsidRPr="00170D8F" w:rsidRDefault="00B643A3" w:rsidP="00B643A3">
      <w:pPr>
        <w:pStyle w:val="IASBNormalnpara"/>
        <w:rPr>
          <w:b/>
          <w:lang w:val="ru-RU"/>
        </w:rPr>
      </w:pPr>
      <w:r w:rsidRPr="00170D8F">
        <w:rPr>
          <w:b/>
          <w:lang w:val="ru-RU"/>
        </w:rPr>
        <w:t>3.1.2</w:t>
      </w:r>
      <w:r w:rsidRPr="00170D8F">
        <w:rPr>
          <w:b/>
          <w:lang w:val="ru-RU"/>
        </w:rPr>
        <w:tab/>
      </w:r>
      <w:r w:rsidR="00C70D27" w:rsidRPr="00C70D27">
        <w:rPr>
          <w:b/>
          <w:lang w:val="ru-RU"/>
        </w:rPr>
        <w:t xml:space="preserve">Для признания или прекращения признания – в зависимости от обстоятельств – </w:t>
      </w:r>
      <w:r w:rsidR="00C70D27" w:rsidRPr="00C70D27">
        <w:rPr>
          <w:b/>
          <w:i/>
          <w:lang w:val="ru-RU"/>
        </w:rPr>
        <w:t xml:space="preserve">покупки или продажи </w:t>
      </w:r>
      <w:r w:rsidR="00C70D27" w:rsidRPr="00C70D27">
        <w:rPr>
          <w:b/>
          <w:lang w:val="ru-RU"/>
        </w:rPr>
        <w:t>финансовых активов, осуществленной</w:t>
      </w:r>
      <w:r w:rsidR="00C70D27" w:rsidRPr="00C70D27">
        <w:rPr>
          <w:b/>
          <w:i/>
          <w:lang w:val="ru-RU"/>
        </w:rPr>
        <w:t xml:space="preserve"> на стандартных условиях, </w:t>
      </w:r>
      <w:r w:rsidR="00C70D27" w:rsidRPr="00C70D27">
        <w:rPr>
          <w:b/>
          <w:lang w:val="ru-RU"/>
        </w:rPr>
        <w:t>используется метод учета по дате заключения сделки либо метод учета по дате расчетов</w:t>
      </w:r>
      <w:r w:rsidRPr="00170D8F">
        <w:rPr>
          <w:b/>
          <w:lang w:val="ru-RU"/>
        </w:rPr>
        <w:t xml:space="preserve"> (см. пункты B3.1.3–B3.1.6). </w:t>
      </w:r>
    </w:p>
    <w:p w:rsidR="00B643A3" w:rsidRPr="00170D8F" w:rsidRDefault="00B643A3" w:rsidP="00B643A3">
      <w:pPr>
        <w:pStyle w:val="IASBSectionTitle1NonInd"/>
        <w:rPr>
          <w:lang w:val="ru-RU"/>
        </w:rPr>
      </w:pPr>
      <w:r w:rsidRPr="00170D8F">
        <w:rPr>
          <w:lang w:val="ru-RU"/>
        </w:rPr>
        <w:t>3.2 Прекращение признания финансовых активов</w:t>
      </w:r>
    </w:p>
    <w:p w:rsidR="00B643A3" w:rsidRPr="00170D8F" w:rsidRDefault="00B643A3" w:rsidP="00B643A3">
      <w:pPr>
        <w:pStyle w:val="IASBNormalnpara"/>
        <w:rPr>
          <w:lang w:val="ru-RU"/>
        </w:rPr>
      </w:pPr>
      <w:r w:rsidRPr="00170D8F">
        <w:rPr>
          <w:lang w:val="ru-RU"/>
        </w:rPr>
        <w:t>3.2.1</w:t>
      </w:r>
      <w:r w:rsidRPr="00170D8F">
        <w:rPr>
          <w:lang w:val="ru-RU"/>
        </w:rPr>
        <w:tab/>
        <w:t>В рамках консолидированной финансовой отчетности пункты 3.2.2–3.2.9, B3.1.1, B3.1.2 и B3.2.1–B3.2.17 применяются на консолидированном уровне. Таким образом, организация сначала консолидирует все дочерние организации в соответствии с МСФО (IFRS) 10, а затем применяет указанные пункты к образовавшейся группе.</w:t>
      </w:r>
    </w:p>
    <w:p w:rsidR="00B643A3" w:rsidRPr="00170D8F" w:rsidRDefault="00B643A3" w:rsidP="00B643A3">
      <w:pPr>
        <w:pStyle w:val="IASBNormalnpara"/>
        <w:rPr>
          <w:b/>
          <w:lang w:val="ru-RU"/>
        </w:rPr>
      </w:pPr>
      <w:r w:rsidRPr="00170D8F">
        <w:rPr>
          <w:b/>
          <w:lang w:val="ru-RU"/>
        </w:rPr>
        <w:t>3.2.2</w:t>
      </w:r>
      <w:r w:rsidRPr="00170D8F">
        <w:rPr>
          <w:lang w:val="ru-RU"/>
        </w:rPr>
        <w:tab/>
      </w:r>
      <w:r w:rsidR="009A64E9" w:rsidRPr="009A64E9">
        <w:rPr>
          <w:b/>
          <w:lang w:val="ru-RU"/>
        </w:rPr>
        <w:t xml:space="preserve">Прежде чем оценивать, требуется ли и, если да, в какой мере требуется </w:t>
      </w:r>
      <w:r w:rsidR="009A64E9" w:rsidRPr="009A64E9">
        <w:rPr>
          <w:b/>
          <w:i/>
          <w:lang w:val="ru-RU"/>
        </w:rPr>
        <w:t>прекращение признания</w:t>
      </w:r>
      <w:r w:rsidR="009A64E9" w:rsidRPr="009A64E9">
        <w:rPr>
          <w:b/>
          <w:lang w:val="ru-RU"/>
        </w:rPr>
        <w:t xml:space="preserve"> согласно пунктам</w:t>
      </w:r>
      <w:r w:rsidRPr="00170D8F">
        <w:rPr>
          <w:b/>
          <w:lang w:val="ru-RU"/>
        </w:rPr>
        <w:t xml:space="preserve"> 3.2.3–3.2.9, </w:t>
      </w:r>
      <w:r w:rsidR="009A64E9" w:rsidRPr="009A64E9">
        <w:rPr>
          <w:b/>
          <w:lang w:val="ru-RU"/>
        </w:rPr>
        <w:t>организация следующим образом определяет, следует ли применить указанные пункты к части финансового актива (либо к части группы аналогичных финансовых активов) или же к финансовому активу (либо к группе аналогичных финансовых активов) в целом</w:t>
      </w:r>
      <w:r w:rsidRPr="00170D8F">
        <w:rPr>
          <w:b/>
          <w:lang w:val="ru-RU"/>
        </w:rPr>
        <w:t>:</w:t>
      </w:r>
    </w:p>
    <w:p w:rsidR="00B643A3" w:rsidRPr="00170D8F" w:rsidRDefault="00B643A3" w:rsidP="00B643A3">
      <w:pPr>
        <w:pStyle w:val="IASBNormalnparaL1"/>
        <w:rPr>
          <w:b/>
          <w:lang w:val="ru-RU"/>
        </w:rPr>
      </w:pPr>
      <w:r w:rsidRPr="00170D8F">
        <w:rPr>
          <w:b/>
          <w:lang w:val="ru-RU"/>
        </w:rPr>
        <w:t>(a)</w:t>
      </w:r>
      <w:r w:rsidRPr="00170D8F">
        <w:rPr>
          <w:b/>
          <w:lang w:val="ru-RU"/>
        </w:rPr>
        <w:tab/>
        <w:t xml:space="preserve">Пункты 3.2.3–3.2.9 </w:t>
      </w:r>
      <w:r w:rsidR="009A64E9" w:rsidRPr="009A64E9">
        <w:rPr>
          <w:b/>
          <w:lang w:val="ru-RU"/>
        </w:rPr>
        <w:t>применяются к какой-либо части финансового актива (либо к части группы аналогичных финансовых активов) в том и только в том случае, если эта часть, рассматриваемая на предмет прекращения ее признания, отвечает одному из трех следующих условий</w:t>
      </w:r>
      <w:r w:rsidR="009A64E9">
        <w:rPr>
          <w:b/>
          <w:lang w:val="ru-RU"/>
        </w:rPr>
        <w:t>:</w:t>
      </w:r>
    </w:p>
    <w:p w:rsidR="00B643A3" w:rsidRPr="009A64E9" w:rsidRDefault="00B643A3" w:rsidP="00B643A3">
      <w:pPr>
        <w:pStyle w:val="IASBNormalnparaL2"/>
        <w:rPr>
          <w:b/>
          <w:lang w:val="ru-RU"/>
        </w:rPr>
      </w:pPr>
      <w:r w:rsidRPr="00170D8F">
        <w:rPr>
          <w:b/>
          <w:lang w:val="ru-RU"/>
        </w:rPr>
        <w:t>(i)</w:t>
      </w:r>
      <w:r w:rsidRPr="00170D8F">
        <w:rPr>
          <w:b/>
          <w:lang w:val="ru-RU"/>
        </w:rPr>
        <w:tab/>
      </w:r>
      <w:r w:rsidR="009A64E9" w:rsidRPr="009A64E9">
        <w:rPr>
          <w:b/>
          <w:lang w:val="ru-RU"/>
        </w:rPr>
        <w:t>данная часть включает в себя только конкретно идентифицированные денежные потоки от финансового актива (либо от группы аналогичных финансовых активов). Например, если организация заключает процентный стрип, который дает контрагенту право на получение процентов, но не основной суммы долгового инструмента, то пункты</w:t>
      </w:r>
      <w:r w:rsidRPr="00170D8F">
        <w:rPr>
          <w:b/>
          <w:lang w:val="ru-RU"/>
        </w:rPr>
        <w:t xml:space="preserve"> 3.2.3–3.2.9 </w:t>
      </w:r>
      <w:r w:rsidR="009A64E9" w:rsidRPr="009A64E9">
        <w:rPr>
          <w:b/>
          <w:lang w:val="ru-RU"/>
        </w:rPr>
        <w:t>применяются к денежным потокам в части процентных платежей;</w:t>
      </w:r>
    </w:p>
    <w:p w:rsidR="00B643A3" w:rsidRPr="009A64E9" w:rsidRDefault="00B643A3" w:rsidP="00B643A3">
      <w:pPr>
        <w:pStyle w:val="IASBNormalnparaL2"/>
        <w:rPr>
          <w:b/>
          <w:lang w:val="ru-RU"/>
        </w:rPr>
      </w:pPr>
      <w:r w:rsidRPr="00170D8F">
        <w:rPr>
          <w:b/>
          <w:lang w:val="ru-RU"/>
        </w:rPr>
        <w:t>(ii)</w:t>
      </w:r>
      <w:r w:rsidRPr="00170D8F">
        <w:rPr>
          <w:b/>
          <w:lang w:val="ru-RU"/>
        </w:rPr>
        <w:tab/>
      </w:r>
      <w:r w:rsidR="009A64E9" w:rsidRPr="009A64E9">
        <w:rPr>
          <w:b/>
          <w:lang w:val="ru-RU"/>
        </w:rPr>
        <w:t>данная часть включает в себя только пропорциональную долю денежных потоков от финансового актива (либо от группы аналогичных финансовых активов). Например, если организация заключает соглашение, по которому контрагент получает право на 90-процентную долю всех денежных потоков от долгового инструмента, то пункты</w:t>
      </w:r>
      <w:r w:rsidRPr="00170D8F">
        <w:rPr>
          <w:b/>
          <w:lang w:val="ru-RU"/>
        </w:rPr>
        <w:t xml:space="preserve"> 3.2.3–3.2.9 </w:t>
      </w:r>
      <w:r w:rsidR="009A64E9" w:rsidRPr="009A64E9">
        <w:rPr>
          <w:b/>
          <w:lang w:val="ru-RU"/>
        </w:rPr>
        <w:t>применяются к 90 процентам этих денежных потоков. В</w:t>
      </w:r>
      <w:r w:rsidR="009A64E9">
        <w:rPr>
          <w:b/>
        </w:rPr>
        <w:t> </w:t>
      </w:r>
      <w:r w:rsidR="009A64E9" w:rsidRPr="009A64E9">
        <w:rPr>
          <w:b/>
          <w:lang w:val="ru-RU"/>
        </w:rPr>
        <w:t>случае если контрагентов несколько, не требуется, чтобы каждый из них имел пропорциональную долю денежных потоков при условии, что передающая организация оставляет за собой пропорциональную долю;</w:t>
      </w:r>
    </w:p>
    <w:p w:rsidR="00B643A3" w:rsidRPr="009A64E9" w:rsidRDefault="00B643A3" w:rsidP="00B643A3">
      <w:pPr>
        <w:pStyle w:val="IASBNormalnparaL2"/>
        <w:rPr>
          <w:b/>
          <w:lang w:val="ru-RU"/>
        </w:rPr>
      </w:pPr>
      <w:r w:rsidRPr="00170D8F">
        <w:rPr>
          <w:b/>
          <w:lang w:val="ru-RU"/>
        </w:rPr>
        <w:t>(iii)</w:t>
      </w:r>
      <w:r w:rsidRPr="00170D8F">
        <w:rPr>
          <w:b/>
          <w:lang w:val="ru-RU"/>
        </w:rPr>
        <w:tab/>
      </w:r>
      <w:r w:rsidR="009A64E9" w:rsidRPr="009A64E9">
        <w:rPr>
          <w:b/>
          <w:lang w:val="ru-RU"/>
        </w:rPr>
        <w:t>данная часть включает в себя только пропорциональную долю конкретно идентифицированных денежных потоков от финансового актива (либо от группы аналогичных финансовых активов). Например, если организация заключает соглашение, по которому контрагент получает право на 90-процентную долю процентных поступлений по финансовому активу, то пункты</w:t>
      </w:r>
      <w:r w:rsidRPr="00170D8F">
        <w:rPr>
          <w:b/>
          <w:lang w:val="ru-RU"/>
        </w:rPr>
        <w:t xml:space="preserve"> 3.2.3–3.2.9 </w:t>
      </w:r>
      <w:r w:rsidR="009A64E9" w:rsidRPr="009A64E9">
        <w:rPr>
          <w:b/>
          <w:lang w:val="ru-RU"/>
        </w:rPr>
        <w:t>применяются к 90 процентам этих процентных поступлений. В</w:t>
      </w:r>
      <w:r w:rsidR="009A64E9" w:rsidRPr="007A6CF7">
        <w:rPr>
          <w:b/>
        </w:rPr>
        <w:t> </w:t>
      </w:r>
      <w:r w:rsidR="009A64E9" w:rsidRPr="009A64E9">
        <w:rPr>
          <w:b/>
          <w:lang w:val="ru-RU"/>
        </w:rPr>
        <w:t>случае, если контрагентов несколько, не требуется, чтобы каждый из них имел пропорциональную долю конкретно идентифицированных денежных потоков при условии, что передающая организация оставляет за собой пропорциональную долю;</w:t>
      </w:r>
    </w:p>
    <w:p w:rsidR="00B643A3" w:rsidRPr="00170D8F" w:rsidRDefault="00B643A3" w:rsidP="00B643A3">
      <w:pPr>
        <w:pStyle w:val="IASBNormalnparaL1"/>
        <w:rPr>
          <w:b/>
          <w:lang w:val="ru-RU"/>
        </w:rPr>
      </w:pPr>
      <w:r w:rsidRPr="00170D8F">
        <w:rPr>
          <w:b/>
          <w:lang w:val="ru-RU"/>
        </w:rPr>
        <w:t>(b)</w:t>
      </w:r>
      <w:r w:rsidRPr="00170D8F">
        <w:rPr>
          <w:b/>
          <w:lang w:val="ru-RU"/>
        </w:rPr>
        <w:tab/>
      </w:r>
      <w:r w:rsidR="009A64E9" w:rsidRPr="009A64E9">
        <w:rPr>
          <w:b/>
          <w:lang w:val="ru-RU"/>
        </w:rPr>
        <w:t>во всех остальных случаях пункты</w:t>
      </w:r>
      <w:r w:rsidRPr="00170D8F">
        <w:rPr>
          <w:b/>
          <w:lang w:val="ru-RU"/>
        </w:rPr>
        <w:t xml:space="preserve"> 3.2.3–3.2.9 </w:t>
      </w:r>
      <w:r w:rsidR="009A64E9" w:rsidRPr="009A64E9">
        <w:rPr>
          <w:b/>
          <w:lang w:val="ru-RU"/>
        </w:rPr>
        <w:t>применяются к финансовому активу в целом (или в целом к группе аналогичных финансовых активов). Например, если организация передает (</w:t>
      </w:r>
      <w:r w:rsidR="009A64E9" w:rsidRPr="007A6CF7">
        <w:rPr>
          <w:b/>
        </w:rPr>
        <w:t>i</w:t>
      </w:r>
      <w:r w:rsidR="009A64E9" w:rsidRPr="009A64E9">
        <w:rPr>
          <w:b/>
          <w:lang w:val="ru-RU"/>
        </w:rPr>
        <w:t>) права на первые или последние 90 процентов денежных поступлений по финансовому активу (или по группе финансовых активов) или (</w:t>
      </w:r>
      <w:r w:rsidR="009A64E9" w:rsidRPr="007A6CF7">
        <w:rPr>
          <w:b/>
        </w:rPr>
        <w:t>ii</w:t>
      </w:r>
      <w:r w:rsidR="009A64E9" w:rsidRPr="009A64E9">
        <w:rPr>
          <w:b/>
          <w:lang w:val="ru-RU"/>
        </w:rPr>
        <w:t>) права на 90 процентов денежных потоков по группе статей дебиторской задолженности, но при этом предоставляет гарантию на то, что компенсирует покупателю кредитные убытки в размере, не превышающем 8 процентов от основной суммы дебиторской задолженности, то пункты</w:t>
      </w:r>
      <w:r w:rsidRPr="00170D8F">
        <w:rPr>
          <w:b/>
          <w:lang w:val="ru-RU"/>
        </w:rPr>
        <w:t xml:space="preserve"> 3.2.3–3.2.9 </w:t>
      </w:r>
      <w:r w:rsidR="009A64E9" w:rsidRPr="009A64E9">
        <w:rPr>
          <w:b/>
          <w:lang w:val="ru-RU"/>
        </w:rPr>
        <w:t>применяются к этому финансовому активу (или к группе аналогичных финансовых активов) в целом</w:t>
      </w:r>
      <w:r w:rsidRPr="00170D8F">
        <w:rPr>
          <w:b/>
          <w:lang w:val="ru-RU"/>
        </w:rPr>
        <w:t>.</w:t>
      </w:r>
    </w:p>
    <w:p w:rsidR="00B643A3" w:rsidRPr="00170D8F" w:rsidRDefault="00B643A3" w:rsidP="00226B0D">
      <w:pPr>
        <w:autoSpaceDE w:val="0"/>
        <w:autoSpaceDN w:val="0"/>
        <w:adjustRightInd w:val="0"/>
        <w:ind w:left="770" w:firstLine="14"/>
        <w:jc w:val="both"/>
        <w:rPr>
          <w:b/>
          <w:sz w:val="19"/>
          <w:szCs w:val="20"/>
          <w:lang w:val="ru-RU"/>
        </w:rPr>
      </w:pPr>
      <w:r w:rsidRPr="00170D8F">
        <w:rPr>
          <w:b/>
          <w:sz w:val="19"/>
          <w:szCs w:val="20"/>
          <w:lang w:val="ru-RU"/>
        </w:rPr>
        <w:t>В пунктах 3.2.3</w:t>
      </w:r>
      <w:r w:rsidRPr="00170D8F">
        <w:rPr>
          <w:b/>
          <w:lang w:val="ru-RU"/>
        </w:rPr>
        <w:t>–</w:t>
      </w:r>
      <w:r w:rsidRPr="00170D8F">
        <w:rPr>
          <w:b/>
          <w:sz w:val="19"/>
          <w:szCs w:val="20"/>
          <w:lang w:val="ru-RU"/>
        </w:rPr>
        <w:t xml:space="preserve">3.2.12 </w:t>
      </w:r>
      <w:r w:rsidR="009A64E9" w:rsidRPr="007A6CF7">
        <w:rPr>
          <w:b/>
          <w:sz w:val="19"/>
          <w:lang w:val="ru-RU"/>
        </w:rPr>
        <w:t xml:space="preserve">термин «финансовый актив» используется для обозначения либо части финансового актива (или части группы аналогичных финансовых активов), как она определена в </w:t>
      </w:r>
      <w:r w:rsidR="009A64E9">
        <w:rPr>
          <w:b/>
          <w:sz w:val="19"/>
          <w:lang w:val="ru-RU"/>
        </w:rPr>
        <w:t>под</w:t>
      </w:r>
      <w:r w:rsidR="009A64E9" w:rsidRPr="007A6CF7">
        <w:rPr>
          <w:b/>
          <w:sz w:val="19"/>
          <w:lang w:val="ru-RU"/>
        </w:rPr>
        <w:t>пункте (a) выше, либо финансового актива (или группы аналогичных финансовых активов) в целом.</w:t>
      </w:r>
    </w:p>
    <w:p w:rsidR="00B643A3" w:rsidRPr="00170D8F" w:rsidRDefault="00B643A3" w:rsidP="00B643A3">
      <w:pPr>
        <w:pStyle w:val="IASBNormalnpara"/>
        <w:rPr>
          <w:b/>
          <w:lang w:val="ru-RU"/>
        </w:rPr>
      </w:pPr>
      <w:r w:rsidRPr="00170D8F">
        <w:rPr>
          <w:b/>
          <w:lang w:val="ru-RU"/>
        </w:rPr>
        <w:t>3.2.3</w:t>
      </w:r>
      <w:r w:rsidRPr="00170D8F">
        <w:rPr>
          <w:b/>
          <w:lang w:val="ru-RU"/>
        </w:rPr>
        <w:tab/>
        <w:t>Организация должна прекратить признание финансового актива тогда и только тогда, когда:</w:t>
      </w:r>
    </w:p>
    <w:p w:rsidR="00B643A3" w:rsidRPr="00170D8F" w:rsidRDefault="009A64E9" w:rsidP="005E2633">
      <w:pPr>
        <w:numPr>
          <w:ilvl w:val="0"/>
          <w:numId w:val="9"/>
        </w:numPr>
        <w:autoSpaceDE w:val="0"/>
        <w:autoSpaceDN w:val="0"/>
        <w:adjustRightInd w:val="0"/>
        <w:spacing w:before="100"/>
        <w:ind w:left="1418" w:hanging="567"/>
        <w:jc w:val="both"/>
        <w:rPr>
          <w:b/>
          <w:sz w:val="19"/>
          <w:szCs w:val="20"/>
          <w:lang w:val="ru-RU"/>
        </w:rPr>
      </w:pPr>
      <w:r w:rsidRPr="007A6CF7">
        <w:rPr>
          <w:b/>
          <w:sz w:val="19"/>
          <w:lang w:val="ru-RU"/>
        </w:rPr>
        <w:t>истекает срок действия предусмотренных договором прав на денежные потоки от этого финансового актива</w:t>
      </w:r>
      <w:r>
        <w:rPr>
          <w:b/>
          <w:sz w:val="19"/>
          <w:lang w:val="ru-RU"/>
        </w:rPr>
        <w:t>;</w:t>
      </w:r>
      <w:r w:rsidR="00B643A3" w:rsidRPr="00170D8F">
        <w:rPr>
          <w:b/>
          <w:sz w:val="19"/>
          <w:szCs w:val="20"/>
          <w:lang w:val="ru-RU"/>
        </w:rPr>
        <w:t xml:space="preserve"> или</w:t>
      </w:r>
    </w:p>
    <w:p w:rsidR="00B643A3" w:rsidRPr="00170D8F" w:rsidRDefault="009A64E9" w:rsidP="007E6E67">
      <w:pPr>
        <w:numPr>
          <w:ilvl w:val="0"/>
          <w:numId w:val="9"/>
        </w:numPr>
        <w:autoSpaceDE w:val="0"/>
        <w:autoSpaceDN w:val="0"/>
        <w:adjustRightInd w:val="0"/>
        <w:spacing w:before="100"/>
        <w:ind w:left="1418" w:hanging="567"/>
        <w:jc w:val="both"/>
        <w:rPr>
          <w:b/>
          <w:sz w:val="19"/>
          <w:szCs w:val="20"/>
          <w:lang w:val="ru-RU"/>
        </w:rPr>
      </w:pPr>
      <w:r w:rsidRPr="007A6CF7">
        <w:rPr>
          <w:b/>
          <w:sz w:val="19"/>
          <w:lang w:val="ru-RU"/>
        </w:rPr>
        <w:t>она передает этот финансовый актив, как установлено в пунктах</w:t>
      </w:r>
      <w:r w:rsidR="00B643A3" w:rsidRPr="00170D8F">
        <w:rPr>
          <w:b/>
          <w:sz w:val="19"/>
          <w:szCs w:val="20"/>
          <w:lang w:val="ru-RU"/>
        </w:rPr>
        <w:t xml:space="preserve"> 3.2.4 и 3.2.5, и данная передача соответствует требованиям для прекращения признания, изложенным в пункте 3.2.6.</w:t>
      </w:r>
    </w:p>
    <w:p w:rsidR="00B643A3" w:rsidRPr="00170D8F" w:rsidRDefault="00B643A3" w:rsidP="00B643A3">
      <w:pPr>
        <w:pStyle w:val="IASBNormalnparaP"/>
        <w:rPr>
          <w:b/>
          <w:lang w:val="ru-RU"/>
        </w:rPr>
      </w:pPr>
      <w:r w:rsidRPr="00170D8F">
        <w:rPr>
          <w:b/>
          <w:lang w:val="ru-RU"/>
        </w:rPr>
        <w:t>(См. пункт 3.1.2 относительно продаж финансовых активов на стандартных условиях.)</w:t>
      </w:r>
    </w:p>
    <w:p w:rsidR="00B643A3" w:rsidRPr="00170D8F" w:rsidRDefault="00B643A3" w:rsidP="00B643A3">
      <w:pPr>
        <w:pStyle w:val="IASBNormalnpara"/>
        <w:rPr>
          <w:b/>
          <w:lang w:val="ru-RU"/>
        </w:rPr>
      </w:pPr>
      <w:r w:rsidRPr="00170D8F">
        <w:rPr>
          <w:b/>
          <w:lang w:val="ru-RU"/>
        </w:rPr>
        <w:t>3.2.4</w:t>
      </w:r>
      <w:r w:rsidRPr="00170D8F">
        <w:rPr>
          <w:b/>
          <w:lang w:val="ru-RU"/>
        </w:rPr>
        <w:tab/>
      </w:r>
      <w:r w:rsidR="009A64E9" w:rsidRPr="009A64E9">
        <w:rPr>
          <w:b/>
          <w:lang w:val="ru-RU"/>
        </w:rPr>
        <w:t>Организация передала финансовый актив в том и только в том случае, если она</w:t>
      </w:r>
      <w:r w:rsidRPr="00170D8F">
        <w:rPr>
          <w:b/>
          <w:lang w:val="ru-RU"/>
        </w:rPr>
        <w:t>:</w:t>
      </w:r>
    </w:p>
    <w:p w:rsidR="00B643A3" w:rsidRPr="00170D8F" w:rsidRDefault="00B643A3" w:rsidP="00B643A3">
      <w:pPr>
        <w:pStyle w:val="IASBNormalnparaL1"/>
        <w:rPr>
          <w:b/>
          <w:lang w:val="ru-RU"/>
        </w:rPr>
      </w:pPr>
      <w:r w:rsidRPr="00170D8F">
        <w:rPr>
          <w:b/>
          <w:lang w:val="ru-RU"/>
        </w:rPr>
        <w:t>(a)</w:t>
      </w:r>
      <w:r w:rsidRPr="00170D8F">
        <w:rPr>
          <w:b/>
          <w:lang w:val="ru-RU"/>
        </w:rPr>
        <w:tab/>
      </w:r>
      <w:r w:rsidR="009A64E9" w:rsidRPr="009A64E9">
        <w:rPr>
          <w:b/>
          <w:lang w:val="ru-RU"/>
        </w:rPr>
        <w:t>либо передала предусмотренные договором права на получение денежных потоков от финансового актива</w:t>
      </w:r>
      <w:r w:rsidR="009A64E9">
        <w:rPr>
          <w:b/>
          <w:lang w:val="ru-RU"/>
        </w:rPr>
        <w:t>;</w:t>
      </w:r>
    </w:p>
    <w:p w:rsidR="00B643A3" w:rsidRPr="00170D8F" w:rsidRDefault="00B643A3" w:rsidP="00B643A3">
      <w:pPr>
        <w:pStyle w:val="IASBNormalnparaL1"/>
        <w:rPr>
          <w:b/>
          <w:lang w:val="ru-RU"/>
        </w:rPr>
      </w:pPr>
      <w:r w:rsidRPr="00170D8F">
        <w:rPr>
          <w:b/>
          <w:lang w:val="ru-RU"/>
        </w:rPr>
        <w:t>(b)</w:t>
      </w:r>
      <w:r w:rsidRPr="00170D8F">
        <w:rPr>
          <w:b/>
          <w:lang w:val="ru-RU"/>
        </w:rPr>
        <w:tab/>
      </w:r>
      <w:r w:rsidR="009A64E9" w:rsidRPr="009A64E9">
        <w:rPr>
          <w:b/>
          <w:lang w:val="ru-RU"/>
        </w:rPr>
        <w:t>либо сохранила предусмотренные договором права на получение денежных потоков от финансового актива, но приняла на себя предусмотренную договором обязанность выплачивать эти денежные потоки одному или нескольким получателям в рамках соглашения, которое удовлетворяет условиям, приведенным в пункте</w:t>
      </w:r>
      <w:r w:rsidRPr="00170D8F">
        <w:rPr>
          <w:b/>
          <w:lang w:val="ru-RU"/>
        </w:rPr>
        <w:t xml:space="preserve"> 3.2.5.</w:t>
      </w:r>
    </w:p>
    <w:p w:rsidR="00B643A3" w:rsidRPr="00170D8F" w:rsidRDefault="00B643A3" w:rsidP="00B643A3">
      <w:pPr>
        <w:pStyle w:val="IASBNormalnpara"/>
        <w:rPr>
          <w:b/>
          <w:lang w:val="ru-RU"/>
        </w:rPr>
      </w:pPr>
      <w:r w:rsidRPr="00170D8F">
        <w:rPr>
          <w:b/>
          <w:lang w:val="ru-RU"/>
        </w:rPr>
        <w:t>3.2.5</w:t>
      </w:r>
      <w:r w:rsidRPr="00170D8F">
        <w:rPr>
          <w:b/>
          <w:lang w:val="ru-RU"/>
        </w:rPr>
        <w:tab/>
      </w:r>
      <w:r w:rsidR="009A64E9" w:rsidRPr="009A64E9">
        <w:rPr>
          <w:b/>
          <w:lang w:val="ru-RU"/>
        </w:rPr>
        <w:t>Если организация сохраняет предусмотренные договором права на получение денежных потоков от финансового актива («первоначальный актив»), но принимает на себя предусмотренную договором обязанность выплачивать эти денежные потоки одной или нескольким другим организациям («конечные получатели»), то организация отражает данную сделку как передачу финансового актива в том и только в том случае, если выполняются все три следующие условия</w:t>
      </w:r>
      <w:r w:rsidRPr="00170D8F">
        <w:rPr>
          <w:b/>
          <w:lang w:val="ru-RU"/>
        </w:rPr>
        <w:t>:</w:t>
      </w:r>
    </w:p>
    <w:p w:rsidR="00B643A3" w:rsidRPr="00170D8F" w:rsidRDefault="00B643A3" w:rsidP="00B643A3">
      <w:pPr>
        <w:pStyle w:val="IASBNormalnparaL1"/>
        <w:rPr>
          <w:b/>
          <w:lang w:val="ru-RU"/>
        </w:rPr>
      </w:pPr>
      <w:r w:rsidRPr="00170D8F">
        <w:rPr>
          <w:b/>
          <w:lang w:val="ru-RU"/>
        </w:rPr>
        <w:t>(a)</w:t>
      </w:r>
      <w:r w:rsidRPr="00170D8F">
        <w:rPr>
          <w:b/>
          <w:lang w:val="ru-RU"/>
        </w:rPr>
        <w:tab/>
      </w:r>
      <w:r w:rsidR="009A64E9" w:rsidRPr="009A64E9">
        <w:rPr>
          <w:b/>
          <w:lang w:val="ru-RU"/>
        </w:rPr>
        <w:t>организация не обязана выплачивать конечным получателям какие-либо суммы, если она не получит эквивалентных сумм по первоначальному активу. Краткосрочное размещение средств организацией с правом полного возмещения размещенной суммы плюс начисленные проценты по рыночным ставкам не является нарушением этого условия</w:t>
      </w:r>
      <w:r w:rsidR="009A64E9">
        <w:rPr>
          <w:b/>
          <w:lang w:val="ru-RU"/>
        </w:rPr>
        <w:t>;</w:t>
      </w:r>
    </w:p>
    <w:p w:rsidR="00B643A3" w:rsidRPr="009A64E9" w:rsidRDefault="00B643A3" w:rsidP="00B643A3">
      <w:pPr>
        <w:pStyle w:val="IASBNormalnparaL1"/>
        <w:rPr>
          <w:b/>
          <w:lang w:val="ru-RU"/>
        </w:rPr>
      </w:pPr>
      <w:r w:rsidRPr="00170D8F">
        <w:rPr>
          <w:b/>
          <w:lang w:val="ru-RU"/>
        </w:rPr>
        <w:t>(b)</w:t>
      </w:r>
      <w:r w:rsidRPr="00170D8F">
        <w:rPr>
          <w:b/>
          <w:lang w:val="ru-RU"/>
        </w:rPr>
        <w:tab/>
      </w:r>
      <w:r w:rsidR="009A64E9" w:rsidRPr="009A64E9">
        <w:rPr>
          <w:b/>
          <w:lang w:val="ru-RU"/>
        </w:rPr>
        <w:t>условия соответствующего договора о передаче запрещают организации продавать или передавать первоначальный актив в залог, кроме как конечным получателям в качестве обеспечения своей обязанности по выплате им денежных потоков;</w:t>
      </w:r>
    </w:p>
    <w:p w:rsidR="00B643A3" w:rsidRPr="00170D8F" w:rsidRDefault="00B643A3" w:rsidP="00B643A3">
      <w:pPr>
        <w:pStyle w:val="IASBNormalnparaL1"/>
        <w:rPr>
          <w:b/>
          <w:lang w:val="ru-RU"/>
        </w:rPr>
      </w:pPr>
      <w:r w:rsidRPr="00170D8F">
        <w:rPr>
          <w:b/>
          <w:lang w:val="ru-RU"/>
        </w:rPr>
        <w:t>(c)</w:t>
      </w:r>
      <w:r w:rsidRPr="00170D8F">
        <w:rPr>
          <w:b/>
          <w:lang w:val="ru-RU"/>
        </w:rPr>
        <w:tab/>
      </w:r>
      <w:r w:rsidR="009A64E9" w:rsidRPr="009A64E9">
        <w:rPr>
          <w:b/>
          <w:lang w:val="ru-RU"/>
        </w:rPr>
        <w:t>организация обязана перечислять все денежные потоки, собираемые ею в интересах конечных получателей, без существенных задержек. Кроме того, у организации нет права реинвестировать такие денежные потоки, за исключением инвестиций в денежные средства или эквиваленты денежных средств (как они определены в МСФО (</w:t>
      </w:r>
      <w:r w:rsidR="009A64E9" w:rsidRPr="007A6CF7">
        <w:rPr>
          <w:b/>
        </w:rPr>
        <w:t>IAS</w:t>
      </w:r>
      <w:r w:rsidR="009A64E9" w:rsidRPr="009A64E9">
        <w:rPr>
          <w:b/>
          <w:lang w:val="ru-RU"/>
        </w:rPr>
        <w:t xml:space="preserve">) 7 </w:t>
      </w:r>
      <w:r w:rsidR="009A64E9" w:rsidRPr="009A64E9">
        <w:rPr>
          <w:b/>
          <w:i/>
          <w:lang w:val="ru-RU"/>
        </w:rPr>
        <w:t>«Отчет о движении денежных средств»</w:t>
      </w:r>
      <w:r w:rsidR="009A64E9" w:rsidRPr="009A64E9">
        <w:rPr>
          <w:b/>
          <w:lang w:val="ru-RU"/>
        </w:rPr>
        <w:t>) в пределах короткого платежного периода с даты сбора денежных потоков до даты требуемого их перечисления конечным получателям, при этом проценты, заработанные от такой инвестиции, передаются конечным получателям</w:t>
      </w:r>
      <w:r w:rsidRPr="00170D8F">
        <w:rPr>
          <w:b/>
          <w:lang w:val="ru-RU"/>
        </w:rPr>
        <w:t>.</w:t>
      </w:r>
    </w:p>
    <w:p w:rsidR="00B643A3" w:rsidRPr="00170D8F" w:rsidRDefault="00B643A3" w:rsidP="00B643A3">
      <w:pPr>
        <w:pStyle w:val="IASBNormalnpara"/>
        <w:rPr>
          <w:b/>
          <w:lang w:val="ru-RU"/>
        </w:rPr>
      </w:pPr>
      <w:r w:rsidRPr="00170D8F">
        <w:rPr>
          <w:b/>
          <w:lang w:val="ru-RU"/>
        </w:rPr>
        <w:t>3.2.6</w:t>
      </w:r>
      <w:r w:rsidRPr="00170D8F">
        <w:rPr>
          <w:b/>
          <w:lang w:val="ru-RU"/>
        </w:rPr>
        <w:tab/>
        <w:t>Когда организация передает финансовый актив (см. пункт 3.2.4), ей следует оценить степень, в которой она сохраняет риски и выгоды, связанные с правом собственности на этот финансовый актив. В этом случае:</w:t>
      </w:r>
    </w:p>
    <w:p w:rsidR="00B643A3" w:rsidRPr="009A64E9" w:rsidRDefault="00B643A3" w:rsidP="00B643A3">
      <w:pPr>
        <w:pStyle w:val="IASBNormalnparaL1"/>
        <w:rPr>
          <w:b/>
          <w:lang w:val="ru-RU"/>
        </w:rPr>
      </w:pPr>
      <w:r w:rsidRPr="00170D8F">
        <w:rPr>
          <w:b/>
          <w:lang w:val="ru-RU"/>
        </w:rPr>
        <w:t>(a)</w:t>
      </w:r>
      <w:r w:rsidRPr="00170D8F">
        <w:rPr>
          <w:b/>
          <w:lang w:val="ru-RU"/>
        </w:rPr>
        <w:tab/>
      </w:r>
      <w:r w:rsidR="009A64E9" w:rsidRPr="009A64E9">
        <w:rPr>
          <w:b/>
          <w:lang w:val="ru-RU"/>
        </w:rPr>
        <w:t>если организация передает практически все риски и выгоды, связанные с правом собственности на финансовый актив, то она должна прекратить признание данного финансового актива и отдельно признать в качестве активов или обязательств все права и обязанности, которые были созданы или сохранены при передаче;</w:t>
      </w:r>
    </w:p>
    <w:p w:rsidR="00B643A3" w:rsidRPr="009A64E9" w:rsidRDefault="00B643A3" w:rsidP="00B643A3">
      <w:pPr>
        <w:pStyle w:val="IASBNormalnparaL1"/>
        <w:rPr>
          <w:b/>
          <w:lang w:val="ru-RU"/>
        </w:rPr>
      </w:pPr>
      <w:r w:rsidRPr="00170D8F">
        <w:rPr>
          <w:b/>
          <w:lang w:val="ru-RU"/>
        </w:rPr>
        <w:t>(b)</w:t>
      </w:r>
      <w:r w:rsidRPr="00170D8F">
        <w:rPr>
          <w:b/>
          <w:lang w:val="ru-RU"/>
        </w:rPr>
        <w:tab/>
      </w:r>
      <w:r w:rsidR="009A64E9" w:rsidRPr="009A64E9">
        <w:rPr>
          <w:b/>
          <w:lang w:val="ru-RU"/>
        </w:rPr>
        <w:t>если организация сохраняет практически все риски и выгоды, связанные с правом собственности на финансовый актив, то она должна продолжить признание данного финансового актива;</w:t>
      </w:r>
    </w:p>
    <w:p w:rsidR="00B643A3" w:rsidRPr="00170D8F" w:rsidRDefault="00B643A3" w:rsidP="00B643A3">
      <w:pPr>
        <w:pStyle w:val="IASBNormalnparaL1"/>
        <w:rPr>
          <w:b/>
          <w:lang w:val="ru-RU"/>
        </w:rPr>
      </w:pPr>
      <w:r w:rsidRPr="00170D8F">
        <w:rPr>
          <w:b/>
          <w:lang w:val="ru-RU"/>
        </w:rPr>
        <w:t>(c)</w:t>
      </w:r>
      <w:r w:rsidRPr="00170D8F">
        <w:rPr>
          <w:b/>
          <w:lang w:val="ru-RU"/>
        </w:rPr>
        <w:tab/>
      </w:r>
      <w:r w:rsidR="009A64E9" w:rsidRPr="009A64E9">
        <w:rPr>
          <w:b/>
          <w:lang w:val="ru-RU"/>
        </w:rPr>
        <w:t>если организация не передает и не сохраняет практически все риски и выгоды, связанные с правом собственности на финансовый актив, то она должна определить, сохранила ли она контроль над данным финансовым активом. В этом случае:</w:t>
      </w:r>
    </w:p>
    <w:p w:rsidR="00B643A3" w:rsidRPr="009A64E9" w:rsidRDefault="00B643A3" w:rsidP="00B643A3">
      <w:pPr>
        <w:pStyle w:val="IASBNormalnparaL2"/>
        <w:rPr>
          <w:b/>
          <w:lang w:val="ru-RU"/>
        </w:rPr>
      </w:pPr>
      <w:r w:rsidRPr="00170D8F">
        <w:rPr>
          <w:b/>
          <w:lang w:val="ru-RU"/>
        </w:rPr>
        <w:t>(i)</w:t>
      </w:r>
      <w:r w:rsidRPr="00170D8F">
        <w:rPr>
          <w:b/>
          <w:lang w:val="ru-RU"/>
        </w:rPr>
        <w:tab/>
      </w:r>
      <w:r w:rsidR="009A64E9" w:rsidRPr="009A64E9">
        <w:rPr>
          <w:b/>
          <w:lang w:val="ru-RU"/>
        </w:rPr>
        <w:t>если организация не сохранила контроль, то она должна прекратить признание данного финансового актива и отдельно признать в качестве активов или обязательств все права и обязанности, которые были созданы или сохранены при передаче;</w:t>
      </w:r>
    </w:p>
    <w:p w:rsidR="00B643A3" w:rsidRPr="00170D8F" w:rsidRDefault="00B643A3" w:rsidP="00B643A3">
      <w:pPr>
        <w:pStyle w:val="IASBNormalnparaL2"/>
        <w:rPr>
          <w:b/>
          <w:lang w:val="ru-RU"/>
        </w:rPr>
      </w:pPr>
      <w:r w:rsidRPr="00170D8F">
        <w:rPr>
          <w:b/>
          <w:lang w:val="ru-RU"/>
        </w:rPr>
        <w:t>(ii)</w:t>
      </w:r>
      <w:r w:rsidRPr="00170D8F">
        <w:rPr>
          <w:b/>
          <w:lang w:val="ru-RU"/>
        </w:rPr>
        <w:tab/>
      </w:r>
      <w:r w:rsidR="009A64E9" w:rsidRPr="009A64E9">
        <w:rPr>
          <w:b/>
          <w:lang w:val="ru-RU"/>
        </w:rPr>
        <w:t xml:space="preserve">если организация сохранила контроль, то она должна продолжить признание данного финансового актива в объеме своего продолжающегося участия в этом финансовом активе </w:t>
      </w:r>
      <w:r w:rsidRPr="00170D8F">
        <w:rPr>
          <w:b/>
          <w:lang w:val="ru-RU"/>
        </w:rPr>
        <w:t>(см. пункт 3.2.16).</w:t>
      </w:r>
    </w:p>
    <w:p w:rsidR="00B643A3" w:rsidRPr="00170D8F" w:rsidRDefault="00B643A3" w:rsidP="00B643A3">
      <w:pPr>
        <w:pStyle w:val="IASBNormalnpara"/>
        <w:rPr>
          <w:lang w:val="ru-RU"/>
        </w:rPr>
      </w:pPr>
      <w:r w:rsidRPr="00170D8F">
        <w:rPr>
          <w:lang w:val="ru-RU"/>
        </w:rPr>
        <w:t>3.2.7</w:t>
      </w:r>
      <w:r w:rsidRPr="00170D8F">
        <w:rPr>
          <w:lang w:val="ru-RU"/>
        </w:rPr>
        <w:tab/>
        <w:t xml:space="preserve">Передача рисков и выгод (см. пункт 3.2.6) </w:t>
      </w:r>
      <w:r w:rsidR="009A64E9" w:rsidRPr="009A64E9">
        <w:rPr>
          <w:lang w:val="ru-RU"/>
        </w:rPr>
        <w:t xml:space="preserve">оценивается путем сравнения степени подверженности организации изменениям сумм и сроков возникновения чистых денежных потоков по переданному активу до и после его передачи. Организация сохранила практически все риски и выгоды, связанные с правом собственности на финансовый актив, если ее подверженность изменениям приведенной стоимости будущих чистых денежных потоков от финансового актива не претерпевает значительного изменения в результате данной передачи (например, потому, что организация продала финансовый актив с условием его обратной покупки по фиксированной цене или по цене продажи плюс сумма, соответствующая доходу кредитора). Организация передала практически все риски и выгоды, связанные с правом собственности на финансовый актив, если ее подверженность таким изменениям более не является значительной по отношению к общему результату изменений приведенной стоимости будущих чистых денежных потоков, связанных с финансовым активом (например, потому, что организация продала финансовый актив и оставила за собой лишь опцион на его обратную покупку по </w:t>
      </w:r>
      <w:r w:rsidR="009A64E9" w:rsidRPr="009A64E9">
        <w:rPr>
          <w:i/>
          <w:lang w:val="ru-RU"/>
        </w:rPr>
        <w:t>справедливой стоимости</w:t>
      </w:r>
      <w:r w:rsidR="009A64E9" w:rsidRPr="009A64E9">
        <w:rPr>
          <w:lang w:val="ru-RU"/>
        </w:rPr>
        <w:t xml:space="preserve"> на момент выкупа или же она передала абсолютно пропорциональную долю денежных потоков от большего финансового актива в рамках соглашения, такого как соглашение с основным кредитором об участии в предоставлении займа, которое отвечает условиям пункта</w:t>
      </w:r>
      <w:r w:rsidRPr="00170D8F">
        <w:rPr>
          <w:lang w:val="ru-RU"/>
        </w:rPr>
        <w:t xml:space="preserve"> 3.2.5).</w:t>
      </w:r>
    </w:p>
    <w:p w:rsidR="00B643A3" w:rsidRPr="00170D8F" w:rsidRDefault="00B643A3" w:rsidP="00B643A3">
      <w:pPr>
        <w:pStyle w:val="IASBNormalnpara"/>
        <w:rPr>
          <w:lang w:val="ru-RU"/>
        </w:rPr>
      </w:pPr>
      <w:r w:rsidRPr="00170D8F">
        <w:rPr>
          <w:lang w:val="ru-RU"/>
        </w:rPr>
        <w:t>3.2.8</w:t>
      </w:r>
      <w:r w:rsidRPr="00170D8F">
        <w:rPr>
          <w:lang w:val="ru-RU"/>
        </w:rPr>
        <w:tab/>
      </w:r>
      <w:r w:rsidR="009A64E9" w:rsidRPr="009A64E9">
        <w:rPr>
          <w:lang w:val="ru-RU"/>
        </w:rPr>
        <w:t>Во многих случаях решение вопроса о том, передала ли организация или сохранила практически все риски и выгоды, связанные с правом собственности на финансовый актив, будет очевидным и никакой необходимости в выполнении каких-либо расчетов не возникнет. В других случаях необходимо будет рассчитать и сравнить подверженность организации изменениям приведенной стоимости будущих чистых денежных потоков до и после передачи. Расчет и сравнение производятся с использованием в качестве ставки дисконтирования соответствующей текущей рыночной процентной ставки. Во внимание принимаются все обоснованно возможные изменения чистых денежных потоков, при этом большее значение придается тем результатам, вероятность возникновения которых выше</w:t>
      </w:r>
      <w:r w:rsidRPr="00170D8F">
        <w:rPr>
          <w:lang w:val="ru-RU"/>
        </w:rPr>
        <w:t>.</w:t>
      </w:r>
    </w:p>
    <w:p w:rsidR="00B643A3" w:rsidRPr="00170D8F" w:rsidRDefault="00B643A3" w:rsidP="00B643A3">
      <w:pPr>
        <w:pStyle w:val="IASBNormalnpara"/>
        <w:rPr>
          <w:lang w:val="ru-RU"/>
        </w:rPr>
      </w:pPr>
      <w:r w:rsidRPr="00170D8F">
        <w:rPr>
          <w:lang w:val="ru-RU"/>
        </w:rPr>
        <w:t>3.2.9</w:t>
      </w:r>
      <w:r w:rsidRPr="00170D8F">
        <w:rPr>
          <w:lang w:val="ru-RU"/>
        </w:rPr>
        <w:tab/>
        <w:t xml:space="preserve">Решение вопроса о том, сохранила ли организация контроль (см. пункт 3.2.6(с)) </w:t>
      </w:r>
      <w:r w:rsidR="009A64E9" w:rsidRPr="009A64E9">
        <w:rPr>
          <w:lang w:val="ru-RU"/>
        </w:rPr>
        <w:t xml:space="preserve">над переданным активом, зависит от возможности принимающей стороны продать этот актив. Если у принимающей стороны имеется практическая возможность продать весь актив целиком независимой третьей стороне и при этом принимающая сторона может использовать эту возможность в одностороннем порядке без необходимости наложения дополнительных ограничений на такую передачу, то организация не сохранила контроль. </w:t>
      </w:r>
      <w:r w:rsidR="009A64E9" w:rsidRPr="007A6CF7">
        <w:t>Во всех других случаях считается, что организация сохранила контроль</w:t>
      </w:r>
      <w:r w:rsidRPr="00170D8F">
        <w:rPr>
          <w:lang w:val="ru-RU"/>
        </w:rPr>
        <w:t>.</w:t>
      </w:r>
    </w:p>
    <w:p w:rsidR="00B643A3" w:rsidRPr="00170D8F" w:rsidRDefault="00B643A3" w:rsidP="00B643A3">
      <w:pPr>
        <w:pStyle w:val="IASBSectionTitle2Ind"/>
        <w:rPr>
          <w:lang w:val="ru-RU"/>
        </w:rPr>
      </w:pPr>
      <w:r w:rsidRPr="00170D8F">
        <w:rPr>
          <w:lang w:val="ru-RU"/>
        </w:rPr>
        <w:t>Передачи активов, соответствующие требованиям для прекращения признания</w:t>
      </w:r>
    </w:p>
    <w:p w:rsidR="00B643A3" w:rsidRPr="00170D8F" w:rsidRDefault="00B643A3" w:rsidP="00B643A3">
      <w:pPr>
        <w:pStyle w:val="IASBNormalnpara"/>
        <w:rPr>
          <w:b/>
          <w:lang w:val="ru-RU"/>
        </w:rPr>
      </w:pPr>
      <w:r w:rsidRPr="00170D8F">
        <w:rPr>
          <w:b/>
          <w:lang w:val="ru-RU"/>
        </w:rPr>
        <w:t>3.2.10</w:t>
      </w:r>
      <w:r w:rsidRPr="00170D8F">
        <w:rPr>
          <w:b/>
          <w:lang w:val="ru-RU"/>
        </w:rPr>
        <w:tab/>
      </w:r>
      <w:r w:rsidR="00632CF9" w:rsidRPr="00632CF9">
        <w:rPr>
          <w:b/>
          <w:lang w:val="ru-RU"/>
        </w:rPr>
        <w:t>Если организация передает финансовый актив в рамках такой сделки, что эта передача соответствует требованиям для полного прекращения признания данного финансового актива, и при этом организация сохраняет право на обслуживание этого финансового актива за вознаграждение, то в отношении данного договора на обслуживание она должна признать либо актив по обслуживанию, либо обязательство по обслуживанию. Если организация ожидает, что подлежащее получению вознаграждение не является достаточной компенсацией за обслуживание, то в отношении своей обязанности осуществлять обслуживание она должна признать обязательство по обслуживанию по его справедливой стоимости. Если организация ожидает, что подлежащее получению вознаграждение будет более чем достаточной компенсацией за осуществление обслуживания, то в отношении своего права на оказание этого обслуживания она должна признать актив по обслуживанию в величине, определенной на основе распределения балансовой стоимости соответствующего большего финансового актива в соответствии с пунктом</w:t>
      </w:r>
      <w:r w:rsidR="00632CF9">
        <w:rPr>
          <w:b/>
        </w:rPr>
        <w:t> </w:t>
      </w:r>
      <w:r w:rsidRPr="00170D8F">
        <w:rPr>
          <w:b/>
          <w:lang w:val="ru-RU"/>
        </w:rPr>
        <w:t>3.2.13.</w:t>
      </w:r>
    </w:p>
    <w:p w:rsidR="00B643A3" w:rsidRPr="00170D8F" w:rsidRDefault="00CB690E" w:rsidP="00B643A3">
      <w:pPr>
        <w:pStyle w:val="IASBNormalnpara"/>
        <w:rPr>
          <w:b/>
          <w:lang w:val="ru-RU"/>
        </w:rPr>
      </w:pPr>
      <w:r>
        <w:rPr>
          <w:b/>
          <w:lang w:val="ru-RU"/>
        </w:rPr>
        <w:t>3.2.11</w:t>
      </w:r>
      <w:r>
        <w:rPr>
          <w:b/>
          <w:lang w:val="ru-RU"/>
        </w:rPr>
        <w:tab/>
      </w:r>
      <w:r w:rsidR="00632CF9" w:rsidRPr="00632CF9">
        <w:rPr>
          <w:b/>
          <w:lang w:val="ru-RU"/>
        </w:rPr>
        <w:t>Если</w:t>
      </w:r>
      <w:r w:rsidR="00632CF9" w:rsidRPr="007A6CF7">
        <w:rPr>
          <w:b/>
        </w:rPr>
        <w:t> </w:t>
      </w:r>
      <w:r w:rsidR="00632CF9" w:rsidRPr="00632CF9">
        <w:rPr>
          <w:b/>
          <w:lang w:val="ru-RU"/>
        </w:rPr>
        <w:t>в результате передачи</w:t>
      </w:r>
      <w:r w:rsidR="00632CF9" w:rsidRPr="007A6CF7">
        <w:rPr>
          <w:b/>
        </w:rPr>
        <w:t> </w:t>
      </w:r>
      <w:r w:rsidR="00632CF9" w:rsidRPr="00632CF9">
        <w:rPr>
          <w:b/>
          <w:lang w:val="ru-RU"/>
        </w:rPr>
        <w:t>признание финансового актива прекращено полностью, но вследствие этой передачи организация получает новый финансовый актив или принимает на себя новое финансовое обязательство или обязательство по обслуживанию, то организация должна признать этот новый финансовый актив, это финансовое обязательство или обязательство по обслуживанию по справедливой стоимости</w:t>
      </w:r>
      <w:r w:rsidR="00B643A3" w:rsidRPr="00170D8F">
        <w:rPr>
          <w:b/>
          <w:lang w:val="ru-RU"/>
        </w:rPr>
        <w:t>.</w:t>
      </w:r>
    </w:p>
    <w:p w:rsidR="00B643A3" w:rsidRPr="00170D8F" w:rsidRDefault="00B643A3" w:rsidP="00B643A3">
      <w:pPr>
        <w:pStyle w:val="IASBNormalnpara"/>
        <w:rPr>
          <w:b/>
          <w:lang w:val="ru-RU"/>
        </w:rPr>
      </w:pPr>
      <w:r w:rsidRPr="00170D8F">
        <w:rPr>
          <w:b/>
          <w:lang w:val="ru-RU"/>
        </w:rPr>
        <w:t>3.2.12</w:t>
      </w:r>
      <w:r w:rsidRPr="00170D8F">
        <w:rPr>
          <w:b/>
          <w:lang w:val="ru-RU"/>
        </w:rPr>
        <w:tab/>
      </w:r>
      <w:r w:rsidR="00632CF9" w:rsidRPr="00632CF9">
        <w:rPr>
          <w:b/>
          <w:lang w:val="ru-RU"/>
        </w:rPr>
        <w:t>При полном прекращении признания финансового актива разница между</w:t>
      </w:r>
      <w:r w:rsidRPr="00632CF9">
        <w:rPr>
          <w:b/>
          <w:lang w:val="ru-RU"/>
        </w:rPr>
        <w:t>:</w:t>
      </w:r>
    </w:p>
    <w:p w:rsidR="00B643A3" w:rsidRPr="00170D8F" w:rsidRDefault="00B643A3" w:rsidP="00B643A3">
      <w:pPr>
        <w:pStyle w:val="IASBNormalnparaL1"/>
        <w:rPr>
          <w:b/>
          <w:lang w:val="ru-RU"/>
        </w:rPr>
      </w:pPr>
      <w:r w:rsidRPr="00170D8F">
        <w:rPr>
          <w:b/>
          <w:lang w:val="ru-RU"/>
        </w:rPr>
        <w:t>(a)</w:t>
      </w:r>
      <w:r w:rsidRPr="00170D8F">
        <w:rPr>
          <w:b/>
          <w:lang w:val="ru-RU"/>
        </w:rPr>
        <w:tab/>
        <w:t>балансовой стоимостью (оцененной на дату прекращения признания) и</w:t>
      </w:r>
    </w:p>
    <w:p w:rsidR="00B643A3" w:rsidRPr="00632CF9" w:rsidRDefault="00B643A3" w:rsidP="00B643A3">
      <w:pPr>
        <w:pStyle w:val="IASBNormalnparaL1"/>
        <w:rPr>
          <w:b/>
          <w:lang w:val="ru-RU"/>
        </w:rPr>
      </w:pPr>
      <w:r w:rsidRPr="00170D8F">
        <w:rPr>
          <w:b/>
          <w:lang w:val="ru-RU"/>
        </w:rPr>
        <w:t>(b)</w:t>
      </w:r>
      <w:r w:rsidRPr="00170D8F">
        <w:rPr>
          <w:b/>
          <w:lang w:val="ru-RU"/>
        </w:rPr>
        <w:tab/>
      </w:r>
      <w:r w:rsidR="00632CF9">
        <w:rPr>
          <w:b/>
          <w:lang w:val="ru-RU"/>
        </w:rPr>
        <w:t xml:space="preserve">суммой </w:t>
      </w:r>
      <w:r w:rsidR="00632CF9" w:rsidRPr="00632CF9">
        <w:rPr>
          <w:b/>
          <w:lang w:val="ru-RU"/>
        </w:rPr>
        <w:t>полученного возмещения (включая величину полученного нового актива за вычетом величины принятого на себя нового обязательства)</w:t>
      </w:r>
    </w:p>
    <w:p w:rsidR="00B643A3" w:rsidRPr="00170D8F" w:rsidRDefault="00B643A3" w:rsidP="00B643A3">
      <w:pPr>
        <w:pStyle w:val="IASBNormalnparaL1"/>
        <w:rPr>
          <w:b/>
          <w:lang w:val="ru-RU"/>
        </w:rPr>
      </w:pPr>
      <w:r w:rsidRPr="00170D8F">
        <w:rPr>
          <w:b/>
          <w:lang w:val="ru-RU"/>
        </w:rPr>
        <w:t>должна быть признана в составе прибыли или убытка.</w:t>
      </w:r>
    </w:p>
    <w:p w:rsidR="00B643A3" w:rsidRPr="00170D8F" w:rsidRDefault="00B643A3" w:rsidP="00B643A3">
      <w:pPr>
        <w:pStyle w:val="IASBNormalnpara"/>
        <w:rPr>
          <w:b/>
          <w:lang w:val="ru-RU"/>
        </w:rPr>
      </w:pPr>
      <w:r w:rsidRPr="00170D8F">
        <w:rPr>
          <w:b/>
          <w:lang w:val="ru-RU"/>
        </w:rPr>
        <w:t>3.2.13</w:t>
      </w:r>
      <w:r w:rsidRPr="00170D8F">
        <w:rPr>
          <w:b/>
          <w:lang w:val="ru-RU"/>
        </w:rPr>
        <w:tab/>
      </w:r>
      <w:r w:rsidR="00632CF9" w:rsidRPr="00632CF9">
        <w:rPr>
          <w:b/>
          <w:lang w:val="ru-RU"/>
        </w:rPr>
        <w:t>Если переданный актив является частью большего финансового актива (например, когда организация передает процентные денежные потоки, составляющие часть долгового инструмента, см. пункт</w:t>
      </w:r>
      <w:r w:rsidR="00632CF9">
        <w:rPr>
          <w:b/>
          <w:lang w:val="ru-RU"/>
        </w:rPr>
        <w:t xml:space="preserve"> 3.2.2(а))</w:t>
      </w:r>
      <w:r w:rsidRPr="00170D8F">
        <w:rPr>
          <w:b/>
          <w:lang w:val="ru-RU"/>
        </w:rPr>
        <w:t xml:space="preserve"> </w:t>
      </w:r>
      <w:r w:rsidR="00632CF9" w:rsidRPr="00632CF9">
        <w:rPr>
          <w:b/>
          <w:lang w:val="ru-RU"/>
        </w:rPr>
        <w:t>и эта переданная часть соответствует требованиям для полного прекращения ее признания, то прежняя балансовая стоимость большего финансового актива должна быть распределена между той частью, которая продолжает признаваться, и частью, признание которой прекращается, исходя из относительных величин справедливой стоимости этих частей на дату передачи. Для этой цели оставшийся у организации актив по обслуживанию следует отражать как часть, которая продолжает признаваться. Разница между</w:t>
      </w:r>
      <w:r w:rsidRPr="00632CF9">
        <w:rPr>
          <w:b/>
          <w:lang w:val="ru-RU"/>
        </w:rPr>
        <w:t>:</w:t>
      </w:r>
    </w:p>
    <w:p w:rsidR="00B643A3" w:rsidRPr="00170D8F" w:rsidRDefault="00B643A3" w:rsidP="00B643A3">
      <w:pPr>
        <w:autoSpaceDE w:val="0"/>
        <w:autoSpaceDN w:val="0"/>
        <w:adjustRightInd w:val="0"/>
        <w:ind w:left="1560" w:hanging="709"/>
        <w:jc w:val="both"/>
        <w:rPr>
          <w:b/>
          <w:sz w:val="19"/>
          <w:szCs w:val="20"/>
          <w:lang w:val="ru-RU"/>
        </w:rPr>
      </w:pPr>
      <w:r w:rsidRPr="00170D8F">
        <w:rPr>
          <w:b/>
          <w:sz w:val="19"/>
          <w:szCs w:val="20"/>
          <w:lang w:val="ru-RU"/>
        </w:rPr>
        <w:t>(а)</w:t>
      </w:r>
      <w:r w:rsidRPr="00170D8F">
        <w:rPr>
          <w:b/>
          <w:sz w:val="19"/>
          <w:szCs w:val="20"/>
          <w:lang w:val="ru-RU"/>
        </w:rPr>
        <w:tab/>
        <w:t>балансовой стоимостью (оцененной на дату прекращения признания), распределенной на часть, признание которой прекращено, и</w:t>
      </w:r>
    </w:p>
    <w:p w:rsidR="00B643A3" w:rsidRPr="00170D8F" w:rsidRDefault="00B643A3" w:rsidP="00B643A3">
      <w:pPr>
        <w:pStyle w:val="IASBNormalnparaL1"/>
        <w:ind w:left="1560" w:hanging="709"/>
        <w:rPr>
          <w:b/>
          <w:lang w:val="ru-RU"/>
        </w:rPr>
      </w:pPr>
      <w:r w:rsidRPr="00170D8F">
        <w:rPr>
          <w:b/>
          <w:lang w:val="ru-RU"/>
        </w:rPr>
        <w:t>(b</w:t>
      </w:r>
      <w:r w:rsidR="00CB690E">
        <w:rPr>
          <w:b/>
          <w:lang w:val="ru-RU"/>
        </w:rPr>
        <w:t>)</w:t>
      </w:r>
      <w:r w:rsidR="00CB690E">
        <w:rPr>
          <w:b/>
          <w:lang w:val="ru-RU"/>
        </w:rPr>
        <w:tab/>
        <w:t>суммой полученного возмещения</w:t>
      </w:r>
      <w:r w:rsidRPr="00170D8F">
        <w:rPr>
          <w:b/>
          <w:lang w:val="ru-RU"/>
        </w:rPr>
        <w:t xml:space="preserve"> (включая величину полученного нового актива за вычетом величины принятого на себя нового обязательства), относящейся к части, признание которой прекращено,</w:t>
      </w:r>
    </w:p>
    <w:p w:rsidR="00B643A3" w:rsidRPr="00170D8F" w:rsidRDefault="00B643A3" w:rsidP="00B643A3">
      <w:pPr>
        <w:pStyle w:val="IASBNormalnparaP"/>
        <w:rPr>
          <w:b/>
          <w:lang w:val="ru-RU"/>
        </w:rPr>
      </w:pPr>
      <w:r w:rsidRPr="00170D8F">
        <w:rPr>
          <w:b/>
          <w:lang w:val="ru-RU"/>
        </w:rPr>
        <w:t>должна быть признана в составе прибыли или убытка.</w:t>
      </w:r>
    </w:p>
    <w:p w:rsidR="00B643A3" w:rsidRPr="00170D8F" w:rsidRDefault="00B643A3" w:rsidP="00B643A3">
      <w:pPr>
        <w:pStyle w:val="IASBNormalnpara"/>
        <w:rPr>
          <w:lang w:val="ru-RU"/>
        </w:rPr>
      </w:pPr>
      <w:r w:rsidRPr="00170D8F">
        <w:rPr>
          <w:lang w:val="ru-RU"/>
        </w:rPr>
        <w:t>3.2.14</w:t>
      </w:r>
      <w:r w:rsidRPr="00170D8F">
        <w:rPr>
          <w:lang w:val="ru-RU"/>
        </w:rPr>
        <w:tab/>
      </w:r>
      <w:r w:rsidR="00632CF9" w:rsidRPr="007A6CF7">
        <w:rPr>
          <w:lang w:val="ru-RU"/>
        </w:rPr>
        <w:t>Когда организация распределяет прежнюю балансовую стоимость большего финансового актива между той частью, которая продолжает признаваться, и частью, признание которой прекращается, организации нужно оценить справедливую стоимость той части, которая продолжает признаваться. Если у организации имеется опыт продажи частей, аналогичных той части, которая продолжает признаваться, или существуют другие рыночные сделки с подобными частями, то цены недавних фактических сделок обеспечивают наилучшую информацию для расчетной оценки справедливой стоимости указанной части. В случае отсутствия ценовых котировок или недавних рыночных сделок, на основе которых можно было бы определить справедливую стоимость той части, которая продолжает признаваться, наилучшей расчетной оценкой справедливой стоимости является разница между справедливой стоимостью соответствующего большего финансового актива в целом и суммой возмещения, полученного от принимающей стороны за ту часть, признание которой прекращается</w:t>
      </w:r>
      <w:r w:rsidRPr="00170D8F">
        <w:rPr>
          <w:lang w:val="ru-RU"/>
        </w:rPr>
        <w:t>.</w:t>
      </w:r>
    </w:p>
    <w:p w:rsidR="00B643A3" w:rsidRPr="00170D8F" w:rsidRDefault="00B643A3" w:rsidP="00B643A3">
      <w:pPr>
        <w:pStyle w:val="IASBSectionTitle2Ind"/>
        <w:rPr>
          <w:lang w:val="ru-RU"/>
        </w:rPr>
      </w:pPr>
      <w:r w:rsidRPr="00170D8F">
        <w:rPr>
          <w:lang w:val="ru-RU"/>
        </w:rPr>
        <w:t>Передачи активов, не соответствующие требованиям для прекращения признания</w:t>
      </w:r>
    </w:p>
    <w:p w:rsidR="00B643A3" w:rsidRPr="00170D8F" w:rsidRDefault="00B643A3" w:rsidP="00B643A3">
      <w:pPr>
        <w:pStyle w:val="IASBNormalnpara"/>
        <w:rPr>
          <w:b/>
          <w:lang w:val="ru-RU"/>
        </w:rPr>
      </w:pPr>
      <w:r w:rsidRPr="00170D8F">
        <w:rPr>
          <w:b/>
          <w:lang w:val="ru-RU"/>
        </w:rPr>
        <w:t>3.2.15</w:t>
      </w:r>
      <w:r w:rsidRPr="00170D8F">
        <w:rPr>
          <w:b/>
          <w:lang w:val="ru-RU"/>
        </w:rPr>
        <w:tab/>
      </w:r>
      <w:r w:rsidR="00632CF9" w:rsidRPr="00632CF9">
        <w:rPr>
          <w:b/>
          <w:lang w:val="ru-RU"/>
        </w:rPr>
        <w:t>Если передача актива не приводит к прекращению признания вследствие того, что организация сохранила практически все риски и выгоды, связанные с правом собственности на переданный актив, то организация должна продолжить признание всего переданного актива и должна признать финансовое обязательство в отношении полученного возмещения. В последующие периоды организация должна признавать все доходы от этого переданного актива и все расходы, возникающие по этому финансовому обязательству</w:t>
      </w:r>
      <w:r w:rsidRPr="00170D8F">
        <w:rPr>
          <w:b/>
          <w:lang w:val="ru-RU"/>
        </w:rPr>
        <w:t>.</w:t>
      </w:r>
    </w:p>
    <w:p w:rsidR="00B643A3" w:rsidRPr="00170D8F" w:rsidRDefault="00B643A3" w:rsidP="00B643A3">
      <w:pPr>
        <w:pStyle w:val="IASBSectionTitle2Ind"/>
        <w:rPr>
          <w:lang w:val="ru-RU"/>
        </w:rPr>
      </w:pPr>
      <w:r w:rsidRPr="00170D8F">
        <w:rPr>
          <w:lang w:val="ru-RU"/>
        </w:rPr>
        <w:t>Продолжающееся участие в переданных активах</w:t>
      </w:r>
    </w:p>
    <w:p w:rsidR="00B643A3" w:rsidRPr="00170D8F" w:rsidRDefault="00B643A3" w:rsidP="00B643A3">
      <w:pPr>
        <w:pStyle w:val="IASBNormalnpara"/>
        <w:rPr>
          <w:b/>
          <w:lang w:val="ru-RU"/>
        </w:rPr>
      </w:pPr>
      <w:r w:rsidRPr="00170D8F">
        <w:rPr>
          <w:b/>
          <w:lang w:val="ru-RU"/>
        </w:rPr>
        <w:t>3.2.16</w:t>
      </w:r>
      <w:r w:rsidRPr="00170D8F">
        <w:rPr>
          <w:b/>
          <w:lang w:val="ru-RU"/>
        </w:rPr>
        <w:tab/>
      </w:r>
      <w:r w:rsidR="00632CF9" w:rsidRPr="00632CF9">
        <w:rPr>
          <w:b/>
          <w:lang w:val="ru-RU"/>
        </w:rPr>
        <w:t>Если организация не передала и не сохранила практически все риски и выгоды, связанные с правом собственности на переданный актив, но сохранила контроль над переданным активом, то организация продолжает признавать переданный актив в объеме ее продолжающегося участия в данном активе. Объем продолжающегося участия организации в переданном активе определяется степенью ее подверженности риску изменения стоимости переданного актива. Например</w:t>
      </w:r>
      <w:r w:rsidRPr="00170D8F">
        <w:rPr>
          <w:b/>
          <w:lang w:val="ru-RU"/>
        </w:rPr>
        <w:t>:</w:t>
      </w:r>
    </w:p>
    <w:p w:rsidR="00B643A3" w:rsidRPr="00170D8F" w:rsidRDefault="00B643A3" w:rsidP="00B643A3">
      <w:pPr>
        <w:pStyle w:val="IASBNormalnparaL1"/>
        <w:rPr>
          <w:b/>
          <w:lang w:val="ru-RU"/>
        </w:rPr>
      </w:pPr>
      <w:r w:rsidRPr="00170D8F">
        <w:rPr>
          <w:b/>
          <w:lang w:val="ru-RU"/>
        </w:rPr>
        <w:t>(a)</w:t>
      </w:r>
      <w:r w:rsidRPr="00170D8F">
        <w:rPr>
          <w:b/>
          <w:lang w:val="ru-RU"/>
        </w:rPr>
        <w:tab/>
      </w:r>
      <w:r w:rsidR="00632CF9" w:rsidRPr="00632CF9">
        <w:rPr>
          <w:b/>
          <w:lang w:val="ru-RU"/>
        </w:rPr>
        <w:t>Если продолжающееся участие организации принимает форму гарантии по переданному активу, то объем продолжающегося участия организации ограничивается наименьшей из следующих двух величин: (</w:t>
      </w:r>
      <w:r w:rsidR="00632CF9" w:rsidRPr="007A6CF7">
        <w:rPr>
          <w:b/>
        </w:rPr>
        <w:t>i</w:t>
      </w:r>
      <w:r w:rsidR="00632CF9" w:rsidRPr="00632CF9">
        <w:rPr>
          <w:b/>
          <w:lang w:val="ru-RU"/>
        </w:rPr>
        <w:t>) величины данного актива и (</w:t>
      </w:r>
      <w:r w:rsidR="00632CF9" w:rsidRPr="007A6CF7">
        <w:rPr>
          <w:b/>
        </w:rPr>
        <w:t>ii</w:t>
      </w:r>
      <w:r w:rsidR="00632CF9" w:rsidRPr="00632CF9">
        <w:rPr>
          <w:b/>
          <w:lang w:val="ru-RU"/>
        </w:rPr>
        <w:t>) максимальной суммы полученного возмещения, которую организация может быть обязана вернуть («сумма гарантии»)</w:t>
      </w:r>
      <w:r w:rsidRPr="00170D8F">
        <w:rPr>
          <w:b/>
          <w:lang w:val="ru-RU"/>
        </w:rPr>
        <w:t>.</w:t>
      </w:r>
    </w:p>
    <w:p w:rsidR="00B643A3" w:rsidRPr="00170D8F" w:rsidRDefault="00B643A3" w:rsidP="00B643A3">
      <w:pPr>
        <w:pStyle w:val="IASBNormalnparaL1"/>
        <w:rPr>
          <w:b/>
          <w:lang w:val="ru-RU"/>
        </w:rPr>
      </w:pPr>
      <w:r w:rsidRPr="00170D8F">
        <w:rPr>
          <w:b/>
          <w:lang w:val="ru-RU"/>
        </w:rPr>
        <w:t>(b)</w:t>
      </w:r>
      <w:r w:rsidRPr="00170D8F">
        <w:rPr>
          <w:b/>
          <w:lang w:val="ru-RU"/>
        </w:rPr>
        <w:tab/>
      </w:r>
      <w:r w:rsidR="00632CF9" w:rsidRPr="00632CF9">
        <w:rPr>
          <w:b/>
          <w:lang w:val="ru-RU"/>
        </w:rPr>
        <w:t>Если продолжающееся участие организации принимает форму выпущенного или купленного опциона (или того и другого вместе) в отношении переданного актива, то объем продолжающегося участия организации ограничивается той величиной переданного актива, которую организация может выкупить. Однако в случае выпущенного пут-опциона в отношении актива, оцениваемого по справедливой стоимости, объем продолжающегося участия организации ограничивается наименьшей из следующих двух величин: справедливой стоимости переданного актива и цены исполнения данного опциона</w:t>
      </w:r>
      <w:r w:rsidRPr="00170D8F">
        <w:rPr>
          <w:b/>
          <w:lang w:val="ru-RU"/>
        </w:rPr>
        <w:t xml:space="preserve"> (см. пункт B3.2.13).</w:t>
      </w:r>
    </w:p>
    <w:p w:rsidR="00B643A3" w:rsidRPr="00170D8F" w:rsidRDefault="00B643A3" w:rsidP="00B643A3">
      <w:pPr>
        <w:pStyle w:val="IASBNormalnparaL1"/>
        <w:rPr>
          <w:b/>
          <w:lang w:val="ru-RU"/>
        </w:rPr>
      </w:pPr>
      <w:r w:rsidRPr="00170D8F">
        <w:rPr>
          <w:b/>
          <w:lang w:val="ru-RU"/>
        </w:rPr>
        <w:t>(c)</w:t>
      </w:r>
      <w:r w:rsidRPr="00170D8F">
        <w:rPr>
          <w:b/>
          <w:lang w:val="ru-RU"/>
        </w:rPr>
        <w:tab/>
      </w:r>
      <w:r w:rsidR="00632CF9" w:rsidRPr="00632CF9">
        <w:rPr>
          <w:b/>
          <w:lang w:val="ru-RU"/>
        </w:rPr>
        <w:t>Если продолжающееся участие организации принимает форму опциона, предусматривающего осуществление расчетов денежными средствами, или аналогичного условия в отношении переданного актива, то объем продолжающегося участия организации оценивается в том же порядке, что установлен в подпункте (</w:t>
      </w:r>
      <w:r w:rsidR="00632CF9" w:rsidRPr="007A6CF7">
        <w:rPr>
          <w:b/>
        </w:rPr>
        <w:t>b</w:t>
      </w:r>
      <w:r w:rsidR="00632CF9" w:rsidRPr="00632CF9">
        <w:rPr>
          <w:b/>
          <w:lang w:val="ru-RU"/>
        </w:rPr>
        <w:t>) выше для опционов, не предусматривающих осуществление расчетов денежными средствами</w:t>
      </w:r>
      <w:r w:rsidRPr="00170D8F">
        <w:rPr>
          <w:b/>
          <w:lang w:val="ru-RU"/>
        </w:rPr>
        <w:t>.</w:t>
      </w:r>
    </w:p>
    <w:p w:rsidR="00B643A3" w:rsidRPr="00170D8F" w:rsidRDefault="00B643A3" w:rsidP="00B643A3">
      <w:pPr>
        <w:pStyle w:val="IASBNormalnpara"/>
        <w:rPr>
          <w:b/>
          <w:lang w:val="ru-RU"/>
        </w:rPr>
      </w:pPr>
      <w:r w:rsidRPr="00170D8F">
        <w:rPr>
          <w:b/>
          <w:lang w:val="ru-RU"/>
        </w:rPr>
        <w:t>3.2.17</w:t>
      </w:r>
      <w:r w:rsidRPr="00170D8F">
        <w:rPr>
          <w:b/>
          <w:lang w:val="ru-RU"/>
        </w:rPr>
        <w:tab/>
      </w:r>
      <w:r w:rsidR="00632CF9" w:rsidRPr="00632CF9">
        <w:rPr>
          <w:b/>
          <w:lang w:val="ru-RU"/>
        </w:rPr>
        <w:t>Если организация продолжает признавать актив в объеме своего продолжающегося участия, организация также признает связанное с ним обязательство. Независимо от других требований настоящего стандарта в части оценки, переданный актив и связанное с ним обязательство оцениваются на основе, отражающей те права и обязанности, которые организация сохранила. Связанное с активом обязательство оценивается таким образом, чтобы чистая балансовая стоимость переданного актива и связанного с ним обязательства представляла собой</w:t>
      </w:r>
      <w:r w:rsidRPr="00170D8F">
        <w:rPr>
          <w:b/>
          <w:lang w:val="ru-RU"/>
        </w:rPr>
        <w:t>:</w:t>
      </w:r>
    </w:p>
    <w:p w:rsidR="00B643A3" w:rsidRPr="00170D8F" w:rsidRDefault="00632CF9" w:rsidP="00B643A3">
      <w:pPr>
        <w:pStyle w:val="IASBNormalnparaL1"/>
        <w:numPr>
          <w:ilvl w:val="0"/>
          <w:numId w:val="10"/>
        </w:numPr>
        <w:rPr>
          <w:b/>
          <w:lang w:val="ru-RU"/>
        </w:rPr>
      </w:pPr>
      <w:r w:rsidRPr="00632CF9">
        <w:rPr>
          <w:b/>
          <w:lang w:val="ru-RU"/>
        </w:rPr>
        <w:t>амортизированную стоимость прав и обязанностей, сохраненных организацией, если переданный актив оценивается по амортизированной стоимости</w:t>
      </w:r>
      <w:r w:rsidR="00B643A3" w:rsidRPr="00170D8F">
        <w:rPr>
          <w:b/>
          <w:lang w:val="ru-RU"/>
        </w:rPr>
        <w:t>; или</w:t>
      </w:r>
    </w:p>
    <w:p w:rsidR="00B643A3" w:rsidRPr="00170D8F" w:rsidRDefault="00B643A3" w:rsidP="00B643A3">
      <w:pPr>
        <w:pStyle w:val="IASBNormalnparaL1"/>
        <w:numPr>
          <w:ilvl w:val="0"/>
          <w:numId w:val="10"/>
        </w:numPr>
        <w:rPr>
          <w:b/>
          <w:lang w:val="ru-RU"/>
        </w:rPr>
      </w:pPr>
      <w:r w:rsidRPr="00170D8F">
        <w:rPr>
          <w:b/>
          <w:lang w:val="ru-RU"/>
        </w:rPr>
        <w:t>справедливую стоимость сохраненных организацией прав и обязанностей, как они оценивались бы отдельно, если переданный актив оценивается по справедливой стоимости.</w:t>
      </w:r>
    </w:p>
    <w:p w:rsidR="00B643A3" w:rsidRPr="00170D8F" w:rsidRDefault="00B643A3" w:rsidP="00B643A3">
      <w:pPr>
        <w:pStyle w:val="IASBNormalnpara"/>
        <w:rPr>
          <w:b/>
          <w:lang w:val="ru-RU"/>
        </w:rPr>
      </w:pPr>
      <w:r w:rsidRPr="00170D8F">
        <w:rPr>
          <w:b/>
          <w:lang w:val="ru-RU"/>
        </w:rPr>
        <w:t>3.2.18</w:t>
      </w:r>
      <w:r w:rsidRPr="00170D8F">
        <w:rPr>
          <w:b/>
          <w:lang w:val="ru-RU"/>
        </w:rPr>
        <w:tab/>
      </w:r>
      <w:r w:rsidR="00632CF9" w:rsidRPr="00632CF9">
        <w:rPr>
          <w:b/>
          <w:lang w:val="ru-RU"/>
        </w:rPr>
        <w:t>Организация должна продолжить признание дохода, возникающего в отношении переданного актива, в объеме своего продолжающегося участия и должна признавать расходы, возникающие в отношении связанного с ним обязательства</w:t>
      </w:r>
      <w:r w:rsidRPr="00170D8F">
        <w:rPr>
          <w:b/>
          <w:lang w:val="ru-RU"/>
        </w:rPr>
        <w:t>.</w:t>
      </w:r>
    </w:p>
    <w:p w:rsidR="00B643A3" w:rsidRPr="00170D8F" w:rsidRDefault="00B643A3" w:rsidP="00B643A3">
      <w:pPr>
        <w:pStyle w:val="IASBNormalnpara"/>
        <w:rPr>
          <w:b/>
          <w:lang w:val="ru-RU"/>
        </w:rPr>
      </w:pPr>
      <w:r w:rsidRPr="00170D8F">
        <w:rPr>
          <w:b/>
          <w:lang w:val="ru-RU"/>
        </w:rPr>
        <w:t>3.2.19</w:t>
      </w:r>
      <w:r w:rsidRPr="00170D8F">
        <w:rPr>
          <w:b/>
          <w:lang w:val="ru-RU"/>
        </w:rPr>
        <w:tab/>
      </w:r>
      <w:r w:rsidR="00632CF9" w:rsidRPr="00632CF9">
        <w:rPr>
          <w:b/>
          <w:lang w:val="ru-RU"/>
        </w:rPr>
        <w:t xml:space="preserve">Для целей последующей оценки признанные изменения справедливой стоимости переданного актива и связанного с ним обязательства учитываются сообразно друг другу в соответствии с пунктом </w:t>
      </w:r>
      <w:r w:rsidRPr="00170D8F">
        <w:rPr>
          <w:b/>
          <w:lang w:val="ru-RU"/>
        </w:rPr>
        <w:t>5.7.1 и не подлежат взаимозачету.</w:t>
      </w:r>
    </w:p>
    <w:p w:rsidR="00B643A3" w:rsidRPr="00170D8F" w:rsidRDefault="00B643A3" w:rsidP="00B643A3">
      <w:pPr>
        <w:pStyle w:val="IASBNormalnpara"/>
        <w:rPr>
          <w:b/>
          <w:lang w:val="ru-RU"/>
        </w:rPr>
      </w:pPr>
      <w:r w:rsidRPr="00170D8F">
        <w:rPr>
          <w:b/>
          <w:lang w:val="ru-RU"/>
        </w:rPr>
        <w:t>3.2.20</w:t>
      </w:r>
      <w:r w:rsidRPr="00170D8F">
        <w:rPr>
          <w:b/>
          <w:lang w:val="ru-RU"/>
        </w:rPr>
        <w:tab/>
      </w:r>
      <w:r w:rsidR="00632CF9" w:rsidRPr="00632CF9">
        <w:rPr>
          <w:b/>
          <w:lang w:val="ru-RU"/>
        </w:rPr>
        <w:t xml:space="preserve">Если продолжающееся участие организации относится только к части финансового актива (например, когда организация сохраняет опцион на выкуп части переданного актива или сохраняет остаточную долю в этом активе, следствием которой не является сохранение практически всех рисков и выгод, связанных с правом собственности на него, и при этом организация сохраняет контроль), то организация распределяет прежнюю балансовую стоимость данного финансового актива между той его частью, которую она продолжает признавать в результате своего продолжающегося участия, и частью, которую она более не признает, исходя из относительной справедливой стоимости этих частей на дату передачи. </w:t>
      </w:r>
      <w:r w:rsidR="00632CF9" w:rsidRPr="007A6CF7">
        <w:rPr>
          <w:b/>
        </w:rPr>
        <w:t>Для этих целей применяются требования пункта</w:t>
      </w:r>
      <w:r w:rsidRPr="00170D8F">
        <w:rPr>
          <w:b/>
          <w:lang w:val="ru-RU"/>
        </w:rPr>
        <w:t xml:space="preserve"> 3.2.14. Разница между:</w:t>
      </w:r>
    </w:p>
    <w:p w:rsidR="00B643A3" w:rsidRPr="00170D8F" w:rsidRDefault="00B643A3" w:rsidP="00B643A3">
      <w:pPr>
        <w:pStyle w:val="IASBNormalnparaL1"/>
        <w:numPr>
          <w:ilvl w:val="0"/>
          <w:numId w:val="11"/>
        </w:numPr>
        <w:rPr>
          <w:b/>
          <w:lang w:val="ru-RU"/>
        </w:rPr>
      </w:pPr>
      <w:r w:rsidRPr="00170D8F">
        <w:rPr>
          <w:b/>
          <w:lang w:val="ru-RU"/>
        </w:rPr>
        <w:t>балансовой стоимостью (оцененной на дату прекращения признания), распределенной на часть, которая более не признается, и</w:t>
      </w:r>
    </w:p>
    <w:p w:rsidR="00B643A3" w:rsidRPr="00170D8F" w:rsidRDefault="00B643A3" w:rsidP="00B643A3">
      <w:pPr>
        <w:pStyle w:val="IASBNormalnparaL1"/>
        <w:numPr>
          <w:ilvl w:val="0"/>
          <w:numId w:val="11"/>
        </w:numPr>
        <w:rPr>
          <w:b/>
          <w:lang w:val="ru-RU"/>
        </w:rPr>
      </w:pPr>
      <w:r w:rsidRPr="00170D8F">
        <w:rPr>
          <w:b/>
          <w:lang w:val="ru-RU"/>
        </w:rPr>
        <w:t>суммой возмещения, полученного за часть, которая более не признается,</w:t>
      </w:r>
    </w:p>
    <w:p w:rsidR="00B643A3" w:rsidRPr="00170D8F" w:rsidRDefault="00B643A3" w:rsidP="00B643A3">
      <w:pPr>
        <w:pStyle w:val="IASBNormalnparaP"/>
        <w:rPr>
          <w:b/>
          <w:lang w:val="ru-RU"/>
        </w:rPr>
      </w:pPr>
      <w:r w:rsidRPr="00170D8F">
        <w:rPr>
          <w:b/>
          <w:lang w:val="ru-RU"/>
        </w:rPr>
        <w:t>должна быть признана в составе прибыли или убытка.</w:t>
      </w:r>
    </w:p>
    <w:p w:rsidR="00B643A3" w:rsidRPr="00170D8F" w:rsidRDefault="00B643A3" w:rsidP="00B643A3">
      <w:pPr>
        <w:pStyle w:val="IASBNormalnpara"/>
        <w:rPr>
          <w:lang w:val="ru-RU"/>
        </w:rPr>
      </w:pPr>
      <w:r w:rsidRPr="00170D8F">
        <w:rPr>
          <w:lang w:val="ru-RU"/>
        </w:rPr>
        <w:t>3.2.21</w:t>
      </w:r>
      <w:r w:rsidRPr="00170D8F">
        <w:rPr>
          <w:lang w:val="ru-RU"/>
        </w:rPr>
        <w:tab/>
      </w:r>
      <w:r w:rsidR="00632CF9" w:rsidRPr="007A6CF7">
        <w:rPr>
          <w:lang w:val="ru-RU"/>
        </w:rPr>
        <w:t>Если переданный актив оценивается по амортизированной стоимости, то в отношении связанного с ним обязательства недоступна предусмотренная настоящим стандартом возможность классификации финансового обязательства по усмотрению организации как оцениваемого по справедливой стоимости через прибыль или убыток</w:t>
      </w:r>
      <w:r w:rsidRPr="00170D8F">
        <w:rPr>
          <w:lang w:val="ru-RU"/>
        </w:rPr>
        <w:t>.</w:t>
      </w:r>
    </w:p>
    <w:p w:rsidR="00B643A3" w:rsidRPr="00170D8F" w:rsidRDefault="00B643A3" w:rsidP="00B643A3">
      <w:pPr>
        <w:pStyle w:val="IASBSectionTitle2Ind"/>
        <w:rPr>
          <w:lang w:val="ru-RU"/>
        </w:rPr>
      </w:pPr>
      <w:r w:rsidRPr="00170D8F">
        <w:rPr>
          <w:lang w:val="ru-RU"/>
        </w:rPr>
        <w:t>Все передачи активов</w:t>
      </w:r>
    </w:p>
    <w:p w:rsidR="00B643A3" w:rsidRPr="00170D8F" w:rsidRDefault="00B643A3" w:rsidP="00B643A3">
      <w:pPr>
        <w:pStyle w:val="IASBNormalnpara"/>
        <w:rPr>
          <w:b/>
          <w:lang w:val="ru-RU"/>
        </w:rPr>
      </w:pPr>
      <w:r w:rsidRPr="00170D8F">
        <w:rPr>
          <w:b/>
          <w:lang w:val="ru-RU"/>
        </w:rPr>
        <w:t>3.2.22</w:t>
      </w:r>
      <w:r w:rsidRPr="00170D8F">
        <w:rPr>
          <w:b/>
          <w:lang w:val="ru-RU"/>
        </w:rPr>
        <w:tab/>
      </w:r>
      <w:r w:rsidR="00632CF9" w:rsidRPr="00632CF9">
        <w:rPr>
          <w:b/>
          <w:lang w:val="ru-RU"/>
        </w:rPr>
        <w:t>Если переданный актив продолжает признаваться, то этот актив и связанное с ним обязательство не могут взаимозачитываться. Аналогично организация не должна взаимозачитывать доходы, возникающие от переданного актива, с расходами, возникшими по связанному с ним обязательству</w:t>
      </w:r>
      <w:r w:rsidRPr="00170D8F">
        <w:rPr>
          <w:b/>
          <w:lang w:val="ru-RU"/>
        </w:rPr>
        <w:t xml:space="preserve"> (см. пункт 42 МСФО (IAS) 32).</w:t>
      </w:r>
    </w:p>
    <w:p w:rsidR="00B643A3" w:rsidRPr="00170D8F" w:rsidRDefault="00B643A3" w:rsidP="00B643A3">
      <w:pPr>
        <w:pStyle w:val="IASBNormalnpara"/>
        <w:rPr>
          <w:b/>
          <w:lang w:val="ru-RU"/>
        </w:rPr>
      </w:pPr>
      <w:r w:rsidRPr="00170D8F">
        <w:rPr>
          <w:b/>
          <w:lang w:val="ru-RU"/>
        </w:rPr>
        <w:t>3.2.23</w:t>
      </w:r>
      <w:r w:rsidRPr="00170D8F">
        <w:rPr>
          <w:b/>
          <w:lang w:val="ru-RU"/>
        </w:rPr>
        <w:tab/>
      </w:r>
      <w:r w:rsidR="00632CF9" w:rsidRPr="00632CF9">
        <w:rPr>
          <w:b/>
          <w:lang w:val="ru-RU"/>
        </w:rPr>
        <w:t>Если передающая сторона предоставляет принимающей стороне неденежное обеспечение (такое как долговые или долевые инструменты), то учет этого обеспечения передающей и принимающей сторонами зависит от того, имеет ли принимающая сторона право продать или перезаложить это обеспечение, а также от того, имел ли место дефолт со стороны передающей организации. Передающая и принимающая стороны должны учитывать такое обеспечение следующим образом</w:t>
      </w:r>
      <w:r w:rsidRPr="00170D8F">
        <w:rPr>
          <w:b/>
          <w:lang w:val="ru-RU"/>
        </w:rPr>
        <w:t>:</w:t>
      </w:r>
    </w:p>
    <w:p w:rsidR="00B643A3" w:rsidRPr="00170D8F" w:rsidRDefault="00632CF9" w:rsidP="00B643A3">
      <w:pPr>
        <w:pStyle w:val="IASBNormalnparaL1"/>
        <w:numPr>
          <w:ilvl w:val="0"/>
          <w:numId w:val="12"/>
        </w:numPr>
        <w:rPr>
          <w:b/>
          <w:lang w:val="ru-RU"/>
        </w:rPr>
      </w:pPr>
      <w:r w:rsidRPr="00632CF9">
        <w:rPr>
          <w:b/>
          <w:lang w:val="ru-RU"/>
        </w:rPr>
        <w:t>если принимающая сторона имеет право в силу договора или обычая продать или перезаложить это обеспечение, то передающая сторона должна в своем отчете о финансовом положении реклассифицировать указанный актив (например, как актив, переданный по договору займа, долевые инструменты, переданные в залог, или дебиторскую задолженность по сделке РЕПО) отдельно от других активов;</w:t>
      </w:r>
    </w:p>
    <w:p w:rsidR="00B643A3" w:rsidRPr="00170D8F" w:rsidRDefault="00632CF9" w:rsidP="00B643A3">
      <w:pPr>
        <w:pStyle w:val="IASBNormalnparaL1"/>
        <w:numPr>
          <w:ilvl w:val="0"/>
          <w:numId w:val="12"/>
        </w:numPr>
        <w:rPr>
          <w:b/>
          <w:lang w:val="ru-RU"/>
        </w:rPr>
      </w:pPr>
      <w:r w:rsidRPr="00632CF9">
        <w:rPr>
          <w:b/>
          <w:lang w:val="ru-RU"/>
        </w:rPr>
        <w:t>если принимающая сторона продает обеспечение, переданное ей в залог, то она должна признать поступления от продажи и обязательство, оцененное по справедливой стоимости, в отношении своей обязанности вернуть это обеспечение;</w:t>
      </w:r>
    </w:p>
    <w:p w:rsidR="00B643A3" w:rsidRPr="00170D8F" w:rsidRDefault="00632CF9" w:rsidP="00B643A3">
      <w:pPr>
        <w:pStyle w:val="IASBNormalnparaL1"/>
        <w:numPr>
          <w:ilvl w:val="0"/>
          <w:numId w:val="12"/>
        </w:numPr>
        <w:rPr>
          <w:b/>
          <w:lang w:val="ru-RU"/>
        </w:rPr>
      </w:pPr>
      <w:r w:rsidRPr="00632CF9">
        <w:rPr>
          <w:b/>
          <w:lang w:val="ru-RU"/>
        </w:rPr>
        <w:t>если со стороны передающей организации имел место дефолт по условиям договора, и передающая сторона более не вправе ожидать возврата этого обеспечения, она должна прекратить признание указанного обеспечения, а принимающая сторона должна признать это обеспечение в качестве своего актива, которое первоначально оценивается по справедливой стоимости, или, если она уже продала это обеспечение, то прекратить признание своей обязанности по его возврату;</w:t>
      </w:r>
    </w:p>
    <w:p w:rsidR="00B643A3" w:rsidRPr="00170D8F" w:rsidRDefault="00632CF9" w:rsidP="00B643A3">
      <w:pPr>
        <w:pStyle w:val="IASBNormalnparaL1"/>
        <w:numPr>
          <w:ilvl w:val="0"/>
          <w:numId w:val="12"/>
        </w:numPr>
        <w:rPr>
          <w:b/>
          <w:lang w:val="ru-RU"/>
        </w:rPr>
      </w:pPr>
      <w:r w:rsidRPr="00632CF9">
        <w:rPr>
          <w:b/>
          <w:lang w:val="ru-RU"/>
        </w:rPr>
        <w:t>за исключением случая, описанного в подпункте (</w:t>
      </w:r>
      <w:r w:rsidRPr="007A6CF7">
        <w:rPr>
          <w:b/>
        </w:rPr>
        <w:t>c</w:t>
      </w:r>
      <w:r w:rsidRPr="00632CF9">
        <w:rPr>
          <w:b/>
          <w:lang w:val="ru-RU"/>
        </w:rPr>
        <w:t>), передающая сторона должна по-прежнему отражать указанное обеспечение как свой актив, а принимающая сторона не должна признавать данное обеспечение в качестве актива</w:t>
      </w:r>
      <w:r w:rsidR="00B643A3" w:rsidRPr="00170D8F">
        <w:rPr>
          <w:b/>
          <w:lang w:val="ru-RU"/>
        </w:rPr>
        <w:t>.</w:t>
      </w:r>
    </w:p>
    <w:p w:rsidR="00B643A3" w:rsidRPr="00170D8F" w:rsidRDefault="00B643A3" w:rsidP="00B643A3">
      <w:pPr>
        <w:pStyle w:val="IASBSectionTitle1NonInd"/>
        <w:rPr>
          <w:lang w:val="ru-RU"/>
        </w:rPr>
      </w:pPr>
      <w:r w:rsidRPr="00170D8F">
        <w:rPr>
          <w:lang w:val="ru-RU"/>
        </w:rPr>
        <w:t>3.3 Прекращение признания финансовых обязательств</w:t>
      </w:r>
    </w:p>
    <w:p w:rsidR="00B643A3" w:rsidRPr="00170D8F" w:rsidRDefault="00B643A3" w:rsidP="00B643A3">
      <w:pPr>
        <w:pStyle w:val="IASBNormalnpara"/>
        <w:rPr>
          <w:b/>
          <w:lang w:val="ru-RU"/>
        </w:rPr>
      </w:pPr>
      <w:r w:rsidRPr="00170D8F">
        <w:rPr>
          <w:b/>
          <w:lang w:val="ru-RU"/>
        </w:rPr>
        <w:t>3.3.1</w:t>
      </w:r>
      <w:r w:rsidRPr="00170D8F">
        <w:rPr>
          <w:b/>
          <w:lang w:val="ru-RU"/>
        </w:rPr>
        <w:tab/>
      </w:r>
      <w:r w:rsidR="0012242E" w:rsidRPr="0012242E">
        <w:rPr>
          <w:b/>
          <w:lang w:val="ru-RU"/>
        </w:rPr>
        <w:t>Организация должна исключить финансовое обязательство (или часть финансового обязательства) из своего отчета о финансовом положении тогда и только тогда, когда оно погашено, т. е. когда предусмотренная договором обязанность исполнена, аннулирована или прекращена по истечении срока</w:t>
      </w:r>
      <w:r w:rsidRPr="00170D8F">
        <w:rPr>
          <w:b/>
          <w:lang w:val="ru-RU"/>
        </w:rPr>
        <w:t>.</w:t>
      </w:r>
    </w:p>
    <w:p w:rsidR="00B643A3" w:rsidRPr="00170D8F" w:rsidRDefault="00B643A3" w:rsidP="00B643A3">
      <w:pPr>
        <w:pStyle w:val="IASBNormalnpara"/>
        <w:rPr>
          <w:b/>
          <w:lang w:val="ru-RU"/>
        </w:rPr>
      </w:pPr>
      <w:r w:rsidRPr="00170D8F">
        <w:rPr>
          <w:b/>
          <w:lang w:val="ru-RU"/>
        </w:rPr>
        <w:t>3.3.2</w:t>
      </w:r>
      <w:r w:rsidRPr="00170D8F">
        <w:rPr>
          <w:b/>
          <w:lang w:val="ru-RU"/>
        </w:rPr>
        <w:tab/>
      </w:r>
      <w:r w:rsidR="0012242E" w:rsidRPr="0012242E">
        <w:rPr>
          <w:b/>
          <w:lang w:val="ru-RU"/>
        </w:rPr>
        <w:t>Сделка между существующими заемщиком и кредитором по замене одного долгового инструмента на другой с существенно отличающимися условиями должна учитываться как погашение первоначального финансового обязательства и признание нового финансового обязательства. Аналогично существенная модификация условий имеющегося финансового обязательства или его части (независимо от того, вызвана ли она финансовыми затруднениями должника) должна учитываться как погашение первоначального финансового обязательства и признание нового финансового обязательства</w:t>
      </w:r>
      <w:r w:rsidRPr="00170D8F">
        <w:rPr>
          <w:b/>
          <w:lang w:val="ru-RU"/>
        </w:rPr>
        <w:t>.</w:t>
      </w:r>
    </w:p>
    <w:p w:rsidR="00B643A3" w:rsidRPr="00170D8F" w:rsidRDefault="00B643A3" w:rsidP="00B643A3">
      <w:pPr>
        <w:pStyle w:val="IASBNormalnpara"/>
        <w:rPr>
          <w:b/>
          <w:lang w:val="ru-RU"/>
        </w:rPr>
      </w:pPr>
      <w:r w:rsidRPr="00170D8F">
        <w:rPr>
          <w:b/>
          <w:lang w:val="ru-RU"/>
        </w:rPr>
        <w:t>3.3.3</w:t>
      </w:r>
      <w:r w:rsidRPr="00170D8F">
        <w:rPr>
          <w:b/>
          <w:lang w:val="ru-RU"/>
        </w:rPr>
        <w:tab/>
      </w:r>
      <w:r w:rsidR="0012242E" w:rsidRPr="0012242E">
        <w:rPr>
          <w:b/>
          <w:lang w:val="ru-RU"/>
        </w:rPr>
        <w:t>Разница между балансовой стоимостью погашенного или переданного другой стороне финансового обязательства (или части финансового обязательства) и суммой выплаченного возмещения, включая переданные неденежные активы или принятые на себя обязательства, должна быть признана в составе прибыли или убытка</w:t>
      </w:r>
      <w:r w:rsidRPr="00170D8F">
        <w:rPr>
          <w:b/>
          <w:lang w:val="ru-RU"/>
        </w:rPr>
        <w:t>.</w:t>
      </w:r>
    </w:p>
    <w:p w:rsidR="007D4BCC" w:rsidRDefault="00B643A3" w:rsidP="007D4BCC">
      <w:pPr>
        <w:pStyle w:val="IASBNormalnpara"/>
        <w:rPr>
          <w:b/>
          <w:lang w:val="ru-RU"/>
        </w:rPr>
      </w:pPr>
      <w:r w:rsidRPr="00170D8F">
        <w:rPr>
          <w:lang w:val="ru-RU"/>
        </w:rPr>
        <w:t>3.3.4</w:t>
      </w:r>
      <w:r w:rsidRPr="00170D8F">
        <w:rPr>
          <w:lang w:val="ru-RU"/>
        </w:rPr>
        <w:tab/>
      </w:r>
      <w:r w:rsidR="0012242E" w:rsidRPr="0012242E">
        <w:rPr>
          <w:lang w:val="ru-RU"/>
        </w:rPr>
        <w:t>Если организация выкупает часть финансового обязательства, она должна распределить прежнюю балансовую стоимость данного финансового обязательства между той частью, которая продолжает признаваться, и частью, признание которой прекращено, исходя из относительных величин справедливой стоимости этих частей на дату выкупа. Разница между (</w:t>
      </w:r>
      <w:r w:rsidR="0012242E" w:rsidRPr="007A6CF7">
        <w:t>a</w:t>
      </w:r>
      <w:r w:rsidR="0012242E" w:rsidRPr="0012242E">
        <w:rPr>
          <w:lang w:val="ru-RU"/>
        </w:rPr>
        <w:t>) балансовой стоимостью, распределенной на часть, признание которой прекращено, и (</w:t>
      </w:r>
      <w:r w:rsidR="0012242E" w:rsidRPr="007A6CF7">
        <w:t>b</w:t>
      </w:r>
      <w:r w:rsidR="0012242E" w:rsidRPr="0012242E">
        <w:rPr>
          <w:lang w:val="ru-RU"/>
        </w:rPr>
        <w:t>) суммой возмещения, включая переданные неденежные активы или принятые на себя обязательства, выплаченной за часть, признание которой прекращено, должна быть признана в составе прибыли или убытка</w:t>
      </w:r>
      <w:r w:rsidR="00A34BF4" w:rsidRPr="0049187C" w:rsidDel="00B643A3">
        <w:rPr>
          <w:b/>
          <w:lang w:val="ru-RU"/>
        </w:rPr>
        <w:t>.</w:t>
      </w:r>
    </w:p>
    <w:p w:rsidR="00A2200D" w:rsidRPr="00A2200D" w:rsidRDefault="00A2200D" w:rsidP="00A2200D">
      <w:pPr>
        <w:spacing w:before="100"/>
        <w:ind w:left="782" w:hanging="782"/>
        <w:jc w:val="both"/>
        <w:rPr>
          <w:sz w:val="19"/>
          <w:szCs w:val="20"/>
          <w:lang w:val="ru-RU"/>
        </w:rPr>
      </w:pPr>
      <w:r w:rsidRPr="00A2200D">
        <w:rPr>
          <w:sz w:val="19"/>
          <w:szCs w:val="20"/>
          <w:lang w:val="ru-RU"/>
        </w:rPr>
        <w:t>3.3.5</w:t>
      </w:r>
      <w:r w:rsidRPr="00A2200D">
        <w:rPr>
          <w:sz w:val="19"/>
          <w:szCs w:val="20"/>
          <w:lang w:val="ru-RU"/>
        </w:rPr>
        <w:tab/>
        <w:t>Некоторые организации управляют внутренним или внешним инвестиционным фондом, который предоставляет инвесторам выгоды, определенные с учетом паев в фонде, и признают финансовые обязательства в отношении сумм, подлежащих выплате данным инвесторам. Аналогичным образом некоторые организации выпускают группы договоров страхования с условиями прямого участия, и данные организации удерживают базовые статьи. Некоторые такие фонды или базовые статьи включают финансовое обязательство организации (например, выпущенную корпоративную облигацию). Несмотря на другие требования настоящего стандарта, касающиеся прекращения признания финансовых обязательств, организация вправе принять решение не прекращать признание финансового обязательства, которое включается в такой фонд или является базовой статьей, тогда и только тогда, когда организация выкупает свое финансовое обязательство для этих целей. Вместо этого организация вправе принять решение продолжать учитывать данный инструмент как финансовое обязательство, а выкупленный инструмент учитывать, как если бы этот инструмент был финансовым активом, и оценивать его по справедливой стоимости через прибыль или убыток в соответствии с настоящим стандартом. Такое решение принимается по каждому инструменту в отдельности и не может быть впоследствии пересмотрено. Для целей принятия такого решения к договорам страхования относятся инвестиционные договоры с условиями дискреционного участия. (См. МСФО (IFRS) 17, в котором приводятся определения терминов, используемых в данном пункте.)</w:t>
      </w:r>
    </w:p>
    <w:p w:rsidR="007D4BCC" w:rsidRPr="0049187C" w:rsidRDefault="007D4BCC" w:rsidP="007D4BCC">
      <w:pPr>
        <w:pStyle w:val="IASBSectionTitle1NonInd"/>
        <w:pBdr>
          <w:bottom w:val="none" w:sz="0" w:space="0" w:color="auto"/>
        </w:pBdr>
        <w:rPr>
          <w:lang w:val="ru-RU"/>
        </w:rPr>
      </w:pPr>
      <w:bookmarkStart w:id="4" w:name="F32569571"/>
      <w:r w:rsidRPr="0049187C">
        <w:rPr>
          <w:lang w:val="ru-RU"/>
        </w:rPr>
        <w:t xml:space="preserve">Глава 4 </w:t>
      </w:r>
      <w:bookmarkEnd w:id="4"/>
      <w:r w:rsidRPr="0049187C">
        <w:rPr>
          <w:lang w:val="ru-RU"/>
        </w:rPr>
        <w:t>Классификация</w:t>
      </w:r>
    </w:p>
    <w:p w:rsidR="007D4BCC" w:rsidRPr="0049187C" w:rsidRDefault="007D4BCC" w:rsidP="007D4BCC">
      <w:pPr>
        <w:pStyle w:val="IASBSectionTitle1NonInd"/>
        <w:rPr>
          <w:lang w:val="ru-RU"/>
        </w:rPr>
      </w:pPr>
      <w:bookmarkStart w:id="5" w:name="F32569880"/>
      <w:r w:rsidRPr="0049187C">
        <w:rPr>
          <w:lang w:val="ru-RU"/>
        </w:rPr>
        <w:t xml:space="preserve">4.1 </w:t>
      </w:r>
      <w:bookmarkEnd w:id="5"/>
      <w:r w:rsidRPr="0049187C">
        <w:rPr>
          <w:lang w:val="ru-RU"/>
        </w:rPr>
        <w:t>Классификация финансовых активов</w:t>
      </w:r>
    </w:p>
    <w:p w:rsidR="007D4BCC" w:rsidRPr="0049187C" w:rsidRDefault="007D4BCC" w:rsidP="00A34BF4">
      <w:pPr>
        <w:pStyle w:val="IASBNormalnpara"/>
        <w:rPr>
          <w:b/>
          <w:lang w:val="ru-RU"/>
        </w:rPr>
      </w:pPr>
      <w:r w:rsidRPr="0049187C">
        <w:rPr>
          <w:b/>
          <w:lang w:val="ru-RU"/>
        </w:rPr>
        <w:t>4.1.1</w:t>
      </w:r>
      <w:r w:rsidRPr="0049187C">
        <w:rPr>
          <w:b/>
          <w:lang w:val="ru-RU"/>
        </w:rPr>
        <w:tab/>
      </w:r>
      <w:bookmarkStart w:id="6" w:name="F32569884"/>
      <w:r w:rsidRPr="0049187C">
        <w:rPr>
          <w:b/>
          <w:lang w:val="ru-RU"/>
        </w:rPr>
        <w:t>За исключением случаев, когда применяется пункт 4.1.5, организация должна классифицировать финансовые активы как оцениваемые впоследствии по амортизированной стоимости, справедливой стоимости через прочий совокупный доход или справедливой стоимости через прибыль или убыток, исходя из:</w:t>
      </w:r>
    </w:p>
    <w:bookmarkEnd w:id="6"/>
    <w:p w:rsidR="007D4BCC" w:rsidRPr="0049187C" w:rsidRDefault="009030F0" w:rsidP="004D2F3F">
      <w:pPr>
        <w:pStyle w:val="IASBNormalnparaL1"/>
        <w:numPr>
          <w:ilvl w:val="0"/>
          <w:numId w:val="13"/>
        </w:numPr>
        <w:ind w:left="1134" w:hanging="352"/>
        <w:rPr>
          <w:b/>
          <w:lang w:val="ru-RU"/>
        </w:rPr>
      </w:pPr>
      <w:r>
        <w:rPr>
          <w:b/>
          <w:lang w:val="ru-RU"/>
        </w:rPr>
        <w:t>бизнес-модели</w:t>
      </w:r>
      <w:r w:rsidR="007D4BCC" w:rsidRPr="0049187C">
        <w:rPr>
          <w:b/>
          <w:lang w:val="ru-RU"/>
        </w:rPr>
        <w:t>, используемой</w:t>
      </w:r>
      <w:r>
        <w:rPr>
          <w:b/>
          <w:lang w:val="ru-RU"/>
        </w:rPr>
        <w:t xml:space="preserve"> организацией</w:t>
      </w:r>
      <w:r w:rsidR="007D4BCC" w:rsidRPr="0049187C">
        <w:rPr>
          <w:b/>
          <w:lang w:val="ru-RU"/>
        </w:rPr>
        <w:t xml:space="preserve"> для управления финансовыми активами, и</w:t>
      </w:r>
    </w:p>
    <w:p w:rsidR="007D4BCC" w:rsidRPr="0049187C" w:rsidRDefault="007D4BCC" w:rsidP="004D2F3F">
      <w:pPr>
        <w:pStyle w:val="IASBNormalnparaL1"/>
        <w:numPr>
          <w:ilvl w:val="0"/>
          <w:numId w:val="13"/>
        </w:numPr>
        <w:ind w:left="1134" w:hanging="352"/>
        <w:rPr>
          <w:b/>
          <w:lang w:val="ru-RU"/>
        </w:rPr>
      </w:pPr>
      <w:r w:rsidRPr="0049187C">
        <w:rPr>
          <w:b/>
          <w:lang w:val="ru-RU"/>
        </w:rPr>
        <w:t>характеристик финансового актива, связанных с предусмотренными договором денежными потоками.</w:t>
      </w:r>
    </w:p>
    <w:p w:rsidR="007D4BCC" w:rsidRPr="0049187C" w:rsidRDefault="007D4BCC" w:rsidP="00A34BF4">
      <w:pPr>
        <w:pStyle w:val="IASBNormalnpara"/>
        <w:rPr>
          <w:b/>
          <w:lang w:val="ru-RU"/>
        </w:rPr>
      </w:pPr>
      <w:r w:rsidRPr="0049187C">
        <w:rPr>
          <w:b/>
          <w:lang w:val="ru-RU"/>
        </w:rPr>
        <w:t>4.1.2</w:t>
      </w:r>
      <w:r w:rsidRPr="0049187C">
        <w:rPr>
          <w:b/>
          <w:lang w:val="ru-RU"/>
        </w:rPr>
        <w:tab/>
        <w:t>Финансовый актив должен оцениваться по амортизированной стоимости, если выполняются оба следующих услови</w:t>
      </w:r>
      <w:r w:rsidR="009D7797">
        <w:rPr>
          <w:b/>
          <w:lang w:val="ru-RU"/>
        </w:rPr>
        <w:t>я</w:t>
      </w:r>
      <w:r w:rsidRPr="0049187C">
        <w:rPr>
          <w:b/>
          <w:lang w:val="ru-RU"/>
        </w:rPr>
        <w:t>:</w:t>
      </w:r>
    </w:p>
    <w:p w:rsidR="007D4BCC" w:rsidRPr="0049187C" w:rsidRDefault="00E85C55" w:rsidP="00A34BF4">
      <w:pPr>
        <w:numPr>
          <w:ilvl w:val="0"/>
          <w:numId w:val="14"/>
        </w:numPr>
        <w:autoSpaceDE w:val="0"/>
        <w:autoSpaceDN w:val="0"/>
        <w:adjustRightInd w:val="0"/>
        <w:spacing w:before="100"/>
        <w:ind w:left="1139" w:hanging="357"/>
        <w:jc w:val="both"/>
        <w:rPr>
          <w:b/>
          <w:sz w:val="19"/>
          <w:szCs w:val="20"/>
          <w:lang w:val="ru-RU"/>
        </w:rPr>
      </w:pPr>
      <w:r w:rsidRPr="0049187C">
        <w:rPr>
          <w:b/>
          <w:sz w:val="19"/>
          <w:szCs w:val="20"/>
          <w:lang w:val="ru-RU"/>
        </w:rPr>
        <w:t xml:space="preserve">финансовый </w:t>
      </w:r>
      <w:r w:rsidR="007D4BCC" w:rsidRPr="0049187C">
        <w:rPr>
          <w:b/>
          <w:sz w:val="19"/>
          <w:szCs w:val="20"/>
          <w:lang w:val="ru-RU"/>
        </w:rPr>
        <w:t>актив удерживается в рамках бизнес-модели, целью которой является удержание финансовых активов для получения предусмотренных договором денежных потоков, и</w:t>
      </w:r>
    </w:p>
    <w:p w:rsidR="007D4BCC" w:rsidRPr="0049187C" w:rsidRDefault="007D4BCC" w:rsidP="004D2F3F">
      <w:pPr>
        <w:numPr>
          <w:ilvl w:val="0"/>
          <w:numId w:val="14"/>
        </w:numPr>
        <w:autoSpaceDE w:val="0"/>
        <w:autoSpaceDN w:val="0"/>
        <w:adjustRightInd w:val="0"/>
        <w:jc w:val="both"/>
        <w:rPr>
          <w:b/>
          <w:sz w:val="19"/>
          <w:szCs w:val="20"/>
          <w:lang w:val="ru-RU"/>
        </w:rPr>
      </w:pPr>
      <w:r w:rsidRPr="0049187C">
        <w:rPr>
          <w:b/>
          <w:sz w:val="19"/>
          <w:szCs w:val="20"/>
          <w:lang w:val="ru-RU"/>
        </w:rPr>
        <w:t>договорные условия финансов</w:t>
      </w:r>
      <w:r w:rsidR="00A349DA">
        <w:rPr>
          <w:b/>
          <w:sz w:val="19"/>
          <w:szCs w:val="20"/>
          <w:lang w:val="ru-RU"/>
        </w:rPr>
        <w:t>ого актива обусло</w:t>
      </w:r>
      <w:r w:rsidRPr="0049187C">
        <w:rPr>
          <w:b/>
          <w:sz w:val="19"/>
          <w:szCs w:val="20"/>
          <w:lang w:val="ru-RU"/>
        </w:rPr>
        <w:t xml:space="preserve">вливают получение в указанные </w:t>
      </w:r>
      <w:r w:rsidR="009D7797">
        <w:rPr>
          <w:b/>
          <w:sz w:val="19"/>
          <w:szCs w:val="20"/>
          <w:lang w:val="ru-RU"/>
        </w:rPr>
        <w:t>даты</w:t>
      </w:r>
      <w:r w:rsidR="009D7797" w:rsidRPr="0049187C">
        <w:rPr>
          <w:b/>
          <w:sz w:val="19"/>
          <w:szCs w:val="20"/>
          <w:lang w:val="ru-RU"/>
        </w:rPr>
        <w:t xml:space="preserve"> </w:t>
      </w:r>
      <w:r w:rsidRPr="0049187C">
        <w:rPr>
          <w:b/>
          <w:sz w:val="19"/>
          <w:szCs w:val="20"/>
          <w:lang w:val="ru-RU"/>
        </w:rPr>
        <w:t>денежных потоков, являющихся исключит</w:t>
      </w:r>
      <w:r w:rsidR="00071D51">
        <w:rPr>
          <w:b/>
          <w:sz w:val="19"/>
          <w:szCs w:val="20"/>
          <w:lang w:val="ru-RU"/>
        </w:rPr>
        <w:t>ельно платежами в счет основной суммы</w:t>
      </w:r>
      <w:r w:rsidRPr="0049187C">
        <w:rPr>
          <w:b/>
          <w:sz w:val="19"/>
          <w:szCs w:val="20"/>
          <w:lang w:val="ru-RU"/>
        </w:rPr>
        <w:t xml:space="preserve"> долга и процентов на непогашенную </w:t>
      </w:r>
      <w:r w:rsidR="008811B9">
        <w:rPr>
          <w:b/>
          <w:sz w:val="19"/>
          <w:szCs w:val="20"/>
          <w:lang w:val="ru-RU"/>
        </w:rPr>
        <w:t>часть основной суммы</w:t>
      </w:r>
      <w:r w:rsidRPr="0049187C">
        <w:rPr>
          <w:b/>
          <w:sz w:val="19"/>
          <w:szCs w:val="20"/>
          <w:lang w:val="ru-RU"/>
        </w:rPr>
        <w:t xml:space="preserve"> долга.</w:t>
      </w:r>
    </w:p>
    <w:p w:rsidR="007D4BCC" w:rsidRPr="0049187C" w:rsidRDefault="00A876BE" w:rsidP="007D4BCC">
      <w:pPr>
        <w:pStyle w:val="IASBNormalnparaP"/>
        <w:rPr>
          <w:b/>
          <w:lang w:val="ru-RU"/>
        </w:rPr>
      </w:pPr>
      <w:r>
        <w:rPr>
          <w:b/>
          <w:lang w:val="ru-RU"/>
        </w:rPr>
        <w:t>В пунктах B4.1.1</w:t>
      </w:r>
      <w:r w:rsidRPr="008872E8">
        <w:rPr>
          <w:lang w:val="ru-RU"/>
        </w:rPr>
        <w:t>–</w:t>
      </w:r>
      <w:r w:rsidR="007D4BCC" w:rsidRPr="0049187C">
        <w:rPr>
          <w:b/>
          <w:lang w:val="ru-RU"/>
        </w:rPr>
        <w:t>B4.1.26 даны указания о том, как применять эти условия.</w:t>
      </w:r>
    </w:p>
    <w:p w:rsidR="007D4BCC" w:rsidRPr="0049187C" w:rsidRDefault="007D4BCC" w:rsidP="007D4BCC">
      <w:pPr>
        <w:pStyle w:val="IASBNormalnpara"/>
        <w:rPr>
          <w:b/>
          <w:lang w:val="ru-RU"/>
        </w:rPr>
      </w:pPr>
      <w:r w:rsidRPr="0049187C">
        <w:rPr>
          <w:b/>
          <w:lang w:val="ru-RU"/>
        </w:rPr>
        <w:t>4.1.2A</w:t>
      </w:r>
      <w:r w:rsidRPr="0049187C">
        <w:rPr>
          <w:b/>
          <w:lang w:val="ru-RU"/>
        </w:rPr>
        <w:tab/>
        <w:t xml:space="preserve">Финансовый актив должен оцениваться по справедливой стоимости через прочий совокупный доход, если выполняются оба следующих </w:t>
      </w:r>
      <w:r w:rsidR="008B3843" w:rsidRPr="0049187C">
        <w:rPr>
          <w:b/>
          <w:lang w:val="ru-RU"/>
        </w:rPr>
        <w:t>услови</w:t>
      </w:r>
      <w:r w:rsidR="008B3843">
        <w:rPr>
          <w:b/>
          <w:lang w:val="ru-RU"/>
        </w:rPr>
        <w:t>я</w:t>
      </w:r>
      <w:r w:rsidRPr="0049187C">
        <w:rPr>
          <w:b/>
          <w:lang w:val="ru-RU"/>
        </w:rPr>
        <w:t>:</w:t>
      </w:r>
    </w:p>
    <w:p w:rsidR="007D4BCC" w:rsidRPr="0049187C" w:rsidRDefault="00E85C55" w:rsidP="004D2F3F">
      <w:pPr>
        <w:pStyle w:val="IASBNormalnparaL1"/>
        <w:numPr>
          <w:ilvl w:val="0"/>
          <w:numId w:val="15"/>
        </w:numPr>
        <w:rPr>
          <w:b/>
          <w:lang w:val="ru-RU"/>
        </w:rPr>
      </w:pPr>
      <w:r w:rsidRPr="0049187C">
        <w:rPr>
          <w:b/>
          <w:lang w:val="ru-RU"/>
        </w:rPr>
        <w:t xml:space="preserve">финансовый </w:t>
      </w:r>
      <w:r w:rsidR="007D4BCC" w:rsidRPr="0049187C">
        <w:rPr>
          <w:b/>
          <w:lang w:val="ru-RU"/>
        </w:rPr>
        <w:t xml:space="preserve">актив удерживается в рамках бизнес-модели, цель которой достигается как путем получения предусмотренных договором денежных потоков, так и </w:t>
      </w:r>
      <w:r w:rsidRPr="0049187C">
        <w:rPr>
          <w:b/>
          <w:lang w:val="ru-RU"/>
        </w:rPr>
        <w:t xml:space="preserve">путем </w:t>
      </w:r>
      <w:r w:rsidR="007D4BCC" w:rsidRPr="0049187C">
        <w:rPr>
          <w:b/>
          <w:lang w:val="ru-RU"/>
        </w:rPr>
        <w:t>продаж</w:t>
      </w:r>
      <w:r w:rsidRPr="0049187C">
        <w:rPr>
          <w:b/>
          <w:lang w:val="ru-RU"/>
        </w:rPr>
        <w:t>и</w:t>
      </w:r>
      <w:r w:rsidR="007D4BCC" w:rsidRPr="0049187C">
        <w:rPr>
          <w:b/>
          <w:lang w:val="ru-RU"/>
        </w:rPr>
        <w:t xml:space="preserve"> финансовых активов, и</w:t>
      </w:r>
    </w:p>
    <w:p w:rsidR="007D4BCC" w:rsidRPr="0049187C" w:rsidRDefault="007D4BCC" w:rsidP="004D2F3F">
      <w:pPr>
        <w:pStyle w:val="IASBNormalnparaL1"/>
        <w:numPr>
          <w:ilvl w:val="0"/>
          <w:numId w:val="15"/>
        </w:numPr>
        <w:rPr>
          <w:b/>
          <w:lang w:val="ru-RU"/>
        </w:rPr>
      </w:pPr>
      <w:r w:rsidRPr="0049187C">
        <w:rPr>
          <w:b/>
          <w:lang w:val="ru-RU"/>
        </w:rPr>
        <w:t>договорные у</w:t>
      </w:r>
      <w:r w:rsidR="00A349DA">
        <w:rPr>
          <w:b/>
          <w:lang w:val="ru-RU"/>
        </w:rPr>
        <w:t>словия финансового актива обусло</w:t>
      </w:r>
      <w:r w:rsidRPr="0049187C">
        <w:rPr>
          <w:b/>
          <w:lang w:val="ru-RU"/>
        </w:rPr>
        <w:t xml:space="preserve">вливают получение в указанные </w:t>
      </w:r>
      <w:r w:rsidR="008B3843">
        <w:rPr>
          <w:b/>
          <w:lang w:val="ru-RU"/>
        </w:rPr>
        <w:t>даты</w:t>
      </w:r>
      <w:r w:rsidR="008B3843" w:rsidRPr="0049187C">
        <w:rPr>
          <w:b/>
          <w:lang w:val="ru-RU"/>
        </w:rPr>
        <w:t xml:space="preserve"> </w:t>
      </w:r>
      <w:r w:rsidRPr="0049187C">
        <w:rPr>
          <w:b/>
          <w:lang w:val="ru-RU"/>
        </w:rPr>
        <w:t>денежных потоков, являющихся исключит</w:t>
      </w:r>
      <w:r w:rsidR="00A73D9D">
        <w:rPr>
          <w:b/>
          <w:lang w:val="ru-RU"/>
        </w:rPr>
        <w:t>ельно платежами в счет основной суммы</w:t>
      </w:r>
      <w:r w:rsidRPr="0049187C">
        <w:rPr>
          <w:b/>
          <w:lang w:val="ru-RU"/>
        </w:rPr>
        <w:t xml:space="preserve"> долга и процентов на непогашенную </w:t>
      </w:r>
      <w:r w:rsidR="008811B9">
        <w:rPr>
          <w:b/>
          <w:lang w:val="ru-RU"/>
        </w:rPr>
        <w:t>часть основной суммы</w:t>
      </w:r>
      <w:r w:rsidRPr="0049187C">
        <w:rPr>
          <w:b/>
          <w:lang w:val="ru-RU"/>
        </w:rPr>
        <w:t xml:space="preserve"> долга. </w:t>
      </w:r>
    </w:p>
    <w:p w:rsidR="007D4BCC" w:rsidRPr="0049187C" w:rsidRDefault="00A876BE" w:rsidP="007D4BCC">
      <w:pPr>
        <w:pStyle w:val="IASBNormalnparaP"/>
        <w:rPr>
          <w:b/>
          <w:lang w:val="ru-RU"/>
        </w:rPr>
      </w:pPr>
      <w:r>
        <w:rPr>
          <w:b/>
          <w:lang w:val="ru-RU"/>
        </w:rPr>
        <w:t>В пунктах B4.1.1</w:t>
      </w:r>
      <w:r w:rsidRPr="008872E8">
        <w:rPr>
          <w:lang w:val="ru-RU"/>
        </w:rPr>
        <w:t>–</w:t>
      </w:r>
      <w:r w:rsidR="007D4BCC" w:rsidRPr="0049187C">
        <w:rPr>
          <w:b/>
          <w:lang w:val="ru-RU"/>
        </w:rPr>
        <w:t>B4.1.26 даны указания о том, как применять эти условия.</w:t>
      </w:r>
    </w:p>
    <w:p w:rsidR="007D4BCC" w:rsidRPr="0049187C" w:rsidRDefault="007D4BCC" w:rsidP="007D4BCC">
      <w:pPr>
        <w:pStyle w:val="IASBNormalnpara"/>
        <w:rPr>
          <w:b/>
          <w:lang w:val="ru-RU"/>
        </w:rPr>
      </w:pPr>
      <w:r w:rsidRPr="0049187C">
        <w:rPr>
          <w:b/>
          <w:lang w:val="ru-RU"/>
        </w:rPr>
        <w:t>4.1.3</w:t>
      </w:r>
      <w:r w:rsidRPr="0049187C">
        <w:rPr>
          <w:b/>
          <w:lang w:val="ru-RU"/>
        </w:rPr>
        <w:tab/>
        <w:t>Для целей применения пунктов 4.1.2(b) и 4.1.2A(b):</w:t>
      </w:r>
    </w:p>
    <w:p w:rsidR="007D4BCC" w:rsidRPr="0049187C" w:rsidRDefault="00071D51" w:rsidP="004D2F3F">
      <w:pPr>
        <w:pStyle w:val="IASBNormalnparaL1"/>
        <w:numPr>
          <w:ilvl w:val="0"/>
          <w:numId w:val="16"/>
        </w:numPr>
        <w:ind w:left="1134"/>
        <w:rPr>
          <w:b/>
          <w:lang w:val="ru-RU"/>
        </w:rPr>
      </w:pPr>
      <w:r>
        <w:rPr>
          <w:b/>
          <w:lang w:val="ru-RU"/>
        </w:rPr>
        <w:t>основная сумма</w:t>
      </w:r>
      <w:r w:rsidR="007D4BCC" w:rsidRPr="0049187C">
        <w:rPr>
          <w:b/>
          <w:lang w:val="ru-RU"/>
        </w:rPr>
        <w:t xml:space="preserve"> долг</w:t>
      </w:r>
      <w:r>
        <w:rPr>
          <w:b/>
          <w:lang w:val="ru-RU"/>
        </w:rPr>
        <w:t>а</w:t>
      </w:r>
      <w:r w:rsidR="007D4BCC" w:rsidRPr="0049187C">
        <w:rPr>
          <w:b/>
          <w:lang w:val="ru-RU"/>
        </w:rPr>
        <w:t xml:space="preserve"> – это справедливая стоимость финансового актива при первоначальном признании. В пункте B4.1.7B даны дополнительные указания </w:t>
      </w:r>
      <w:r>
        <w:rPr>
          <w:b/>
          <w:lang w:val="ru-RU"/>
        </w:rPr>
        <w:t>по определению термина «основная сумма</w:t>
      </w:r>
      <w:r w:rsidR="007D4BCC" w:rsidRPr="0049187C">
        <w:rPr>
          <w:b/>
          <w:lang w:val="ru-RU"/>
        </w:rPr>
        <w:t xml:space="preserve"> долг</w:t>
      </w:r>
      <w:r>
        <w:rPr>
          <w:b/>
          <w:lang w:val="ru-RU"/>
        </w:rPr>
        <w:t>а</w:t>
      </w:r>
      <w:r w:rsidR="0025200E">
        <w:rPr>
          <w:b/>
          <w:lang w:val="ru-RU"/>
        </w:rPr>
        <w:t>»;</w:t>
      </w:r>
    </w:p>
    <w:p w:rsidR="007D4BCC" w:rsidRPr="0049187C" w:rsidRDefault="007D4BCC" w:rsidP="004D2F3F">
      <w:pPr>
        <w:pStyle w:val="IASBNormalnparaL1"/>
        <w:numPr>
          <w:ilvl w:val="0"/>
          <w:numId w:val="16"/>
        </w:numPr>
        <w:ind w:left="1134"/>
        <w:rPr>
          <w:b/>
          <w:lang w:val="ru-RU"/>
        </w:rPr>
      </w:pPr>
      <w:r w:rsidRPr="0049187C">
        <w:rPr>
          <w:b/>
          <w:lang w:val="ru-RU"/>
        </w:rPr>
        <w:t xml:space="preserve">проценты </w:t>
      </w:r>
      <w:r w:rsidR="00A73D9D">
        <w:rPr>
          <w:b/>
          <w:lang w:val="ru-RU"/>
        </w:rPr>
        <w:t>включают в себя только возмещение</w:t>
      </w:r>
      <w:r w:rsidR="00C67977">
        <w:rPr>
          <w:b/>
          <w:lang w:val="ru-RU"/>
        </w:rPr>
        <w:t xml:space="preserve"> за временн</w:t>
      </w:r>
      <w:r w:rsidR="00C67977" w:rsidRPr="00C67977">
        <w:rPr>
          <w:b/>
          <w:lang w:val="ru-RU"/>
        </w:rPr>
        <w:t>ý</w:t>
      </w:r>
      <w:r w:rsidRPr="0049187C">
        <w:rPr>
          <w:b/>
          <w:lang w:val="ru-RU"/>
        </w:rPr>
        <w:t>ю стоимость денег, за кредитный риск</w:t>
      </w:r>
      <w:r w:rsidR="00A73D9D">
        <w:rPr>
          <w:b/>
          <w:lang w:val="ru-RU"/>
        </w:rPr>
        <w:t xml:space="preserve"> в отношении</w:t>
      </w:r>
      <w:r w:rsidRPr="0049187C">
        <w:rPr>
          <w:b/>
          <w:lang w:val="ru-RU"/>
        </w:rPr>
        <w:t xml:space="preserve"> </w:t>
      </w:r>
      <w:r w:rsidR="008811B9">
        <w:rPr>
          <w:b/>
          <w:lang w:val="ru-RU"/>
        </w:rPr>
        <w:t>основной с</w:t>
      </w:r>
      <w:r w:rsidR="00A73D9D">
        <w:rPr>
          <w:b/>
          <w:lang w:val="ru-RU"/>
        </w:rPr>
        <w:t>уммы</w:t>
      </w:r>
      <w:r w:rsidRPr="0049187C">
        <w:rPr>
          <w:b/>
          <w:lang w:val="ru-RU"/>
        </w:rPr>
        <w:t xml:space="preserve"> долга, </w:t>
      </w:r>
      <w:r w:rsidR="00A73D9D">
        <w:rPr>
          <w:b/>
          <w:lang w:val="ru-RU"/>
        </w:rPr>
        <w:t xml:space="preserve">остающейся </w:t>
      </w:r>
      <w:r w:rsidRPr="0049187C">
        <w:rPr>
          <w:b/>
          <w:lang w:val="ru-RU"/>
        </w:rPr>
        <w:t xml:space="preserve">непогашенной в течение определенного периода времени, и за другие </w:t>
      </w:r>
      <w:r w:rsidR="00A73D9D">
        <w:rPr>
          <w:b/>
          <w:lang w:val="ru-RU"/>
        </w:rPr>
        <w:t>обычные риски и затраты, связанные</w:t>
      </w:r>
      <w:r w:rsidR="00E35F91" w:rsidRPr="0049187C">
        <w:rPr>
          <w:b/>
          <w:lang w:val="ru-RU"/>
        </w:rPr>
        <w:t xml:space="preserve"> с кредитованием</w:t>
      </w:r>
      <w:r w:rsidRPr="0049187C">
        <w:rPr>
          <w:b/>
          <w:lang w:val="ru-RU"/>
        </w:rPr>
        <w:t xml:space="preserve">, а также </w:t>
      </w:r>
      <w:r w:rsidR="00A73D9D">
        <w:rPr>
          <w:b/>
          <w:lang w:val="ru-RU"/>
        </w:rPr>
        <w:t>маржу</w:t>
      </w:r>
      <w:r w:rsidRPr="0049187C">
        <w:rPr>
          <w:b/>
          <w:lang w:val="ru-RU"/>
        </w:rPr>
        <w:t xml:space="preserve"> прибыли. В пунктах B4.1.7A и B4.1.9A–B4.1.9E даны дополнительные указания по определению термина «проц</w:t>
      </w:r>
      <w:r w:rsidR="00E1095F">
        <w:rPr>
          <w:b/>
          <w:lang w:val="ru-RU"/>
        </w:rPr>
        <w:t>енты», включая значение временн</w:t>
      </w:r>
      <w:r w:rsidR="00E1095F" w:rsidRPr="00E1095F">
        <w:rPr>
          <w:b/>
          <w:lang w:val="ru-RU"/>
        </w:rPr>
        <w:t>ó</w:t>
      </w:r>
      <w:r w:rsidRPr="0049187C">
        <w:rPr>
          <w:b/>
          <w:lang w:val="ru-RU"/>
        </w:rPr>
        <w:t>й стоимости денег.</w:t>
      </w:r>
    </w:p>
    <w:p w:rsidR="007D4BCC" w:rsidRPr="0049187C" w:rsidRDefault="007D4BCC" w:rsidP="007D4BCC">
      <w:pPr>
        <w:pStyle w:val="IASBNormalnpara"/>
        <w:rPr>
          <w:b/>
          <w:lang w:val="ru-RU"/>
        </w:rPr>
      </w:pPr>
      <w:r w:rsidRPr="0049187C">
        <w:rPr>
          <w:b/>
          <w:lang w:val="ru-RU"/>
        </w:rPr>
        <w:t>4.1.4</w:t>
      </w:r>
      <w:r w:rsidRPr="0049187C">
        <w:rPr>
          <w:b/>
          <w:lang w:val="ru-RU"/>
        </w:rPr>
        <w:tab/>
        <w:t>Финансовый актив должен оцениваться по справедливой стоимости через прибыл</w:t>
      </w:r>
      <w:r w:rsidR="00E85C55" w:rsidRPr="0049187C">
        <w:rPr>
          <w:b/>
          <w:lang w:val="ru-RU"/>
        </w:rPr>
        <w:t>ь</w:t>
      </w:r>
      <w:r w:rsidRPr="0049187C">
        <w:rPr>
          <w:b/>
          <w:lang w:val="ru-RU"/>
        </w:rPr>
        <w:t xml:space="preserve"> или убыток, за исключением случаев, когда он оценивается по амортизированной стоимости</w:t>
      </w:r>
      <w:r w:rsidR="0025200E">
        <w:rPr>
          <w:b/>
          <w:lang w:val="ru-RU"/>
        </w:rPr>
        <w:t xml:space="preserve"> в соответствии с пунктом 4.1.2</w:t>
      </w:r>
      <w:r w:rsidRPr="0049187C">
        <w:rPr>
          <w:b/>
          <w:lang w:val="ru-RU"/>
        </w:rPr>
        <w:t xml:space="preserve"> или по справедливой стоимости через прочий совокупный доход в соответствии с пунктом 4.1.2А. Однако организация при первоначальном признании определенных инвестиций в </w:t>
      </w:r>
      <w:r w:rsidRPr="0049187C">
        <w:rPr>
          <w:b/>
          <w:i/>
          <w:lang w:val="ru-RU"/>
        </w:rPr>
        <w:t>долевые инструменты</w:t>
      </w:r>
      <w:r w:rsidRPr="0049187C">
        <w:rPr>
          <w:b/>
          <w:lang w:val="ru-RU"/>
        </w:rPr>
        <w:t xml:space="preserve">, которые в противном случае оценивались бы по справедливой стоимости через прибыль или убыток, </w:t>
      </w:r>
      <w:r w:rsidR="00EC7D32" w:rsidRPr="0049187C">
        <w:rPr>
          <w:b/>
          <w:lang w:val="ru-RU"/>
        </w:rPr>
        <w:t xml:space="preserve">может </w:t>
      </w:r>
      <w:r w:rsidR="00057361">
        <w:rPr>
          <w:b/>
          <w:lang w:val="ru-RU"/>
        </w:rPr>
        <w:t>по собственному</w:t>
      </w:r>
      <w:r w:rsidR="00EC7D32">
        <w:rPr>
          <w:b/>
          <w:lang w:val="ru-RU"/>
        </w:rPr>
        <w:t xml:space="preserve"> усмотрению </w:t>
      </w:r>
      <w:r w:rsidR="00EC7D32" w:rsidRPr="0049187C">
        <w:rPr>
          <w:b/>
          <w:lang w:val="ru-RU"/>
        </w:rPr>
        <w:t>принять решение</w:t>
      </w:r>
      <w:r w:rsidR="00B80D82">
        <w:rPr>
          <w:b/>
          <w:lang w:val="ru-RU"/>
        </w:rPr>
        <w:t>,</w:t>
      </w:r>
      <w:r w:rsidR="00DE0EF7">
        <w:rPr>
          <w:b/>
          <w:lang w:val="ru-RU"/>
        </w:rPr>
        <w:t xml:space="preserve"> без права</w:t>
      </w:r>
      <w:r w:rsidR="00B878E6">
        <w:rPr>
          <w:b/>
          <w:lang w:val="ru-RU"/>
        </w:rPr>
        <w:t xml:space="preserve"> его последующей</w:t>
      </w:r>
      <w:r w:rsidR="00DE0EF7">
        <w:rPr>
          <w:b/>
          <w:lang w:val="ru-RU"/>
        </w:rPr>
        <w:t xml:space="preserve"> </w:t>
      </w:r>
      <w:r w:rsidR="00B878E6">
        <w:rPr>
          <w:b/>
          <w:lang w:val="ru-RU"/>
        </w:rPr>
        <w:t>отмены</w:t>
      </w:r>
      <w:r w:rsidR="00B80D82">
        <w:rPr>
          <w:b/>
          <w:lang w:val="ru-RU"/>
        </w:rPr>
        <w:t>,</w:t>
      </w:r>
      <w:r w:rsidR="00EC7D32" w:rsidRPr="0049187C">
        <w:rPr>
          <w:b/>
          <w:lang w:val="ru-RU"/>
        </w:rPr>
        <w:t xml:space="preserve"> </w:t>
      </w:r>
      <w:r w:rsidRPr="0049187C">
        <w:rPr>
          <w:b/>
          <w:lang w:val="ru-RU"/>
        </w:rPr>
        <w:t xml:space="preserve">представлять последующие изменения </w:t>
      </w:r>
      <w:r w:rsidR="00EC7D32">
        <w:rPr>
          <w:b/>
          <w:lang w:val="ru-RU"/>
        </w:rPr>
        <w:t>их</w:t>
      </w:r>
      <w:r w:rsidR="00EC7D32" w:rsidRPr="0049187C">
        <w:rPr>
          <w:b/>
          <w:lang w:val="ru-RU"/>
        </w:rPr>
        <w:t xml:space="preserve"> </w:t>
      </w:r>
      <w:r w:rsidRPr="0049187C">
        <w:rPr>
          <w:b/>
          <w:lang w:val="ru-RU"/>
        </w:rPr>
        <w:t xml:space="preserve">справедливой стоимости в </w:t>
      </w:r>
      <w:r w:rsidR="00E8265F">
        <w:rPr>
          <w:b/>
          <w:lang w:val="ru-RU"/>
        </w:rPr>
        <w:t>составе прочего совокупного дохода</w:t>
      </w:r>
      <w:r w:rsidRPr="0049187C">
        <w:rPr>
          <w:b/>
          <w:lang w:val="ru-RU"/>
        </w:rPr>
        <w:t xml:space="preserve"> (см. пункты 5.7.5–5.7.6).</w:t>
      </w:r>
    </w:p>
    <w:p w:rsidR="007D4BCC" w:rsidRPr="0049187C" w:rsidRDefault="007D4BCC" w:rsidP="007D4BCC">
      <w:pPr>
        <w:pStyle w:val="IASBSectionTitle2Ind"/>
        <w:rPr>
          <w:lang w:val="ru-RU"/>
        </w:rPr>
      </w:pPr>
      <w:r w:rsidRPr="0049187C">
        <w:rPr>
          <w:lang w:val="ru-RU"/>
        </w:rPr>
        <w:t xml:space="preserve">Возможность </w:t>
      </w:r>
      <w:r w:rsidR="00226B0D">
        <w:rPr>
          <w:lang w:val="ru-RU"/>
        </w:rPr>
        <w:t>классификации по усмотрению организации</w:t>
      </w:r>
      <w:r w:rsidRPr="0049187C">
        <w:rPr>
          <w:lang w:val="ru-RU"/>
        </w:rPr>
        <w:t xml:space="preserve"> финансового актива </w:t>
      </w:r>
      <w:r w:rsidR="00C441CC" w:rsidRPr="0049187C">
        <w:rPr>
          <w:lang w:val="ru-RU"/>
        </w:rPr>
        <w:t xml:space="preserve">как оцениваемого </w:t>
      </w:r>
      <w:r w:rsidRPr="0049187C">
        <w:rPr>
          <w:lang w:val="ru-RU"/>
        </w:rPr>
        <w:t>по справедливой стоимости через прибыль или убыток</w:t>
      </w:r>
    </w:p>
    <w:p w:rsidR="007D4BCC" w:rsidRPr="0049187C" w:rsidRDefault="007D4BCC" w:rsidP="007D4BCC">
      <w:pPr>
        <w:pStyle w:val="IASBNormalnpara"/>
        <w:rPr>
          <w:b/>
          <w:lang w:val="ru-RU"/>
        </w:rPr>
      </w:pPr>
      <w:r w:rsidRPr="0049187C">
        <w:rPr>
          <w:b/>
          <w:lang w:val="ru-RU"/>
        </w:rPr>
        <w:t>4.1.5</w:t>
      </w:r>
      <w:r w:rsidRPr="0049187C">
        <w:rPr>
          <w:b/>
          <w:lang w:val="ru-RU"/>
        </w:rPr>
        <w:tab/>
        <w:t>Независи</w:t>
      </w:r>
      <w:r w:rsidR="00A876BE">
        <w:rPr>
          <w:b/>
          <w:lang w:val="ru-RU"/>
        </w:rPr>
        <w:t>мо от положений пунктов 4.1.1</w:t>
      </w:r>
      <w:r w:rsidR="00A876BE" w:rsidRPr="008872E8">
        <w:rPr>
          <w:lang w:val="ru-RU"/>
        </w:rPr>
        <w:t>–</w:t>
      </w:r>
      <w:r w:rsidRPr="0049187C">
        <w:rPr>
          <w:b/>
          <w:lang w:val="ru-RU"/>
        </w:rPr>
        <w:t>4.1.4 организация может при первоначальном признании</w:t>
      </w:r>
      <w:r w:rsidR="00B80D82">
        <w:rPr>
          <w:b/>
          <w:lang w:val="ru-RU"/>
        </w:rPr>
        <w:t xml:space="preserve"> финансового актива</w:t>
      </w:r>
      <w:r w:rsidRPr="0049187C">
        <w:rPr>
          <w:b/>
          <w:lang w:val="ru-RU"/>
        </w:rPr>
        <w:t xml:space="preserve"> </w:t>
      </w:r>
      <w:r w:rsidR="00B80D82">
        <w:rPr>
          <w:b/>
          <w:lang w:val="ru-RU"/>
        </w:rPr>
        <w:t>по собственному усмотрению</w:t>
      </w:r>
      <w:r w:rsidRPr="0049187C">
        <w:rPr>
          <w:b/>
          <w:lang w:val="ru-RU"/>
        </w:rPr>
        <w:t xml:space="preserve"> </w:t>
      </w:r>
      <w:r w:rsidR="00226B0D">
        <w:rPr>
          <w:b/>
          <w:lang w:val="ru-RU"/>
        </w:rPr>
        <w:t xml:space="preserve">классифицировать </w:t>
      </w:r>
      <w:r w:rsidR="00B80D82">
        <w:rPr>
          <w:b/>
          <w:lang w:val="ru-RU"/>
        </w:rPr>
        <w:t xml:space="preserve">его, без права последующей реклассификации, </w:t>
      </w:r>
      <w:r w:rsidRPr="0049187C">
        <w:rPr>
          <w:b/>
          <w:lang w:val="ru-RU"/>
        </w:rPr>
        <w:t xml:space="preserve">как оцениваемый по справедливой стоимости через прибыль или убыток, если это </w:t>
      </w:r>
      <w:r w:rsidR="00FD6780">
        <w:rPr>
          <w:b/>
          <w:lang w:val="ru-RU"/>
        </w:rPr>
        <w:t>позволит устранить</w:t>
      </w:r>
      <w:r w:rsidRPr="0049187C">
        <w:rPr>
          <w:b/>
          <w:lang w:val="ru-RU"/>
        </w:rPr>
        <w:t xml:space="preserve"> или значительно </w:t>
      </w:r>
      <w:r w:rsidR="00FD6780">
        <w:rPr>
          <w:b/>
          <w:lang w:val="ru-RU"/>
        </w:rPr>
        <w:t>уменьшить непоследовательность подходов к оценке или признанию</w:t>
      </w:r>
      <w:r w:rsidR="00B86993">
        <w:rPr>
          <w:b/>
          <w:lang w:val="ru-RU"/>
        </w:rPr>
        <w:t xml:space="preserve"> (иногда именуемую</w:t>
      </w:r>
      <w:r w:rsidRPr="0049187C">
        <w:rPr>
          <w:b/>
          <w:lang w:val="ru-RU"/>
        </w:rPr>
        <w:t xml:space="preserve"> </w:t>
      </w:r>
      <w:r w:rsidR="0007419A" w:rsidRPr="0049187C">
        <w:rPr>
          <w:b/>
          <w:lang w:val="ru-RU"/>
        </w:rPr>
        <w:t>«</w:t>
      </w:r>
      <w:r w:rsidRPr="0049187C">
        <w:rPr>
          <w:b/>
          <w:lang w:val="ru-RU"/>
        </w:rPr>
        <w:t>учетным несоответствием</w:t>
      </w:r>
      <w:r w:rsidR="0007419A" w:rsidRPr="0049187C">
        <w:rPr>
          <w:b/>
          <w:lang w:val="ru-RU"/>
        </w:rPr>
        <w:t>»</w:t>
      </w:r>
      <w:r w:rsidR="008770B9">
        <w:rPr>
          <w:b/>
          <w:lang w:val="ru-RU"/>
        </w:rPr>
        <w:t>), которая иначе возникла</w:t>
      </w:r>
      <w:r w:rsidRPr="0049187C">
        <w:rPr>
          <w:b/>
          <w:lang w:val="ru-RU"/>
        </w:rPr>
        <w:t xml:space="preserve"> бы </w:t>
      </w:r>
      <w:r w:rsidR="006C5B51">
        <w:rPr>
          <w:b/>
          <w:lang w:val="ru-RU"/>
        </w:rPr>
        <w:t>вследствие использования различных баз оценки активов или обязательств либо признания</w:t>
      </w:r>
      <w:r w:rsidRPr="0049187C">
        <w:rPr>
          <w:b/>
          <w:lang w:val="ru-RU"/>
        </w:rPr>
        <w:t xml:space="preserve"> связанных с ними прибылей и убытков </w:t>
      </w:r>
      <w:r w:rsidR="00A876BE">
        <w:rPr>
          <w:b/>
          <w:lang w:val="ru-RU"/>
        </w:rPr>
        <w:t>(см. пункты B4.1.29</w:t>
      </w:r>
      <w:r w:rsidR="00A876BE" w:rsidRPr="008872E8">
        <w:rPr>
          <w:lang w:val="ru-RU"/>
        </w:rPr>
        <w:t>–</w:t>
      </w:r>
      <w:r w:rsidRPr="0049187C">
        <w:rPr>
          <w:b/>
          <w:lang w:val="ru-RU"/>
        </w:rPr>
        <w:t>B4.1.32).</w:t>
      </w:r>
    </w:p>
    <w:p w:rsidR="007D4BCC" w:rsidRPr="0049187C" w:rsidRDefault="007D4BCC" w:rsidP="007D4BCC">
      <w:pPr>
        <w:pStyle w:val="IASBSectionTitle1NonInd"/>
        <w:rPr>
          <w:lang w:val="ru-RU"/>
        </w:rPr>
      </w:pPr>
      <w:bookmarkStart w:id="7" w:name="F32569912"/>
      <w:r w:rsidRPr="0049187C">
        <w:rPr>
          <w:lang w:val="ru-RU"/>
        </w:rPr>
        <w:t xml:space="preserve">4.2 </w:t>
      </w:r>
      <w:bookmarkEnd w:id="7"/>
      <w:r w:rsidRPr="0049187C">
        <w:rPr>
          <w:lang w:val="ru-RU"/>
        </w:rPr>
        <w:t>Классификация финансовых обязательств</w:t>
      </w:r>
    </w:p>
    <w:p w:rsidR="007D4BCC" w:rsidRPr="0049187C" w:rsidRDefault="007D4BCC" w:rsidP="007D4BCC">
      <w:pPr>
        <w:pStyle w:val="IASBNormalnpara"/>
        <w:rPr>
          <w:b/>
          <w:lang w:val="ru-RU"/>
        </w:rPr>
      </w:pPr>
      <w:r w:rsidRPr="0049187C">
        <w:rPr>
          <w:b/>
          <w:lang w:val="ru-RU"/>
        </w:rPr>
        <w:t>4.2.1</w:t>
      </w:r>
      <w:r w:rsidRPr="0049187C">
        <w:rPr>
          <w:b/>
          <w:lang w:val="ru-RU"/>
        </w:rPr>
        <w:tab/>
        <w:t>Организация должна классифицировать все финансовые обязательства как оцениваемые впоследствии по амортизированной стоимости, за исключением:</w:t>
      </w:r>
    </w:p>
    <w:p w:rsidR="007D4BCC" w:rsidRPr="0049187C" w:rsidRDefault="007D4BCC" w:rsidP="004D2F3F">
      <w:pPr>
        <w:pStyle w:val="IASBNormalnparaL1"/>
        <w:numPr>
          <w:ilvl w:val="0"/>
          <w:numId w:val="17"/>
        </w:numPr>
        <w:rPr>
          <w:b/>
          <w:lang w:val="ru-RU"/>
        </w:rPr>
      </w:pPr>
      <w:r w:rsidRPr="0049187C">
        <w:rPr>
          <w:b/>
          <w:i/>
          <w:lang w:val="ru-RU"/>
        </w:rPr>
        <w:t>финансовых обязательств</w:t>
      </w:r>
      <w:r w:rsidR="00DE0EF7">
        <w:rPr>
          <w:b/>
          <w:i/>
          <w:lang w:val="ru-RU"/>
        </w:rPr>
        <w:t>, оцениваемых</w:t>
      </w:r>
      <w:r w:rsidRPr="0049187C">
        <w:rPr>
          <w:b/>
          <w:i/>
          <w:lang w:val="ru-RU"/>
        </w:rPr>
        <w:t xml:space="preserve"> по справедливой стоимости через прибыль или убыток</w:t>
      </w:r>
      <w:r w:rsidRPr="0049187C">
        <w:rPr>
          <w:b/>
          <w:lang w:val="ru-RU"/>
        </w:rPr>
        <w:t xml:space="preserve">. Такие обязательства, включая </w:t>
      </w:r>
      <w:r w:rsidR="00F076BE">
        <w:rPr>
          <w:b/>
          <w:lang w:val="ru-RU"/>
        </w:rPr>
        <w:t xml:space="preserve">являющиеся обязательствами </w:t>
      </w:r>
      <w:r w:rsidRPr="0049187C">
        <w:rPr>
          <w:b/>
          <w:i/>
          <w:lang w:val="ru-RU"/>
        </w:rPr>
        <w:t>производные инструменты</w:t>
      </w:r>
      <w:r w:rsidRPr="0049187C">
        <w:rPr>
          <w:b/>
          <w:lang w:val="ru-RU"/>
        </w:rPr>
        <w:t>, впоследствии оценив</w:t>
      </w:r>
      <w:r w:rsidR="0025200E">
        <w:rPr>
          <w:b/>
          <w:lang w:val="ru-RU"/>
        </w:rPr>
        <w:t>аются по справедливой стоимости;</w:t>
      </w:r>
    </w:p>
    <w:p w:rsidR="007D4BCC" w:rsidRPr="00A55638" w:rsidRDefault="007D4BCC" w:rsidP="004D2F3F">
      <w:pPr>
        <w:pStyle w:val="IASBNormalnparaL1"/>
        <w:numPr>
          <w:ilvl w:val="0"/>
          <w:numId w:val="17"/>
        </w:numPr>
        <w:autoSpaceDE w:val="0"/>
        <w:autoSpaceDN w:val="0"/>
        <w:adjustRightInd w:val="0"/>
        <w:rPr>
          <w:b/>
          <w:lang w:val="ru-RU"/>
        </w:rPr>
      </w:pPr>
      <w:r w:rsidRPr="00A55638">
        <w:rPr>
          <w:b/>
          <w:lang w:val="ru-RU"/>
        </w:rPr>
        <w:t xml:space="preserve">финансовых обязательств, которые возникают в том случае, когда передача финансового актива не </w:t>
      </w:r>
      <w:r w:rsidR="0057748C">
        <w:rPr>
          <w:b/>
          <w:lang w:val="ru-RU"/>
        </w:rPr>
        <w:t>соответствует</w:t>
      </w:r>
      <w:r w:rsidRPr="00A30782">
        <w:rPr>
          <w:b/>
          <w:lang w:val="ru-RU"/>
        </w:rPr>
        <w:t xml:space="preserve"> требованиям для прекращения признания или когда применяется принцип учета продолжающегося участия. К оценке таких финансовых обязательств прим</w:t>
      </w:r>
      <w:r w:rsidRPr="002A4F2B">
        <w:rPr>
          <w:b/>
          <w:lang w:val="ru-RU"/>
        </w:rPr>
        <w:t>е</w:t>
      </w:r>
      <w:r w:rsidR="0025200E">
        <w:rPr>
          <w:b/>
          <w:lang w:val="ru-RU"/>
        </w:rPr>
        <w:t>няются пункты 3.2.15 и 3.2.17;</w:t>
      </w:r>
    </w:p>
    <w:p w:rsidR="007D4BCC" w:rsidRPr="0049187C" w:rsidRDefault="007D4BCC" w:rsidP="004D2F3F">
      <w:pPr>
        <w:pStyle w:val="IASBNormalnparaL1"/>
        <w:numPr>
          <w:ilvl w:val="0"/>
          <w:numId w:val="17"/>
        </w:numPr>
        <w:rPr>
          <w:b/>
          <w:lang w:val="ru-RU"/>
        </w:rPr>
      </w:pPr>
      <w:r w:rsidRPr="0049187C">
        <w:rPr>
          <w:b/>
          <w:i/>
          <w:lang w:val="ru-RU"/>
        </w:rPr>
        <w:t>договоров финансовой гарантии</w:t>
      </w:r>
      <w:r w:rsidR="00C577C1">
        <w:rPr>
          <w:b/>
          <w:lang w:val="ru-RU"/>
        </w:rPr>
        <w:t xml:space="preserve">. </w:t>
      </w:r>
      <w:r w:rsidR="00C577C1" w:rsidRPr="00C577C1">
        <w:rPr>
          <w:b/>
          <w:lang w:val="ru-RU"/>
        </w:rPr>
        <w:t>После</w:t>
      </w:r>
      <w:r w:rsidRPr="0049187C">
        <w:rPr>
          <w:b/>
          <w:lang w:val="ru-RU"/>
        </w:rPr>
        <w:t xml:space="preserve"> первоначального признания </w:t>
      </w:r>
      <w:r w:rsidR="0025200E">
        <w:rPr>
          <w:b/>
          <w:lang w:val="ru-RU"/>
        </w:rPr>
        <w:t>сторона, выпустившая такой договор,</w:t>
      </w:r>
      <w:r w:rsidRPr="0049187C">
        <w:rPr>
          <w:b/>
          <w:lang w:val="ru-RU"/>
        </w:rPr>
        <w:t xml:space="preserve"> </w:t>
      </w:r>
      <w:r w:rsidR="0082090A">
        <w:rPr>
          <w:b/>
          <w:lang w:val="ru-RU"/>
        </w:rPr>
        <w:t>долж</w:t>
      </w:r>
      <w:r w:rsidR="0007419A" w:rsidRPr="0049187C">
        <w:rPr>
          <w:b/>
          <w:lang w:val="ru-RU"/>
        </w:rPr>
        <w:t>н</w:t>
      </w:r>
      <w:r w:rsidR="0025200E">
        <w:rPr>
          <w:b/>
          <w:lang w:val="ru-RU"/>
        </w:rPr>
        <w:t>а</w:t>
      </w:r>
      <w:r w:rsidR="0007419A" w:rsidRPr="0049187C">
        <w:rPr>
          <w:b/>
          <w:lang w:val="ru-RU"/>
        </w:rPr>
        <w:t xml:space="preserve"> </w:t>
      </w:r>
      <w:r w:rsidRPr="0049187C">
        <w:rPr>
          <w:b/>
          <w:lang w:val="ru-RU"/>
        </w:rPr>
        <w:t>(если не прим</w:t>
      </w:r>
      <w:r w:rsidR="008770B9">
        <w:rPr>
          <w:b/>
          <w:lang w:val="ru-RU"/>
        </w:rPr>
        <w:t>еняется пункт 4.2.1(a) или (b))</w:t>
      </w:r>
      <w:r w:rsidRPr="0049187C">
        <w:rPr>
          <w:b/>
          <w:lang w:val="ru-RU"/>
        </w:rPr>
        <w:t xml:space="preserve"> впоследствии оцени</w:t>
      </w:r>
      <w:r w:rsidR="00937CED" w:rsidRPr="0049187C">
        <w:rPr>
          <w:b/>
          <w:lang w:val="ru-RU"/>
        </w:rPr>
        <w:t>ва</w:t>
      </w:r>
      <w:r w:rsidR="0007419A" w:rsidRPr="0049187C">
        <w:rPr>
          <w:b/>
          <w:lang w:val="ru-RU"/>
        </w:rPr>
        <w:t>ть</w:t>
      </w:r>
      <w:r w:rsidRPr="0049187C">
        <w:rPr>
          <w:b/>
          <w:lang w:val="ru-RU"/>
        </w:rPr>
        <w:t xml:space="preserve"> такой договор по наибольшей величине из:</w:t>
      </w:r>
    </w:p>
    <w:p w:rsidR="007D4BCC" w:rsidRPr="0049187C" w:rsidRDefault="007D4BCC" w:rsidP="004D2F3F">
      <w:pPr>
        <w:pStyle w:val="IASBNormalnparaL2"/>
        <w:numPr>
          <w:ilvl w:val="0"/>
          <w:numId w:val="18"/>
        </w:numPr>
        <w:ind w:left="2127"/>
        <w:rPr>
          <w:b/>
          <w:lang w:val="ru-RU"/>
        </w:rPr>
      </w:pPr>
      <w:r w:rsidRPr="0049187C">
        <w:rPr>
          <w:b/>
          <w:lang w:val="ru-RU"/>
        </w:rPr>
        <w:t xml:space="preserve">суммы </w:t>
      </w:r>
      <w:r w:rsidRPr="00015E5A">
        <w:rPr>
          <w:b/>
          <w:i/>
          <w:lang w:val="ru-RU"/>
        </w:rPr>
        <w:t>оценочного резерва по</w:t>
      </w:r>
      <w:r w:rsidR="0007419A" w:rsidRPr="00015E5A">
        <w:rPr>
          <w:b/>
          <w:i/>
          <w:lang w:val="ru-RU"/>
        </w:rPr>
        <w:t>д</w:t>
      </w:r>
      <w:r w:rsidRPr="00015E5A">
        <w:rPr>
          <w:b/>
          <w:i/>
          <w:lang w:val="ru-RU"/>
        </w:rPr>
        <w:t xml:space="preserve"> убытк</w:t>
      </w:r>
      <w:r w:rsidR="0007419A" w:rsidRPr="00015E5A">
        <w:rPr>
          <w:b/>
          <w:i/>
          <w:lang w:val="ru-RU"/>
        </w:rPr>
        <w:t>и</w:t>
      </w:r>
      <w:r w:rsidRPr="0049187C">
        <w:rPr>
          <w:b/>
          <w:lang w:val="ru-RU"/>
        </w:rPr>
        <w:t>,</w:t>
      </w:r>
      <w:r w:rsidR="00C25F1D">
        <w:rPr>
          <w:b/>
          <w:lang w:val="ru-RU"/>
        </w:rPr>
        <w:t xml:space="preserve"> определенной в соответствии с Р</w:t>
      </w:r>
      <w:r w:rsidRPr="0049187C">
        <w:rPr>
          <w:b/>
          <w:lang w:val="ru-RU"/>
        </w:rPr>
        <w:t>азделом 5.5, и</w:t>
      </w:r>
    </w:p>
    <w:p w:rsidR="007D4BCC" w:rsidRPr="0049187C" w:rsidRDefault="007D4BCC" w:rsidP="004D2F3F">
      <w:pPr>
        <w:pStyle w:val="IASBNormalnparaL2"/>
        <w:numPr>
          <w:ilvl w:val="0"/>
          <w:numId w:val="18"/>
        </w:numPr>
        <w:ind w:left="2127" w:hanging="703"/>
        <w:rPr>
          <w:b/>
          <w:lang w:val="ru-RU"/>
        </w:rPr>
      </w:pPr>
      <w:r w:rsidRPr="0049187C">
        <w:rPr>
          <w:b/>
          <w:lang w:val="ru-RU"/>
        </w:rPr>
        <w:t>первоначально</w:t>
      </w:r>
      <w:r w:rsidR="004D54E4">
        <w:rPr>
          <w:b/>
          <w:lang w:val="ru-RU"/>
        </w:rPr>
        <w:t xml:space="preserve"> </w:t>
      </w:r>
      <w:r w:rsidRPr="0049187C">
        <w:rPr>
          <w:b/>
          <w:lang w:val="ru-RU"/>
        </w:rPr>
        <w:t>признанной суммы (см. пункт 5.1.1)</w:t>
      </w:r>
      <w:r w:rsidR="00F865B6">
        <w:rPr>
          <w:b/>
          <w:lang w:val="ru-RU"/>
        </w:rPr>
        <w:t xml:space="preserve"> </w:t>
      </w:r>
      <w:r w:rsidRPr="0049187C">
        <w:rPr>
          <w:b/>
          <w:lang w:val="ru-RU"/>
        </w:rPr>
        <w:t xml:space="preserve"> за вычетом, </w:t>
      </w:r>
      <w:r w:rsidR="00371AFB">
        <w:rPr>
          <w:b/>
          <w:lang w:val="ru-RU"/>
        </w:rPr>
        <w:t>когда уместно</w:t>
      </w:r>
      <w:r w:rsidRPr="0049187C">
        <w:rPr>
          <w:b/>
          <w:lang w:val="ru-RU"/>
        </w:rPr>
        <w:t>, общей суммы дохода, признанной в соотв</w:t>
      </w:r>
      <w:r w:rsidR="00A43314">
        <w:rPr>
          <w:b/>
          <w:lang w:val="ru-RU"/>
        </w:rPr>
        <w:t>етствии с принципами МСФО (</w:t>
      </w:r>
      <w:r w:rsidR="005A0FBD" w:rsidRPr="00532AFF">
        <w:rPr>
          <w:b/>
          <w:sz w:val="20"/>
        </w:rPr>
        <w:t>IF</w:t>
      </w:r>
      <w:r w:rsidR="00AE3C71">
        <w:rPr>
          <w:b/>
          <w:sz w:val="20"/>
        </w:rPr>
        <w:t>R</w:t>
      </w:r>
      <w:r w:rsidR="005A0FBD" w:rsidRPr="00532AFF">
        <w:rPr>
          <w:b/>
          <w:sz w:val="20"/>
        </w:rPr>
        <w:t>S</w:t>
      </w:r>
      <w:r w:rsidR="00A43314">
        <w:rPr>
          <w:b/>
          <w:lang w:val="ru-RU"/>
        </w:rPr>
        <w:t>) 15;</w:t>
      </w:r>
    </w:p>
    <w:p w:rsidR="007D4BCC" w:rsidRPr="0049187C" w:rsidRDefault="007D4BCC" w:rsidP="004D2F3F">
      <w:pPr>
        <w:pStyle w:val="IASBNormalnparaL1"/>
        <w:numPr>
          <w:ilvl w:val="0"/>
          <w:numId w:val="17"/>
        </w:numPr>
        <w:rPr>
          <w:b/>
          <w:lang w:val="ru-RU"/>
        </w:rPr>
      </w:pPr>
      <w:r w:rsidRPr="0049187C">
        <w:rPr>
          <w:b/>
          <w:lang w:val="ru-RU"/>
        </w:rPr>
        <w:t xml:space="preserve">обязательств по предоставлению займа по </w:t>
      </w:r>
      <w:r w:rsidR="0007419A" w:rsidRPr="0049187C">
        <w:rPr>
          <w:b/>
          <w:lang w:val="ru-RU"/>
        </w:rPr>
        <w:t xml:space="preserve">процентной </w:t>
      </w:r>
      <w:r w:rsidRPr="0049187C">
        <w:rPr>
          <w:b/>
          <w:lang w:val="ru-RU"/>
        </w:rPr>
        <w:t xml:space="preserve">ставке ниже рыночной. </w:t>
      </w:r>
      <w:r w:rsidR="00A43314">
        <w:rPr>
          <w:b/>
          <w:lang w:val="ru-RU"/>
        </w:rPr>
        <w:t xml:space="preserve">Сторона, </w:t>
      </w:r>
      <w:r w:rsidR="0082090A">
        <w:rPr>
          <w:b/>
          <w:lang w:val="ru-RU"/>
        </w:rPr>
        <w:t>принявшая на себя</w:t>
      </w:r>
      <w:r w:rsidR="00A43314">
        <w:rPr>
          <w:b/>
          <w:lang w:val="ru-RU"/>
        </w:rPr>
        <w:t xml:space="preserve"> такое обязательство,</w:t>
      </w:r>
      <w:r w:rsidRPr="0049187C">
        <w:rPr>
          <w:b/>
          <w:lang w:val="ru-RU"/>
        </w:rPr>
        <w:t xml:space="preserve"> (если не применяется пункт 4.2.1(а)) впоследствии оценивает его по наибольшей величине из:</w:t>
      </w:r>
    </w:p>
    <w:p w:rsidR="007D4BCC" w:rsidRPr="0049187C" w:rsidRDefault="007D4BCC" w:rsidP="004D2F3F">
      <w:pPr>
        <w:pStyle w:val="IASBNormalnparaL2"/>
        <w:numPr>
          <w:ilvl w:val="0"/>
          <w:numId w:val="19"/>
        </w:numPr>
        <w:ind w:left="2127"/>
        <w:rPr>
          <w:b/>
          <w:lang w:val="ru-RU"/>
        </w:rPr>
      </w:pPr>
      <w:r w:rsidRPr="0049187C">
        <w:rPr>
          <w:b/>
          <w:lang w:val="ru-RU"/>
        </w:rPr>
        <w:t>суммы оценочного резерва по</w:t>
      </w:r>
      <w:r w:rsidR="0007419A" w:rsidRPr="0049187C">
        <w:rPr>
          <w:b/>
          <w:lang w:val="ru-RU"/>
        </w:rPr>
        <w:t>д</w:t>
      </w:r>
      <w:r w:rsidRPr="0049187C">
        <w:rPr>
          <w:b/>
          <w:lang w:val="ru-RU"/>
        </w:rPr>
        <w:t xml:space="preserve"> убытк</w:t>
      </w:r>
      <w:r w:rsidR="0007419A" w:rsidRPr="0049187C">
        <w:rPr>
          <w:b/>
          <w:lang w:val="ru-RU"/>
        </w:rPr>
        <w:t>и</w:t>
      </w:r>
      <w:r w:rsidRPr="0049187C">
        <w:rPr>
          <w:b/>
          <w:lang w:val="ru-RU"/>
        </w:rPr>
        <w:t>,</w:t>
      </w:r>
      <w:r w:rsidR="00C25F1D">
        <w:rPr>
          <w:b/>
          <w:lang w:val="ru-RU"/>
        </w:rPr>
        <w:t xml:space="preserve"> определенной в соответствии с Р</w:t>
      </w:r>
      <w:r w:rsidRPr="0049187C">
        <w:rPr>
          <w:b/>
          <w:lang w:val="ru-RU"/>
        </w:rPr>
        <w:t>азделом 5.5, и</w:t>
      </w:r>
    </w:p>
    <w:p w:rsidR="007D4BCC" w:rsidRPr="0049187C" w:rsidRDefault="007D4BCC" w:rsidP="004D2F3F">
      <w:pPr>
        <w:pStyle w:val="IASBNormalnparaL2"/>
        <w:numPr>
          <w:ilvl w:val="0"/>
          <w:numId w:val="19"/>
        </w:numPr>
        <w:ind w:left="2127"/>
        <w:rPr>
          <w:b/>
          <w:lang w:val="ru-RU"/>
        </w:rPr>
      </w:pPr>
      <w:r w:rsidRPr="0049187C">
        <w:rPr>
          <w:b/>
          <w:lang w:val="ru-RU"/>
        </w:rPr>
        <w:t xml:space="preserve">первоначально признанной суммы (см. пункт 5.1.1) </w:t>
      </w:r>
      <w:r w:rsidR="007F024B">
        <w:rPr>
          <w:b/>
          <w:lang w:val="ru-RU"/>
        </w:rPr>
        <w:t xml:space="preserve"> </w:t>
      </w:r>
      <w:r w:rsidRPr="0049187C">
        <w:rPr>
          <w:b/>
          <w:lang w:val="ru-RU"/>
        </w:rPr>
        <w:t xml:space="preserve">за вычетом, </w:t>
      </w:r>
      <w:r w:rsidR="00371AFB">
        <w:rPr>
          <w:b/>
          <w:lang w:val="ru-RU"/>
        </w:rPr>
        <w:t>когда уместно</w:t>
      </w:r>
      <w:r w:rsidRPr="0049187C">
        <w:rPr>
          <w:b/>
          <w:lang w:val="ru-RU"/>
        </w:rPr>
        <w:t>, общей суммы дохода, признанной в</w:t>
      </w:r>
      <w:r w:rsidR="00A43314">
        <w:rPr>
          <w:b/>
          <w:lang w:val="ru-RU"/>
        </w:rPr>
        <w:t xml:space="preserve"> соответствии с принципами МСФО </w:t>
      </w:r>
      <w:r w:rsidRPr="0049187C">
        <w:rPr>
          <w:b/>
          <w:lang w:val="ru-RU"/>
        </w:rPr>
        <w:t>(</w:t>
      </w:r>
      <w:r w:rsidR="00D04EA2">
        <w:rPr>
          <w:b/>
          <w:sz w:val="20"/>
        </w:rPr>
        <w:t>IFRS</w:t>
      </w:r>
      <w:r w:rsidRPr="0049187C">
        <w:rPr>
          <w:b/>
          <w:lang w:val="ru-RU"/>
        </w:rPr>
        <w:t>)</w:t>
      </w:r>
      <w:r w:rsidR="00A43314">
        <w:rPr>
          <w:b/>
          <w:lang w:val="ru-RU"/>
        </w:rPr>
        <w:t> 15;</w:t>
      </w:r>
    </w:p>
    <w:p w:rsidR="007D4BCC" w:rsidRPr="0049187C" w:rsidRDefault="007D4BCC" w:rsidP="004D2F3F">
      <w:pPr>
        <w:pStyle w:val="IASBNormalnparaL1"/>
        <w:numPr>
          <w:ilvl w:val="0"/>
          <w:numId w:val="17"/>
        </w:numPr>
        <w:rPr>
          <w:b/>
          <w:lang w:val="ru-RU"/>
        </w:rPr>
      </w:pPr>
      <w:r w:rsidRPr="0049187C">
        <w:rPr>
          <w:b/>
          <w:lang w:val="ru-RU"/>
        </w:rPr>
        <w:t xml:space="preserve">условного возмещения, признанного </w:t>
      </w:r>
      <w:r w:rsidR="00D93426">
        <w:rPr>
          <w:b/>
          <w:lang w:val="ru-RU"/>
        </w:rPr>
        <w:t>приобретателем</w:t>
      </w:r>
      <w:r w:rsidRPr="0049187C">
        <w:rPr>
          <w:b/>
          <w:lang w:val="ru-RU"/>
        </w:rPr>
        <w:t xml:space="preserve"> при объединении бизнес</w:t>
      </w:r>
      <w:r w:rsidR="00A35DF0">
        <w:rPr>
          <w:b/>
          <w:lang w:val="ru-RU"/>
        </w:rPr>
        <w:t>ов</w:t>
      </w:r>
      <w:r w:rsidRPr="0049187C">
        <w:rPr>
          <w:b/>
          <w:lang w:val="ru-RU"/>
        </w:rPr>
        <w:t>, к которому применяется МСФО (IFRS) 3. Такое условное возмещение впоследствии оценивается по справедливой стоимости</w:t>
      </w:r>
      <w:r w:rsidR="006C5B51">
        <w:rPr>
          <w:b/>
          <w:lang w:val="ru-RU"/>
        </w:rPr>
        <w:t xml:space="preserve">, изменения которой </w:t>
      </w:r>
      <w:r w:rsidRPr="0049187C">
        <w:rPr>
          <w:b/>
          <w:lang w:val="ru-RU"/>
        </w:rPr>
        <w:t>призна</w:t>
      </w:r>
      <w:r w:rsidR="006C5B51">
        <w:rPr>
          <w:b/>
          <w:lang w:val="ru-RU"/>
        </w:rPr>
        <w:t>ются</w:t>
      </w:r>
      <w:r w:rsidRPr="0049187C">
        <w:rPr>
          <w:b/>
          <w:lang w:val="ru-RU"/>
        </w:rPr>
        <w:t xml:space="preserve"> в составе прибыли или убытка.</w:t>
      </w:r>
    </w:p>
    <w:p w:rsidR="007D4BCC" w:rsidRPr="0049187C" w:rsidRDefault="007D4BCC" w:rsidP="007D4BCC">
      <w:pPr>
        <w:pStyle w:val="IASBSectionTitle2Ind"/>
        <w:rPr>
          <w:lang w:val="ru-RU"/>
        </w:rPr>
      </w:pPr>
      <w:r w:rsidRPr="0049187C">
        <w:rPr>
          <w:lang w:val="ru-RU"/>
        </w:rPr>
        <w:t xml:space="preserve">Возможность </w:t>
      </w:r>
      <w:r w:rsidR="00226B0D">
        <w:rPr>
          <w:lang w:val="ru-RU"/>
        </w:rPr>
        <w:t>классификации по усмотрению организации</w:t>
      </w:r>
      <w:r w:rsidRPr="0049187C">
        <w:rPr>
          <w:lang w:val="ru-RU"/>
        </w:rPr>
        <w:t xml:space="preserve"> финансового обязательства </w:t>
      </w:r>
      <w:r w:rsidR="00C441CC" w:rsidRPr="0049187C">
        <w:rPr>
          <w:lang w:val="ru-RU"/>
        </w:rPr>
        <w:t xml:space="preserve">как оцениваемого </w:t>
      </w:r>
      <w:r w:rsidRPr="0049187C">
        <w:rPr>
          <w:lang w:val="ru-RU"/>
        </w:rPr>
        <w:t>по справедливой стоимости через прибыль или убыток</w:t>
      </w:r>
    </w:p>
    <w:p w:rsidR="007D4BCC" w:rsidRPr="0049187C" w:rsidRDefault="007D4BCC" w:rsidP="007D4BCC">
      <w:pPr>
        <w:pStyle w:val="IASBNormalnpara"/>
        <w:rPr>
          <w:b/>
          <w:lang w:val="ru-RU"/>
        </w:rPr>
      </w:pPr>
      <w:r w:rsidRPr="0049187C">
        <w:rPr>
          <w:b/>
          <w:lang w:val="ru-RU"/>
        </w:rPr>
        <w:t>4.2.2</w:t>
      </w:r>
      <w:r w:rsidRPr="0049187C">
        <w:rPr>
          <w:b/>
          <w:lang w:val="ru-RU"/>
        </w:rPr>
        <w:tab/>
      </w:r>
      <w:bookmarkStart w:id="8" w:name="F27177523"/>
      <w:r w:rsidRPr="0049187C">
        <w:rPr>
          <w:b/>
          <w:lang w:val="ru-RU"/>
        </w:rPr>
        <w:t>При первоначальном признании</w:t>
      </w:r>
      <w:r w:rsidR="00B80D82">
        <w:rPr>
          <w:b/>
          <w:lang w:val="ru-RU"/>
        </w:rPr>
        <w:t xml:space="preserve"> финансового обязательства</w:t>
      </w:r>
      <w:r w:rsidRPr="0049187C">
        <w:rPr>
          <w:b/>
          <w:lang w:val="ru-RU"/>
        </w:rPr>
        <w:t xml:space="preserve"> организация может </w:t>
      </w:r>
      <w:r w:rsidR="00226B0D">
        <w:rPr>
          <w:b/>
          <w:lang w:val="ru-RU"/>
        </w:rPr>
        <w:t xml:space="preserve">по </w:t>
      </w:r>
      <w:r w:rsidR="00057361">
        <w:rPr>
          <w:b/>
          <w:lang w:val="ru-RU"/>
        </w:rPr>
        <w:t>собственному</w:t>
      </w:r>
      <w:r w:rsidR="00226B0D">
        <w:rPr>
          <w:b/>
          <w:lang w:val="ru-RU"/>
        </w:rPr>
        <w:t xml:space="preserve"> усмотрению</w:t>
      </w:r>
      <w:r w:rsidRPr="0049187C">
        <w:rPr>
          <w:b/>
          <w:lang w:val="ru-RU"/>
        </w:rPr>
        <w:t xml:space="preserve"> </w:t>
      </w:r>
      <w:r w:rsidR="00B80D82">
        <w:rPr>
          <w:b/>
          <w:lang w:val="ru-RU"/>
        </w:rPr>
        <w:t>классифицировать его, без права последующей реклассификации,</w:t>
      </w:r>
      <w:r w:rsidRPr="0049187C">
        <w:rPr>
          <w:b/>
          <w:lang w:val="ru-RU"/>
        </w:rPr>
        <w:t xml:space="preserve"> как оцениваемое по справедливой стоимости через прибыль или убыток, если это разрешено в соответствии с пунктом 4.3.5 или обеспечивает представление более уместной информации</w:t>
      </w:r>
      <w:r w:rsidR="006C5B51">
        <w:rPr>
          <w:b/>
          <w:lang w:val="ru-RU"/>
        </w:rPr>
        <w:t xml:space="preserve"> в результате того</w:t>
      </w:r>
      <w:r w:rsidRPr="0049187C">
        <w:rPr>
          <w:b/>
          <w:lang w:val="ru-RU"/>
        </w:rPr>
        <w:t xml:space="preserve">, </w:t>
      </w:r>
      <w:r w:rsidR="006C5B51">
        <w:rPr>
          <w:b/>
          <w:lang w:val="ru-RU"/>
        </w:rPr>
        <w:t>что</w:t>
      </w:r>
      <w:r w:rsidRPr="0049187C">
        <w:rPr>
          <w:b/>
          <w:lang w:val="ru-RU"/>
        </w:rPr>
        <w:t xml:space="preserve"> либо:</w:t>
      </w:r>
      <w:bookmarkEnd w:id="8"/>
    </w:p>
    <w:p w:rsidR="007D4BCC" w:rsidRPr="0049187C" w:rsidRDefault="007D4BCC" w:rsidP="004D2F3F">
      <w:pPr>
        <w:pStyle w:val="IASBNormalnparaL1"/>
        <w:numPr>
          <w:ilvl w:val="0"/>
          <w:numId w:val="20"/>
        </w:numPr>
        <w:rPr>
          <w:b/>
          <w:lang w:val="ru-RU"/>
        </w:rPr>
      </w:pPr>
      <w:bookmarkStart w:id="9" w:name="F27177526"/>
      <w:r w:rsidRPr="0049187C">
        <w:rPr>
          <w:b/>
          <w:lang w:val="ru-RU"/>
        </w:rPr>
        <w:t xml:space="preserve">это </w:t>
      </w:r>
      <w:r w:rsidR="00FD6780">
        <w:rPr>
          <w:b/>
          <w:lang w:val="ru-RU"/>
        </w:rPr>
        <w:t>позволит устранить</w:t>
      </w:r>
      <w:r w:rsidRPr="0049187C">
        <w:rPr>
          <w:b/>
          <w:lang w:val="ru-RU"/>
        </w:rPr>
        <w:t xml:space="preserve"> или значительно </w:t>
      </w:r>
      <w:r w:rsidR="00FD6780">
        <w:rPr>
          <w:b/>
          <w:lang w:val="ru-RU"/>
        </w:rPr>
        <w:t>уменьшить непоследовательность подходов к оценке или признанию</w:t>
      </w:r>
      <w:r w:rsidR="00B86993">
        <w:rPr>
          <w:b/>
          <w:lang w:val="ru-RU"/>
        </w:rPr>
        <w:t xml:space="preserve"> (иногда именуемую</w:t>
      </w:r>
      <w:r w:rsidRPr="0049187C">
        <w:rPr>
          <w:b/>
          <w:lang w:val="ru-RU"/>
        </w:rPr>
        <w:t xml:space="preserve"> «уч</w:t>
      </w:r>
      <w:r w:rsidR="008770B9">
        <w:rPr>
          <w:b/>
          <w:lang w:val="ru-RU"/>
        </w:rPr>
        <w:t>етным несоответствием»), которая иначе возникла</w:t>
      </w:r>
      <w:r w:rsidR="006C5B51">
        <w:rPr>
          <w:b/>
          <w:lang w:val="ru-RU"/>
        </w:rPr>
        <w:t xml:space="preserve"> бы</w:t>
      </w:r>
      <w:r w:rsidRPr="0049187C">
        <w:rPr>
          <w:b/>
          <w:lang w:val="ru-RU"/>
        </w:rPr>
        <w:t xml:space="preserve"> </w:t>
      </w:r>
      <w:r w:rsidR="006C5B51">
        <w:rPr>
          <w:b/>
          <w:lang w:val="ru-RU"/>
        </w:rPr>
        <w:t>вследствие использования различных баз</w:t>
      </w:r>
      <w:r w:rsidRPr="0049187C">
        <w:rPr>
          <w:b/>
          <w:lang w:val="ru-RU"/>
        </w:rPr>
        <w:t xml:space="preserve"> </w:t>
      </w:r>
      <w:r w:rsidR="006C5B51">
        <w:rPr>
          <w:b/>
          <w:lang w:val="ru-RU"/>
        </w:rPr>
        <w:t>оценки</w:t>
      </w:r>
      <w:r w:rsidRPr="0049187C">
        <w:rPr>
          <w:b/>
          <w:lang w:val="ru-RU"/>
        </w:rPr>
        <w:t xml:space="preserve"> активов</w:t>
      </w:r>
      <w:r w:rsidR="006C5B51">
        <w:rPr>
          <w:b/>
          <w:lang w:val="ru-RU"/>
        </w:rPr>
        <w:t xml:space="preserve"> или обязательств либо признания</w:t>
      </w:r>
      <w:r w:rsidRPr="0049187C">
        <w:rPr>
          <w:b/>
          <w:lang w:val="ru-RU"/>
        </w:rPr>
        <w:t xml:space="preserve"> связанных с ними прибылей и убытков (см. пункты В4.1.29–В4.1.32); либо</w:t>
      </w:r>
      <w:bookmarkEnd w:id="9"/>
    </w:p>
    <w:p w:rsidR="007D4BCC" w:rsidRPr="0049187C" w:rsidRDefault="007D4BCC" w:rsidP="004D2F3F">
      <w:pPr>
        <w:pStyle w:val="IASBNormalnparaL1"/>
        <w:numPr>
          <w:ilvl w:val="0"/>
          <w:numId w:val="20"/>
        </w:numPr>
        <w:rPr>
          <w:b/>
          <w:lang w:val="ru-RU"/>
        </w:rPr>
      </w:pPr>
      <w:bookmarkStart w:id="10" w:name="F27177529"/>
      <w:r w:rsidRPr="0049187C">
        <w:rPr>
          <w:b/>
          <w:lang w:val="ru-RU"/>
        </w:rPr>
        <w:t xml:space="preserve">управление группой финансовых обязательств или группой финансовых активов и финансовых обязательств и оценка </w:t>
      </w:r>
      <w:r w:rsidR="006C5B51">
        <w:rPr>
          <w:b/>
          <w:lang w:val="ru-RU"/>
        </w:rPr>
        <w:t>ее</w:t>
      </w:r>
      <w:r w:rsidRPr="0049187C">
        <w:rPr>
          <w:b/>
          <w:lang w:val="ru-RU"/>
        </w:rPr>
        <w:t xml:space="preserve"> результатов осуществляются на основе справедлив</w:t>
      </w:r>
      <w:r w:rsidR="006C5B51">
        <w:rPr>
          <w:b/>
          <w:lang w:val="ru-RU"/>
        </w:rPr>
        <w:t>ой стоимости в соответствии с документально оформленной</w:t>
      </w:r>
      <w:r w:rsidRPr="0049187C">
        <w:rPr>
          <w:b/>
          <w:lang w:val="ru-RU"/>
        </w:rPr>
        <w:t xml:space="preserve"> стратегией управления рисками или инвестиционной стратегией,</w:t>
      </w:r>
      <w:r w:rsidR="006C5B51">
        <w:rPr>
          <w:b/>
          <w:lang w:val="ru-RU"/>
        </w:rPr>
        <w:t xml:space="preserve"> и на этой же основе формируется внутренняя информация о такой группе, предоставляемая</w:t>
      </w:r>
      <w:r w:rsidRPr="0049187C">
        <w:rPr>
          <w:b/>
          <w:lang w:val="ru-RU"/>
        </w:rPr>
        <w:t xml:space="preserve"> </w:t>
      </w:r>
      <w:r w:rsidR="006C5B51">
        <w:rPr>
          <w:b/>
          <w:lang w:val="ru-RU"/>
        </w:rPr>
        <w:t>ключевому управленческому персоналу</w:t>
      </w:r>
      <w:r w:rsidRPr="0049187C">
        <w:rPr>
          <w:b/>
          <w:lang w:val="ru-RU"/>
        </w:rPr>
        <w:t xml:space="preserve"> организации (</w:t>
      </w:r>
      <w:r w:rsidR="006C5B51">
        <w:rPr>
          <w:b/>
          <w:lang w:val="ru-RU"/>
        </w:rPr>
        <w:t>как этот термин определен в</w:t>
      </w:r>
      <w:r w:rsidRPr="0049187C">
        <w:rPr>
          <w:b/>
          <w:lang w:val="ru-RU"/>
        </w:rPr>
        <w:t xml:space="preserve"> МСФО (IAS) 24 </w:t>
      </w:r>
      <w:r w:rsidRPr="0049187C">
        <w:rPr>
          <w:b/>
          <w:i/>
          <w:lang w:val="ru-RU"/>
        </w:rPr>
        <w:t>«Раскрытие информации о связанных сторонах»</w:t>
      </w:r>
      <w:r w:rsidR="00A43314">
        <w:rPr>
          <w:b/>
          <w:lang w:val="ru-RU"/>
        </w:rPr>
        <w:t>), например</w:t>
      </w:r>
      <w:r w:rsidRPr="0049187C">
        <w:rPr>
          <w:b/>
          <w:lang w:val="ru-RU"/>
        </w:rPr>
        <w:t xml:space="preserve"> совету директоров и генеральному директору организации (см. пункты В4.1.33–В4.1.36).</w:t>
      </w:r>
      <w:bookmarkEnd w:id="10"/>
    </w:p>
    <w:p w:rsidR="007D4BCC" w:rsidRPr="0049187C" w:rsidRDefault="007D4BCC" w:rsidP="007D4BCC">
      <w:pPr>
        <w:pStyle w:val="IASBSectionTitle1NonInd"/>
        <w:rPr>
          <w:lang w:val="ru-RU"/>
        </w:rPr>
      </w:pPr>
      <w:bookmarkStart w:id="11" w:name="F32569961"/>
      <w:r w:rsidRPr="0049187C">
        <w:rPr>
          <w:lang w:val="ru-RU"/>
        </w:rPr>
        <w:t xml:space="preserve">4.3 </w:t>
      </w:r>
      <w:bookmarkEnd w:id="11"/>
      <w:r w:rsidRPr="0049187C">
        <w:rPr>
          <w:lang w:val="ru-RU"/>
        </w:rPr>
        <w:t>Встроенные производные инструменты</w:t>
      </w:r>
    </w:p>
    <w:p w:rsidR="007D4BCC" w:rsidRPr="0049187C" w:rsidRDefault="007D4BCC" w:rsidP="007D4BCC">
      <w:pPr>
        <w:pStyle w:val="IASBNormalnpara"/>
        <w:rPr>
          <w:lang w:val="ru-RU"/>
        </w:rPr>
      </w:pPr>
      <w:r w:rsidRPr="0049187C">
        <w:rPr>
          <w:lang w:val="ru-RU"/>
        </w:rPr>
        <w:t>4.3.1</w:t>
      </w:r>
      <w:r w:rsidRPr="0049187C">
        <w:rPr>
          <w:lang w:val="ru-RU"/>
        </w:rPr>
        <w:tab/>
        <w:t xml:space="preserve">Встроенный производный инструмент – это компонент гибридного договора, </w:t>
      </w:r>
      <w:r w:rsidR="00A43314" w:rsidRPr="00A43314">
        <w:rPr>
          <w:lang w:val="ru-RU"/>
        </w:rPr>
        <w:t xml:space="preserve">также включающего непроизводный основной договор, в результате действия которого некоторые денежные потоки от комбинированного инструмента меняются аналогично тому, как это имеет место в случае самостоятельного производного инструмента. Встроенный производный инструмент определяет изменение некоторых или всех денежных потоков, которые в противном случае определялись бы договором, согласно оговоренной процентной ставке, цене финансового инструмента, цене товара, валютному курсу, индексу цен или ставок, кредитному рейтингу или кредитному индексу или какой-либо другой переменной, при условии, что в случае с нефинансовой переменной, она не является специфичной для какой-либо из сторон по договору. Производный инструмент, который привязан к </w:t>
      </w:r>
      <w:r w:rsidR="00A43314" w:rsidRPr="00A43314">
        <w:rPr>
          <w:i/>
          <w:lang w:val="ru-RU"/>
        </w:rPr>
        <w:t>финансовому инструменту</w:t>
      </w:r>
      <w:r w:rsidR="00A43314" w:rsidRPr="00A43314">
        <w:rPr>
          <w:lang w:val="ru-RU"/>
        </w:rPr>
        <w:t xml:space="preserve">, однако по договору может быть передан независимо от такого инструмента или </w:t>
      </w:r>
      <w:r w:rsidR="00A43314">
        <w:rPr>
          <w:lang w:val="ru-RU"/>
        </w:rPr>
        <w:t>заключен с другим контрагентом</w:t>
      </w:r>
      <w:r w:rsidR="00A43314" w:rsidRPr="00A43314">
        <w:rPr>
          <w:lang w:val="ru-RU"/>
        </w:rPr>
        <w:t>, является не встроенным производным инструментом, а отдельным финансовым инструментом</w:t>
      </w:r>
      <w:r w:rsidRPr="0049187C">
        <w:rPr>
          <w:lang w:val="ru-RU"/>
        </w:rPr>
        <w:t>.</w:t>
      </w:r>
    </w:p>
    <w:p w:rsidR="007D4BCC" w:rsidRPr="0049187C" w:rsidRDefault="007D4BCC" w:rsidP="007D4BCC">
      <w:pPr>
        <w:pStyle w:val="IASBSectionTitle2Ind"/>
        <w:rPr>
          <w:lang w:val="ru-RU"/>
        </w:rPr>
      </w:pPr>
      <w:r w:rsidRPr="0049187C">
        <w:rPr>
          <w:lang w:val="ru-RU"/>
        </w:rPr>
        <w:t>Гибридные договоры, которые включают основные договоры, являющиеся финансовыми активами</w:t>
      </w:r>
    </w:p>
    <w:p w:rsidR="007D4BCC" w:rsidRPr="0049187C" w:rsidRDefault="007D4BCC" w:rsidP="007D4BCC">
      <w:pPr>
        <w:pStyle w:val="IASBNormalnpara"/>
        <w:rPr>
          <w:b/>
          <w:lang w:val="ru-RU"/>
        </w:rPr>
      </w:pPr>
      <w:r w:rsidRPr="0049187C">
        <w:rPr>
          <w:b/>
          <w:lang w:val="ru-RU"/>
        </w:rPr>
        <w:t>4.3.2</w:t>
      </w:r>
      <w:r w:rsidRPr="0049187C">
        <w:rPr>
          <w:b/>
          <w:lang w:val="ru-RU"/>
        </w:rPr>
        <w:tab/>
        <w:t xml:space="preserve">Если гибридный договор включает основной договор, который является активом, </w:t>
      </w:r>
      <w:r w:rsidR="005B1B6C" w:rsidRPr="0049187C">
        <w:rPr>
          <w:b/>
          <w:lang w:val="ru-RU"/>
        </w:rPr>
        <w:t>относящимся к</w:t>
      </w:r>
      <w:r w:rsidRPr="0049187C">
        <w:rPr>
          <w:b/>
          <w:lang w:val="ru-RU"/>
        </w:rPr>
        <w:t xml:space="preserve"> сфере применения настоящего стандарта, то организация должна применять требовани</w:t>
      </w:r>
      <w:r w:rsidR="00A876BE">
        <w:rPr>
          <w:b/>
          <w:lang w:val="ru-RU"/>
        </w:rPr>
        <w:t>я, изложенные в пунктах 4.1.1</w:t>
      </w:r>
      <w:r w:rsidR="00A876BE" w:rsidRPr="008872E8">
        <w:rPr>
          <w:lang w:val="ru-RU"/>
        </w:rPr>
        <w:t>–</w:t>
      </w:r>
      <w:r w:rsidRPr="0049187C">
        <w:rPr>
          <w:b/>
          <w:lang w:val="ru-RU"/>
        </w:rPr>
        <w:t>4.1.5, ко всему гибридному договору.</w:t>
      </w:r>
    </w:p>
    <w:p w:rsidR="007D4BCC" w:rsidRPr="0049187C" w:rsidRDefault="007D4BCC" w:rsidP="007D4BCC">
      <w:pPr>
        <w:pStyle w:val="IASBSectionTitle2Ind"/>
        <w:rPr>
          <w:lang w:val="ru-RU"/>
        </w:rPr>
      </w:pPr>
      <w:r w:rsidRPr="0049187C">
        <w:rPr>
          <w:lang w:val="ru-RU"/>
        </w:rPr>
        <w:t>Другие гибридные договоры</w:t>
      </w:r>
    </w:p>
    <w:p w:rsidR="007D4BCC" w:rsidRPr="0049187C" w:rsidRDefault="007D4BCC" w:rsidP="007D4BCC">
      <w:pPr>
        <w:pStyle w:val="IASBNormalnpara"/>
        <w:rPr>
          <w:b/>
          <w:lang w:val="ru-RU"/>
        </w:rPr>
      </w:pPr>
      <w:r w:rsidRPr="0049187C">
        <w:rPr>
          <w:b/>
          <w:lang w:val="ru-RU"/>
        </w:rPr>
        <w:t>4.3.3</w:t>
      </w:r>
      <w:r w:rsidRPr="0049187C">
        <w:rPr>
          <w:b/>
          <w:lang w:val="ru-RU"/>
        </w:rPr>
        <w:tab/>
        <w:t xml:space="preserve">Если гибридный договор включает основной договор, который не является активом, </w:t>
      </w:r>
      <w:r w:rsidR="005B1B6C" w:rsidRPr="0049187C">
        <w:rPr>
          <w:b/>
          <w:lang w:val="ru-RU"/>
        </w:rPr>
        <w:t>относящимся к</w:t>
      </w:r>
      <w:r w:rsidRPr="0049187C">
        <w:rPr>
          <w:b/>
          <w:lang w:val="ru-RU"/>
        </w:rPr>
        <w:t xml:space="preserve"> сфере применения настоящего стандарта, то встроенный производный инструмент должен быть отделен от основного договора и отражен в учете как производный инструмент в соответств</w:t>
      </w:r>
      <w:r w:rsidR="00E02ACD">
        <w:rPr>
          <w:b/>
          <w:lang w:val="ru-RU"/>
        </w:rPr>
        <w:t xml:space="preserve">ии с данным стандартом, </w:t>
      </w:r>
      <w:r w:rsidRPr="0049187C">
        <w:rPr>
          <w:b/>
          <w:lang w:val="ru-RU"/>
        </w:rPr>
        <w:t>только если:</w:t>
      </w:r>
    </w:p>
    <w:p w:rsidR="007D4BCC" w:rsidRPr="0049187C" w:rsidRDefault="007D4BCC" w:rsidP="004D2F3F">
      <w:pPr>
        <w:pStyle w:val="IASBNormalnparaL1"/>
        <w:numPr>
          <w:ilvl w:val="0"/>
          <w:numId w:val="21"/>
        </w:numPr>
        <w:rPr>
          <w:b/>
          <w:lang w:val="ru-RU"/>
        </w:rPr>
      </w:pPr>
      <w:r w:rsidRPr="0049187C">
        <w:rPr>
          <w:b/>
          <w:lang w:val="ru-RU"/>
        </w:rPr>
        <w:t>экономические характеристики и риски встроенного производного инструмента не имеют тесной связи с экономическими характеристиками и рисками основного договора (см. пункты B4.3.5 и B4.3.8);</w:t>
      </w:r>
    </w:p>
    <w:p w:rsidR="007D4BCC" w:rsidRPr="0049187C" w:rsidRDefault="007D4BCC" w:rsidP="004D2F3F">
      <w:pPr>
        <w:pStyle w:val="IASBNormalnparaL1"/>
        <w:numPr>
          <w:ilvl w:val="0"/>
          <w:numId w:val="21"/>
        </w:numPr>
        <w:autoSpaceDE w:val="0"/>
        <w:autoSpaceDN w:val="0"/>
        <w:adjustRightInd w:val="0"/>
        <w:rPr>
          <w:b/>
          <w:lang w:val="ru-RU"/>
        </w:rPr>
      </w:pPr>
      <w:r w:rsidRPr="0049187C">
        <w:rPr>
          <w:b/>
          <w:lang w:val="ru-RU"/>
        </w:rPr>
        <w:t xml:space="preserve">отдельный инструмент, предусматривающий </w:t>
      </w:r>
      <w:r w:rsidR="002012B5">
        <w:rPr>
          <w:b/>
          <w:lang w:val="ru-RU"/>
        </w:rPr>
        <w:t xml:space="preserve">те же </w:t>
      </w:r>
      <w:r w:rsidRPr="0049187C">
        <w:rPr>
          <w:b/>
          <w:lang w:val="ru-RU"/>
        </w:rPr>
        <w:t xml:space="preserve">условия, </w:t>
      </w:r>
      <w:r w:rsidR="002012B5">
        <w:rPr>
          <w:b/>
          <w:lang w:val="ru-RU"/>
        </w:rPr>
        <w:t>что и встроенный производный инструмент</w:t>
      </w:r>
      <w:r w:rsidRPr="0049187C">
        <w:rPr>
          <w:b/>
          <w:lang w:val="ru-RU"/>
        </w:rPr>
        <w:t xml:space="preserve">, </w:t>
      </w:r>
      <w:r w:rsidR="002012B5">
        <w:rPr>
          <w:b/>
          <w:lang w:val="ru-RU"/>
        </w:rPr>
        <w:t>отвечал бы определению</w:t>
      </w:r>
      <w:r w:rsidRPr="0049187C">
        <w:rPr>
          <w:b/>
          <w:lang w:val="ru-RU"/>
        </w:rPr>
        <w:t xml:space="preserve"> производного инструмента; и</w:t>
      </w:r>
    </w:p>
    <w:p w:rsidR="007D4BCC" w:rsidRPr="0049187C" w:rsidRDefault="007D4BCC" w:rsidP="004D2F3F">
      <w:pPr>
        <w:pStyle w:val="IASBNormalnparaL1"/>
        <w:numPr>
          <w:ilvl w:val="0"/>
          <w:numId w:val="21"/>
        </w:numPr>
        <w:autoSpaceDE w:val="0"/>
        <w:autoSpaceDN w:val="0"/>
        <w:adjustRightInd w:val="0"/>
        <w:rPr>
          <w:b/>
          <w:lang w:val="ru-RU"/>
        </w:rPr>
      </w:pPr>
      <w:r w:rsidRPr="0049187C">
        <w:rPr>
          <w:b/>
          <w:lang w:val="ru-RU"/>
        </w:rPr>
        <w:t>гибридный договор не оценивается по справедливой стоимости, изменения которой признаются в составе прибыли или убытка (т.</w:t>
      </w:r>
      <w:r w:rsidR="005B1B6C" w:rsidRPr="0049187C">
        <w:rPr>
          <w:b/>
          <w:lang w:val="ru-RU"/>
        </w:rPr>
        <w:t xml:space="preserve"> </w:t>
      </w:r>
      <w:r w:rsidRPr="0049187C">
        <w:rPr>
          <w:b/>
          <w:lang w:val="ru-RU"/>
        </w:rPr>
        <w:t>е. производный инструмент, встроенный в финансовое обязательство</w:t>
      </w:r>
      <w:r w:rsidR="00DE0EF7">
        <w:rPr>
          <w:b/>
          <w:lang w:val="ru-RU"/>
        </w:rPr>
        <w:t>, оцениваемое</w:t>
      </w:r>
      <w:r w:rsidRPr="0049187C">
        <w:rPr>
          <w:b/>
          <w:lang w:val="ru-RU"/>
        </w:rPr>
        <w:t xml:space="preserve"> по справедливой стоимости через прибыль или убыток, не </w:t>
      </w:r>
      <w:r w:rsidR="00521837">
        <w:rPr>
          <w:b/>
          <w:lang w:val="ru-RU"/>
        </w:rPr>
        <w:t>отделяется</w:t>
      </w:r>
      <w:r w:rsidR="004F2670">
        <w:rPr>
          <w:b/>
          <w:lang w:val="ru-RU"/>
        </w:rPr>
        <w:t>)</w:t>
      </w:r>
      <w:r w:rsidRPr="0049187C">
        <w:rPr>
          <w:b/>
          <w:lang w:val="ru-RU"/>
        </w:rPr>
        <w:t>.</w:t>
      </w:r>
    </w:p>
    <w:p w:rsidR="007D4BCC" w:rsidRPr="0049187C" w:rsidRDefault="007D4BCC" w:rsidP="007D4BCC">
      <w:pPr>
        <w:pStyle w:val="IASBNormalnpara"/>
        <w:rPr>
          <w:b/>
          <w:lang w:val="ru-RU"/>
        </w:rPr>
      </w:pPr>
      <w:r w:rsidRPr="0049187C">
        <w:rPr>
          <w:b/>
          <w:lang w:val="ru-RU"/>
        </w:rPr>
        <w:t>4.3.4</w:t>
      </w:r>
      <w:r w:rsidRPr="0049187C">
        <w:rPr>
          <w:b/>
          <w:lang w:val="ru-RU"/>
        </w:rPr>
        <w:tab/>
        <w:t>Если встроенный производный инструмент</w:t>
      </w:r>
      <w:r w:rsidR="00521837">
        <w:rPr>
          <w:b/>
          <w:lang w:val="ru-RU"/>
        </w:rPr>
        <w:t xml:space="preserve"> отделяется</w:t>
      </w:r>
      <w:r w:rsidRPr="0049187C">
        <w:rPr>
          <w:b/>
          <w:lang w:val="ru-RU"/>
        </w:rPr>
        <w:t xml:space="preserve">, </w:t>
      </w:r>
      <w:r w:rsidR="002012B5">
        <w:rPr>
          <w:b/>
          <w:lang w:val="ru-RU"/>
        </w:rPr>
        <w:t xml:space="preserve">то </w:t>
      </w:r>
      <w:r w:rsidRPr="0049187C">
        <w:rPr>
          <w:b/>
          <w:lang w:val="ru-RU"/>
        </w:rPr>
        <w:t xml:space="preserve">основной договор должен учитываться </w:t>
      </w:r>
      <w:r w:rsidR="002012B5">
        <w:rPr>
          <w:b/>
          <w:lang w:val="ru-RU"/>
        </w:rPr>
        <w:t>согласно</w:t>
      </w:r>
      <w:r w:rsidRPr="0049187C">
        <w:rPr>
          <w:b/>
          <w:lang w:val="ru-RU"/>
        </w:rPr>
        <w:t xml:space="preserve"> </w:t>
      </w:r>
      <w:r w:rsidR="002012B5">
        <w:rPr>
          <w:b/>
          <w:lang w:val="ru-RU"/>
        </w:rPr>
        <w:t>соответствующим стандартам</w:t>
      </w:r>
      <w:r w:rsidRPr="0049187C">
        <w:rPr>
          <w:b/>
          <w:lang w:val="ru-RU"/>
        </w:rPr>
        <w:t>. Настоящий стандарт не оговаривает обязательного отдельного предс</w:t>
      </w:r>
      <w:r w:rsidR="00A33754">
        <w:rPr>
          <w:b/>
          <w:lang w:val="ru-RU"/>
        </w:rPr>
        <w:t>тавления встроенного производного</w:t>
      </w:r>
      <w:r w:rsidRPr="0049187C">
        <w:rPr>
          <w:b/>
          <w:lang w:val="ru-RU"/>
        </w:rPr>
        <w:t xml:space="preserve"> инструмента в отчете о финансовом положении.</w:t>
      </w:r>
    </w:p>
    <w:p w:rsidR="007D4BCC" w:rsidRPr="0049187C" w:rsidRDefault="007D4BCC" w:rsidP="007D4BCC">
      <w:pPr>
        <w:pStyle w:val="IASBNormalnpara"/>
        <w:rPr>
          <w:b/>
          <w:lang w:val="ru-RU"/>
        </w:rPr>
      </w:pPr>
      <w:r w:rsidRPr="0049187C">
        <w:rPr>
          <w:b/>
          <w:lang w:val="ru-RU"/>
        </w:rPr>
        <w:t>4.3.5</w:t>
      </w:r>
      <w:r w:rsidRPr="0049187C">
        <w:rPr>
          <w:b/>
          <w:lang w:val="ru-RU"/>
        </w:rPr>
        <w:tab/>
        <w:t xml:space="preserve">Несмотря на положения пунктов 4.3.3 и 4.3.4, если договор содержит один или </w:t>
      </w:r>
      <w:r w:rsidR="00A33754">
        <w:rPr>
          <w:b/>
          <w:lang w:val="ru-RU"/>
        </w:rPr>
        <w:t>несколько</w:t>
      </w:r>
      <w:r w:rsidRPr="0049187C">
        <w:rPr>
          <w:b/>
          <w:lang w:val="ru-RU"/>
        </w:rPr>
        <w:t xml:space="preserve"> встроенных производных инструментов и основной договор не является активом, </w:t>
      </w:r>
      <w:r w:rsidR="005B1B6C" w:rsidRPr="0049187C">
        <w:rPr>
          <w:b/>
          <w:lang w:val="ru-RU"/>
        </w:rPr>
        <w:t>относящимся к</w:t>
      </w:r>
      <w:r w:rsidRPr="0049187C">
        <w:rPr>
          <w:b/>
          <w:lang w:val="ru-RU"/>
        </w:rPr>
        <w:t xml:space="preserve"> сфере применения настоящего стандарта, организация может </w:t>
      </w:r>
      <w:r w:rsidR="00057361">
        <w:rPr>
          <w:b/>
          <w:lang w:val="ru-RU"/>
        </w:rPr>
        <w:t xml:space="preserve">по собственному усмотрению </w:t>
      </w:r>
      <w:r w:rsidR="00226B0D">
        <w:rPr>
          <w:b/>
          <w:lang w:val="ru-RU"/>
        </w:rPr>
        <w:t xml:space="preserve">классифицировать </w:t>
      </w:r>
      <w:r w:rsidRPr="0049187C">
        <w:rPr>
          <w:b/>
          <w:lang w:val="ru-RU"/>
        </w:rPr>
        <w:t>весь гибридный договор как оцениваемый по справедливой стоимости через прибыль или убыток, за исключением следующих случаев:</w:t>
      </w:r>
    </w:p>
    <w:p w:rsidR="007D4BCC" w:rsidRPr="0049187C" w:rsidRDefault="007D4BCC" w:rsidP="004D2F3F">
      <w:pPr>
        <w:pStyle w:val="IASBNormalnparaL1"/>
        <w:numPr>
          <w:ilvl w:val="0"/>
          <w:numId w:val="22"/>
        </w:numPr>
        <w:rPr>
          <w:b/>
          <w:lang w:val="ru-RU"/>
        </w:rPr>
      </w:pPr>
      <w:r w:rsidRPr="0049187C">
        <w:rPr>
          <w:b/>
          <w:lang w:val="ru-RU"/>
        </w:rPr>
        <w:t>встроенный(ые) производный(ые) инструмент(ы) не вызывает(ют) значительного изменения денежных потоков по сравнению с теми, которые в противном случае потребовались бы согласно договору; или</w:t>
      </w:r>
    </w:p>
    <w:p w:rsidR="007D4BCC" w:rsidRPr="0049187C" w:rsidRDefault="007D4BCC" w:rsidP="004D2F3F">
      <w:pPr>
        <w:pStyle w:val="IASBNormalnparaL1"/>
        <w:numPr>
          <w:ilvl w:val="0"/>
          <w:numId w:val="22"/>
        </w:numPr>
        <w:rPr>
          <w:b/>
          <w:lang w:val="ru-RU"/>
        </w:rPr>
      </w:pPr>
      <w:r w:rsidRPr="0049187C">
        <w:rPr>
          <w:b/>
          <w:lang w:val="ru-RU"/>
        </w:rPr>
        <w:t>при первоначальном рассмотрении аналогичного гибридного инструмента очевидно,</w:t>
      </w:r>
      <w:r w:rsidR="00922F0A">
        <w:rPr>
          <w:b/>
          <w:lang w:val="ru-RU"/>
        </w:rPr>
        <w:t xml:space="preserve"> на основе минимального анализа или без такового,</w:t>
      </w:r>
      <w:r w:rsidRPr="0049187C">
        <w:rPr>
          <w:b/>
          <w:lang w:val="ru-RU"/>
        </w:rPr>
        <w:t xml:space="preserve"> что </w:t>
      </w:r>
      <w:r w:rsidR="00922F0A">
        <w:rPr>
          <w:b/>
          <w:lang w:val="ru-RU"/>
        </w:rPr>
        <w:t>отделение встроенного(ых) производного(ых</w:t>
      </w:r>
      <w:r w:rsidRPr="0049187C">
        <w:rPr>
          <w:b/>
          <w:lang w:val="ru-RU"/>
        </w:rPr>
        <w:t>) инструмент</w:t>
      </w:r>
      <w:r w:rsidR="00922F0A">
        <w:rPr>
          <w:b/>
          <w:lang w:val="ru-RU"/>
        </w:rPr>
        <w:t>а(ов</w:t>
      </w:r>
      <w:r w:rsidRPr="0049187C">
        <w:rPr>
          <w:b/>
          <w:lang w:val="ru-RU"/>
        </w:rPr>
        <w:t>)</w:t>
      </w:r>
      <w:r w:rsidR="00922F0A">
        <w:rPr>
          <w:b/>
          <w:lang w:val="ru-RU"/>
        </w:rPr>
        <w:t xml:space="preserve"> запрещено</w:t>
      </w:r>
      <w:r w:rsidRPr="0049187C">
        <w:rPr>
          <w:b/>
          <w:lang w:val="ru-RU"/>
        </w:rPr>
        <w:t>, например, встроенный в заем опцион на досрочное погашение, который позволяет держателю осуществлять досрочн</w:t>
      </w:r>
      <w:r w:rsidR="007D2629" w:rsidRPr="0049187C">
        <w:rPr>
          <w:b/>
          <w:lang w:val="ru-RU"/>
        </w:rPr>
        <w:t>ое погашение</w:t>
      </w:r>
      <w:r w:rsidRPr="0049187C">
        <w:rPr>
          <w:b/>
          <w:lang w:val="ru-RU"/>
        </w:rPr>
        <w:t xml:space="preserve"> займа </w:t>
      </w:r>
      <w:r w:rsidR="005B1B6C" w:rsidRPr="0049187C">
        <w:rPr>
          <w:b/>
          <w:lang w:val="ru-RU"/>
        </w:rPr>
        <w:t xml:space="preserve">приблизительно </w:t>
      </w:r>
      <w:r w:rsidRPr="0049187C">
        <w:rPr>
          <w:b/>
          <w:lang w:val="ru-RU"/>
        </w:rPr>
        <w:t>по его амортизированной стоимости.</w:t>
      </w:r>
    </w:p>
    <w:p w:rsidR="007D4BCC" w:rsidRPr="0049187C" w:rsidRDefault="007D4BCC" w:rsidP="007D4BCC">
      <w:pPr>
        <w:pStyle w:val="IASBNormalnpara"/>
        <w:rPr>
          <w:b/>
          <w:lang w:val="ru-RU"/>
        </w:rPr>
      </w:pPr>
      <w:r w:rsidRPr="0049187C">
        <w:rPr>
          <w:b/>
          <w:lang w:val="ru-RU"/>
        </w:rPr>
        <w:t>4.3.6</w:t>
      </w:r>
      <w:r w:rsidRPr="0049187C">
        <w:rPr>
          <w:b/>
          <w:lang w:val="ru-RU"/>
        </w:rPr>
        <w:tab/>
        <w:t xml:space="preserve">Если организация должна отделить встроенный производный инструмент от основного договора согласно требованиям настоящего стандарта, однако не в состоянии отдельно оценить встроенный производный инструмент </w:t>
      </w:r>
      <w:r w:rsidR="0021715A">
        <w:rPr>
          <w:b/>
          <w:lang w:val="ru-RU"/>
        </w:rPr>
        <w:t>на момент приобретения</w:t>
      </w:r>
      <w:r w:rsidRPr="0049187C">
        <w:rPr>
          <w:b/>
          <w:lang w:val="ru-RU"/>
        </w:rPr>
        <w:t xml:space="preserve"> или </w:t>
      </w:r>
      <w:r w:rsidR="00711AA9">
        <w:rPr>
          <w:b/>
          <w:lang w:val="ru-RU"/>
        </w:rPr>
        <w:t>в конце</w:t>
      </w:r>
      <w:r w:rsidRPr="0049187C">
        <w:rPr>
          <w:b/>
          <w:lang w:val="ru-RU"/>
        </w:rPr>
        <w:t xml:space="preserve"> последующего отчетного периода, она должна </w:t>
      </w:r>
      <w:r w:rsidR="00A43314">
        <w:rPr>
          <w:b/>
          <w:lang w:val="ru-RU"/>
        </w:rPr>
        <w:t xml:space="preserve">по собственному усмотрению </w:t>
      </w:r>
      <w:r w:rsidR="00226B0D">
        <w:rPr>
          <w:b/>
          <w:lang w:val="ru-RU"/>
        </w:rPr>
        <w:t xml:space="preserve">классифицировать </w:t>
      </w:r>
      <w:r w:rsidRPr="0049187C">
        <w:rPr>
          <w:b/>
          <w:lang w:val="ru-RU"/>
        </w:rPr>
        <w:t>весь гибридный договор как оцениваемый по справедливой стоимости через прибыль или убыток.</w:t>
      </w:r>
    </w:p>
    <w:p w:rsidR="007D4BCC" w:rsidRPr="0049187C" w:rsidRDefault="007D4BCC" w:rsidP="007D4BCC">
      <w:pPr>
        <w:pStyle w:val="IASBNormalnpara"/>
        <w:rPr>
          <w:lang w:val="ru-RU"/>
        </w:rPr>
      </w:pPr>
      <w:r w:rsidRPr="0049187C">
        <w:rPr>
          <w:lang w:val="ru-RU"/>
        </w:rPr>
        <w:t>4.3.7</w:t>
      </w:r>
      <w:r w:rsidRPr="0049187C">
        <w:rPr>
          <w:lang w:val="ru-RU"/>
        </w:rPr>
        <w:tab/>
        <w:t xml:space="preserve">Если организация не может надежно оценить справедливую стоимость встроенного производного инструмента исходя из его условий, то справедливая стоимость встроенного производного инструмента является разницей между справедливой стоимостью гибридного договора и справедливой стоимостью основного договора. Если организация не может оценить справедливую стоимость встроенного производного инструмента с использованием указанного метода, то применяется пункт 4.3.6 и гибридный договор </w:t>
      </w:r>
      <w:r w:rsidR="00226B0D">
        <w:rPr>
          <w:lang w:val="ru-RU"/>
        </w:rPr>
        <w:t>классифицируется по усмотрению организации</w:t>
      </w:r>
      <w:r w:rsidRPr="0049187C">
        <w:rPr>
          <w:lang w:val="ru-RU"/>
        </w:rPr>
        <w:t xml:space="preserve"> как оцениваемый по справедливой стоимости через прибыль или убыток.</w:t>
      </w:r>
    </w:p>
    <w:p w:rsidR="007D4BCC" w:rsidRPr="0049187C" w:rsidRDefault="007D4BCC" w:rsidP="007D4BCC">
      <w:pPr>
        <w:pStyle w:val="IASBSectionTitle1NonInd"/>
        <w:rPr>
          <w:lang w:val="ru-RU"/>
        </w:rPr>
      </w:pPr>
      <w:bookmarkStart w:id="12" w:name="F32569955"/>
      <w:r w:rsidRPr="0049187C">
        <w:rPr>
          <w:lang w:val="ru-RU"/>
        </w:rPr>
        <w:t xml:space="preserve">4.4 </w:t>
      </w:r>
      <w:bookmarkEnd w:id="12"/>
      <w:r w:rsidRPr="0049187C">
        <w:rPr>
          <w:lang w:val="ru-RU"/>
        </w:rPr>
        <w:t>Реклассификация</w:t>
      </w:r>
    </w:p>
    <w:p w:rsidR="007D4BCC" w:rsidRPr="0049187C" w:rsidRDefault="007D4BCC" w:rsidP="007D4BCC">
      <w:pPr>
        <w:pStyle w:val="IASBNormalnpara"/>
        <w:rPr>
          <w:b/>
          <w:lang w:val="ru-RU"/>
        </w:rPr>
      </w:pPr>
      <w:r w:rsidRPr="0049187C">
        <w:rPr>
          <w:b/>
          <w:lang w:val="ru-RU"/>
        </w:rPr>
        <w:t>4.4.1</w:t>
      </w:r>
      <w:r w:rsidRPr="0049187C">
        <w:rPr>
          <w:lang w:val="ru-RU"/>
        </w:rPr>
        <w:tab/>
      </w:r>
      <w:r w:rsidR="00781FCC" w:rsidRPr="00781FCC">
        <w:rPr>
          <w:b/>
          <w:lang w:val="ru-RU"/>
        </w:rPr>
        <w:t>Исключительно в случаях изменения бизнес-модели, используемой для управления финансовыми активами, о</w:t>
      </w:r>
      <w:r w:rsidRPr="00781FCC">
        <w:rPr>
          <w:b/>
          <w:lang w:val="ru-RU"/>
        </w:rPr>
        <w:t>рганизация</w:t>
      </w:r>
      <w:r w:rsidRPr="0049187C">
        <w:rPr>
          <w:b/>
          <w:lang w:val="ru-RU"/>
        </w:rPr>
        <w:t xml:space="preserve"> должна реклассифицировать</w:t>
      </w:r>
      <w:r w:rsidR="00781FCC">
        <w:rPr>
          <w:b/>
          <w:lang w:val="ru-RU"/>
        </w:rPr>
        <w:t xml:space="preserve"> все затрагиваемые</w:t>
      </w:r>
      <w:r w:rsidRPr="0049187C">
        <w:rPr>
          <w:b/>
          <w:lang w:val="ru-RU"/>
        </w:rPr>
        <w:t xml:space="preserve"> финансовые активы в соответствии с пунктами 4.1.1–4.1.4. В пунктах 5.6.1–5.6.7, B4.4.1–B4.4.3 и B5.6.1–B5.6.2 даны дополнительные указания по реклассификации финансовых активов.</w:t>
      </w:r>
    </w:p>
    <w:p w:rsidR="007D4BCC" w:rsidRPr="0049187C" w:rsidRDefault="007D4BCC" w:rsidP="007D4BCC">
      <w:pPr>
        <w:pStyle w:val="IASBNormalnpara"/>
        <w:rPr>
          <w:b/>
          <w:lang w:val="ru-RU"/>
        </w:rPr>
      </w:pPr>
      <w:r w:rsidRPr="0049187C">
        <w:rPr>
          <w:b/>
          <w:lang w:val="ru-RU"/>
        </w:rPr>
        <w:t>4.4.2</w:t>
      </w:r>
      <w:r w:rsidRPr="0049187C">
        <w:rPr>
          <w:b/>
          <w:lang w:val="ru-RU"/>
        </w:rPr>
        <w:tab/>
        <w:t>Организация не должна реклассифицировать финансовые обязательства.</w:t>
      </w:r>
    </w:p>
    <w:p w:rsidR="007D4BCC" w:rsidRPr="0049187C" w:rsidRDefault="007D4BCC" w:rsidP="007D4BCC">
      <w:pPr>
        <w:pStyle w:val="IASBNormalnpara"/>
        <w:rPr>
          <w:lang w:val="ru-RU"/>
        </w:rPr>
      </w:pPr>
      <w:r w:rsidRPr="0049187C">
        <w:rPr>
          <w:lang w:val="ru-RU"/>
        </w:rPr>
        <w:t>4.4.3</w:t>
      </w:r>
      <w:r w:rsidRPr="0049187C">
        <w:rPr>
          <w:lang w:val="ru-RU"/>
        </w:rPr>
        <w:tab/>
      </w:r>
      <w:bookmarkStart w:id="13" w:name="F27177531"/>
      <w:r w:rsidRPr="0049187C">
        <w:rPr>
          <w:lang w:val="ru-RU"/>
        </w:rPr>
        <w:t xml:space="preserve">Представленные ниже изменения обстоятельств не </w:t>
      </w:r>
      <w:r w:rsidR="00736E53">
        <w:rPr>
          <w:lang w:val="ru-RU"/>
        </w:rPr>
        <w:t>считаются реклассификацией</w:t>
      </w:r>
      <w:r w:rsidRPr="0049187C">
        <w:rPr>
          <w:lang w:val="ru-RU"/>
        </w:rPr>
        <w:t xml:space="preserve"> в </w:t>
      </w:r>
      <w:r w:rsidR="00736E53">
        <w:rPr>
          <w:lang w:val="ru-RU"/>
        </w:rPr>
        <w:t>целях применения</w:t>
      </w:r>
      <w:r w:rsidRPr="0049187C">
        <w:rPr>
          <w:lang w:val="ru-RU"/>
        </w:rPr>
        <w:t xml:space="preserve"> пунктов 4.4.1–4.4.2:</w:t>
      </w:r>
      <w:bookmarkEnd w:id="13"/>
    </w:p>
    <w:p w:rsidR="007D4BCC" w:rsidRPr="0049187C" w:rsidRDefault="00781FCC" w:rsidP="004D2F3F">
      <w:pPr>
        <w:pStyle w:val="IASBNormalnparaL1"/>
        <w:numPr>
          <w:ilvl w:val="0"/>
          <w:numId w:val="23"/>
        </w:numPr>
        <w:rPr>
          <w:lang w:val="ru-RU"/>
        </w:rPr>
      </w:pPr>
      <w:bookmarkStart w:id="14" w:name="F27177534"/>
      <w:r>
        <w:rPr>
          <w:lang w:val="ru-RU"/>
        </w:rPr>
        <w:t>инструмент, который</w:t>
      </w:r>
      <w:r w:rsidR="007D4BCC" w:rsidRPr="0049187C">
        <w:rPr>
          <w:lang w:val="ru-RU"/>
        </w:rPr>
        <w:t xml:space="preserve"> ранее </w:t>
      </w:r>
      <w:r>
        <w:rPr>
          <w:lang w:val="ru-RU"/>
        </w:rPr>
        <w:t>был</w:t>
      </w:r>
      <w:r w:rsidR="007D4BCC" w:rsidRPr="0049187C">
        <w:rPr>
          <w:lang w:val="ru-RU"/>
        </w:rPr>
        <w:t xml:space="preserve"> </w:t>
      </w:r>
      <w:r>
        <w:rPr>
          <w:lang w:val="ru-RU"/>
        </w:rPr>
        <w:t>определен</w:t>
      </w:r>
      <w:r w:rsidR="00226B0D">
        <w:rPr>
          <w:lang w:val="ru-RU"/>
        </w:rPr>
        <w:t xml:space="preserve"> по усмотрению организации</w:t>
      </w:r>
      <w:r>
        <w:rPr>
          <w:lang w:val="ru-RU"/>
        </w:rPr>
        <w:t xml:space="preserve"> в качестве инструмента хеджирования</w:t>
      </w:r>
      <w:r w:rsidR="007D4BCC" w:rsidRPr="0049187C">
        <w:rPr>
          <w:lang w:val="ru-RU"/>
        </w:rPr>
        <w:t xml:space="preserve"> и</w:t>
      </w:r>
      <w:r>
        <w:rPr>
          <w:lang w:val="ru-RU"/>
        </w:rPr>
        <w:t xml:space="preserve"> был</w:t>
      </w:r>
      <w:r w:rsidR="007D4BCC" w:rsidRPr="0049187C">
        <w:rPr>
          <w:lang w:val="ru-RU"/>
        </w:rPr>
        <w:t xml:space="preserve"> эффективным </w:t>
      </w:r>
      <w:r>
        <w:rPr>
          <w:lang w:val="ru-RU"/>
        </w:rPr>
        <w:t>в этом качестве</w:t>
      </w:r>
      <w:r w:rsidR="007D4BCC" w:rsidRPr="0049187C">
        <w:rPr>
          <w:lang w:val="ru-RU"/>
        </w:rPr>
        <w:t xml:space="preserve"> при хеджировании денежных потоков или чистых инвестиций, </w:t>
      </w:r>
      <w:r>
        <w:rPr>
          <w:lang w:val="ru-RU"/>
        </w:rPr>
        <w:t>перестает отвечать требованиям к такому инструменту</w:t>
      </w:r>
      <w:r w:rsidR="007D4BCC" w:rsidRPr="0049187C">
        <w:rPr>
          <w:lang w:val="ru-RU"/>
        </w:rPr>
        <w:t>;</w:t>
      </w:r>
      <w:bookmarkEnd w:id="14"/>
    </w:p>
    <w:p w:rsidR="007D4BCC" w:rsidRPr="0049187C" w:rsidRDefault="00781FCC" w:rsidP="004D2F3F">
      <w:pPr>
        <w:pStyle w:val="IASBNormalnparaL1"/>
        <w:numPr>
          <w:ilvl w:val="0"/>
          <w:numId w:val="23"/>
        </w:numPr>
        <w:rPr>
          <w:lang w:val="ru-RU"/>
        </w:rPr>
      </w:pPr>
      <w:bookmarkStart w:id="15" w:name="F27177536"/>
      <w:r>
        <w:rPr>
          <w:lang w:val="ru-RU"/>
        </w:rPr>
        <w:t>инструмент</w:t>
      </w:r>
      <w:r w:rsidR="007D4BCC" w:rsidRPr="0049187C">
        <w:rPr>
          <w:lang w:val="ru-RU"/>
        </w:rPr>
        <w:t xml:space="preserve"> становится </w:t>
      </w:r>
      <w:r w:rsidR="00207E17">
        <w:rPr>
          <w:lang w:val="ru-RU"/>
        </w:rPr>
        <w:t>определенным по усмотрению организации</w:t>
      </w:r>
      <w:r w:rsidR="007D4BCC" w:rsidRPr="0049187C">
        <w:rPr>
          <w:lang w:val="ru-RU"/>
        </w:rPr>
        <w:t xml:space="preserve"> и эффективным инструментом хеджирования при хеджировании денежных потоков или чистых инвестиций; и</w:t>
      </w:r>
      <w:bookmarkEnd w:id="15"/>
    </w:p>
    <w:p w:rsidR="007D4BCC" w:rsidRPr="0049187C" w:rsidRDefault="00F054AB" w:rsidP="004D2F3F">
      <w:pPr>
        <w:pStyle w:val="IASBNormalnparaL1"/>
        <w:numPr>
          <w:ilvl w:val="0"/>
          <w:numId w:val="23"/>
        </w:numPr>
        <w:rPr>
          <w:lang w:val="ru-RU"/>
        </w:rPr>
      </w:pPr>
      <w:bookmarkStart w:id="16" w:name="F27177538"/>
      <w:r>
        <w:rPr>
          <w:lang w:val="ru-RU"/>
        </w:rPr>
        <w:t>изменяется</w:t>
      </w:r>
      <w:r w:rsidR="007D4BCC" w:rsidRPr="0049187C">
        <w:rPr>
          <w:lang w:val="ru-RU"/>
        </w:rPr>
        <w:t xml:space="preserve"> п</w:t>
      </w:r>
      <w:r>
        <w:rPr>
          <w:lang w:val="ru-RU"/>
        </w:rPr>
        <w:t>орядок</w:t>
      </w:r>
      <w:r w:rsidR="00C25F1D">
        <w:rPr>
          <w:lang w:val="ru-RU"/>
        </w:rPr>
        <w:t xml:space="preserve"> оценки в соответствии с Р</w:t>
      </w:r>
      <w:r w:rsidR="007D4BCC" w:rsidRPr="0049187C">
        <w:rPr>
          <w:lang w:val="ru-RU"/>
        </w:rPr>
        <w:t>азделом 6.7.</w:t>
      </w:r>
      <w:bookmarkEnd w:id="16"/>
    </w:p>
    <w:p w:rsidR="007D4BCC" w:rsidRPr="0049187C" w:rsidRDefault="007D4BCC" w:rsidP="007D4BCC">
      <w:pPr>
        <w:pStyle w:val="IASBSectionTitle1NonInd"/>
        <w:pBdr>
          <w:bottom w:val="none" w:sz="0" w:space="0" w:color="auto"/>
        </w:pBdr>
        <w:rPr>
          <w:lang w:val="ru-RU"/>
        </w:rPr>
      </w:pPr>
      <w:bookmarkStart w:id="17" w:name="F32570023"/>
      <w:r w:rsidRPr="0049187C">
        <w:rPr>
          <w:lang w:val="ru-RU"/>
        </w:rPr>
        <w:t xml:space="preserve">Глава 5 </w:t>
      </w:r>
      <w:bookmarkEnd w:id="17"/>
      <w:r w:rsidRPr="0049187C">
        <w:rPr>
          <w:lang w:val="ru-RU"/>
        </w:rPr>
        <w:t>Оценка</w:t>
      </w:r>
    </w:p>
    <w:p w:rsidR="007D4BCC" w:rsidRPr="0049187C" w:rsidRDefault="007D4BCC" w:rsidP="007D4BCC">
      <w:pPr>
        <w:pStyle w:val="IASBSectionTitle1NonInd"/>
        <w:rPr>
          <w:lang w:val="ru-RU"/>
        </w:rPr>
      </w:pPr>
      <w:bookmarkStart w:id="18" w:name="F32570025"/>
      <w:r w:rsidRPr="0049187C">
        <w:rPr>
          <w:lang w:val="ru-RU"/>
        </w:rPr>
        <w:t xml:space="preserve">5.1 </w:t>
      </w:r>
      <w:bookmarkEnd w:id="18"/>
      <w:r w:rsidRPr="0049187C">
        <w:rPr>
          <w:lang w:val="ru-RU"/>
        </w:rPr>
        <w:t>Первоначальная оценка</w:t>
      </w:r>
    </w:p>
    <w:p w:rsidR="007D4BCC" w:rsidRPr="0049187C" w:rsidRDefault="007D4BCC" w:rsidP="007D4BCC">
      <w:pPr>
        <w:pStyle w:val="IASBNormalnpara"/>
        <w:rPr>
          <w:b/>
          <w:lang w:val="ru-RU"/>
        </w:rPr>
      </w:pPr>
      <w:r w:rsidRPr="0049187C">
        <w:rPr>
          <w:b/>
          <w:lang w:val="ru-RU"/>
        </w:rPr>
        <w:t>5.1.1</w:t>
      </w:r>
      <w:r w:rsidRPr="0049187C">
        <w:rPr>
          <w:b/>
          <w:lang w:val="ru-RU"/>
        </w:rPr>
        <w:tab/>
        <w:t xml:space="preserve">За исключением торговой дебиторской задолженности, </w:t>
      </w:r>
      <w:r w:rsidR="009F4F5B" w:rsidRPr="0049187C">
        <w:rPr>
          <w:b/>
          <w:lang w:val="ru-RU"/>
        </w:rPr>
        <w:t>относящейся</w:t>
      </w:r>
      <w:r w:rsidR="00E55055" w:rsidRPr="0049187C">
        <w:rPr>
          <w:b/>
          <w:lang w:val="ru-RU"/>
        </w:rPr>
        <w:t xml:space="preserve"> </w:t>
      </w:r>
      <w:r w:rsidR="009F4F5B" w:rsidRPr="0049187C">
        <w:rPr>
          <w:b/>
          <w:lang w:val="ru-RU"/>
        </w:rPr>
        <w:t>к</w:t>
      </w:r>
      <w:r w:rsidRPr="0049187C">
        <w:rPr>
          <w:b/>
          <w:lang w:val="ru-RU"/>
        </w:rPr>
        <w:t xml:space="preserve"> сфере применения пункта 5.1.3, при первоначальном признании организация должна оценивать финансовый актив или финансовое обязательство по справедливой стоимости, увеличенной или уменьшенной в случае финансового актива или финансового обязательства</w:t>
      </w:r>
      <w:r w:rsidR="00B01182">
        <w:rPr>
          <w:b/>
          <w:lang w:val="ru-RU"/>
        </w:rPr>
        <w:t>, оцениваемого</w:t>
      </w:r>
      <w:r w:rsidRPr="0049187C">
        <w:rPr>
          <w:b/>
          <w:lang w:val="ru-RU"/>
        </w:rPr>
        <w:t xml:space="preserve"> не по справедливой стоимости через прибыль или убыток</w:t>
      </w:r>
      <w:r w:rsidR="00B802F4">
        <w:rPr>
          <w:b/>
          <w:lang w:val="ru-RU"/>
        </w:rPr>
        <w:t>,</w:t>
      </w:r>
      <w:r w:rsidRPr="0049187C">
        <w:rPr>
          <w:b/>
          <w:lang w:val="ru-RU"/>
        </w:rPr>
        <w:t xml:space="preserve"> на сумму </w:t>
      </w:r>
      <w:r w:rsidRPr="00D4388B">
        <w:rPr>
          <w:b/>
          <w:i/>
          <w:lang w:val="ru-RU"/>
        </w:rPr>
        <w:t>затрат по сделке</w:t>
      </w:r>
      <w:r w:rsidRPr="0049187C">
        <w:rPr>
          <w:b/>
          <w:lang w:val="ru-RU"/>
        </w:rPr>
        <w:t>, которые напрямую относятся к приобретению или выпуску финансового актива или финансового обязательства.</w:t>
      </w:r>
    </w:p>
    <w:p w:rsidR="007D4BCC" w:rsidRPr="0049187C" w:rsidRDefault="007D4BCC" w:rsidP="007D4BCC">
      <w:pPr>
        <w:pStyle w:val="IASBNormalnpara"/>
        <w:rPr>
          <w:b/>
          <w:lang w:val="ru-RU"/>
        </w:rPr>
      </w:pPr>
      <w:r w:rsidRPr="0049187C">
        <w:rPr>
          <w:b/>
          <w:lang w:val="ru-RU"/>
        </w:rPr>
        <w:t>5.1.1A</w:t>
      </w:r>
      <w:r w:rsidRPr="0049187C">
        <w:rPr>
          <w:b/>
          <w:lang w:val="ru-RU"/>
        </w:rPr>
        <w:tab/>
        <w:t xml:space="preserve">Однако, если справедливая стоимость финансового актива или финансового обязательства при первоначальном признании отличается от цены </w:t>
      </w:r>
      <w:r w:rsidR="00B01182">
        <w:rPr>
          <w:b/>
          <w:lang w:val="ru-RU"/>
        </w:rPr>
        <w:t>сделки</w:t>
      </w:r>
      <w:r w:rsidRPr="0049187C">
        <w:rPr>
          <w:b/>
          <w:lang w:val="ru-RU"/>
        </w:rPr>
        <w:t>, организация должна применять пункт B5.1.2A.</w:t>
      </w:r>
    </w:p>
    <w:p w:rsidR="007D4BCC" w:rsidRPr="0049187C" w:rsidRDefault="007D4BCC" w:rsidP="007D4BCC">
      <w:pPr>
        <w:pStyle w:val="IASBNormalnpara"/>
        <w:rPr>
          <w:lang w:val="ru-RU"/>
        </w:rPr>
      </w:pPr>
      <w:r w:rsidRPr="0049187C">
        <w:rPr>
          <w:lang w:val="ru-RU"/>
        </w:rPr>
        <w:t>5.1.2</w:t>
      </w:r>
      <w:r w:rsidRPr="0049187C">
        <w:rPr>
          <w:lang w:val="ru-RU"/>
        </w:rPr>
        <w:tab/>
        <w:t>При использовании организацией учета по дате расчетов для актива, который впоследствии оценивается по амортизированной стоимости, такой актив первоначально признается по справедливой стоимости на дату заключения сделки (см. пункты B3.1.3–B3.1.6).</w:t>
      </w:r>
    </w:p>
    <w:p w:rsidR="007D4BCC" w:rsidRPr="008C1F73" w:rsidRDefault="007E6E67" w:rsidP="007D4BCC">
      <w:pPr>
        <w:pStyle w:val="IASBNormalnpara"/>
        <w:rPr>
          <w:lang w:val="ru-RU"/>
        </w:rPr>
      </w:pPr>
      <w:r>
        <w:rPr>
          <w:lang w:val="ru-RU"/>
        </w:rPr>
        <w:t>5.1.3</w:t>
      </w:r>
      <w:r>
        <w:rPr>
          <w:lang w:val="ru-RU"/>
        </w:rPr>
        <w:tab/>
        <w:t xml:space="preserve">Несмотря на требование </w:t>
      </w:r>
      <w:r w:rsidR="007D4BCC" w:rsidRPr="0049187C">
        <w:rPr>
          <w:lang w:val="ru-RU"/>
        </w:rPr>
        <w:t>пункт</w:t>
      </w:r>
      <w:r>
        <w:rPr>
          <w:lang w:val="ru-RU"/>
        </w:rPr>
        <w:t>а</w:t>
      </w:r>
      <w:r w:rsidR="007D4BCC" w:rsidRPr="0049187C">
        <w:rPr>
          <w:lang w:val="ru-RU"/>
        </w:rPr>
        <w:t xml:space="preserve"> 5.1.1, при первоначальном признании организация должна оценивать торговую дебиторскую задолженность</w:t>
      </w:r>
      <w:r w:rsidR="008C1F73">
        <w:rPr>
          <w:lang w:val="ru-RU"/>
        </w:rPr>
        <w:t xml:space="preserve"> по цене сделки (как этот термин определен в МСФО (</w:t>
      </w:r>
      <w:r w:rsidR="008C1F73">
        <w:t>IFRS</w:t>
      </w:r>
      <w:r w:rsidR="008C1F73" w:rsidRPr="008C1F73">
        <w:rPr>
          <w:lang w:val="ru-RU"/>
        </w:rPr>
        <w:t>) 15)</w:t>
      </w:r>
      <w:r w:rsidR="007D4BCC" w:rsidRPr="0049187C">
        <w:rPr>
          <w:lang w:val="ru-RU"/>
        </w:rPr>
        <w:t xml:space="preserve">, </w:t>
      </w:r>
      <w:r w:rsidR="008C1F73">
        <w:rPr>
          <w:lang w:val="ru-RU"/>
        </w:rPr>
        <w:t xml:space="preserve">если торговая дебиторская задолженность </w:t>
      </w:r>
      <w:r w:rsidR="007D4BCC" w:rsidRPr="0049187C">
        <w:rPr>
          <w:lang w:val="ru-RU"/>
        </w:rPr>
        <w:t xml:space="preserve">не содержит значительного компонента </w:t>
      </w:r>
      <w:r w:rsidR="008C1F73">
        <w:rPr>
          <w:lang w:val="ru-RU"/>
        </w:rPr>
        <w:t>финансирования</w:t>
      </w:r>
      <w:r w:rsidR="007D4BCC" w:rsidRPr="0049187C">
        <w:rPr>
          <w:lang w:val="ru-RU"/>
        </w:rPr>
        <w:t xml:space="preserve"> </w:t>
      </w:r>
      <w:r w:rsidR="008C1F73">
        <w:rPr>
          <w:lang w:val="ru-RU"/>
        </w:rPr>
        <w:t>в соответствии с МСФО (IFRS) 15 (</w:t>
      </w:r>
      <w:r w:rsidR="008C1F73" w:rsidRPr="008C1F73">
        <w:rPr>
          <w:lang w:val="ru-RU"/>
        </w:rPr>
        <w:t>или когда организация применяет упрощение практического характера, предусмотренное пунктом 63 МСФО (</w:t>
      </w:r>
      <w:r w:rsidR="008C1F73" w:rsidRPr="008C1F73">
        <w:t>IFRS</w:t>
      </w:r>
      <w:r w:rsidR="008C1F73" w:rsidRPr="008C1F73">
        <w:rPr>
          <w:lang w:val="ru-RU"/>
        </w:rPr>
        <w:t>) 15)</w:t>
      </w:r>
      <w:r w:rsidR="008C1F73">
        <w:rPr>
          <w:lang w:val="ru-RU"/>
        </w:rPr>
        <w:t>.</w:t>
      </w:r>
    </w:p>
    <w:p w:rsidR="007D4BCC" w:rsidRPr="0049187C" w:rsidRDefault="007D4BCC" w:rsidP="007D4BCC">
      <w:pPr>
        <w:pStyle w:val="IASBSectionTitle1NonInd"/>
        <w:rPr>
          <w:lang w:val="ru-RU"/>
        </w:rPr>
      </w:pPr>
      <w:bookmarkStart w:id="19" w:name="F32570031"/>
      <w:r w:rsidRPr="0049187C">
        <w:rPr>
          <w:lang w:val="ru-RU"/>
        </w:rPr>
        <w:t xml:space="preserve">5.2 </w:t>
      </w:r>
      <w:bookmarkEnd w:id="19"/>
      <w:r w:rsidRPr="0049187C">
        <w:rPr>
          <w:lang w:val="ru-RU"/>
        </w:rPr>
        <w:t>Последующа</w:t>
      </w:r>
      <w:r w:rsidR="00061959">
        <w:rPr>
          <w:lang w:val="ru-RU"/>
        </w:rPr>
        <w:t>я оценка финансовых активов</w:t>
      </w:r>
    </w:p>
    <w:p w:rsidR="007D4BCC" w:rsidRPr="0049187C" w:rsidRDefault="007D4BCC" w:rsidP="007D4BCC">
      <w:pPr>
        <w:pStyle w:val="IASBNormalnpara"/>
        <w:rPr>
          <w:b/>
          <w:lang w:val="ru-RU"/>
        </w:rPr>
      </w:pPr>
      <w:r w:rsidRPr="0049187C">
        <w:rPr>
          <w:b/>
          <w:lang w:val="ru-RU"/>
        </w:rPr>
        <w:t>5.2.1</w:t>
      </w:r>
      <w:r w:rsidRPr="0049187C">
        <w:rPr>
          <w:b/>
          <w:lang w:val="ru-RU"/>
        </w:rPr>
        <w:tab/>
        <w:t xml:space="preserve">После первоначального признания организация должна оценивать финансовый актив </w:t>
      </w:r>
      <w:r w:rsidR="00A876BE">
        <w:rPr>
          <w:b/>
          <w:lang w:val="ru-RU"/>
        </w:rPr>
        <w:t>в соответствии с пунктами 4.1.1</w:t>
      </w:r>
      <w:r w:rsidR="00A876BE" w:rsidRPr="008872E8">
        <w:rPr>
          <w:lang w:val="ru-RU"/>
        </w:rPr>
        <w:t>–</w:t>
      </w:r>
      <w:r w:rsidRPr="0049187C">
        <w:rPr>
          <w:b/>
          <w:lang w:val="ru-RU"/>
        </w:rPr>
        <w:t>4.1.5 по:</w:t>
      </w:r>
    </w:p>
    <w:p w:rsidR="007D4BCC" w:rsidRPr="0049187C" w:rsidRDefault="007D4BCC" w:rsidP="007D4BCC">
      <w:pPr>
        <w:pStyle w:val="IASBNormalnparaL1"/>
        <w:rPr>
          <w:b/>
          <w:lang w:val="ru-RU"/>
        </w:rPr>
      </w:pPr>
      <w:r w:rsidRPr="0049187C">
        <w:rPr>
          <w:b/>
          <w:lang w:val="ru-RU"/>
        </w:rPr>
        <w:t>(a)</w:t>
      </w:r>
      <w:r w:rsidRPr="0049187C">
        <w:rPr>
          <w:b/>
          <w:lang w:val="ru-RU"/>
        </w:rPr>
        <w:tab/>
      </w:r>
      <w:bookmarkStart w:id="20" w:name="F32570035"/>
      <w:r w:rsidRPr="0049187C">
        <w:rPr>
          <w:b/>
          <w:lang w:val="ru-RU"/>
        </w:rPr>
        <w:t>амортизированной стоимости;</w:t>
      </w:r>
      <w:bookmarkEnd w:id="20"/>
    </w:p>
    <w:p w:rsidR="007D4BCC" w:rsidRPr="0049187C" w:rsidRDefault="007D4BCC" w:rsidP="007D4BCC">
      <w:pPr>
        <w:pStyle w:val="IASBNormalnparaL1"/>
        <w:rPr>
          <w:b/>
          <w:lang w:val="ru-RU"/>
        </w:rPr>
      </w:pPr>
      <w:r w:rsidRPr="0049187C">
        <w:rPr>
          <w:b/>
          <w:lang w:val="ru-RU"/>
        </w:rPr>
        <w:t>(b)</w:t>
      </w:r>
      <w:r w:rsidRPr="0049187C">
        <w:rPr>
          <w:b/>
          <w:lang w:val="ru-RU"/>
        </w:rPr>
        <w:tab/>
      </w:r>
      <w:bookmarkStart w:id="21" w:name="F32570037"/>
      <w:r w:rsidRPr="0049187C">
        <w:rPr>
          <w:b/>
          <w:lang w:val="ru-RU"/>
        </w:rPr>
        <w:t xml:space="preserve">справедливой стоимости через прочий совокупный доход; или </w:t>
      </w:r>
      <w:bookmarkEnd w:id="21"/>
    </w:p>
    <w:p w:rsidR="007D4BCC" w:rsidRPr="0049187C" w:rsidRDefault="007D4BCC" w:rsidP="007D4BCC">
      <w:pPr>
        <w:pStyle w:val="IASBNormalnparaL1"/>
        <w:rPr>
          <w:b/>
          <w:lang w:val="ru-RU"/>
        </w:rPr>
      </w:pPr>
      <w:r w:rsidRPr="0049187C">
        <w:rPr>
          <w:b/>
          <w:lang w:val="ru-RU"/>
        </w:rPr>
        <w:t>(c)</w:t>
      </w:r>
      <w:r w:rsidRPr="0049187C">
        <w:rPr>
          <w:b/>
          <w:lang w:val="ru-RU"/>
        </w:rPr>
        <w:tab/>
      </w:r>
      <w:bookmarkStart w:id="22" w:name="F32570039"/>
      <w:r w:rsidRPr="0049187C">
        <w:rPr>
          <w:b/>
          <w:lang w:val="ru-RU"/>
        </w:rPr>
        <w:t>справедливой стоимости через прибыль или убыток.</w:t>
      </w:r>
      <w:bookmarkEnd w:id="22"/>
    </w:p>
    <w:p w:rsidR="007D4BCC" w:rsidRPr="0049187C" w:rsidRDefault="007D4BCC" w:rsidP="007D4BCC">
      <w:pPr>
        <w:pStyle w:val="IASBNormalnpara"/>
        <w:rPr>
          <w:b/>
          <w:lang w:val="ru-RU"/>
        </w:rPr>
      </w:pPr>
      <w:r w:rsidRPr="0049187C">
        <w:rPr>
          <w:b/>
          <w:lang w:val="ru-RU"/>
        </w:rPr>
        <w:t>5.2.2</w:t>
      </w:r>
      <w:r w:rsidRPr="0049187C">
        <w:rPr>
          <w:b/>
          <w:lang w:val="ru-RU"/>
        </w:rPr>
        <w:tab/>
      </w:r>
      <w:bookmarkStart w:id="23" w:name="F27177543"/>
      <w:r w:rsidRPr="0049187C">
        <w:rPr>
          <w:b/>
          <w:lang w:val="ru-RU"/>
        </w:rPr>
        <w:t xml:space="preserve">Организация должна применять требования </w:t>
      </w:r>
      <w:r w:rsidR="00CA6B35">
        <w:rPr>
          <w:b/>
          <w:lang w:val="ru-RU"/>
        </w:rPr>
        <w:t>относительно</w:t>
      </w:r>
      <w:r w:rsidR="0021041F" w:rsidRPr="0049187C">
        <w:rPr>
          <w:b/>
          <w:lang w:val="ru-RU"/>
        </w:rPr>
        <w:t xml:space="preserve"> </w:t>
      </w:r>
      <w:r w:rsidRPr="0049187C">
        <w:rPr>
          <w:b/>
          <w:lang w:val="ru-RU"/>
        </w:rPr>
        <w:t>обесценени</w:t>
      </w:r>
      <w:r w:rsidR="0021041F" w:rsidRPr="0049187C">
        <w:rPr>
          <w:b/>
          <w:lang w:val="ru-RU"/>
        </w:rPr>
        <w:t>я</w:t>
      </w:r>
      <w:r w:rsidR="00C25F1D">
        <w:rPr>
          <w:b/>
          <w:lang w:val="ru-RU"/>
        </w:rPr>
        <w:t>, изложенные в Р</w:t>
      </w:r>
      <w:r w:rsidR="00CA6B35">
        <w:rPr>
          <w:b/>
          <w:lang w:val="ru-RU"/>
        </w:rPr>
        <w:t>азделе </w:t>
      </w:r>
      <w:r w:rsidRPr="0049187C">
        <w:rPr>
          <w:b/>
          <w:lang w:val="ru-RU"/>
        </w:rPr>
        <w:t>5.5, к финансовым активам, оцениваемым по амортизированной стоимости в соответствии с пунктом 4.1.2, и к финансовым активам, оцениваемым по справедливой стоимости через прочий совокупный доход в соответствии с пунктом 4.1.2А.</w:t>
      </w:r>
      <w:bookmarkEnd w:id="23"/>
    </w:p>
    <w:p w:rsidR="007D4BCC" w:rsidRPr="0049187C" w:rsidRDefault="007D4BCC" w:rsidP="007D4BCC">
      <w:pPr>
        <w:pStyle w:val="IASBNormalnpara"/>
        <w:rPr>
          <w:b/>
          <w:lang w:val="ru-RU"/>
        </w:rPr>
      </w:pPr>
      <w:r w:rsidRPr="0049187C">
        <w:rPr>
          <w:b/>
          <w:lang w:val="ru-RU"/>
        </w:rPr>
        <w:t>5.2.3</w:t>
      </w:r>
      <w:r w:rsidRPr="0049187C">
        <w:rPr>
          <w:b/>
          <w:lang w:val="ru-RU"/>
        </w:rPr>
        <w:tab/>
      </w:r>
      <w:bookmarkStart w:id="24" w:name="F32570041"/>
      <w:bookmarkStart w:id="25" w:name="F27177544"/>
      <w:r w:rsidRPr="0049187C">
        <w:rPr>
          <w:b/>
          <w:lang w:val="ru-RU"/>
        </w:rPr>
        <w:t>Организация должна применять требования</w:t>
      </w:r>
      <w:r w:rsidR="008B521C">
        <w:rPr>
          <w:b/>
          <w:lang w:val="ru-RU"/>
        </w:rPr>
        <w:t xml:space="preserve"> пунктов</w:t>
      </w:r>
      <w:r w:rsidR="008B521C" w:rsidRPr="0049187C">
        <w:rPr>
          <w:b/>
          <w:lang w:val="ru-RU"/>
        </w:rPr>
        <w:t xml:space="preserve"> 6.5.8–6.5.14</w:t>
      </w:r>
      <w:r w:rsidRPr="0049187C">
        <w:rPr>
          <w:b/>
          <w:lang w:val="ru-RU"/>
        </w:rPr>
        <w:t xml:space="preserve"> к</w:t>
      </w:r>
      <w:r w:rsidR="008B521C">
        <w:rPr>
          <w:b/>
          <w:lang w:val="ru-RU"/>
        </w:rPr>
        <w:t>асательно учета</w:t>
      </w:r>
      <w:r w:rsidR="005624B1">
        <w:rPr>
          <w:b/>
          <w:lang w:val="ru-RU"/>
        </w:rPr>
        <w:t xml:space="preserve"> хеджирования (а также, если применимо, пунктов</w:t>
      </w:r>
      <w:r w:rsidRPr="0049187C">
        <w:rPr>
          <w:b/>
          <w:lang w:val="ru-RU"/>
        </w:rPr>
        <w:t xml:space="preserve"> 89–94 МСФО (IAS) 39</w:t>
      </w:r>
      <w:r w:rsidR="00536C50">
        <w:rPr>
          <w:b/>
          <w:lang w:val="ru-RU"/>
        </w:rPr>
        <w:t xml:space="preserve"> </w:t>
      </w:r>
      <w:r w:rsidR="00536C50" w:rsidRPr="00536C50">
        <w:rPr>
          <w:b/>
          <w:i/>
          <w:lang w:val="ru-RU"/>
        </w:rPr>
        <w:t>«Финансовые инструменты: признание и оценка»</w:t>
      </w:r>
      <w:r w:rsidRPr="0049187C">
        <w:rPr>
          <w:b/>
          <w:lang w:val="ru-RU"/>
        </w:rPr>
        <w:t xml:space="preserve"> касательно учета хеджиро</w:t>
      </w:r>
      <w:r w:rsidR="005624B1">
        <w:rPr>
          <w:b/>
          <w:lang w:val="ru-RU"/>
        </w:rPr>
        <w:t>вания справедливой стоимости в случае портфельного хеджирования</w:t>
      </w:r>
      <w:r w:rsidRPr="0049187C">
        <w:rPr>
          <w:b/>
          <w:lang w:val="ru-RU"/>
        </w:rPr>
        <w:t xml:space="preserve"> п</w:t>
      </w:r>
      <w:r w:rsidR="005624B1">
        <w:rPr>
          <w:b/>
          <w:lang w:val="ru-RU"/>
        </w:rPr>
        <w:t>роцентного риска)</w:t>
      </w:r>
      <w:r w:rsidRPr="0049187C">
        <w:rPr>
          <w:b/>
          <w:lang w:val="ru-RU"/>
        </w:rPr>
        <w:t xml:space="preserve"> к финансовому активу, который </w:t>
      </w:r>
      <w:r w:rsidR="005624B1">
        <w:rPr>
          <w:b/>
          <w:lang w:val="ru-RU"/>
        </w:rPr>
        <w:t xml:space="preserve">определен </w:t>
      </w:r>
      <w:r w:rsidR="00207E17">
        <w:rPr>
          <w:b/>
          <w:lang w:val="ru-RU"/>
        </w:rPr>
        <w:t>по усмотрению</w:t>
      </w:r>
      <w:r w:rsidR="005624B1">
        <w:rPr>
          <w:b/>
          <w:lang w:val="ru-RU"/>
        </w:rPr>
        <w:t xml:space="preserve"> организации</w:t>
      </w:r>
      <w:r w:rsidR="00207E17">
        <w:rPr>
          <w:b/>
          <w:lang w:val="ru-RU"/>
        </w:rPr>
        <w:t xml:space="preserve"> </w:t>
      </w:r>
      <w:r w:rsidRPr="0049187C">
        <w:rPr>
          <w:b/>
          <w:lang w:val="ru-RU"/>
        </w:rPr>
        <w:t>как объект хеджирования</w:t>
      </w:r>
      <w:bookmarkEnd w:id="25"/>
      <w:r w:rsidRPr="0049187C">
        <w:rPr>
          <w:rStyle w:val="a3"/>
          <w:b/>
          <w:lang w:val="ru-RU"/>
        </w:rPr>
        <w:footnoteReference w:id="1"/>
      </w:r>
      <w:bookmarkEnd w:id="24"/>
      <w:r w:rsidRPr="0049187C">
        <w:rPr>
          <w:b/>
          <w:lang w:val="ru-RU"/>
        </w:rPr>
        <w:t>.</w:t>
      </w:r>
    </w:p>
    <w:p w:rsidR="007D4BCC" w:rsidRPr="0049187C" w:rsidRDefault="007D4BCC" w:rsidP="007D4BCC">
      <w:pPr>
        <w:pStyle w:val="IASBSectionTitle1NonInd"/>
        <w:rPr>
          <w:lang w:val="ru-RU"/>
        </w:rPr>
      </w:pPr>
      <w:bookmarkStart w:id="26" w:name="F32570043"/>
      <w:r w:rsidRPr="0049187C">
        <w:rPr>
          <w:lang w:val="ru-RU"/>
        </w:rPr>
        <w:t xml:space="preserve">5.3 </w:t>
      </w:r>
      <w:bookmarkEnd w:id="26"/>
      <w:r w:rsidRPr="0049187C">
        <w:rPr>
          <w:lang w:val="ru-RU"/>
        </w:rPr>
        <w:t>Последующая оценка финансовых обязательств</w:t>
      </w:r>
    </w:p>
    <w:p w:rsidR="007D4BCC" w:rsidRPr="0049187C" w:rsidRDefault="007D4BCC" w:rsidP="007D4BCC">
      <w:pPr>
        <w:pStyle w:val="IASBNormalnpara"/>
        <w:rPr>
          <w:b/>
          <w:lang w:val="ru-RU"/>
        </w:rPr>
      </w:pPr>
      <w:r w:rsidRPr="0049187C">
        <w:rPr>
          <w:b/>
          <w:lang w:val="ru-RU"/>
        </w:rPr>
        <w:t>5.3.1</w:t>
      </w:r>
      <w:r w:rsidRPr="0049187C">
        <w:rPr>
          <w:b/>
          <w:lang w:val="ru-RU"/>
        </w:rPr>
        <w:tab/>
      </w:r>
      <w:bookmarkStart w:id="27" w:name="F27177547"/>
      <w:r w:rsidRPr="0049187C">
        <w:rPr>
          <w:b/>
          <w:lang w:val="ru-RU"/>
        </w:rPr>
        <w:t xml:space="preserve">После первоначального признания организация должна оценивать финансовое обязательство </w:t>
      </w:r>
      <w:r w:rsidR="00A876BE">
        <w:rPr>
          <w:b/>
          <w:lang w:val="ru-RU"/>
        </w:rPr>
        <w:t>в соответствии с пунктами 4.2.1</w:t>
      </w:r>
      <w:r w:rsidR="00A876BE" w:rsidRPr="008872E8">
        <w:rPr>
          <w:lang w:val="ru-RU"/>
        </w:rPr>
        <w:t>–</w:t>
      </w:r>
      <w:r w:rsidRPr="0049187C">
        <w:rPr>
          <w:b/>
          <w:lang w:val="ru-RU"/>
        </w:rPr>
        <w:t>4.2.2.</w:t>
      </w:r>
      <w:bookmarkEnd w:id="27"/>
    </w:p>
    <w:p w:rsidR="007D4BCC" w:rsidRPr="0049187C" w:rsidRDefault="007D4BCC" w:rsidP="007D4BCC">
      <w:pPr>
        <w:pStyle w:val="IASBNormalnpara"/>
        <w:rPr>
          <w:b/>
          <w:lang w:val="ru-RU"/>
        </w:rPr>
      </w:pPr>
      <w:r w:rsidRPr="0049187C">
        <w:rPr>
          <w:b/>
          <w:lang w:val="ru-RU"/>
        </w:rPr>
        <w:t>5.3.2</w:t>
      </w:r>
      <w:r w:rsidRPr="0049187C">
        <w:rPr>
          <w:b/>
          <w:lang w:val="ru-RU"/>
        </w:rPr>
        <w:tab/>
      </w:r>
      <w:bookmarkStart w:id="28" w:name="F27177548"/>
      <w:r w:rsidRPr="0049187C">
        <w:rPr>
          <w:b/>
          <w:lang w:val="ru-RU"/>
        </w:rPr>
        <w:t>Организация должна применять требования</w:t>
      </w:r>
      <w:r w:rsidR="005624B1">
        <w:rPr>
          <w:b/>
          <w:lang w:val="ru-RU"/>
        </w:rPr>
        <w:t xml:space="preserve"> пунктов</w:t>
      </w:r>
      <w:r w:rsidR="005624B1" w:rsidRPr="0049187C">
        <w:rPr>
          <w:b/>
          <w:lang w:val="ru-RU"/>
        </w:rPr>
        <w:t xml:space="preserve"> 6.5.8–6.5.14</w:t>
      </w:r>
      <w:r w:rsidRPr="0049187C">
        <w:rPr>
          <w:b/>
          <w:lang w:val="ru-RU"/>
        </w:rPr>
        <w:t xml:space="preserve"> к</w:t>
      </w:r>
      <w:r w:rsidR="005624B1">
        <w:rPr>
          <w:b/>
          <w:lang w:val="ru-RU"/>
        </w:rPr>
        <w:t>асательно учета</w:t>
      </w:r>
      <w:r w:rsidRPr="0049187C">
        <w:rPr>
          <w:b/>
          <w:lang w:val="ru-RU"/>
        </w:rPr>
        <w:t xml:space="preserve"> хеджирования </w:t>
      </w:r>
      <w:r w:rsidR="005624B1">
        <w:rPr>
          <w:b/>
          <w:lang w:val="ru-RU"/>
        </w:rPr>
        <w:t>(а также, если это применимо, пунктов</w:t>
      </w:r>
      <w:r w:rsidRPr="0049187C">
        <w:rPr>
          <w:b/>
          <w:lang w:val="ru-RU"/>
        </w:rPr>
        <w:t xml:space="preserve"> 89–94 МСФО (IAS) 39 касательно учета хеджир</w:t>
      </w:r>
      <w:r w:rsidR="005624B1">
        <w:rPr>
          <w:b/>
          <w:lang w:val="ru-RU"/>
        </w:rPr>
        <w:t>ования справедливой стоимости в случае портфельного хеджирования процентного риска)</w:t>
      </w:r>
      <w:r w:rsidRPr="0049187C">
        <w:rPr>
          <w:b/>
          <w:lang w:val="ru-RU"/>
        </w:rPr>
        <w:t xml:space="preserve"> к финансовому обязательству, которое </w:t>
      </w:r>
      <w:r w:rsidR="00CA6B35">
        <w:rPr>
          <w:b/>
          <w:lang w:val="ru-RU"/>
        </w:rPr>
        <w:t>определено</w:t>
      </w:r>
      <w:r w:rsidR="005624B1">
        <w:rPr>
          <w:b/>
          <w:lang w:val="ru-RU"/>
        </w:rPr>
        <w:t xml:space="preserve"> </w:t>
      </w:r>
      <w:r w:rsidR="00207E17">
        <w:rPr>
          <w:b/>
          <w:lang w:val="ru-RU"/>
        </w:rPr>
        <w:t>по</w:t>
      </w:r>
      <w:r w:rsidR="00BD7856">
        <w:rPr>
          <w:b/>
          <w:lang w:val="ru-RU"/>
        </w:rPr>
        <w:t xml:space="preserve"> </w:t>
      </w:r>
      <w:r w:rsidR="00207E17">
        <w:rPr>
          <w:b/>
          <w:lang w:val="ru-RU"/>
        </w:rPr>
        <w:t xml:space="preserve">усмотрению </w:t>
      </w:r>
      <w:r w:rsidR="005624B1">
        <w:rPr>
          <w:b/>
          <w:lang w:val="ru-RU"/>
        </w:rPr>
        <w:t>организации</w:t>
      </w:r>
      <w:r w:rsidRPr="0049187C">
        <w:rPr>
          <w:b/>
          <w:lang w:val="ru-RU"/>
        </w:rPr>
        <w:t xml:space="preserve"> как объект хеджирования.</w:t>
      </w:r>
      <w:bookmarkEnd w:id="28"/>
    </w:p>
    <w:p w:rsidR="007D4BCC" w:rsidRPr="0049187C" w:rsidRDefault="007D4BCC" w:rsidP="007D4BCC">
      <w:pPr>
        <w:pStyle w:val="IASBSectionTitle1NonInd"/>
        <w:rPr>
          <w:lang w:val="ru-RU"/>
        </w:rPr>
      </w:pPr>
      <w:bookmarkStart w:id="29" w:name="F32570047"/>
      <w:r w:rsidRPr="0049187C">
        <w:rPr>
          <w:lang w:val="ru-RU"/>
        </w:rPr>
        <w:t xml:space="preserve">5.4 </w:t>
      </w:r>
      <w:bookmarkEnd w:id="29"/>
      <w:r w:rsidRPr="0049187C">
        <w:rPr>
          <w:lang w:val="ru-RU"/>
        </w:rPr>
        <w:t>Оценка по амортизированной стоимости</w:t>
      </w:r>
    </w:p>
    <w:p w:rsidR="007D4BCC" w:rsidRPr="0049187C" w:rsidRDefault="007D4BCC" w:rsidP="007D4BCC">
      <w:pPr>
        <w:pStyle w:val="IASBSectionTitle2Ind"/>
        <w:rPr>
          <w:lang w:val="ru-RU"/>
        </w:rPr>
      </w:pPr>
      <w:r w:rsidRPr="0049187C">
        <w:rPr>
          <w:lang w:val="ru-RU"/>
        </w:rPr>
        <w:t>Финансовые активы</w:t>
      </w:r>
    </w:p>
    <w:p w:rsidR="007D4BCC" w:rsidRPr="0049187C" w:rsidRDefault="007D4BCC" w:rsidP="007D4BCC">
      <w:pPr>
        <w:pStyle w:val="IASBSectionTitle3Ind"/>
        <w:rPr>
          <w:lang w:val="ru-RU"/>
        </w:rPr>
      </w:pPr>
      <w:r w:rsidRPr="0049187C">
        <w:rPr>
          <w:lang w:val="ru-RU"/>
        </w:rPr>
        <w:t>Метод эффективной процентной ставки</w:t>
      </w:r>
    </w:p>
    <w:p w:rsidR="007D4BCC" w:rsidRPr="0049187C" w:rsidRDefault="007D4BCC" w:rsidP="007D4BCC">
      <w:pPr>
        <w:pStyle w:val="IASBNormalnpara"/>
        <w:rPr>
          <w:b/>
          <w:lang w:val="ru-RU"/>
        </w:rPr>
      </w:pPr>
      <w:r w:rsidRPr="0049187C">
        <w:rPr>
          <w:b/>
          <w:lang w:val="ru-RU"/>
        </w:rPr>
        <w:t>5.4.1</w:t>
      </w:r>
      <w:r w:rsidRPr="0049187C">
        <w:rPr>
          <w:b/>
          <w:lang w:val="ru-RU"/>
        </w:rPr>
        <w:tab/>
        <w:t>Процентн</w:t>
      </w:r>
      <w:r w:rsidR="0021041F" w:rsidRPr="0049187C">
        <w:rPr>
          <w:b/>
          <w:lang w:val="ru-RU"/>
        </w:rPr>
        <w:t>ая выручка</w:t>
      </w:r>
      <w:r w:rsidRPr="0049187C">
        <w:rPr>
          <w:b/>
          <w:lang w:val="ru-RU"/>
        </w:rPr>
        <w:t xml:space="preserve"> долж</w:t>
      </w:r>
      <w:r w:rsidR="0021041F" w:rsidRPr="0049187C">
        <w:rPr>
          <w:b/>
          <w:lang w:val="ru-RU"/>
        </w:rPr>
        <w:t>на</w:t>
      </w:r>
      <w:r w:rsidRPr="0049187C">
        <w:rPr>
          <w:b/>
          <w:lang w:val="ru-RU"/>
        </w:rPr>
        <w:t xml:space="preserve"> рассчитываться с использованием </w:t>
      </w:r>
      <w:r w:rsidRPr="0049187C">
        <w:rPr>
          <w:b/>
          <w:i/>
          <w:lang w:val="ru-RU"/>
        </w:rPr>
        <w:t>метода эффективной процентной ставки</w:t>
      </w:r>
      <w:r w:rsidRPr="0049187C">
        <w:rPr>
          <w:b/>
          <w:lang w:val="ru-RU"/>
        </w:rPr>
        <w:t xml:space="preserve"> (см. Приложение А и пункты B5.4.1–B5.4.7), что означает применение </w:t>
      </w:r>
      <w:r w:rsidRPr="0049187C">
        <w:rPr>
          <w:b/>
          <w:i/>
          <w:lang w:val="ru-RU"/>
        </w:rPr>
        <w:t>эффективной процентной ставки</w:t>
      </w:r>
      <w:r w:rsidRPr="0049187C">
        <w:rPr>
          <w:b/>
          <w:lang w:val="ru-RU"/>
        </w:rPr>
        <w:t xml:space="preserve"> к </w:t>
      </w:r>
      <w:r w:rsidRPr="0049187C">
        <w:rPr>
          <w:b/>
          <w:i/>
          <w:lang w:val="ru-RU"/>
        </w:rPr>
        <w:t>валовой балансовой стоимости финансового актива</w:t>
      </w:r>
      <w:r w:rsidRPr="0049187C">
        <w:rPr>
          <w:b/>
          <w:lang w:val="ru-RU"/>
        </w:rPr>
        <w:t>, за исключением:</w:t>
      </w:r>
    </w:p>
    <w:p w:rsidR="007D4BCC" w:rsidRPr="0049187C" w:rsidRDefault="007D4BCC" w:rsidP="007D4BCC">
      <w:pPr>
        <w:pStyle w:val="IASBNormalnparaL1"/>
        <w:rPr>
          <w:b/>
          <w:lang w:val="ru-RU"/>
        </w:rPr>
      </w:pPr>
      <w:r w:rsidRPr="0049187C">
        <w:rPr>
          <w:b/>
          <w:lang w:val="ru-RU"/>
        </w:rPr>
        <w:t>(a)</w:t>
      </w:r>
      <w:r w:rsidRPr="0049187C">
        <w:rPr>
          <w:b/>
          <w:lang w:val="ru-RU"/>
        </w:rPr>
        <w:tab/>
      </w:r>
      <w:r w:rsidRPr="0049187C">
        <w:rPr>
          <w:b/>
          <w:i/>
          <w:lang w:val="ru-RU"/>
        </w:rPr>
        <w:t xml:space="preserve">приобретенных или </w:t>
      </w:r>
      <w:r w:rsidR="00AE427A">
        <w:rPr>
          <w:b/>
          <w:i/>
          <w:lang w:val="ru-RU"/>
        </w:rPr>
        <w:t>созданных кредитно-обесцененных</w:t>
      </w:r>
      <w:r w:rsidR="0021041F" w:rsidRPr="0049187C">
        <w:rPr>
          <w:b/>
          <w:i/>
          <w:lang w:val="ru-RU"/>
        </w:rPr>
        <w:t xml:space="preserve"> </w:t>
      </w:r>
      <w:r w:rsidRPr="0049187C">
        <w:rPr>
          <w:b/>
          <w:i/>
          <w:lang w:val="ru-RU"/>
        </w:rPr>
        <w:t>финансовых активов</w:t>
      </w:r>
      <w:r w:rsidRPr="0049187C">
        <w:rPr>
          <w:b/>
          <w:lang w:val="ru-RU"/>
        </w:rPr>
        <w:t xml:space="preserve">. </w:t>
      </w:r>
      <w:r w:rsidR="0021041F" w:rsidRPr="0049187C">
        <w:rPr>
          <w:b/>
          <w:lang w:val="ru-RU"/>
        </w:rPr>
        <w:t>В случае</w:t>
      </w:r>
      <w:r w:rsidRPr="0049187C">
        <w:rPr>
          <w:b/>
          <w:lang w:val="ru-RU"/>
        </w:rPr>
        <w:t xml:space="preserve"> таких финансовых активов организация должна применять </w:t>
      </w:r>
      <w:r w:rsidRPr="0049187C">
        <w:rPr>
          <w:b/>
          <w:i/>
          <w:lang w:val="ru-RU"/>
        </w:rPr>
        <w:t>эффективную процентную ставку, скорректированную с учетом кредитного риска</w:t>
      </w:r>
      <w:r w:rsidRPr="0049187C">
        <w:rPr>
          <w:b/>
          <w:lang w:val="ru-RU"/>
        </w:rPr>
        <w:t xml:space="preserve">, к </w:t>
      </w:r>
      <w:r w:rsidRPr="0049187C">
        <w:rPr>
          <w:b/>
          <w:i/>
          <w:lang w:val="ru-RU"/>
        </w:rPr>
        <w:t>амортизированной стоимости финансового актива</w:t>
      </w:r>
      <w:r w:rsidRPr="0049187C">
        <w:rPr>
          <w:b/>
          <w:lang w:val="ru-RU"/>
        </w:rPr>
        <w:t xml:space="preserve"> с мо</w:t>
      </w:r>
      <w:r w:rsidR="00CA6B35">
        <w:rPr>
          <w:b/>
          <w:lang w:val="ru-RU"/>
        </w:rPr>
        <w:t>мента первоначального признания;</w:t>
      </w:r>
    </w:p>
    <w:p w:rsidR="007D4BCC" w:rsidRPr="0049187C" w:rsidRDefault="007D4BCC" w:rsidP="007D4BCC">
      <w:pPr>
        <w:pStyle w:val="IASBNormalnparaL1"/>
        <w:rPr>
          <w:b/>
          <w:lang w:val="ru-RU"/>
        </w:rPr>
      </w:pPr>
      <w:r w:rsidRPr="0049187C">
        <w:rPr>
          <w:b/>
          <w:lang w:val="ru-RU"/>
        </w:rPr>
        <w:t>(b)</w:t>
      </w:r>
      <w:r w:rsidRPr="0049187C">
        <w:rPr>
          <w:b/>
          <w:lang w:val="ru-RU"/>
        </w:rPr>
        <w:tab/>
        <w:t>финансовы</w:t>
      </w:r>
      <w:r w:rsidR="0021041F" w:rsidRPr="0049187C">
        <w:rPr>
          <w:b/>
          <w:lang w:val="ru-RU"/>
        </w:rPr>
        <w:t>х</w:t>
      </w:r>
      <w:r w:rsidRPr="0049187C">
        <w:rPr>
          <w:b/>
          <w:lang w:val="ru-RU"/>
        </w:rPr>
        <w:t xml:space="preserve"> актив</w:t>
      </w:r>
      <w:r w:rsidR="0021041F" w:rsidRPr="0049187C">
        <w:rPr>
          <w:b/>
          <w:lang w:val="ru-RU"/>
        </w:rPr>
        <w:t>ов</w:t>
      </w:r>
      <w:r w:rsidRPr="0049187C">
        <w:rPr>
          <w:b/>
          <w:lang w:val="ru-RU"/>
        </w:rPr>
        <w:t xml:space="preserve">, которые не являются приобретенными или </w:t>
      </w:r>
      <w:r w:rsidR="00AE427A">
        <w:rPr>
          <w:b/>
          <w:lang w:val="ru-RU"/>
        </w:rPr>
        <w:t>созданными</w:t>
      </w:r>
      <w:r w:rsidR="0021041F" w:rsidRPr="0049187C">
        <w:rPr>
          <w:b/>
          <w:lang w:val="ru-RU"/>
        </w:rPr>
        <w:t xml:space="preserve"> </w:t>
      </w:r>
      <w:r w:rsidR="00AE427A">
        <w:rPr>
          <w:b/>
          <w:lang w:val="ru-RU"/>
        </w:rPr>
        <w:t xml:space="preserve">кредитно-обесцененными </w:t>
      </w:r>
      <w:r w:rsidRPr="0049187C">
        <w:rPr>
          <w:b/>
          <w:lang w:val="ru-RU"/>
        </w:rPr>
        <w:t xml:space="preserve">финансовыми активами, но которые впоследствии стали </w:t>
      </w:r>
      <w:r w:rsidR="00AE427A" w:rsidRPr="00AE427A">
        <w:rPr>
          <w:b/>
          <w:i/>
          <w:lang w:val="ru-RU"/>
        </w:rPr>
        <w:t xml:space="preserve">кредитно-обесцененными </w:t>
      </w:r>
      <w:r w:rsidRPr="0049187C">
        <w:rPr>
          <w:b/>
          <w:i/>
          <w:lang w:val="ru-RU"/>
        </w:rPr>
        <w:t>финансовыми активами</w:t>
      </w:r>
      <w:r w:rsidRPr="0049187C">
        <w:rPr>
          <w:b/>
          <w:lang w:val="ru-RU"/>
        </w:rPr>
        <w:t xml:space="preserve">. </w:t>
      </w:r>
      <w:r w:rsidR="0021041F" w:rsidRPr="0049187C">
        <w:rPr>
          <w:b/>
          <w:lang w:val="ru-RU"/>
        </w:rPr>
        <w:t xml:space="preserve">В случае </w:t>
      </w:r>
      <w:r w:rsidRPr="0049187C">
        <w:rPr>
          <w:b/>
          <w:lang w:val="ru-RU"/>
        </w:rPr>
        <w:t>таких финансовых активов организация должна применять эффективную процентную ставку к амортизированной стоимости финансового актива в последующих отчетных периодах.</w:t>
      </w:r>
    </w:p>
    <w:p w:rsidR="007D4BCC" w:rsidRPr="0049187C" w:rsidRDefault="007D4BCC" w:rsidP="007D4BCC">
      <w:pPr>
        <w:pStyle w:val="IASBNormalnpara"/>
        <w:rPr>
          <w:lang w:val="ru-RU"/>
        </w:rPr>
      </w:pPr>
      <w:r w:rsidRPr="0049187C">
        <w:rPr>
          <w:lang w:val="ru-RU"/>
        </w:rPr>
        <w:t>5.4.2</w:t>
      </w:r>
      <w:r w:rsidRPr="0049187C">
        <w:rPr>
          <w:lang w:val="ru-RU"/>
        </w:rPr>
        <w:tab/>
        <w:t>Организация, которая в отчетном периоде рассчитывает процентн</w:t>
      </w:r>
      <w:r w:rsidR="0021041F" w:rsidRPr="0049187C">
        <w:rPr>
          <w:lang w:val="ru-RU"/>
        </w:rPr>
        <w:t>ую выручку</w:t>
      </w:r>
      <w:r w:rsidRPr="0049187C">
        <w:rPr>
          <w:lang w:val="ru-RU"/>
        </w:rPr>
        <w:t xml:space="preserve"> путем применения эффективной процентной ставки к амортизированной стоимости финансового актива в соответствии с пунктом 5.4.1(b), должна в последующих отчетных периодах рассчитывать процентн</w:t>
      </w:r>
      <w:r w:rsidR="0021041F" w:rsidRPr="0049187C">
        <w:rPr>
          <w:lang w:val="ru-RU"/>
        </w:rPr>
        <w:t>ую выручку</w:t>
      </w:r>
      <w:r w:rsidRPr="0049187C">
        <w:rPr>
          <w:lang w:val="ru-RU"/>
        </w:rPr>
        <w:t xml:space="preserve"> путем применения эффективной процентной ставки к валовой балансовой стоимости, если кредитный риск по финансовому инструменту уменьшается настолько, что финансовый актив бол</w:t>
      </w:r>
      <w:r w:rsidR="00C63518">
        <w:rPr>
          <w:lang w:val="ru-RU"/>
        </w:rPr>
        <w:t>ее</w:t>
      </w:r>
      <w:r w:rsidRPr="0049187C">
        <w:rPr>
          <w:lang w:val="ru-RU"/>
        </w:rPr>
        <w:t xml:space="preserve"> не является </w:t>
      </w:r>
      <w:r w:rsidR="007E6FF8">
        <w:rPr>
          <w:lang w:val="ru-RU"/>
        </w:rPr>
        <w:t>кредитно-</w:t>
      </w:r>
      <w:r w:rsidRPr="0049187C">
        <w:rPr>
          <w:lang w:val="ru-RU"/>
        </w:rPr>
        <w:t>обесценен</w:t>
      </w:r>
      <w:r w:rsidR="007E6FF8">
        <w:rPr>
          <w:lang w:val="ru-RU"/>
        </w:rPr>
        <w:t>ным</w:t>
      </w:r>
      <w:r w:rsidRPr="0049187C">
        <w:rPr>
          <w:lang w:val="ru-RU"/>
        </w:rPr>
        <w:t xml:space="preserve">, и </w:t>
      </w:r>
      <w:r w:rsidR="00BD7856">
        <w:rPr>
          <w:lang w:val="ru-RU"/>
        </w:rPr>
        <w:t xml:space="preserve">это </w:t>
      </w:r>
      <w:r w:rsidRPr="0049187C">
        <w:rPr>
          <w:lang w:val="ru-RU"/>
        </w:rPr>
        <w:t>уменьшение объективно можно связать с событием, произошедшим после применения требовани</w:t>
      </w:r>
      <w:r w:rsidR="00A54F4B">
        <w:rPr>
          <w:lang w:val="ru-RU"/>
        </w:rPr>
        <w:t>й пункта</w:t>
      </w:r>
      <w:r w:rsidRPr="0049187C">
        <w:rPr>
          <w:lang w:val="ru-RU"/>
        </w:rPr>
        <w:t xml:space="preserve"> 5.4.1(b) (например, </w:t>
      </w:r>
      <w:r w:rsidR="00C63518">
        <w:rPr>
          <w:lang w:val="ru-RU"/>
        </w:rPr>
        <w:t xml:space="preserve">с </w:t>
      </w:r>
      <w:r w:rsidRPr="0049187C">
        <w:rPr>
          <w:lang w:val="ru-RU"/>
        </w:rPr>
        <w:t>улучшение</w:t>
      </w:r>
      <w:r w:rsidR="00C63518">
        <w:rPr>
          <w:lang w:val="ru-RU"/>
        </w:rPr>
        <w:t>м</w:t>
      </w:r>
      <w:r w:rsidRPr="0049187C">
        <w:rPr>
          <w:lang w:val="ru-RU"/>
        </w:rPr>
        <w:t xml:space="preserve"> кредитного рейтинга заемщика).</w:t>
      </w:r>
    </w:p>
    <w:p w:rsidR="007D4BCC" w:rsidRPr="0049187C" w:rsidRDefault="0021041F" w:rsidP="007D4BCC">
      <w:pPr>
        <w:pStyle w:val="IASBSectionTitle3Ind"/>
        <w:rPr>
          <w:lang w:val="ru-RU"/>
        </w:rPr>
      </w:pPr>
      <w:r w:rsidRPr="0049187C">
        <w:rPr>
          <w:lang w:val="ru-RU"/>
        </w:rPr>
        <w:t xml:space="preserve">Модификация </w:t>
      </w:r>
      <w:r w:rsidR="007D4BCC" w:rsidRPr="0049187C">
        <w:rPr>
          <w:lang w:val="ru-RU"/>
        </w:rPr>
        <w:t>предусмотренных договором денежных потоков</w:t>
      </w:r>
    </w:p>
    <w:p w:rsidR="007D4BCC" w:rsidRPr="0049187C" w:rsidRDefault="007D4BCC" w:rsidP="007D4BCC">
      <w:pPr>
        <w:pStyle w:val="IASBNormalnpara"/>
        <w:rPr>
          <w:lang w:val="ru-RU"/>
        </w:rPr>
      </w:pPr>
      <w:r w:rsidRPr="0049187C">
        <w:rPr>
          <w:lang w:val="ru-RU"/>
        </w:rPr>
        <w:t>5.4.3</w:t>
      </w:r>
      <w:r w:rsidRPr="0049187C">
        <w:rPr>
          <w:lang w:val="ru-RU"/>
        </w:rPr>
        <w:tab/>
        <w:t xml:space="preserve">Если условия предусмотренных договором денежных потоков по финансовому активу пересматриваются </w:t>
      </w:r>
      <w:r w:rsidR="00C63518">
        <w:rPr>
          <w:lang w:val="ru-RU"/>
        </w:rPr>
        <w:t xml:space="preserve">по согласованию сторон </w:t>
      </w:r>
      <w:r w:rsidRPr="0049187C">
        <w:rPr>
          <w:lang w:val="ru-RU"/>
        </w:rPr>
        <w:t xml:space="preserve">или модифицируются </w:t>
      </w:r>
      <w:r w:rsidR="006366B1" w:rsidRPr="0049187C">
        <w:rPr>
          <w:lang w:val="ru-RU"/>
        </w:rPr>
        <w:t>другим образом,</w:t>
      </w:r>
      <w:r w:rsidRPr="0049187C">
        <w:rPr>
          <w:lang w:val="ru-RU"/>
        </w:rPr>
        <w:t xml:space="preserve"> и пересмотр или модификация не приводят к прекращению признания данного финансового актива в соответствии с настоящим стандартом, организация должна пересчитать валовую балансовую стоимость финансового актива и признать </w:t>
      </w:r>
      <w:r w:rsidRPr="0049187C">
        <w:rPr>
          <w:i/>
          <w:lang w:val="ru-RU"/>
        </w:rPr>
        <w:t>прибыль или убыток от модификации</w:t>
      </w:r>
      <w:r w:rsidRPr="0049187C">
        <w:rPr>
          <w:lang w:val="ru-RU"/>
        </w:rPr>
        <w:t xml:space="preserve"> в составе прибыли или убытка. Валовая балансовая стоимость финансового актива должна быть пересчитана как приведенная стоимость пересмотренных или модифицированных </w:t>
      </w:r>
      <w:r w:rsidR="00BD7856">
        <w:rPr>
          <w:lang w:val="ru-RU"/>
        </w:rPr>
        <w:t xml:space="preserve">денежных потоков, </w:t>
      </w:r>
      <w:r w:rsidRPr="0049187C">
        <w:rPr>
          <w:lang w:val="ru-RU"/>
        </w:rPr>
        <w:t>предусмотренных договором, котор</w:t>
      </w:r>
      <w:r w:rsidR="0021041F" w:rsidRPr="0049187C">
        <w:rPr>
          <w:lang w:val="ru-RU"/>
        </w:rPr>
        <w:t>ые</w:t>
      </w:r>
      <w:r w:rsidRPr="0049187C">
        <w:rPr>
          <w:lang w:val="ru-RU"/>
        </w:rPr>
        <w:t xml:space="preserve"> дисконтиру</w:t>
      </w:r>
      <w:r w:rsidR="0021041F" w:rsidRPr="0049187C">
        <w:rPr>
          <w:lang w:val="ru-RU"/>
        </w:rPr>
        <w:t>ю</w:t>
      </w:r>
      <w:r w:rsidRPr="0049187C">
        <w:rPr>
          <w:lang w:val="ru-RU"/>
        </w:rPr>
        <w:t>тся по первоначальной эффективной процентной ставке</w:t>
      </w:r>
      <w:r w:rsidR="00BD7856">
        <w:rPr>
          <w:lang w:val="ru-RU"/>
        </w:rPr>
        <w:t xml:space="preserve"> данного</w:t>
      </w:r>
      <w:r w:rsidRPr="0049187C">
        <w:rPr>
          <w:lang w:val="ru-RU"/>
        </w:rPr>
        <w:t xml:space="preserve"> финансового актива (или первоначальной эффективной процентной ставке, скорректированной с учетом кредитного риска, для приобретенных или </w:t>
      </w:r>
      <w:r w:rsidR="00AE427A">
        <w:rPr>
          <w:lang w:val="ru-RU"/>
        </w:rPr>
        <w:t>созданных кредитно-обесцененных</w:t>
      </w:r>
      <w:r w:rsidR="0021041F" w:rsidRPr="0049187C">
        <w:rPr>
          <w:lang w:val="ru-RU"/>
        </w:rPr>
        <w:t xml:space="preserve"> </w:t>
      </w:r>
      <w:r w:rsidRPr="0049187C">
        <w:rPr>
          <w:lang w:val="ru-RU"/>
        </w:rPr>
        <w:t>финансовых активов) или, если применимо, по пересмотренной эффективной процентной ставке, рассчитанной в соответствии с пунктом 6.5.10. Понесенные затраты и уплаченные комиссионные корректируют балансовую стоимость модифицированного финансового актива и амортизируются на протяжении оставшегося срока действия модифицированного финансового актива.</w:t>
      </w:r>
    </w:p>
    <w:p w:rsidR="007D4BCC" w:rsidRPr="0049187C" w:rsidRDefault="007D4BCC" w:rsidP="007D4BCC">
      <w:pPr>
        <w:pStyle w:val="IASBSectionTitle3Ind"/>
        <w:rPr>
          <w:lang w:val="ru-RU"/>
        </w:rPr>
      </w:pPr>
      <w:r w:rsidRPr="0049187C">
        <w:rPr>
          <w:lang w:val="ru-RU"/>
        </w:rPr>
        <w:t>Списание</w:t>
      </w:r>
    </w:p>
    <w:p w:rsidR="007D4BCC" w:rsidRDefault="007D4BCC" w:rsidP="007D4BCC">
      <w:pPr>
        <w:pStyle w:val="IASBNormalnpara"/>
        <w:rPr>
          <w:b/>
          <w:lang w:val="ru-RU"/>
        </w:rPr>
      </w:pPr>
      <w:r w:rsidRPr="0049187C">
        <w:rPr>
          <w:b/>
          <w:lang w:val="ru-RU"/>
        </w:rPr>
        <w:t>5.4.4</w:t>
      </w:r>
      <w:r w:rsidRPr="0049187C">
        <w:rPr>
          <w:b/>
          <w:lang w:val="ru-RU"/>
        </w:rPr>
        <w:tab/>
        <w:t xml:space="preserve">Организация должна напрямую уменьшить валовую балансовую стоимость финансового актива, если у организации нет обоснованных ожиданий </w:t>
      </w:r>
      <w:r w:rsidR="00C47E8A" w:rsidRPr="0049187C">
        <w:rPr>
          <w:b/>
          <w:lang w:val="ru-RU"/>
        </w:rPr>
        <w:t xml:space="preserve">относительно </w:t>
      </w:r>
      <w:r w:rsidR="00C63518" w:rsidRPr="0049187C">
        <w:rPr>
          <w:b/>
          <w:lang w:val="ru-RU"/>
        </w:rPr>
        <w:t>возмещени</w:t>
      </w:r>
      <w:r w:rsidR="00C63518">
        <w:rPr>
          <w:b/>
          <w:lang w:val="ru-RU"/>
        </w:rPr>
        <w:t>я</w:t>
      </w:r>
      <w:r w:rsidR="00C63518" w:rsidRPr="0049187C">
        <w:rPr>
          <w:b/>
          <w:lang w:val="ru-RU"/>
        </w:rPr>
        <w:t xml:space="preserve"> </w:t>
      </w:r>
      <w:r w:rsidRPr="0049187C">
        <w:rPr>
          <w:b/>
          <w:lang w:val="ru-RU"/>
        </w:rPr>
        <w:t xml:space="preserve">финансового актива </w:t>
      </w:r>
      <w:r w:rsidR="00C47E8A" w:rsidRPr="0049187C">
        <w:rPr>
          <w:b/>
          <w:lang w:val="ru-RU"/>
        </w:rPr>
        <w:t xml:space="preserve">в </w:t>
      </w:r>
      <w:r w:rsidR="00627F49" w:rsidRPr="0049187C">
        <w:rPr>
          <w:b/>
          <w:lang w:val="ru-RU"/>
        </w:rPr>
        <w:t>полном объеме</w:t>
      </w:r>
      <w:r w:rsidR="00C47E8A" w:rsidRPr="0049187C">
        <w:rPr>
          <w:b/>
          <w:lang w:val="ru-RU"/>
        </w:rPr>
        <w:t xml:space="preserve"> </w:t>
      </w:r>
      <w:r w:rsidRPr="0049187C">
        <w:rPr>
          <w:b/>
          <w:lang w:val="ru-RU"/>
        </w:rPr>
        <w:t>или его части. Списание представляет собой</w:t>
      </w:r>
      <w:r w:rsidR="00BD7856">
        <w:rPr>
          <w:b/>
          <w:lang w:val="ru-RU"/>
        </w:rPr>
        <w:t xml:space="preserve"> событие, ведущее к</w:t>
      </w:r>
      <w:r w:rsidRPr="0049187C">
        <w:rPr>
          <w:b/>
          <w:lang w:val="ru-RU"/>
        </w:rPr>
        <w:t xml:space="preserve"> прекращ</w:t>
      </w:r>
      <w:r w:rsidR="00BD7856">
        <w:rPr>
          <w:b/>
          <w:lang w:val="ru-RU"/>
        </w:rPr>
        <w:t>ению</w:t>
      </w:r>
      <w:r w:rsidRPr="0049187C">
        <w:rPr>
          <w:b/>
          <w:lang w:val="ru-RU"/>
        </w:rPr>
        <w:t xml:space="preserve"> признания (см. пункт B3.2.16(r)).</w:t>
      </w:r>
    </w:p>
    <w:p w:rsidR="0032224C" w:rsidRPr="0032224C" w:rsidRDefault="0032224C" w:rsidP="0032224C">
      <w:pPr>
        <w:keepNext/>
        <w:keepLines/>
        <w:spacing w:before="240" w:after="200"/>
        <w:ind w:left="782"/>
        <w:rPr>
          <w:rFonts w:ascii="Arial" w:hAnsi="Arial" w:cs="Arial"/>
          <w:b/>
          <w:sz w:val="22"/>
          <w:szCs w:val="20"/>
          <w:lang w:val="ru-RU"/>
        </w:rPr>
      </w:pPr>
      <w:r w:rsidRPr="0032224C">
        <w:rPr>
          <w:rFonts w:ascii="Arial" w:hAnsi="Arial" w:cs="Arial"/>
          <w:b/>
          <w:sz w:val="22"/>
          <w:szCs w:val="20"/>
          <w:lang w:val="ru-RU"/>
        </w:rPr>
        <w:t>Изменение основы для определения предусмотренных договором денежных потоков, вызванное реформой базовой процентной ставки</w:t>
      </w:r>
    </w:p>
    <w:p w:rsidR="0032224C" w:rsidRPr="0032224C" w:rsidRDefault="0032224C" w:rsidP="0032224C">
      <w:pPr>
        <w:spacing w:before="100"/>
        <w:ind w:left="782" w:hanging="782"/>
        <w:jc w:val="both"/>
        <w:rPr>
          <w:sz w:val="19"/>
          <w:szCs w:val="20"/>
          <w:lang w:val="ru-RU"/>
        </w:rPr>
      </w:pPr>
      <w:r w:rsidRPr="0032224C">
        <w:rPr>
          <w:sz w:val="19"/>
          <w:szCs w:val="20"/>
          <w:lang w:val="ru-RU"/>
        </w:rPr>
        <w:t>5.4.5</w:t>
      </w:r>
      <w:r w:rsidRPr="0032224C">
        <w:rPr>
          <w:sz w:val="19"/>
          <w:szCs w:val="20"/>
          <w:lang w:val="ru-RU"/>
        </w:rPr>
        <w:tab/>
        <w:t>Организация должна применять пункты 5.4.6‒5.4.9 к финансовому активу или финансовому обязательству в том и только в том случае, если основа для определения предусмотренных договором денежных потоков по этому финансовому активу или финансовому обязательству изменяется в результате реформы базовой процентной ставки. Для этих целей термин «реформа базовой процентной ставки» обозначает общерыночную реформу базовой процентной ставки согласно описанию в пункте</w:t>
      </w:r>
      <w:r w:rsidRPr="0032224C">
        <w:rPr>
          <w:sz w:val="19"/>
          <w:szCs w:val="20"/>
          <w:lang w:val="en-US"/>
        </w:rPr>
        <w:t> </w:t>
      </w:r>
      <w:r w:rsidRPr="0032224C">
        <w:rPr>
          <w:sz w:val="19"/>
          <w:szCs w:val="20"/>
          <w:lang w:val="ru-RU"/>
        </w:rPr>
        <w:t>6.8.2.</w:t>
      </w:r>
    </w:p>
    <w:p w:rsidR="0032224C" w:rsidRPr="0032224C" w:rsidRDefault="0032224C" w:rsidP="0032224C">
      <w:pPr>
        <w:spacing w:before="100"/>
        <w:ind w:left="782" w:hanging="782"/>
        <w:jc w:val="both"/>
        <w:rPr>
          <w:sz w:val="19"/>
          <w:szCs w:val="20"/>
          <w:lang w:val="ru-RU"/>
        </w:rPr>
      </w:pPr>
      <w:r w:rsidRPr="0032224C">
        <w:rPr>
          <w:sz w:val="19"/>
          <w:szCs w:val="20"/>
          <w:lang w:val="ru-RU"/>
        </w:rPr>
        <w:t>5.4.6</w:t>
      </w:r>
      <w:r w:rsidRPr="0032224C">
        <w:rPr>
          <w:sz w:val="19"/>
          <w:szCs w:val="20"/>
          <w:lang w:val="ru-RU"/>
        </w:rPr>
        <w:tab/>
        <w:t>Основа для определения предусмотренных договором денежных потоков по финансовому активу или финансовому обязательству может измениться:</w:t>
      </w:r>
    </w:p>
    <w:p w:rsidR="0032224C" w:rsidRPr="0032224C" w:rsidRDefault="0032224C" w:rsidP="0032224C">
      <w:pPr>
        <w:spacing w:before="100"/>
        <w:ind w:left="1564" w:hanging="782"/>
        <w:jc w:val="both"/>
        <w:rPr>
          <w:sz w:val="19"/>
          <w:szCs w:val="20"/>
          <w:lang w:val="ru-RU"/>
        </w:rPr>
      </w:pPr>
      <w:r w:rsidRPr="0032224C">
        <w:rPr>
          <w:sz w:val="19"/>
          <w:szCs w:val="20"/>
          <w:lang w:val="ru-RU"/>
        </w:rPr>
        <w:t>(a)</w:t>
      </w:r>
      <w:r w:rsidRPr="0032224C">
        <w:rPr>
          <w:sz w:val="19"/>
          <w:szCs w:val="20"/>
          <w:lang w:val="ru-RU"/>
        </w:rPr>
        <w:tab/>
        <w:t>вследствие внесения изменения в условия договора, установленные при первоначальном признании данного финансового инструмента (например, в условия договора вносится изменение с целью замены указанной в нем базовой процентной ставки на альтернативную базовую ставку);</w:t>
      </w:r>
    </w:p>
    <w:p w:rsidR="0032224C" w:rsidRPr="0032224C" w:rsidRDefault="0032224C" w:rsidP="0032224C">
      <w:pPr>
        <w:spacing w:before="100"/>
        <w:ind w:left="1564" w:hanging="782"/>
        <w:jc w:val="both"/>
        <w:rPr>
          <w:sz w:val="19"/>
          <w:szCs w:val="20"/>
          <w:lang w:val="ru-RU"/>
        </w:rPr>
      </w:pPr>
      <w:r w:rsidRPr="0032224C">
        <w:rPr>
          <w:sz w:val="19"/>
          <w:szCs w:val="20"/>
          <w:lang w:val="ru-RU"/>
        </w:rPr>
        <w:t>(b)</w:t>
      </w:r>
      <w:r w:rsidRPr="0032224C">
        <w:rPr>
          <w:sz w:val="19"/>
          <w:szCs w:val="20"/>
          <w:lang w:val="ru-RU"/>
        </w:rPr>
        <w:tab/>
        <w:t>таким образом, который не принимался в расчет или не был предусмотрен условиями договора при первоначальном признании данного финансового инструмента, без внесения поправок в условия договора (например, изменяется метод расчета базовой процентной ставки без изменения условий договора); и/или</w:t>
      </w:r>
    </w:p>
    <w:p w:rsidR="0032224C" w:rsidRPr="0032224C" w:rsidRDefault="0032224C" w:rsidP="0032224C">
      <w:pPr>
        <w:spacing w:before="100"/>
        <w:ind w:left="1560" w:hanging="851"/>
        <w:jc w:val="both"/>
        <w:rPr>
          <w:sz w:val="19"/>
          <w:szCs w:val="20"/>
          <w:lang w:val="ru-RU"/>
        </w:rPr>
      </w:pPr>
      <w:r w:rsidRPr="0032224C">
        <w:rPr>
          <w:sz w:val="19"/>
          <w:szCs w:val="20"/>
          <w:lang w:val="ru-RU"/>
        </w:rPr>
        <w:t>(c)</w:t>
      </w:r>
      <w:r w:rsidRPr="0032224C">
        <w:rPr>
          <w:sz w:val="19"/>
          <w:szCs w:val="20"/>
          <w:lang w:val="ru-RU"/>
        </w:rPr>
        <w:tab/>
        <w:t>в результате активации существующего условия договора (например, вступает в силу резервное положение договора).</w:t>
      </w:r>
    </w:p>
    <w:p w:rsidR="0032224C" w:rsidRPr="0032224C" w:rsidRDefault="0032224C" w:rsidP="0032224C">
      <w:pPr>
        <w:spacing w:before="100"/>
        <w:ind w:left="782" w:hanging="782"/>
        <w:jc w:val="both"/>
        <w:rPr>
          <w:sz w:val="19"/>
          <w:szCs w:val="20"/>
          <w:lang w:val="ru-RU"/>
        </w:rPr>
      </w:pPr>
      <w:r w:rsidRPr="0032224C">
        <w:rPr>
          <w:sz w:val="19"/>
          <w:szCs w:val="20"/>
          <w:lang w:val="ru-RU"/>
        </w:rPr>
        <w:t>5.4.7</w:t>
      </w:r>
      <w:r w:rsidRPr="0032224C">
        <w:rPr>
          <w:sz w:val="19"/>
          <w:szCs w:val="20"/>
          <w:lang w:val="ru-RU"/>
        </w:rPr>
        <w:tab/>
        <w:t xml:space="preserve">В качестве упрощения практического характера организация должна применить пункт B5.4.5, чтобы учесть изменение основы для определения предусмотренных договором денежных потоков по финансовому активу или финансовому обязательству, требуемое реформой базовой процентной ставки. Это упрощение практического характера применяется только к таким изменениям и только в той мере, в которой это изменение требуется реформой базовой процентной ставки (см. также пункт 5.4.9). Для этих целей изменение основы для определения предусмотренных договором денежных потоков считается требуемым реформой базовой процентной ставки в том и только в том случае, если удовлетворяются оба приведенных ниже условия: </w:t>
      </w:r>
    </w:p>
    <w:p w:rsidR="0032224C" w:rsidRPr="0032224C" w:rsidRDefault="0032224C" w:rsidP="0032224C">
      <w:pPr>
        <w:spacing w:before="100"/>
        <w:ind w:left="1564" w:hanging="782"/>
        <w:jc w:val="both"/>
        <w:rPr>
          <w:sz w:val="19"/>
          <w:szCs w:val="20"/>
          <w:lang w:val="ru-RU"/>
        </w:rPr>
      </w:pPr>
      <w:r w:rsidRPr="0032224C">
        <w:rPr>
          <w:sz w:val="19"/>
          <w:szCs w:val="20"/>
          <w:lang w:val="ru-RU"/>
        </w:rPr>
        <w:t>(a)</w:t>
      </w:r>
      <w:r w:rsidRPr="0032224C">
        <w:rPr>
          <w:sz w:val="19"/>
          <w:szCs w:val="20"/>
          <w:lang w:val="ru-RU"/>
        </w:rPr>
        <w:tab/>
        <w:t>необходимость изменения является прямым следствием реформы базовой процентной ставки; и</w:t>
      </w:r>
    </w:p>
    <w:p w:rsidR="0032224C" w:rsidRPr="0032224C" w:rsidRDefault="0032224C" w:rsidP="0032224C">
      <w:pPr>
        <w:spacing w:before="100"/>
        <w:ind w:left="1560" w:hanging="851"/>
        <w:jc w:val="both"/>
        <w:rPr>
          <w:sz w:val="19"/>
          <w:szCs w:val="20"/>
          <w:lang w:val="ru-RU"/>
        </w:rPr>
      </w:pPr>
      <w:r w:rsidRPr="0032224C">
        <w:rPr>
          <w:sz w:val="19"/>
          <w:szCs w:val="20"/>
          <w:lang w:val="ru-RU"/>
        </w:rPr>
        <w:t xml:space="preserve"> (b)</w:t>
      </w:r>
      <w:r w:rsidRPr="0032224C">
        <w:rPr>
          <w:sz w:val="19"/>
          <w:szCs w:val="20"/>
          <w:lang w:val="ru-RU"/>
        </w:rPr>
        <w:tab/>
        <w:t>новая основа для определения предусмотренных договором денежных потоков является экономически эквивалентной прежней основе (то есть основе, используемой непосредственно перед изменением).</w:t>
      </w:r>
    </w:p>
    <w:p w:rsidR="0032224C" w:rsidRPr="0032224C" w:rsidRDefault="0032224C" w:rsidP="0032224C">
      <w:pPr>
        <w:spacing w:before="100"/>
        <w:ind w:left="782" w:hanging="782"/>
        <w:jc w:val="both"/>
        <w:rPr>
          <w:sz w:val="19"/>
          <w:szCs w:val="20"/>
          <w:lang w:val="ru-RU"/>
        </w:rPr>
      </w:pPr>
      <w:r w:rsidRPr="0032224C">
        <w:rPr>
          <w:sz w:val="19"/>
          <w:szCs w:val="20"/>
          <w:lang w:val="ru-RU"/>
        </w:rPr>
        <w:t>5.4.8</w:t>
      </w:r>
      <w:r w:rsidRPr="0032224C">
        <w:rPr>
          <w:sz w:val="19"/>
          <w:szCs w:val="20"/>
          <w:lang w:val="ru-RU"/>
        </w:rPr>
        <w:tab/>
        <w:t>Ниже приведены примеры изменений, которые приводят к возникновению новой основы для определения предусмотренных договором денежных потоков, которая экономически эквивалентна прежней основе (то есть основе, используемой непосредственно перед изменением):</w:t>
      </w:r>
    </w:p>
    <w:p w:rsidR="0032224C" w:rsidRPr="0032224C" w:rsidRDefault="0032224C" w:rsidP="0032224C">
      <w:pPr>
        <w:spacing w:before="100"/>
        <w:ind w:left="1564" w:hanging="782"/>
        <w:jc w:val="both"/>
        <w:rPr>
          <w:sz w:val="19"/>
          <w:szCs w:val="20"/>
          <w:lang w:val="ru-RU"/>
        </w:rPr>
      </w:pPr>
      <w:r w:rsidRPr="0032224C">
        <w:rPr>
          <w:sz w:val="19"/>
          <w:szCs w:val="20"/>
          <w:lang w:val="ru-RU"/>
        </w:rPr>
        <w:t>(a)</w:t>
      </w:r>
      <w:r w:rsidRPr="0032224C">
        <w:rPr>
          <w:sz w:val="19"/>
          <w:szCs w:val="20"/>
          <w:lang w:val="ru-RU"/>
        </w:rPr>
        <w:tab/>
        <w:t>замена существующей базовой процентной ставки, используемой для определения предусмотренных договором денежных потоков по финансовому активу или финансовому обязательству, альтернативной базовой ставкой либо реализация такой реформы базовой процентной ставки путем изменения метода, применяемого для расчета базовой процентной ставки, с добавлением фиксированного спреда, необходимого для компенсации разницы базисов существующей базовой процентной ставки и альтернативной базовой ставки;</w:t>
      </w:r>
    </w:p>
    <w:p w:rsidR="0032224C" w:rsidRPr="0032224C" w:rsidRDefault="0032224C" w:rsidP="0032224C">
      <w:pPr>
        <w:spacing w:before="100"/>
        <w:ind w:left="1564" w:hanging="782"/>
        <w:jc w:val="both"/>
        <w:rPr>
          <w:sz w:val="19"/>
          <w:szCs w:val="20"/>
          <w:lang w:val="ru-RU"/>
        </w:rPr>
      </w:pPr>
      <w:r w:rsidRPr="0032224C">
        <w:rPr>
          <w:sz w:val="19"/>
          <w:szCs w:val="20"/>
          <w:lang w:val="ru-RU"/>
        </w:rPr>
        <w:t>(b)</w:t>
      </w:r>
      <w:r w:rsidRPr="0032224C">
        <w:rPr>
          <w:sz w:val="19"/>
          <w:szCs w:val="20"/>
          <w:lang w:val="ru-RU"/>
        </w:rPr>
        <w:tab/>
        <w:t>изменение периода пересмотра ставок, дат пересмотра или количества дней между датами выплаты купонов с целью реализации реформы базовой процентной ставки; и</w:t>
      </w:r>
    </w:p>
    <w:p w:rsidR="0032224C" w:rsidRPr="0032224C" w:rsidRDefault="0032224C" w:rsidP="0032224C">
      <w:pPr>
        <w:spacing w:before="100"/>
        <w:ind w:left="1564" w:hanging="782"/>
        <w:jc w:val="both"/>
        <w:rPr>
          <w:sz w:val="19"/>
          <w:szCs w:val="20"/>
          <w:lang w:val="ru-RU"/>
        </w:rPr>
      </w:pPr>
      <w:r w:rsidRPr="0032224C">
        <w:rPr>
          <w:sz w:val="19"/>
          <w:szCs w:val="20"/>
          <w:lang w:val="ru-RU"/>
        </w:rPr>
        <w:t>(c)</w:t>
      </w:r>
      <w:r w:rsidRPr="0032224C">
        <w:rPr>
          <w:sz w:val="19"/>
          <w:szCs w:val="20"/>
          <w:lang w:val="ru-RU"/>
        </w:rPr>
        <w:tab/>
        <w:t>дополнение условий договора по финансовому активу или финансовому обязательству резервным положением, которое позволит осуществить любое из изменений, описанных выше в подпунктах (a) и (b).</w:t>
      </w:r>
      <w:r w:rsidRPr="0032224C" w:rsidDel="00135B2D">
        <w:rPr>
          <w:sz w:val="19"/>
          <w:szCs w:val="20"/>
          <w:lang w:val="ru-RU"/>
        </w:rPr>
        <w:t xml:space="preserve"> </w:t>
      </w:r>
    </w:p>
    <w:p w:rsidR="0032224C" w:rsidRPr="0032224C" w:rsidRDefault="0032224C" w:rsidP="0032224C">
      <w:pPr>
        <w:spacing w:before="100"/>
        <w:ind w:left="709" w:hanging="709"/>
        <w:jc w:val="both"/>
        <w:rPr>
          <w:sz w:val="19"/>
          <w:szCs w:val="20"/>
          <w:lang w:val="ru-RU"/>
        </w:rPr>
      </w:pPr>
      <w:r w:rsidRPr="0032224C">
        <w:rPr>
          <w:sz w:val="19"/>
          <w:szCs w:val="20"/>
          <w:lang w:val="ru-RU"/>
        </w:rPr>
        <w:t>5.4.9</w:t>
      </w:r>
      <w:r w:rsidRPr="0032224C">
        <w:rPr>
          <w:sz w:val="19"/>
          <w:szCs w:val="20"/>
          <w:lang w:val="ru-RU"/>
        </w:rPr>
        <w:tab/>
        <w:t>Если в финансовый актив или финансовое обязательство вносятся изменения, помимо тех, которые требуются реформой базовой процентной ставки применительно к основе для определения предусмотренных договором денежных потоков, организация должна сначала применить упрощение практического характера, предусмотренное пунктом 5.4.7, к изменениям, требуемым реформой базовой процентной ставки. Затем организация должна применить соответствующие требования настоящего стандарта ко всем дополнительным изменениям, к которым упрощение практического характера не применяется. Если такое дополнительное изменение не приводит к прекращению признания финансового актива или финансового обязательства, организация должна применить в зависимости от обстоятельств пункт 5.4.3 или пункт B5.4.6, чтобы учесть это дополнительное изменение. Если указанное дополнительное изменение приводит к прекращению признания финансового актива или финансового обязательства, организация должна применять требования, касающиеся прекращения признания.</w:t>
      </w:r>
    </w:p>
    <w:p w:rsidR="007D4BCC" w:rsidRPr="0049187C" w:rsidRDefault="007D4BCC" w:rsidP="007D4BCC">
      <w:pPr>
        <w:pStyle w:val="IASBSectionTitle1NonInd"/>
        <w:rPr>
          <w:lang w:val="ru-RU"/>
        </w:rPr>
      </w:pPr>
      <w:bookmarkStart w:id="30" w:name="F32570075"/>
      <w:r w:rsidRPr="0049187C">
        <w:rPr>
          <w:lang w:val="ru-RU"/>
        </w:rPr>
        <w:t xml:space="preserve">5.5 </w:t>
      </w:r>
      <w:bookmarkEnd w:id="30"/>
      <w:r w:rsidRPr="0049187C">
        <w:rPr>
          <w:lang w:val="ru-RU"/>
        </w:rPr>
        <w:t>Обесценение</w:t>
      </w:r>
    </w:p>
    <w:p w:rsidR="007D4BCC" w:rsidRPr="0049187C" w:rsidRDefault="007D4BCC" w:rsidP="007D4BCC">
      <w:pPr>
        <w:pStyle w:val="IASBSectionTitle2Ind"/>
        <w:rPr>
          <w:lang w:val="ru-RU"/>
        </w:rPr>
      </w:pPr>
      <w:r w:rsidRPr="0049187C">
        <w:rPr>
          <w:lang w:val="ru-RU"/>
        </w:rPr>
        <w:t>Признание ожидаемых кредитных убытков</w:t>
      </w:r>
    </w:p>
    <w:p w:rsidR="007D4BCC" w:rsidRPr="0049187C" w:rsidRDefault="007D4BCC" w:rsidP="007D4BCC">
      <w:pPr>
        <w:pStyle w:val="IASBSectionTitle3Ind"/>
        <w:rPr>
          <w:lang w:val="ru-RU"/>
        </w:rPr>
      </w:pPr>
      <w:r w:rsidRPr="0049187C">
        <w:rPr>
          <w:lang w:val="ru-RU"/>
        </w:rPr>
        <w:t>Общий подход</w:t>
      </w:r>
    </w:p>
    <w:p w:rsidR="007D4BCC" w:rsidRPr="0049187C" w:rsidRDefault="007D4BCC" w:rsidP="007D4BCC">
      <w:pPr>
        <w:pStyle w:val="IASBNormalnpara"/>
        <w:rPr>
          <w:b/>
          <w:lang w:val="ru-RU"/>
        </w:rPr>
      </w:pPr>
      <w:r w:rsidRPr="0049187C">
        <w:rPr>
          <w:b/>
          <w:lang w:val="ru-RU"/>
        </w:rPr>
        <w:t>5.5.1</w:t>
      </w:r>
      <w:r w:rsidRPr="0049187C">
        <w:rPr>
          <w:b/>
          <w:lang w:val="ru-RU"/>
        </w:rPr>
        <w:tab/>
        <w:t>Организация должна приз</w:t>
      </w:r>
      <w:r w:rsidR="00C47E8A" w:rsidRPr="0049187C">
        <w:rPr>
          <w:b/>
          <w:lang w:val="ru-RU"/>
        </w:rPr>
        <w:t>н</w:t>
      </w:r>
      <w:r w:rsidRPr="0049187C">
        <w:rPr>
          <w:b/>
          <w:lang w:val="ru-RU"/>
        </w:rPr>
        <w:t xml:space="preserve">ать </w:t>
      </w:r>
      <w:r w:rsidRPr="00536C50">
        <w:rPr>
          <w:b/>
          <w:lang w:val="ru-RU"/>
        </w:rPr>
        <w:t>оценочный резерв</w:t>
      </w:r>
      <w:r w:rsidRPr="0049187C">
        <w:rPr>
          <w:b/>
          <w:lang w:val="ru-RU"/>
        </w:rPr>
        <w:t xml:space="preserve"> под </w:t>
      </w:r>
      <w:r w:rsidRPr="0049187C">
        <w:rPr>
          <w:b/>
          <w:i/>
          <w:lang w:val="ru-RU"/>
        </w:rPr>
        <w:t>ожидаемые кредитные убытки</w:t>
      </w:r>
      <w:r w:rsidRPr="0049187C">
        <w:rPr>
          <w:b/>
          <w:lang w:val="ru-RU"/>
        </w:rPr>
        <w:t xml:space="preserve"> по финансовому активу, оцениваемому в соответствии с пунктами 4.1.2 и 4.1.2A, дебиторской задолженности по аренде, </w:t>
      </w:r>
      <w:r w:rsidRPr="00536C50">
        <w:rPr>
          <w:b/>
          <w:i/>
          <w:lang w:val="ru-RU"/>
        </w:rPr>
        <w:t>активу по договору</w:t>
      </w:r>
      <w:r w:rsidRPr="0049187C">
        <w:rPr>
          <w:b/>
          <w:lang w:val="ru-RU"/>
        </w:rPr>
        <w:t xml:space="preserve"> или обязат</w:t>
      </w:r>
      <w:r w:rsidR="00642B2F">
        <w:rPr>
          <w:b/>
          <w:lang w:val="ru-RU"/>
        </w:rPr>
        <w:t>ельству по предоставлению займа</w:t>
      </w:r>
      <w:r w:rsidRPr="0049187C">
        <w:rPr>
          <w:b/>
          <w:lang w:val="ru-RU"/>
        </w:rPr>
        <w:t xml:space="preserve"> и договору финансовой гарантии, к которым применяются требования</w:t>
      </w:r>
      <w:r w:rsidR="00642B2F">
        <w:rPr>
          <w:b/>
          <w:lang w:val="ru-RU"/>
        </w:rPr>
        <w:t>,</w:t>
      </w:r>
      <w:r w:rsidRPr="0049187C">
        <w:rPr>
          <w:b/>
          <w:lang w:val="ru-RU"/>
        </w:rPr>
        <w:t xml:space="preserve"> к</w:t>
      </w:r>
      <w:r w:rsidR="00642B2F">
        <w:rPr>
          <w:b/>
          <w:lang w:val="ru-RU"/>
        </w:rPr>
        <w:t>асающиеся обесценения,</w:t>
      </w:r>
      <w:r w:rsidRPr="0049187C">
        <w:rPr>
          <w:b/>
          <w:lang w:val="ru-RU"/>
        </w:rPr>
        <w:t xml:space="preserve"> в соответствии с пунктами 2.1(g), 4.2.1(c) или 4.2.1(d).</w:t>
      </w:r>
    </w:p>
    <w:p w:rsidR="007D4BCC" w:rsidRPr="0049187C" w:rsidRDefault="007D4BCC" w:rsidP="007D4BCC">
      <w:pPr>
        <w:pStyle w:val="IASBNormalnpara"/>
        <w:rPr>
          <w:lang w:val="ru-RU"/>
        </w:rPr>
      </w:pPr>
      <w:r w:rsidRPr="0049187C">
        <w:rPr>
          <w:lang w:val="ru-RU"/>
        </w:rPr>
        <w:t>5.5.2</w:t>
      </w:r>
      <w:r w:rsidRPr="0049187C">
        <w:rPr>
          <w:lang w:val="ru-RU"/>
        </w:rPr>
        <w:tab/>
        <w:t>Организация должна применять требования</w:t>
      </w:r>
      <w:r w:rsidR="00642B2F">
        <w:rPr>
          <w:lang w:val="ru-RU"/>
        </w:rPr>
        <w:t>,</w:t>
      </w:r>
      <w:r w:rsidRPr="0049187C">
        <w:rPr>
          <w:lang w:val="ru-RU"/>
        </w:rPr>
        <w:t xml:space="preserve"> к</w:t>
      </w:r>
      <w:r w:rsidR="00642B2F">
        <w:rPr>
          <w:lang w:val="ru-RU"/>
        </w:rPr>
        <w:t>асающиеся обесценения,</w:t>
      </w:r>
      <w:r w:rsidRPr="0049187C">
        <w:rPr>
          <w:lang w:val="ru-RU"/>
        </w:rPr>
        <w:t xml:space="preserve"> для признания и оценки оценочного резерва под </w:t>
      </w:r>
      <w:r w:rsidR="00C47E8A" w:rsidRPr="0049187C">
        <w:rPr>
          <w:lang w:val="ru-RU"/>
        </w:rPr>
        <w:t xml:space="preserve">убытки по </w:t>
      </w:r>
      <w:r w:rsidRPr="0049187C">
        <w:rPr>
          <w:lang w:val="ru-RU"/>
        </w:rPr>
        <w:t>финансовы</w:t>
      </w:r>
      <w:r w:rsidR="00C47E8A" w:rsidRPr="0049187C">
        <w:rPr>
          <w:lang w:val="ru-RU"/>
        </w:rPr>
        <w:t>м</w:t>
      </w:r>
      <w:r w:rsidRPr="0049187C">
        <w:rPr>
          <w:lang w:val="ru-RU"/>
        </w:rPr>
        <w:t xml:space="preserve"> актив</w:t>
      </w:r>
      <w:r w:rsidR="00C47E8A" w:rsidRPr="0049187C">
        <w:rPr>
          <w:lang w:val="ru-RU"/>
        </w:rPr>
        <w:t>ам</w:t>
      </w:r>
      <w:r w:rsidRPr="0049187C">
        <w:rPr>
          <w:lang w:val="ru-RU"/>
        </w:rPr>
        <w:t xml:space="preserve">, которые оцениваются по справедливой стоимости через прочий совокупный доход в соответствии с пунктом 4.1.2А. Однако </w:t>
      </w:r>
      <w:r w:rsidR="00642B2F">
        <w:rPr>
          <w:lang w:val="ru-RU"/>
        </w:rPr>
        <w:t xml:space="preserve">этот </w:t>
      </w:r>
      <w:r w:rsidRPr="0049187C">
        <w:rPr>
          <w:lang w:val="ru-RU"/>
        </w:rPr>
        <w:t xml:space="preserve">оценочный резерв должен признаваться в </w:t>
      </w:r>
      <w:r w:rsidR="00642B2F">
        <w:rPr>
          <w:lang w:val="ru-RU"/>
        </w:rPr>
        <w:t>составе прочего совокупного дохода</w:t>
      </w:r>
      <w:r w:rsidRPr="0049187C">
        <w:rPr>
          <w:lang w:val="ru-RU"/>
        </w:rPr>
        <w:t xml:space="preserve"> и не должен уменьшать балансовую стоимость финансового актива в отчете о финансовом положении.</w:t>
      </w:r>
    </w:p>
    <w:p w:rsidR="007D4BCC" w:rsidRPr="0049187C" w:rsidRDefault="007D4BCC" w:rsidP="007D4BCC">
      <w:pPr>
        <w:pStyle w:val="IASBNormalnpara"/>
        <w:rPr>
          <w:b/>
          <w:lang w:val="ru-RU"/>
        </w:rPr>
      </w:pPr>
      <w:r w:rsidRPr="0049187C">
        <w:rPr>
          <w:b/>
          <w:lang w:val="ru-RU"/>
        </w:rPr>
        <w:t>5.5.3</w:t>
      </w:r>
      <w:r w:rsidRPr="0049187C">
        <w:rPr>
          <w:b/>
          <w:lang w:val="ru-RU"/>
        </w:rPr>
        <w:tab/>
        <w:t>С</w:t>
      </w:r>
      <w:r w:rsidR="009D300D">
        <w:rPr>
          <w:b/>
          <w:lang w:val="ru-RU"/>
        </w:rPr>
        <w:t xml:space="preserve"> учетом</w:t>
      </w:r>
      <w:r w:rsidRPr="0049187C">
        <w:rPr>
          <w:b/>
          <w:lang w:val="ru-RU"/>
        </w:rPr>
        <w:t xml:space="preserve"> </w:t>
      </w:r>
      <w:r w:rsidR="00E8265F">
        <w:rPr>
          <w:b/>
          <w:lang w:val="ru-RU"/>
        </w:rPr>
        <w:t xml:space="preserve">исключений, предусмотренных </w:t>
      </w:r>
      <w:r w:rsidRPr="0049187C">
        <w:rPr>
          <w:b/>
          <w:lang w:val="ru-RU"/>
        </w:rPr>
        <w:t>пункт</w:t>
      </w:r>
      <w:r w:rsidR="00E8265F">
        <w:rPr>
          <w:b/>
          <w:lang w:val="ru-RU"/>
        </w:rPr>
        <w:t>ами</w:t>
      </w:r>
      <w:r w:rsidRPr="0049187C">
        <w:rPr>
          <w:b/>
          <w:lang w:val="ru-RU"/>
        </w:rPr>
        <w:t xml:space="preserve"> 5.5.13–5.5.16</w:t>
      </w:r>
      <w:r w:rsidR="00E8265F">
        <w:rPr>
          <w:b/>
          <w:lang w:val="ru-RU"/>
        </w:rPr>
        <w:t>, по состоянию</w:t>
      </w:r>
      <w:r w:rsidRPr="0049187C">
        <w:rPr>
          <w:b/>
          <w:lang w:val="ru-RU"/>
        </w:rPr>
        <w:t xml:space="preserve"> </w:t>
      </w:r>
      <w:r w:rsidR="00C47E8A" w:rsidRPr="0049187C">
        <w:rPr>
          <w:b/>
          <w:lang w:val="ru-RU"/>
        </w:rPr>
        <w:t xml:space="preserve">на каждую отчетную дату </w:t>
      </w:r>
      <w:r w:rsidRPr="0049187C">
        <w:rPr>
          <w:b/>
          <w:lang w:val="ru-RU"/>
        </w:rPr>
        <w:t xml:space="preserve">организация должна оценивать оценочный резерв под </w:t>
      </w:r>
      <w:r w:rsidR="00C47E8A" w:rsidRPr="0049187C">
        <w:rPr>
          <w:b/>
          <w:lang w:val="ru-RU"/>
        </w:rPr>
        <w:t xml:space="preserve">убытки по </w:t>
      </w:r>
      <w:r w:rsidRPr="0049187C">
        <w:rPr>
          <w:b/>
          <w:lang w:val="ru-RU"/>
        </w:rPr>
        <w:t>финансов</w:t>
      </w:r>
      <w:r w:rsidR="00C47E8A" w:rsidRPr="0049187C">
        <w:rPr>
          <w:b/>
          <w:lang w:val="ru-RU"/>
        </w:rPr>
        <w:t>ому</w:t>
      </w:r>
      <w:r w:rsidRPr="0049187C">
        <w:rPr>
          <w:b/>
          <w:lang w:val="ru-RU"/>
        </w:rPr>
        <w:t xml:space="preserve"> инструмент</w:t>
      </w:r>
      <w:r w:rsidR="00C47E8A" w:rsidRPr="0049187C">
        <w:rPr>
          <w:b/>
          <w:lang w:val="ru-RU"/>
        </w:rPr>
        <w:t>у</w:t>
      </w:r>
      <w:r w:rsidR="00637236">
        <w:rPr>
          <w:b/>
          <w:lang w:val="ru-RU"/>
        </w:rPr>
        <w:t xml:space="preserve"> в</w:t>
      </w:r>
      <w:r w:rsidRPr="0049187C">
        <w:rPr>
          <w:b/>
          <w:lang w:val="ru-RU"/>
        </w:rPr>
        <w:t xml:space="preserve"> сумме, равной </w:t>
      </w:r>
      <w:r w:rsidRPr="0049187C">
        <w:rPr>
          <w:b/>
          <w:i/>
          <w:lang w:val="ru-RU"/>
        </w:rPr>
        <w:t xml:space="preserve">ожидаемым кредитным убыткам </w:t>
      </w:r>
      <w:r w:rsidR="007E6FF8">
        <w:rPr>
          <w:b/>
          <w:i/>
          <w:lang w:val="ru-RU"/>
        </w:rPr>
        <w:t>за весь срок</w:t>
      </w:r>
      <w:r w:rsidRPr="0049187C">
        <w:rPr>
          <w:b/>
          <w:lang w:val="ru-RU"/>
        </w:rPr>
        <w:t xml:space="preserve">, если кредитный риск по данному финансовому инструменту значительно увеличился </w:t>
      </w:r>
      <w:r w:rsidR="00E8265F">
        <w:rPr>
          <w:b/>
          <w:lang w:val="ru-RU"/>
        </w:rPr>
        <w:t>с момента</w:t>
      </w:r>
      <w:r w:rsidRPr="0049187C">
        <w:rPr>
          <w:b/>
          <w:lang w:val="ru-RU"/>
        </w:rPr>
        <w:t xml:space="preserve"> первоначального признания.</w:t>
      </w:r>
    </w:p>
    <w:p w:rsidR="007D4BCC" w:rsidRPr="0049187C" w:rsidRDefault="007D4BCC" w:rsidP="007D4BCC">
      <w:pPr>
        <w:pStyle w:val="IASBNormalnpara"/>
        <w:rPr>
          <w:lang w:val="ru-RU"/>
        </w:rPr>
      </w:pPr>
      <w:r w:rsidRPr="0049187C">
        <w:rPr>
          <w:lang w:val="ru-RU"/>
        </w:rPr>
        <w:t>5.5.4</w:t>
      </w:r>
      <w:r w:rsidRPr="0049187C">
        <w:rPr>
          <w:lang w:val="ru-RU"/>
        </w:rPr>
        <w:tab/>
      </w:r>
      <w:r w:rsidR="007D71B7">
        <w:rPr>
          <w:lang w:val="ru-RU"/>
        </w:rPr>
        <w:t>Целью требований, касающихся</w:t>
      </w:r>
      <w:r w:rsidR="008A25D4">
        <w:rPr>
          <w:lang w:val="ru-RU"/>
        </w:rPr>
        <w:t xml:space="preserve"> обесценения</w:t>
      </w:r>
      <w:r w:rsidR="007D71B7">
        <w:rPr>
          <w:lang w:val="ru-RU"/>
        </w:rPr>
        <w:t>,</w:t>
      </w:r>
      <w:r w:rsidR="008A25D4">
        <w:rPr>
          <w:lang w:val="ru-RU"/>
        </w:rPr>
        <w:t xml:space="preserve"> является признание</w:t>
      </w:r>
      <w:r w:rsidR="007D71B7">
        <w:rPr>
          <w:lang w:val="ru-RU"/>
        </w:rPr>
        <w:t xml:space="preserve"> ожидаемых кредитных убытков за весь срок</w:t>
      </w:r>
      <w:r w:rsidR="008A25D4">
        <w:rPr>
          <w:lang w:val="ru-RU"/>
        </w:rPr>
        <w:t xml:space="preserve"> </w:t>
      </w:r>
      <w:r w:rsidR="008E010D">
        <w:rPr>
          <w:lang w:val="ru-RU"/>
        </w:rPr>
        <w:t>для всех финансовых инструментов, кредитный риск по кото</w:t>
      </w:r>
      <w:r w:rsidR="00C577C1">
        <w:rPr>
          <w:lang w:val="ru-RU"/>
        </w:rPr>
        <w:t>рым значительно увеличился с момента</w:t>
      </w:r>
      <w:r w:rsidR="008E010D">
        <w:rPr>
          <w:lang w:val="ru-RU"/>
        </w:rPr>
        <w:t xml:space="preserve"> первоначального признания</w:t>
      </w:r>
      <w:r w:rsidR="00DC198B">
        <w:rPr>
          <w:lang w:val="ru-RU"/>
        </w:rPr>
        <w:t>,</w:t>
      </w:r>
      <w:r w:rsidR="007D71B7">
        <w:rPr>
          <w:lang w:val="ru-RU"/>
        </w:rPr>
        <w:t xml:space="preserve"> будь то оценка на индивидуальной или групповой основе, </w:t>
      </w:r>
      <w:r w:rsidR="00C44E6E">
        <w:rPr>
          <w:lang w:val="ru-RU"/>
        </w:rPr>
        <w:t>принимая во внимание всю обоснованную и подтверждаемую информацию, в том числе прогнозную</w:t>
      </w:r>
      <w:r w:rsidR="008E010D">
        <w:rPr>
          <w:lang w:val="ru-RU"/>
        </w:rPr>
        <w:t xml:space="preserve">. </w:t>
      </w:r>
    </w:p>
    <w:p w:rsidR="007D4BCC" w:rsidRPr="0049187C" w:rsidRDefault="007D4BCC" w:rsidP="007D4BCC">
      <w:pPr>
        <w:pStyle w:val="IASBNormalnpara"/>
        <w:rPr>
          <w:b/>
          <w:lang w:val="ru-RU"/>
        </w:rPr>
      </w:pPr>
      <w:r w:rsidRPr="0049187C">
        <w:rPr>
          <w:b/>
          <w:lang w:val="ru-RU"/>
        </w:rPr>
        <w:t>5.5.5</w:t>
      </w:r>
      <w:r w:rsidRPr="0049187C">
        <w:rPr>
          <w:b/>
          <w:lang w:val="ru-RU"/>
        </w:rPr>
        <w:tab/>
        <w:t xml:space="preserve">С </w:t>
      </w:r>
      <w:r w:rsidR="008E010D">
        <w:rPr>
          <w:b/>
          <w:lang w:val="ru-RU"/>
        </w:rPr>
        <w:t>учетом</w:t>
      </w:r>
      <w:r w:rsidR="007D71B7">
        <w:rPr>
          <w:b/>
          <w:lang w:val="ru-RU"/>
        </w:rPr>
        <w:t xml:space="preserve"> исключений, предусмотренных</w:t>
      </w:r>
      <w:r w:rsidR="008E010D">
        <w:rPr>
          <w:b/>
          <w:lang w:val="ru-RU"/>
        </w:rPr>
        <w:t xml:space="preserve"> </w:t>
      </w:r>
      <w:r w:rsidRPr="0049187C">
        <w:rPr>
          <w:b/>
          <w:lang w:val="ru-RU"/>
        </w:rPr>
        <w:t>пункт</w:t>
      </w:r>
      <w:r w:rsidR="007D71B7">
        <w:rPr>
          <w:b/>
          <w:lang w:val="ru-RU"/>
        </w:rPr>
        <w:t>ами</w:t>
      </w:r>
      <w:r w:rsidRPr="0049187C">
        <w:rPr>
          <w:b/>
          <w:lang w:val="ru-RU"/>
        </w:rPr>
        <w:t xml:space="preserve"> 5.5.13–5.5.16, если</w:t>
      </w:r>
      <w:r w:rsidR="007D71B7">
        <w:rPr>
          <w:b/>
          <w:lang w:val="ru-RU"/>
        </w:rPr>
        <w:t xml:space="preserve"> по состоянию</w:t>
      </w:r>
      <w:r w:rsidRPr="0049187C">
        <w:rPr>
          <w:b/>
          <w:lang w:val="ru-RU"/>
        </w:rPr>
        <w:t xml:space="preserve"> </w:t>
      </w:r>
      <w:r w:rsidR="00C47E8A" w:rsidRPr="0049187C">
        <w:rPr>
          <w:b/>
          <w:lang w:val="ru-RU"/>
        </w:rPr>
        <w:t xml:space="preserve">на отчетную дату </w:t>
      </w:r>
      <w:r w:rsidR="007D71B7">
        <w:rPr>
          <w:b/>
          <w:lang w:val="ru-RU"/>
        </w:rPr>
        <w:t>отсутствует значительное увеличение кредитного</w:t>
      </w:r>
      <w:r w:rsidRPr="0049187C">
        <w:rPr>
          <w:b/>
          <w:lang w:val="ru-RU"/>
        </w:rPr>
        <w:t xml:space="preserve"> риск</w:t>
      </w:r>
      <w:r w:rsidR="007D71B7">
        <w:rPr>
          <w:b/>
          <w:lang w:val="ru-RU"/>
        </w:rPr>
        <w:t>а</w:t>
      </w:r>
      <w:r w:rsidRPr="0049187C">
        <w:rPr>
          <w:b/>
          <w:lang w:val="ru-RU"/>
        </w:rPr>
        <w:t xml:space="preserve"> по финансовому инструменту </w:t>
      </w:r>
      <w:r w:rsidR="00C577C1" w:rsidRPr="00C577C1">
        <w:rPr>
          <w:b/>
          <w:lang w:val="ru-RU"/>
        </w:rPr>
        <w:t>с момента</w:t>
      </w:r>
      <w:r w:rsidRPr="0049187C">
        <w:rPr>
          <w:b/>
          <w:lang w:val="ru-RU"/>
        </w:rPr>
        <w:t xml:space="preserve"> первоначального признания, организация должна оценивать оценочный резерв под </w:t>
      </w:r>
      <w:r w:rsidR="00C47E8A" w:rsidRPr="0049187C">
        <w:rPr>
          <w:b/>
          <w:lang w:val="ru-RU"/>
        </w:rPr>
        <w:t xml:space="preserve">убытки по </w:t>
      </w:r>
      <w:r w:rsidRPr="0049187C">
        <w:rPr>
          <w:b/>
          <w:lang w:val="ru-RU"/>
        </w:rPr>
        <w:t>данн</w:t>
      </w:r>
      <w:r w:rsidR="00C47E8A" w:rsidRPr="0049187C">
        <w:rPr>
          <w:b/>
          <w:lang w:val="ru-RU"/>
        </w:rPr>
        <w:t>ому</w:t>
      </w:r>
      <w:r w:rsidRPr="0049187C">
        <w:rPr>
          <w:b/>
          <w:lang w:val="ru-RU"/>
        </w:rPr>
        <w:t xml:space="preserve"> финансов</w:t>
      </w:r>
      <w:r w:rsidR="00C47E8A" w:rsidRPr="0049187C">
        <w:rPr>
          <w:b/>
          <w:lang w:val="ru-RU"/>
        </w:rPr>
        <w:t>ому</w:t>
      </w:r>
      <w:r w:rsidRPr="0049187C">
        <w:rPr>
          <w:b/>
          <w:lang w:val="ru-RU"/>
        </w:rPr>
        <w:t xml:space="preserve"> инструмент</w:t>
      </w:r>
      <w:r w:rsidR="00C47E8A" w:rsidRPr="0049187C">
        <w:rPr>
          <w:b/>
          <w:lang w:val="ru-RU"/>
        </w:rPr>
        <w:t>у</w:t>
      </w:r>
      <w:r w:rsidR="00637236">
        <w:rPr>
          <w:b/>
          <w:lang w:val="ru-RU"/>
        </w:rPr>
        <w:t xml:space="preserve"> в</w:t>
      </w:r>
      <w:r w:rsidRPr="0049187C">
        <w:rPr>
          <w:b/>
          <w:lang w:val="ru-RU"/>
        </w:rPr>
        <w:t xml:space="preserve"> сумме, равной </w:t>
      </w:r>
      <w:r w:rsidR="007E6FF8" w:rsidRPr="007E6FF8">
        <w:rPr>
          <w:b/>
          <w:i/>
          <w:lang w:val="ru-RU"/>
        </w:rPr>
        <w:t>12-месячным</w:t>
      </w:r>
      <w:r w:rsidR="007E6FF8">
        <w:rPr>
          <w:b/>
          <w:lang w:val="ru-RU"/>
        </w:rPr>
        <w:t xml:space="preserve"> </w:t>
      </w:r>
      <w:r w:rsidRPr="0049187C">
        <w:rPr>
          <w:b/>
          <w:i/>
          <w:lang w:val="ru-RU"/>
        </w:rPr>
        <w:t>ожидаемым кредитным убыткам.</w:t>
      </w:r>
    </w:p>
    <w:p w:rsidR="007D4BCC" w:rsidRPr="0049187C" w:rsidRDefault="007D4BCC" w:rsidP="007D4BCC">
      <w:pPr>
        <w:pStyle w:val="IASBNormalnpara"/>
        <w:rPr>
          <w:lang w:val="ru-RU"/>
        </w:rPr>
      </w:pPr>
      <w:r w:rsidRPr="0049187C">
        <w:rPr>
          <w:lang w:val="ru-RU"/>
        </w:rPr>
        <w:t>5.5.6</w:t>
      </w:r>
      <w:r w:rsidRPr="0049187C">
        <w:rPr>
          <w:lang w:val="ru-RU"/>
        </w:rPr>
        <w:tab/>
      </w:r>
      <w:r w:rsidR="0029201A" w:rsidRPr="0049187C">
        <w:rPr>
          <w:lang w:val="ru-RU"/>
        </w:rPr>
        <w:t xml:space="preserve">В случае </w:t>
      </w:r>
      <w:r w:rsidRPr="0049187C">
        <w:rPr>
          <w:lang w:val="ru-RU"/>
        </w:rPr>
        <w:t>обязательств по предоставлению займов и договоров финансовой аренды дата, на которую организация становится стороной договорного обязательства</w:t>
      </w:r>
      <w:r w:rsidR="00B80D82">
        <w:rPr>
          <w:lang w:val="ru-RU"/>
        </w:rPr>
        <w:t>,</w:t>
      </w:r>
      <w:r w:rsidR="00DE0EF7">
        <w:rPr>
          <w:lang w:val="ru-RU"/>
        </w:rPr>
        <w:t xml:space="preserve"> без права</w:t>
      </w:r>
      <w:r w:rsidR="00B878E6">
        <w:rPr>
          <w:lang w:val="ru-RU"/>
        </w:rPr>
        <w:t xml:space="preserve"> его</w:t>
      </w:r>
      <w:r w:rsidR="00DE0EF7">
        <w:rPr>
          <w:lang w:val="ru-RU"/>
        </w:rPr>
        <w:t xml:space="preserve"> последующей отмены</w:t>
      </w:r>
      <w:r w:rsidR="00627F49" w:rsidRPr="0049187C">
        <w:rPr>
          <w:lang w:val="ru-RU"/>
        </w:rPr>
        <w:t>,</w:t>
      </w:r>
      <w:r w:rsidR="0029201A" w:rsidRPr="0049187C">
        <w:rPr>
          <w:lang w:val="ru-RU"/>
        </w:rPr>
        <w:t xml:space="preserve"> должна считаться датой первоначального признания для целей применения требований</w:t>
      </w:r>
      <w:r w:rsidR="00705E4E">
        <w:rPr>
          <w:lang w:val="ru-RU"/>
        </w:rPr>
        <w:t>,</w:t>
      </w:r>
      <w:r w:rsidR="0029201A" w:rsidRPr="0049187C">
        <w:rPr>
          <w:lang w:val="ru-RU"/>
        </w:rPr>
        <w:t xml:space="preserve"> к</w:t>
      </w:r>
      <w:r w:rsidR="00705E4E">
        <w:rPr>
          <w:lang w:val="ru-RU"/>
        </w:rPr>
        <w:t>асающихся обесценения</w:t>
      </w:r>
      <w:r w:rsidR="0029201A" w:rsidRPr="0049187C">
        <w:rPr>
          <w:lang w:val="ru-RU"/>
        </w:rPr>
        <w:t>.</w:t>
      </w:r>
    </w:p>
    <w:p w:rsidR="007D4BCC" w:rsidRPr="0049187C" w:rsidRDefault="007D4BCC" w:rsidP="007D4BCC">
      <w:pPr>
        <w:pStyle w:val="IASBNormalnpara"/>
        <w:rPr>
          <w:lang w:val="ru-RU"/>
        </w:rPr>
      </w:pPr>
      <w:r w:rsidRPr="0049187C">
        <w:rPr>
          <w:lang w:val="ru-RU"/>
        </w:rPr>
        <w:t>5.5.7</w:t>
      </w:r>
      <w:r w:rsidRPr="0049187C">
        <w:rPr>
          <w:lang w:val="ru-RU"/>
        </w:rPr>
        <w:tab/>
        <w:t>Если</w:t>
      </w:r>
      <w:r w:rsidR="000E51F0">
        <w:rPr>
          <w:lang w:val="ru-RU"/>
        </w:rPr>
        <w:t xml:space="preserve"> </w:t>
      </w:r>
      <w:r w:rsidR="000E51F0" w:rsidRPr="0049187C">
        <w:rPr>
          <w:lang w:val="ru-RU"/>
        </w:rPr>
        <w:t>в предыдущем отчетном периоде</w:t>
      </w:r>
      <w:r w:rsidR="000E51F0">
        <w:rPr>
          <w:lang w:val="ru-RU"/>
        </w:rPr>
        <w:t xml:space="preserve"> организация оцени</w:t>
      </w:r>
      <w:r w:rsidRPr="0049187C">
        <w:rPr>
          <w:lang w:val="ru-RU"/>
        </w:rPr>
        <w:t xml:space="preserve">ла оценочный резерв под </w:t>
      </w:r>
      <w:r w:rsidR="0029201A" w:rsidRPr="0049187C">
        <w:rPr>
          <w:lang w:val="ru-RU"/>
        </w:rPr>
        <w:t xml:space="preserve">убытки по </w:t>
      </w:r>
      <w:r w:rsidRPr="0049187C">
        <w:rPr>
          <w:lang w:val="ru-RU"/>
        </w:rPr>
        <w:t>финансов</w:t>
      </w:r>
      <w:r w:rsidR="0029201A" w:rsidRPr="0049187C">
        <w:rPr>
          <w:lang w:val="ru-RU"/>
        </w:rPr>
        <w:t>ому</w:t>
      </w:r>
      <w:r w:rsidRPr="0049187C">
        <w:rPr>
          <w:lang w:val="ru-RU"/>
        </w:rPr>
        <w:t xml:space="preserve"> инструмент</w:t>
      </w:r>
      <w:r w:rsidR="0029201A" w:rsidRPr="0049187C">
        <w:rPr>
          <w:lang w:val="ru-RU"/>
        </w:rPr>
        <w:t>у</w:t>
      </w:r>
      <w:r w:rsidR="00637236">
        <w:rPr>
          <w:lang w:val="ru-RU"/>
        </w:rPr>
        <w:t xml:space="preserve"> в</w:t>
      </w:r>
      <w:r w:rsidRPr="0049187C">
        <w:rPr>
          <w:lang w:val="ru-RU"/>
        </w:rPr>
        <w:t xml:space="preserve"> сумме, равной ожидаемым кредитным убыткам </w:t>
      </w:r>
      <w:r w:rsidR="007E6FF8">
        <w:rPr>
          <w:lang w:val="ru-RU"/>
        </w:rPr>
        <w:t>за весь срок</w:t>
      </w:r>
      <w:r w:rsidRPr="0049187C">
        <w:rPr>
          <w:lang w:val="ru-RU"/>
        </w:rPr>
        <w:t>, но</w:t>
      </w:r>
      <w:r w:rsidR="000E51F0">
        <w:rPr>
          <w:lang w:val="ru-RU"/>
        </w:rPr>
        <w:t xml:space="preserve"> по состоянию</w:t>
      </w:r>
      <w:r w:rsidRPr="0049187C">
        <w:rPr>
          <w:lang w:val="ru-RU"/>
        </w:rPr>
        <w:t xml:space="preserve"> на текущую отчетную дату</w:t>
      </w:r>
      <w:r w:rsidR="000E51F0">
        <w:rPr>
          <w:lang w:val="ru-RU"/>
        </w:rPr>
        <w:t xml:space="preserve"> определяет</w:t>
      </w:r>
      <w:r w:rsidRPr="0049187C">
        <w:rPr>
          <w:lang w:val="ru-RU"/>
        </w:rPr>
        <w:t xml:space="preserve">, что </w:t>
      </w:r>
      <w:r w:rsidR="000E51F0">
        <w:rPr>
          <w:lang w:val="ru-RU"/>
        </w:rPr>
        <w:t>требования</w:t>
      </w:r>
      <w:r w:rsidR="00596043">
        <w:rPr>
          <w:lang w:val="ru-RU"/>
        </w:rPr>
        <w:t xml:space="preserve"> </w:t>
      </w:r>
      <w:r w:rsidRPr="0049187C">
        <w:rPr>
          <w:lang w:val="ru-RU"/>
        </w:rPr>
        <w:t>пункт</w:t>
      </w:r>
      <w:r w:rsidR="000E51F0">
        <w:rPr>
          <w:lang w:val="ru-RU"/>
        </w:rPr>
        <w:t>а</w:t>
      </w:r>
      <w:r w:rsidRPr="0049187C">
        <w:rPr>
          <w:lang w:val="ru-RU"/>
        </w:rPr>
        <w:t xml:space="preserve"> 5.5.3 бол</w:t>
      </w:r>
      <w:r w:rsidR="00596043">
        <w:rPr>
          <w:lang w:val="ru-RU"/>
        </w:rPr>
        <w:t>ее</w:t>
      </w:r>
      <w:r w:rsidRPr="0049187C">
        <w:rPr>
          <w:lang w:val="ru-RU"/>
        </w:rPr>
        <w:t xml:space="preserve"> </w:t>
      </w:r>
      <w:r w:rsidR="0029201A" w:rsidRPr="0049187C">
        <w:rPr>
          <w:lang w:val="ru-RU"/>
        </w:rPr>
        <w:t xml:space="preserve">не </w:t>
      </w:r>
      <w:r w:rsidR="00596043">
        <w:rPr>
          <w:lang w:val="ru-RU"/>
        </w:rPr>
        <w:t>выполняются</w:t>
      </w:r>
      <w:r w:rsidRPr="0049187C">
        <w:rPr>
          <w:lang w:val="ru-RU"/>
        </w:rPr>
        <w:t xml:space="preserve">, </w:t>
      </w:r>
      <w:r w:rsidR="00596043">
        <w:rPr>
          <w:lang w:val="ru-RU"/>
        </w:rPr>
        <w:t xml:space="preserve">то </w:t>
      </w:r>
      <w:r w:rsidR="00596043" w:rsidRPr="0049187C">
        <w:rPr>
          <w:lang w:val="ru-RU"/>
        </w:rPr>
        <w:t xml:space="preserve">на текущую отчетную дату </w:t>
      </w:r>
      <w:r w:rsidRPr="0049187C">
        <w:rPr>
          <w:lang w:val="ru-RU"/>
        </w:rPr>
        <w:t>организация долж</w:t>
      </w:r>
      <w:r w:rsidR="000E51F0">
        <w:rPr>
          <w:lang w:val="ru-RU"/>
        </w:rPr>
        <w:t>на оцени</w:t>
      </w:r>
      <w:r w:rsidR="00637236">
        <w:rPr>
          <w:lang w:val="ru-RU"/>
        </w:rPr>
        <w:t>ть оценочный резерв в</w:t>
      </w:r>
      <w:r w:rsidRPr="0049187C">
        <w:rPr>
          <w:lang w:val="ru-RU"/>
        </w:rPr>
        <w:t xml:space="preserve"> сумме, равной </w:t>
      </w:r>
      <w:r w:rsidR="007E6FF8">
        <w:rPr>
          <w:lang w:val="ru-RU"/>
        </w:rPr>
        <w:t xml:space="preserve">12-месячным </w:t>
      </w:r>
      <w:r w:rsidRPr="0049187C">
        <w:rPr>
          <w:lang w:val="ru-RU"/>
        </w:rPr>
        <w:t>ожидаемым кредитным убыткам.</w:t>
      </w:r>
    </w:p>
    <w:p w:rsidR="007D4BCC" w:rsidRPr="0049187C" w:rsidRDefault="007D4BCC" w:rsidP="007D4BCC">
      <w:pPr>
        <w:pStyle w:val="IASBNormalnpara"/>
        <w:rPr>
          <w:lang w:val="ru-RU"/>
        </w:rPr>
      </w:pPr>
      <w:r w:rsidRPr="0049187C">
        <w:rPr>
          <w:lang w:val="ru-RU"/>
        </w:rPr>
        <w:t>5.5.8</w:t>
      </w:r>
      <w:r w:rsidRPr="0049187C">
        <w:rPr>
          <w:lang w:val="ru-RU"/>
        </w:rPr>
        <w:tab/>
        <w:t xml:space="preserve">Организация должна признать в составе прибыли или убытка в качестве </w:t>
      </w:r>
      <w:r w:rsidRPr="00536C50">
        <w:rPr>
          <w:i/>
          <w:lang w:val="ru-RU"/>
        </w:rPr>
        <w:t>прибыли или убытка от обесценения</w:t>
      </w:r>
      <w:r w:rsidRPr="0049187C">
        <w:rPr>
          <w:lang w:val="ru-RU"/>
        </w:rPr>
        <w:t xml:space="preserve"> сумму ожидаемых кредитных убытков (или </w:t>
      </w:r>
      <w:r w:rsidR="00596043">
        <w:rPr>
          <w:lang w:val="ru-RU"/>
        </w:rPr>
        <w:t xml:space="preserve">их </w:t>
      </w:r>
      <w:r w:rsidR="0029201A" w:rsidRPr="0049187C">
        <w:rPr>
          <w:lang w:val="ru-RU"/>
        </w:rPr>
        <w:t>восстановления</w:t>
      </w:r>
      <w:r w:rsidRPr="0049187C">
        <w:rPr>
          <w:lang w:val="ru-RU"/>
        </w:rPr>
        <w:t xml:space="preserve">), </w:t>
      </w:r>
      <w:r w:rsidR="00E53183">
        <w:rPr>
          <w:lang w:val="ru-RU"/>
        </w:rPr>
        <w:t>необходимую</w:t>
      </w:r>
      <w:r w:rsidRPr="0049187C">
        <w:rPr>
          <w:lang w:val="ru-RU"/>
        </w:rPr>
        <w:t xml:space="preserve"> для корректировки оценочного резерва под убытки</w:t>
      </w:r>
      <w:r w:rsidR="007D71B7">
        <w:rPr>
          <w:lang w:val="ru-RU"/>
        </w:rPr>
        <w:t xml:space="preserve"> по состоянию</w:t>
      </w:r>
      <w:r w:rsidRPr="0049187C">
        <w:rPr>
          <w:lang w:val="ru-RU"/>
        </w:rPr>
        <w:t xml:space="preserve"> на отчетную дату до </w:t>
      </w:r>
      <w:r w:rsidR="00E53183">
        <w:rPr>
          <w:lang w:val="ru-RU"/>
        </w:rPr>
        <w:t>величины</w:t>
      </w:r>
      <w:r w:rsidRPr="0049187C">
        <w:rPr>
          <w:lang w:val="ru-RU"/>
        </w:rPr>
        <w:t>, которую необходимо признать в соответствии с настоящим стандартом.</w:t>
      </w:r>
    </w:p>
    <w:p w:rsidR="007D4BCC" w:rsidRPr="002A4F2B" w:rsidRDefault="00E53183" w:rsidP="007D4BCC">
      <w:pPr>
        <w:pStyle w:val="IASBSectionTitle3Ind"/>
        <w:rPr>
          <w:lang w:val="ru-RU"/>
        </w:rPr>
      </w:pPr>
      <w:r>
        <w:rPr>
          <w:lang w:val="ru-RU"/>
        </w:rPr>
        <w:t>Подход к определению</w:t>
      </w:r>
      <w:r w:rsidR="007D4BCC" w:rsidRPr="002A4F2B">
        <w:rPr>
          <w:lang w:val="ru-RU"/>
        </w:rPr>
        <w:t xml:space="preserve"> значительного увеличения кредитного риска</w:t>
      </w:r>
    </w:p>
    <w:p w:rsidR="007D4BCC" w:rsidRPr="0049187C" w:rsidRDefault="007D4BCC" w:rsidP="007D4BCC">
      <w:pPr>
        <w:pStyle w:val="IASBNormalnpara"/>
        <w:rPr>
          <w:lang w:val="ru-RU"/>
        </w:rPr>
      </w:pPr>
      <w:r w:rsidRPr="002A4F2B">
        <w:rPr>
          <w:lang w:val="ru-RU"/>
        </w:rPr>
        <w:t>5.5.9</w:t>
      </w:r>
      <w:r w:rsidRPr="002A4F2B">
        <w:rPr>
          <w:lang w:val="ru-RU"/>
        </w:rPr>
        <w:tab/>
      </w:r>
      <w:r w:rsidR="007F4653">
        <w:rPr>
          <w:lang w:val="ru-RU"/>
        </w:rPr>
        <w:t>По состоянию н</w:t>
      </w:r>
      <w:r w:rsidRPr="002A4F2B">
        <w:rPr>
          <w:lang w:val="ru-RU"/>
        </w:rPr>
        <w:t xml:space="preserve">а каждую отчетную дату организация должна оценивать, </w:t>
      </w:r>
      <w:r w:rsidR="00E53183">
        <w:rPr>
          <w:lang w:val="ru-RU"/>
        </w:rPr>
        <w:t xml:space="preserve">значительно ли </w:t>
      </w:r>
      <w:r w:rsidRPr="009B617F">
        <w:rPr>
          <w:lang w:val="ru-RU"/>
        </w:rPr>
        <w:t>увеличился</w:t>
      </w:r>
      <w:r w:rsidR="00FA359D">
        <w:rPr>
          <w:lang w:val="ru-RU"/>
        </w:rPr>
        <w:t xml:space="preserve"> </w:t>
      </w:r>
      <w:r w:rsidRPr="009B617F">
        <w:rPr>
          <w:lang w:val="ru-RU"/>
        </w:rPr>
        <w:t xml:space="preserve">кредитный риск по финансовому инструменту </w:t>
      </w:r>
      <w:r w:rsidR="00E53183">
        <w:rPr>
          <w:lang w:val="ru-RU"/>
        </w:rPr>
        <w:t>с момента</w:t>
      </w:r>
      <w:r w:rsidRPr="00EB0913">
        <w:rPr>
          <w:lang w:val="ru-RU"/>
        </w:rPr>
        <w:t xml:space="preserve"> </w:t>
      </w:r>
      <w:r w:rsidR="002A4F2B">
        <w:rPr>
          <w:lang w:val="ru-RU"/>
        </w:rPr>
        <w:t xml:space="preserve">его </w:t>
      </w:r>
      <w:r w:rsidRPr="002A4F2B">
        <w:rPr>
          <w:lang w:val="ru-RU"/>
        </w:rPr>
        <w:t>первоначального признания. При проведении оценки организация должна</w:t>
      </w:r>
      <w:r w:rsidRPr="0049187C">
        <w:rPr>
          <w:lang w:val="ru-RU"/>
        </w:rPr>
        <w:t xml:space="preserve"> </w:t>
      </w:r>
      <w:r w:rsidR="00E53183">
        <w:rPr>
          <w:lang w:val="ru-RU"/>
        </w:rPr>
        <w:t>ориентироваться на изменение риска</w:t>
      </w:r>
      <w:r w:rsidRPr="0049187C">
        <w:rPr>
          <w:lang w:val="ru-RU"/>
        </w:rPr>
        <w:t xml:space="preserve"> </w:t>
      </w:r>
      <w:r w:rsidR="0029201A" w:rsidRPr="0049187C">
        <w:rPr>
          <w:lang w:val="ru-RU"/>
        </w:rPr>
        <w:t xml:space="preserve">наступления </w:t>
      </w:r>
      <w:r w:rsidRPr="0049187C">
        <w:rPr>
          <w:lang w:val="ru-RU"/>
        </w:rPr>
        <w:t>дефолта на протяжении ожидаемого срока действия финансового инструмента</w:t>
      </w:r>
      <w:r w:rsidR="00E53183">
        <w:rPr>
          <w:lang w:val="ru-RU"/>
        </w:rPr>
        <w:t>, а не на</w:t>
      </w:r>
      <w:r w:rsidRPr="0049187C">
        <w:rPr>
          <w:lang w:val="ru-RU"/>
        </w:rPr>
        <w:t xml:space="preserve"> изменения </w:t>
      </w:r>
      <w:r w:rsidR="00E53183">
        <w:rPr>
          <w:lang w:val="ru-RU"/>
        </w:rPr>
        <w:t>суммы</w:t>
      </w:r>
      <w:r w:rsidRPr="0049187C">
        <w:rPr>
          <w:lang w:val="ru-RU"/>
        </w:rPr>
        <w:t xml:space="preserve"> ожидаемых кредитных убытков. Чтобы сделать такую оценку, организация</w:t>
      </w:r>
      <w:r w:rsidR="0072467B">
        <w:rPr>
          <w:lang w:val="ru-RU"/>
        </w:rPr>
        <w:t xml:space="preserve"> должна</w:t>
      </w:r>
      <w:r w:rsidR="00911268">
        <w:rPr>
          <w:lang w:val="ru-RU"/>
        </w:rPr>
        <w:t xml:space="preserve"> сравн</w:t>
      </w:r>
      <w:r w:rsidR="0072467B">
        <w:rPr>
          <w:lang w:val="ru-RU"/>
        </w:rPr>
        <w:t>ить</w:t>
      </w:r>
      <w:r w:rsidRPr="0049187C">
        <w:rPr>
          <w:lang w:val="ru-RU"/>
        </w:rPr>
        <w:t xml:space="preserve"> риск </w:t>
      </w:r>
      <w:r w:rsidR="0029201A" w:rsidRPr="0049187C">
        <w:rPr>
          <w:lang w:val="ru-RU"/>
        </w:rPr>
        <w:t xml:space="preserve">наступления </w:t>
      </w:r>
      <w:r w:rsidRPr="0049187C">
        <w:rPr>
          <w:lang w:val="ru-RU"/>
        </w:rPr>
        <w:t xml:space="preserve">дефолта по финансовому инструменту </w:t>
      </w:r>
      <w:r w:rsidR="007D71B7">
        <w:rPr>
          <w:lang w:val="ru-RU"/>
        </w:rPr>
        <w:t xml:space="preserve">по состоянию </w:t>
      </w:r>
      <w:r w:rsidRPr="0049187C">
        <w:rPr>
          <w:lang w:val="ru-RU"/>
        </w:rPr>
        <w:t xml:space="preserve">на отчетную дату с риском </w:t>
      </w:r>
      <w:r w:rsidR="0029201A" w:rsidRPr="0049187C">
        <w:rPr>
          <w:lang w:val="ru-RU"/>
        </w:rPr>
        <w:t xml:space="preserve">наступления </w:t>
      </w:r>
      <w:r w:rsidRPr="0049187C">
        <w:rPr>
          <w:lang w:val="ru-RU"/>
        </w:rPr>
        <w:t>дефолта по финансовому инструменту на дату первоначального признания</w:t>
      </w:r>
      <w:r w:rsidR="00E53183">
        <w:rPr>
          <w:lang w:val="ru-RU"/>
        </w:rPr>
        <w:t xml:space="preserve"> и проанализировать </w:t>
      </w:r>
      <w:r w:rsidRPr="0049187C">
        <w:rPr>
          <w:lang w:val="ru-RU"/>
        </w:rPr>
        <w:t xml:space="preserve">обоснованную и </w:t>
      </w:r>
      <w:r w:rsidR="002A4F2B">
        <w:rPr>
          <w:lang w:val="ru-RU"/>
        </w:rPr>
        <w:t>подтверждаемую</w:t>
      </w:r>
      <w:r w:rsidR="002A4F2B" w:rsidRPr="0049187C">
        <w:rPr>
          <w:lang w:val="ru-RU"/>
        </w:rPr>
        <w:t xml:space="preserve"> </w:t>
      </w:r>
      <w:r w:rsidRPr="0049187C">
        <w:rPr>
          <w:lang w:val="ru-RU"/>
        </w:rPr>
        <w:t>информацию, доступную без чрезмерных затрат и</w:t>
      </w:r>
      <w:r w:rsidR="002F6B82">
        <w:rPr>
          <w:lang w:val="ru-RU"/>
        </w:rPr>
        <w:t>ли</w:t>
      </w:r>
      <w:r w:rsidRPr="0049187C">
        <w:rPr>
          <w:lang w:val="ru-RU"/>
        </w:rPr>
        <w:t xml:space="preserve"> усилий, которая указывает на значительное увеличение кредитного риска </w:t>
      </w:r>
      <w:r w:rsidR="00C577C1">
        <w:rPr>
          <w:lang w:val="ru-RU"/>
        </w:rPr>
        <w:t>с момента</w:t>
      </w:r>
      <w:r w:rsidRPr="0049187C">
        <w:rPr>
          <w:lang w:val="ru-RU"/>
        </w:rPr>
        <w:t xml:space="preserve"> первоначального признания</w:t>
      </w:r>
      <w:r w:rsidR="00E53183">
        <w:rPr>
          <w:lang w:val="ru-RU"/>
        </w:rPr>
        <w:t xml:space="preserve"> соответствующего</w:t>
      </w:r>
      <w:r w:rsidR="002A4F2B">
        <w:rPr>
          <w:lang w:val="ru-RU"/>
        </w:rPr>
        <w:t xml:space="preserve"> инструмента</w:t>
      </w:r>
      <w:r w:rsidRPr="0049187C">
        <w:rPr>
          <w:lang w:val="ru-RU"/>
        </w:rPr>
        <w:t>.</w:t>
      </w:r>
    </w:p>
    <w:p w:rsidR="007D4BCC" w:rsidRPr="0049187C" w:rsidRDefault="007D4BCC" w:rsidP="007D4BCC">
      <w:pPr>
        <w:pStyle w:val="IASBNormalnpara"/>
        <w:rPr>
          <w:lang w:val="ru-RU"/>
        </w:rPr>
      </w:pPr>
      <w:r w:rsidRPr="0049187C">
        <w:rPr>
          <w:lang w:val="ru-RU"/>
        </w:rPr>
        <w:t>5.5.10</w:t>
      </w:r>
      <w:r w:rsidRPr="0049187C">
        <w:rPr>
          <w:lang w:val="ru-RU"/>
        </w:rPr>
        <w:tab/>
        <w:t xml:space="preserve">Организация </w:t>
      </w:r>
      <w:r w:rsidR="002A4F2B">
        <w:rPr>
          <w:lang w:val="ru-RU"/>
        </w:rPr>
        <w:t>вправе</w:t>
      </w:r>
      <w:r w:rsidR="002A4F2B" w:rsidRPr="0049187C">
        <w:rPr>
          <w:lang w:val="ru-RU"/>
        </w:rPr>
        <w:t xml:space="preserve"> </w:t>
      </w:r>
      <w:r w:rsidR="00E53183">
        <w:rPr>
          <w:lang w:val="ru-RU"/>
        </w:rPr>
        <w:t>использовать допущение</w:t>
      </w:r>
      <w:r w:rsidRPr="0049187C">
        <w:rPr>
          <w:lang w:val="ru-RU"/>
        </w:rPr>
        <w:t>, что кредитный риск по финансовому инструменту</w:t>
      </w:r>
      <w:r w:rsidR="00C577C1">
        <w:rPr>
          <w:lang w:val="ru-RU"/>
        </w:rPr>
        <w:t xml:space="preserve"> не увеличился значительно с момента</w:t>
      </w:r>
      <w:r w:rsidRPr="0049187C">
        <w:rPr>
          <w:lang w:val="ru-RU"/>
        </w:rPr>
        <w:t xml:space="preserve"> первоначального признания, если было определено, что финансовый инструмент имеет низкий кредитный риск </w:t>
      </w:r>
      <w:r w:rsidR="007D71B7">
        <w:rPr>
          <w:lang w:val="ru-RU"/>
        </w:rPr>
        <w:t xml:space="preserve">по состоянию </w:t>
      </w:r>
      <w:r w:rsidRPr="0049187C">
        <w:rPr>
          <w:lang w:val="ru-RU"/>
        </w:rPr>
        <w:t>на отчетную дату (см. пункт</w:t>
      </w:r>
      <w:r w:rsidR="00FA359D">
        <w:rPr>
          <w:lang w:val="ru-RU"/>
        </w:rPr>
        <w:t>ы</w:t>
      </w:r>
      <w:r w:rsidRPr="0049187C">
        <w:rPr>
          <w:lang w:val="ru-RU"/>
        </w:rPr>
        <w:t xml:space="preserve"> B5.5.22</w:t>
      </w:r>
      <w:r w:rsidRPr="0049187C">
        <w:rPr>
          <w:rFonts w:ascii="Cambria Math" w:hAnsi="Cambria Math" w:cs="Cambria Math"/>
          <w:lang w:val="ru-RU"/>
        </w:rPr>
        <w:t>‒</w:t>
      </w:r>
      <w:r w:rsidRPr="0049187C">
        <w:rPr>
          <w:lang w:val="ru-RU"/>
        </w:rPr>
        <w:t>B5.5.24).</w:t>
      </w:r>
    </w:p>
    <w:p w:rsidR="007D4BCC" w:rsidRPr="0049187C" w:rsidRDefault="007D4BCC" w:rsidP="007D4BCC">
      <w:pPr>
        <w:pStyle w:val="IASBNormalnpara"/>
        <w:rPr>
          <w:lang w:val="ru-RU"/>
        </w:rPr>
      </w:pPr>
      <w:r w:rsidRPr="0049187C">
        <w:rPr>
          <w:lang w:val="ru-RU"/>
        </w:rPr>
        <w:t>5.5.11</w:t>
      </w:r>
      <w:r w:rsidRPr="0049187C">
        <w:rPr>
          <w:lang w:val="ru-RU"/>
        </w:rPr>
        <w:tab/>
        <w:t xml:space="preserve">Если обоснованная и </w:t>
      </w:r>
      <w:r w:rsidR="002A4F2B">
        <w:rPr>
          <w:lang w:val="ru-RU"/>
        </w:rPr>
        <w:t>подтверждаемая прогнозная</w:t>
      </w:r>
      <w:r w:rsidR="002A4F2B" w:rsidRPr="0049187C">
        <w:rPr>
          <w:lang w:val="ru-RU"/>
        </w:rPr>
        <w:t xml:space="preserve"> </w:t>
      </w:r>
      <w:r w:rsidRPr="0049187C">
        <w:rPr>
          <w:lang w:val="ru-RU"/>
        </w:rPr>
        <w:t xml:space="preserve">информация доступна без чрезмерных затрат или усилий, организация не может полагаться только на информацию о </w:t>
      </w:r>
      <w:r w:rsidR="0029201A" w:rsidRPr="00536C50">
        <w:rPr>
          <w:i/>
          <w:lang w:val="ru-RU"/>
        </w:rPr>
        <w:t>просроченных</w:t>
      </w:r>
      <w:r w:rsidR="0029201A" w:rsidRPr="0049187C">
        <w:rPr>
          <w:lang w:val="ru-RU"/>
        </w:rPr>
        <w:t xml:space="preserve"> платежах</w:t>
      </w:r>
      <w:r w:rsidRPr="0049187C">
        <w:rPr>
          <w:lang w:val="ru-RU"/>
        </w:rPr>
        <w:t xml:space="preserve"> при определении того, увеличился ли значительно кредитный риск </w:t>
      </w:r>
      <w:r w:rsidR="00C577C1">
        <w:rPr>
          <w:lang w:val="ru-RU"/>
        </w:rPr>
        <w:t>с момента</w:t>
      </w:r>
      <w:r w:rsidRPr="0049187C">
        <w:rPr>
          <w:lang w:val="ru-RU"/>
        </w:rPr>
        <w:t xml:space="preserve"> первоначального признания. Однако когда информация, которая </w:t>
      </w:r>
      <w:r w:rsidR="00922765" w:rsidRPr="0049187C">
        <w:rPr>
          <w:lang w:val="ru-RU"/>
        </w:rPr>
        <w:t xml:space="preserve">является более </w:t>
      </w:r>
      <w:r w:rsidR="002A4F2B">
        <w:rPr>
          <w:lang w:val="ru-RU"/>
        </w:rPr>
        <w:t>прогностичной</w:t>
      </w:r>
      <w:r w:rsidR="00922765" w:rsidRPr="0049187C">
        <w:rPr>
          <w:lang w:val="ru-RU"/>
        </w:rPr>
        <w:t>, чем статус просроченных платежей</w:t>
      </w:r>
      <w:r w:rsidRPr="0049187C">
        <w:rPr>
          <w:lang w:val="ru-RU"/>
        </w:rPr>
        <w:t xml:space="preserve"> (</w:t>
      </w:r>
      <w:r w:rsidR="00E53183">
        <w:rPr>
          <w:lang w:val="ru-RU"/>
        </w:rPr>
        <w:t xml:space="preserve">будь то </w:t>
      </w:r>
      <w:r w:rsidRPr="0049187C">
        <w:rPr>
          <w:lang w:val="ru-RU"/>
        </w:rPr>
        <w:t xml:space="preserve">на индивидуальной или </w:t>
      </w:r>
      <w:r w:rsidR="000C6E37" w:rsidRPr="0049187C">
        <w:rPr>
          <w:lang w:val="ru-RU"/>
        </w:rPr>
        <w:t xml:space="preserve">групповой </w:t>
      </w:r>
      <w:r w:rsidRPr="0049187C">
        <w:rPr>
          <w:lang w:val="ru-RU"/>
        </w:rPr>
        <w:t xml:space="preserve">основе), не доступна без чрезмерных затрат или усилий, организация может использовать информацию о </w:t>
      </w:r>
      <w:r w:rsidR="00922765" w:rsidRPr="0049187C">
        <w:rPr>
          <w:lang w:val="ru-RU"/>
        </w:rPr>
        <w:t>просроченных платежах</w:t>
      </w:r>
      <w:r w:rsidRPr="0049187C">
        <w:rPr>
          <w:lang w:val="ru-RU"/>
        </w:rPr>
        <w:t xml:space="preserve"> при определении того, увеличился ли </w:t>
      </w:r>
      <w:r w:rsidR="00C577C1">
        <w:rPr>
          <w:lang w:val="ru-RU"/>
        </w:rPr>
        <w:t>значительно кредитный риск с момента</w:t>
      </w:r>
      <w:r w:rsidRPr="0049187C">
        <w:rPr>
          <w:lang w:val="ru-RU"/>
        </w:rPr>
        <w:t xml:space="preserve"> первоначального признания. Независимо от способа, с помощью которого организация оценивает значительное увеличение кредитного риска</w:t>
      </w:r>
      <w:r w:rsidR="00C577C1">
        <w:rPr>
          <w:lang w:val="ru-RU"/>
        </w:rPr>
        <w:t xml:space="preserve"> с момента</w:t>
      </w:r>
      <w:r w:rsidR="00922765" w:rsidRPr="0049187C">
        <w:rPr>
          <w:lang w:val="ru-RU"/>
        </w:rPr>
        <w:t xml:space="preserve"> первоначального признания</w:t>
      </w:r>
      <w:r w:rsidRPr="0049187C">
        <w:rPr>
          <w:lang w:val="ru-RU"/>
        </w:rPr>
        <w:t xml:space="preserve">, </w:t>
      </w:r>
      <w:r w:rsidR="00922765" w:rsidRPr="0049187C">
        <w:rPr>
          <w:lang w:val="ru-RU"/>
        </w:rPr>
        <w:t>если</w:t>
      </w:r>
      <w:r w:rsidRPr="0049187C">
        <w:rPr>
          <w:lang w:val="ru-RU"/>
        </w:rPr>
        <w:t xml:space="preserve"> предусмотренны</w:t>
      </w:r>
      <w:r w:rsidR="00922765" w:rsidRPr="0049187C">
        <w:rPr>
          <w:lang w:val="ru-RU"/>
        </w:rPr>
        <w:t>е</w:t>
      </w:r>
      <w:r w:rsidRPr="0049187C">
        <w:rPr>
          <w:lang w:val="ru-RU"/>
        </w:rPr>
        <w:t xml:space="preserve"> договором платеж</w:t>
      </w:r>
      <w:r w:rsidR="00922765" w:rsidRPr="0049187C">
        <w:rPr>
          <w:lang w:val="ru-RU"/>
        </w:rPr>
        <w:t>и просрочены</w:t>
      </w:r>
      <w:r w:rsidRPr="0049187C">
        <w:rPr>
          <w:lang w:val="ru-RU"/>
        </w:rPr>
        <w:t xml:space="preserve"> более чем на 30 дней, применяется опровержимое допущение</w:t>
      </w:r>
      <w:r w:rsidR="00922765" w:rsidRPr="0049187C">
        <w:rPr>
          <w:lang w:val="ru-RU"/>
        </w:rPr>
        <w:t xml:space="preserve"> о том</w:t>
      </w:r>
      <w:r w:rsidRPr="0049187C">
        <w:rPr>
          <w:lang w:val="ru-RU"/>
        </w:rPr>
        <w:t>, что кредитный риск по финансовому акт</w:t>
      </w:r>
      <w:r w:rsidR="00C577C1">
        <w:rPr>
          <w:lang w:val="ru-RU"/>
        </w:rPr>
        <w:t>иву значительно увеличился с момента</w:t>
      </w:r>
      <w:r w:rsidRPr="0049187C">
        <w:rPr>
          <w:lang w:val="ru-RU"/>
        </w:rPr>
        <w:t xml:space="preserve"> первоначального признания. Организация может опровергнуть это допущение, если </w:t>
      </w:r>
      <w:r w:rsidR="00866454">
        <w:rPr>
          <w:lang w:val="ru-RU"/>
        </w:rPr>
        <w:t>у нее</w:t>
      </w:r>
      <w:r w:rsidR="00922765" w:rsidRPr="0049187C">
        <w:rPr>
          <w:lang w:val="ru-RU"/>
        </w:rPr>
        <w:t xml:space="preserve"> </w:t>
      </w:r>
      <w:r w:rsidRPr="0049187C">
        <w:rPr>
          <w:lang w:val="ru-RU"/>
        </w:rPr>
        <w:t xml:space="preserve">имеется обоснованная и </w:t>
      </w:r>
      <w:r w:rsidR="002A4F2B">
        <w:rPr>
          <w:lang w:val="ru-RU"/>
        </w:rPr>
        <w:t>подтверждаемая</w:t>
      </w:r>
      <w:r w:rsidR="002A4F2B" w:rsidRPr="0049187C">
        <w:rPr>
          <w:lang w:val="ru-RU"/>
        </w:rPr>
        <w:t xml:space="preserve"> </w:t>
      </w:r>
      <w:r w:rsidRPr="0049187C">
        <w:rPr>
          <w:lang w:val="ru-RU"/>
        </w:rPr>
        <w:t>информация, доступная без чрезмерных затрат и</w:t>
      </w:r>
      <w:r w:rsidR="002F6B82">
        <w:rPr>
          <w:lang w:val="ru-RU"/>
        </w:rPr>
        <w:t>ли</w:t>
      </w:r>
      <w:r w:rsidRPr="0049187C">
        <w:rPr>
          <w:lang w:val="ru-RU"/>
        </w:rPr>
        <w:t xml:space="preserve"> усилий, которая показывает, что кредитный риск</w:t>
      </w:r>
      <w:r w:rsidR="00C577C1">
        <w:rPr>
          <w:lang w:val="ru-RU"/>
        </w:rPr>
        <w:t xml:space="preserve"> не увеличился значительно с момента</w:t>
      </w:r>
      <w:r w:rsidRPr="0049187C">
        <w:rPr>
          <w:lang w:val="ru-RU"/>
        </w:rPr>
        <w:t xml:space="preserve"> первоначального признания, даже при условии, что предусмотренные договором платежи просрочены более чем на 30 дней. Если организация определяет, что кредитный риск значительно увеличился </w:t>
      </w:r>
      <w:r w:rsidR="00E53183">
        <w:rPr>
          <w:lang w:val="ru-RU"/>
        </w:rPr>
        <w:t>раньше</w:t>
      </w:r>
      <w:r w:rsidRPr="0049187C">
        <w:rPr>
          <w:lang w:val="ru-RU"/>
        </w:rPr>
        <w:t xml:space="preserve">, </w:t>
      </w:r>
      <w:r w:rsidR="00E53183">
        <w:rPr>
          <w:lang w:val="ru-RU"/>
        </w:rPr>
        <w:t>чем</w:t>
      </w:r>
      <w:r w:rsidRPr="0049187C">
        <w:rPr>
          <w:lang w:val="ru-RU"/>
        </w:rPr>
        <w:t xml:space="preserve"> </w:t>
      </w:r>
      <w:r w:rsidR="00922765" w:rsidRPr="0049187C">
        <w:rPr>
          <w:lang w:val="ru-RU"/>
        </w:rPr>
        <w:t xml:space="preserve">предусмотренные договором </w:t>
      </w:r>
      <w:r w:rsidRPr="0049187C">
        <w:rPr>
          <w:lang w:val="ru-RU"/>
        </w:rPr>
        <w:t>платежи были просрочены более чем на 30 дней, опровержимое допущение не применяется.</w:t>
      </w:r>
    </w:p>
    <w:p w:rsidR="007D4BCC" w:rsidRPr="0049187C" w:rsidRDefault="007D4BCC" w:rsidP="007D4BCC">
      <w:pPr>
        <w:pStyle w:val="IASBSectionTitle3Ind"/>
        <w:rPr>
          <w:lang w:val="ru-RU"/>
        </w:rPr>
      </w:pPr>
      <w:r w:rsidRPr="0049187C">
        <w:rPr>
          <w:lang w:val="ru-RU"/>
        </w:rPr>
        <w:t>Модифицированные финансовые активы</w:t>
      </w:r>
    </w:p>
    <w:p w:rsidR="007D4BCC" w:rsidRPr="0049187C" w:rsidRDefault="007D4BCC" w:rsidP="007D4BCC">
      <w:pPr>
        <w:pStyle w:val="IASBNormalnpara"/>
        <w:rPr>
          <w:lang w:val="ru-RU"/>
        </w:rPr>
      </w:pPr>
      <w:r w:rsidRPr="0049187C">
        <w:rPr>
          <w:lang w:val="ru-RU"/>
        </w:rPr>
        <w:t>5.5.12</w:t>
      </w:r>
      <w:r w:rsidRPr="0049187C">
        <w:rPr>
          <w:lang w:val="ru-RU"/>
        </w:rPr>
        <w:tab/>
        <w:t xml:space="preserve">Если условия предусмотренных договором </w:t>
      </w:r>
      <w:r w:rsidR="00922765" w:rsidRPr="0049187C">
        <w:rPr>
          <w:lang w:val="ru-RU"/>
        </w:rPr>
        <w:t xml:space="preserve">денежных </w:t>
      </w:r>
      <w:r w:rsidRPr="0049187C">
        <w:rPr>
          <w:lang w:val="ru-RU"/>
        </w:rPr>
        <w:t>потоков по финансовому активу были пересмотрены или модифицированы и признани</w:t>
      </w:r>
      <w:r w:rsidR="00922765" w:rsidRPr="0049187C">
        <w:rPr>
          <w:lang w:val="ru-RU"/>
        </w:rPr>
        <w:t>е</w:t>
      </w:r>
      <w:r w:rsidRPr="0049187C">
        <w:rPr>
          <w:lang w:val="ru-RU"/>
        </w:rPr>
        <w:t xml:space="preserve"> финансового актива не </w:t>
      </w:r>
      <w:r w:rsidR="00E53183">
        <w:rPr>
          <w:lang w:val="ru-RU"/>
        </w:rPr>
        <w:t>было прекращено</w:t>
      </w:r>
      <w:r w:rsidRPr="0049187C">
        <w:rPr>
          <w:lang w:val="ru-RU"/>
        </w:rPr>
        <w:t>, организация должна оценить, увеличился ли значительно кредитный риск по финансовому инструменту в соответствии с пунктом 5.5.3, путем сравнения:</w:t>
      </w:r>
    </w:p>
    <w:p w:rsidR="007D4BCC" w:rsidRPr="0049187C" w:rsidRDefault="007D4BCC" w:rsidP="007D4BCC">
      <w:pPr>
        <w:pStyle w:val="IASBNormalnparaL1"/>
        <w:rPr>
          <w:lang w:val="ru-RU"/>
        </w:rPr>
      </w:pPr>
      <w:r w:rsidRPr="0049187C">
        <w:rPr>
          <w:lang w:val="ru-RU"/>
        </w:rPr>
        <w:t>(a)</w:t>
      </w:r>
      <w:r w:rsidRPr="0049187C">
        <w:rPr>
          <w:lang w:val="ru-RU"/>
        </w:rPr>
        <w:tab/>
      </w:r>
      <w:r w:rsidR="00E53183">
        <w:rPr>
          <w:lang w:val="ru-RU"/>
        </w:rPr>
        <w:t xml:space="preserve">оценки </w:t>
      </w:r>
      <w:r w:rsidRPr="0049187C">
        <w:rPr>
          <w:lang w:val="ru-RU"/>
        </w:rPr>
        <w:t xml:space="preserve">риска </w:t>
      </w:r>
      <w:r w:rsidR="00922765" w:rsidRPr="0049187C">
        <w:rPr>
          <w:lang w:val="ru-RU"/>
        </w:rPr>
        <w:t xml:space="preserve">наступления </w:t>
      </w:r>
      <w:r w:rsidRPr="0049187C">
        <w:rPr>
          <w:lang w:val="ru-RU"/>
        </w:rPr>
        <w:t xml:space="preserve">дефолта </w:t>
      </w:r>
      <w:r w:rsidR="007D71B7">
        <w:rPr>
          <w:lang w:val="ru-RU"/>
        </w:rPr>
        <w:t>по состоянию</w:t>
      </w:r>
      <w:r w:rsidR="007D71B7" w:rsidRPr="0049187C">
        <w:rPr>
          <w:lang w:val="ru-RU"/>
        </w:rPr>
        <w:t xml:space="preserve"> </w:t>
      </w:r>
      <w:r w:rsidRPr="0049187C">
        <w:rPr>
          <w:lang w:val="ru-RU"/>
        </w:rPr>
        <w:t>на отчетную дату (на основании модифицированных договорных услови</w:t>
      </w:r>
      <w:r w:rsidR="00922765" w:rsidRPr="0049187C">
        <w:rPr>
          <w:lang w:val="ru-RU"/>
        </w:rPr>
        <w:t>й</w:t>
      </w:r>
      <w:r w:rsidRPr="0049187C">
        <w:rPr>
          <w:lang w:val="ru-RU"/>
        </w:rPr>
        <w:t>); и</w:t>
      </w:r>
    </w:p>
    <w:p w:rsidR="007D4BCC" w:rsidRPr="0049187C" w:rsidRDefault="007D4BCC" w:rsidP="007D4BCC">
      <w:pPr>
        <w:pStyle w:val="IASBNormalnparaL1"/>
        <w:rPr>
          <w:lang w:val="ru-RU"/>
        </w:rPr>
      </w:pPr>
      <w:r w:rsidRPr="0049187C">
        <w:rPr>
          <w:lang w:val="ru-RU"/>
        </w:rPr>
        <w:t>(b)</w:t>
      </w:r>
      <w:r w:rsidRPr="0049187C">
        <w:rPr>
          <w:lang w:val="ru-RU"/>
        </w:rPr>
        <w:tab/>
      </w:r>
      <w:r w:rsidR="00E53183">
        <w:rPr>
          <w:lang w:val="ru-RU"/>
        </w:rPr>
        <w:t xml:space="preserve">оценки </w:t>
      </w:r>
      <w:r w:rsidRPr="0049187C">
        <w:rPr>
          <w:lang w:val="ru-RU"/>
        </w:rPr>
        <w:t xml:space="preserve">риска </w:t>
      </w:r>
      <w:r w:rsidR="00922765" w:rsidRPr="0049187C">
        <w:rPr>
          <w:lang w:val="ru-RU"/>
        </w:rPr>
        <w:t xml:space="preserve">наступления </w:t>
      </w:r>
      <w:r w:rsidRPr="0049187C">
        <w:rPr>
          <w:lang w:val="ru-RU"/>
        </w:rPr>
        <w:t xml:space="preserve">дефолта </w:t>
      </w:r>
      <w:r w:rsidR="00922765" w:rsidRPr="0049187C">
        <w:rPr>
          <w:lang w:val="ru-RU"/>
        </w:rPr>
        <w:t>при</w:t>
      </w:r>
      <w:r w:rsidRPr="0049187C">
        <w:rPr>
          <w:lang w:val="ru-RU"/>
        </w:rPr>
        <w:t xml:space="preserve"> первоначально</w:t>
      </w:r>
      <w:r w:rsidR="00922765" w:rsidRPr="0049187C">
        <w:rPr>
          <w:lang w:val="ru-RU"/>
        </w:rPr>
        <w:t>м</w:t>
      </w:r>
      <w:r w:rsidRPr="0049187C">
        <w:rPr>
          <w:lang w:val="ru-RU"/>
        </w:rPr>
        <w:t xml:space="preserve"> признани</w:t>
      </w:r>
      <w:r w:rsidR="00922765" w:rsidRPr="0049187C">
        <w:rPr>
          <w:lang w:val="ru-RU"/>
        </w:rPr>
        <w:t>и</w:t>
      </w:r>
      <w:r w:rsidRPr="0049187C">
        <w:rPr>
          <w:lang w:val="ru-RU"/>
        </w:rPr>
        <w:t xml:space="preserve"> (на основе первоначальных немодифицированных договорных условий).</w:t>
      </w:r>
    </w:p>
    <w:p w:rsidR="007D4BCC" w:rsidRPr="0049187C" w:rsidRDefault="007D4BCC" w:rsidP="007D4BCC">
      <w:pPr>
        <w:pStyle w:val="IASBSectionTitle3Ind"/>
        <w:rPr>
          <w:lang w:val="ru-RU"/>
        </w:rPr>
      </w:pPr>
      <w:r w:rsidRPr="0049187C">
        <w:rPr>
          <w:lang w:val="ru-RU"/>
        </w:rPr>
        <w:t xml:space="preserve">Приобретенные или </w:t>
      </w:r>
      <w:r w:rsidR="000B61C3">
        <w:rPr>
          <w:lang w:val="ru-RU"/>
        </w:rPr>
        <w:t>созданные кредитно-обесцененные</w:t>
      </w:r>
      <w:r w:rsidR="00922765" w:rsidRPr="0049187C">
        <w:rPr>
          <w:lang w:val="ru-RU"/>
        </w:rPr>
        <w:t xml:space="preserve"> </w:t>
      </w:r>
      <w:r w:rsidRPr="0049187C">
        <w:rPr>
          <w:lang w:val="ru-RU"/>
        </w:rPr>
        <w:t>финансовые активы</w:t>
      </w:r>
    </w:p>
    <w:p w:rsidR="007D4BCC" w:rsidRPr="0049187C" w:rsidRDefault="007D4BCC" w:rsidP="007D4BCC">
      <w:pPr>
        <w:pStyle w:val="IASBNormalnpara"/>
        <w:rPr>
          <w:b/>
          <w:lang w:val="ru-RU"/>
        </w:rPr>
      </w:pPr>
      <w:r w:rsidRPr="0049187C">
        <w:rPr>
          <w:b/>
          <w:lang w:val="ru-RU"/>
        </w:rPr>
        <w:t>5.5.13</w:t>
      </w:r>
      <w:r w:rsidRPr="0049187C">
        <w:rPr>
          <w:b/>
          <w:lang w:val="ru-RU"/>
        </w:rPr>
        <w:tab/>
        <w:t xml:space="preserve">Несмотря на требования пунктов 5.5.3 и 5.5.5, </w:t>
      </w:r>
      <w:r w:rsidR="007D71B7">
        <w:rPr>
          <w:b/>
          <w:lang w:val="ru-RU"/>
        </w:rPr>
        <w:t xml:space="preserve">по состоянию </w:t>
      </w:r>
      <w:r w:rsidRPr="0049187C">
        <w:rPr>
          <w:b/>
          <w:lang w:val="ru-RU"/>
        </w:rPr>
        <w:t>на отчетную дату организация должна признать</w:t>
      </w:r>
      <w:r w:rsidR="00E53183">
        <w:rPr>
          <w:b/>
          <w:lang w:val="ru-RU"/>
        </w:rPr>
        <w:t xml:space="preserve"> </w:t>
      </w:r>
      <w:r w:rsidR="00E53183" w:rsidRPr="0049187C">
        <w:rPr>
          <w:b/>
          <w:lang w:val="ru-RU"/>
        </w:rPr>
        <w:t xml:space="preserve">в качестве оценочного резерва под убытки по приобретенным или </w:t>
      </w:r>
      <w:r w:rsidR="00E53183">
        <w:rPr>
          <w:b/>
          <w:lang w:val="ru-RU"/>
        </w:rPr>
        <w:t>созданным</w:t>
      </w:r>
      <w:r w:rsidR="00E53183" w:rsidRPr="0049187C">
        <w:rPr>
          <w:b/>
          <w:lang w:val="ru-RU"/>
        </w:rPr>
        <w:t xml:space="preserve"> </w:t>
      </w:r>
      <w:r w:rsidR="00E53183">
        <w:rPr>
          <w:b/>
          <w:lang w:val="ru-RU"/>
        </w:rPr>
        <w:t xml:space="preserve">кредитно-обесцененным </w:t>
      </w:r>
      <w:r w:rsidR="00E53183" w:rsidRPr="0049187C">
        <w:rPr>
          <w:b/>
          <w:lang w:val="ru-RU"/>
        </w:rPr>
        <w:t>финансовым активам</w:t>
      </w:r>
      <w:r w:rsidRPr="0049187C">
        <w:rPr>
          <w:b/>
          <w:lang w:val="ru-RU"/>
        </w:rPr>
        <w:t xml:space="preserve"> только </w:t>
      </w:r>
      <w:r w:rsidR="009B617F">
        <w:rPr>
          <w:b/>
          <w:lang w:val="ru-RU"/>
        </w:rPr>
        <w:t>накопленные</w:t>
      </w:r>
      <w:r w:rsidR="00E53183">
        <w:rPr>
          <w:b/>
          <w:lang w:val="ru-RU"/>
        </w:rPr>
        <w:t xml:space="preserve"> </w:t>
      </w:r>
      <w:r w:rsidR="00E53183" w:rsidRPr="00C577C1">
        <w:rPr>
          <w:b/>
          <w:lang w:val="ru-RU"/>
        </w:rPr>
        <w:t>с момента</w:t>
      </w:r>
      <w:r w:rsidR="00E53183" w:rsidRPr="0049187C">
        <w:rPr>
          <w:b/>
          <w:lang w:val="ru-RU"/>
        </w:rPr>
        <w:t xml:space="preserve"> первоначального признания</w:t>
      </w:r>
      <w:r w:rsidR="009B617F" w:rsidRPr="0049187C">
        <w:rPr>
          <w:b/>
          <w:lang w:val="ru-RU"/>
        </w:rPr>
        <w:t xml:space="preserve"> </w:t>
      </w:r>
      <w:r w:rsidR="00E53183">
        <w:rPr>
          <w:b/>
          <w:lang w:val="ru-RU"/>
        </w:rPr>
        <w:t>изменения ожидаемых кредитных убытков</w:t>
      </w:r>
      <w:r w:rsidRPr="0049187C">
        <w:rPr>
          <w:b/>
          <w:lang w:val="ru-RU"/>
        </w:rPr>
        <w:t xml:space="preserve"> </w:t>
      </w:r>
      <w:r w:rsidR="000B61C3">
        <w:rPr>
          <w:b/>
          <w:lang w:val="ru-RU"/>
        </w:rPr>
        <w:t>за весь срок</w:t>
      </w:r>
      <w:r w:rsidRPr="0049187C">
        <w:rPr>
          <w:b/>
          <w:lang w:val="ru-RU"/>
        </w:rPr>
        <w:t>.</w:t>
      </w:r>
    </w:p>
    <w:p w:rsidR="007D4BCC" w:rsidRPr="0049187C" w:rsidRDefault="007D4BCC" w:rsidP="007D4BCC">
      <w:pPr>
        <w:pStyle w:val="IASBNormalnpara"/>
        <w:rPr>
          <w:lang w:val="ru-RU"/>
        </w:rPr>
      </w:pPr>
      <w:r w:rsidRPr="0049187C">
        <w:rPr>
          <w:lang w:val="ru-RU"/>
        </w:rPr>
        <w:t>5.5.14</w:t>
      </w:r>
      <w:r w:rsidRPr="0049187C">
        <w:rPr>
          <w:lang w:val="ru-RU"/>
        </w:rPr>
        <w:tab/>
      </w:r>
      <w:r w:rsidR="007F4653">
        <w:rPr>
          <w:lang w:val="ru-RU"/>
        </w:rPr>
        <w:t>По состоянию н</w:t>
      </w:r>
      <w:r w:rsidRPr="0049187C">
        <w:rPr>
          <w:lang w:val="ru-RU"/>
        </w:rPr>
        <w:t xml:space="preserve">а </w:t>
      </w:r>
      <w:r w:rsidR="009B617F">
        <w:rPr>
          <w:lang w:val="ru-RU"/>
        </w:rPr>
        <w:t xml:space="preserve">каждую </w:t>
      </w:r>
      <w:r w:rsidRPr="0049187C">
        <w:rPr>
          <w:lang w:val="ru-RU"/>
        </w:rPr>
        <w:t>отчетную дату организация должна призна</w:t>
      </w:r>
      <w:r w:rsidR="009B617F">
        <w:rPr>
          <w:lang w:val="ru-RU"/>
        </w:rPr>
        <w:t>ва</w:t>
      </w:r>
      <w:r w:rsidRPr="0049187C">
        <w:rPr>
          <w:lang w:val="ru-RU"/>
        </w:rPr>
        <w:t>ть в составе прибы</w:t>
      </w:r>
      <w:r w:rsidR="003C5E8C">
        <w:rPr>
          <w:lang w:val="ru-RU"/>
        </w:rPr>
        <w:t xml:space="preserve">ли или убытка </w:t>
      </w:r>
      <w:r w:rsidR="008B521C">
        <w:rPr>
          <w:lang w:val="ru-RU"/>
        </w:rPr>
        <w:t>величину</w:t>
      </w:r>
      <w:r w:rsidR="003C5E8C">
        <w:rPr>
          <w:lang w:val="ru-RU"/>
        </w:rPr>
        <w:t xml:space="preserve"> изменения </w:t>
      </w:r>
      <w:r w:rsidRPr="0049187C">
        <w:rPr>
          <w:lang w:val="ru-RU"/>
        </w:rPr>
        <w:t>ожидаемых креди</w:t>
      </w:r>
      <w:r w:rsidR="003C5E8C">
        <w:rPr>
          <w:lang w:val="ru-RU"/>
        </w:rPr>
        <w:t>тных убытков</w:t>
      </w:r>
      <w:r w:rsidRPr="0049187C">
        <w:rPr>
          <w:lang w:val="ru-RU"/>
        </w:rPr>
        <w:t xml:space="preserve"> </w:t>
      </w:r>
      <w:r w:rsidR="000B61C3">
        <w:rPr>
          <w:lang w:val="ru-RU"/>
        </w:rPr>
        <w:t>за весь срок</w:t>
      </w:r>
      <w:r w:rsidRPr="0049187C">
        <w:rPr>
          <w:lang w:val="ru-RU"/>
        </w:rPr>
        <w:t xml:space="preserve"> в качестве прибыли или убытка от обесценения. Организация должна призна</w:t>
      </w:r>
      <w:r w:rsidR="009B617F">
        <w:rPr>
          <w:lang w:val="ru-RU"/>
        </w:rPr>
        <w:t>ва</w:t>
      </w:r>
      <w:r w:rsidR="003C5E8C">
        <w:rPr>
          <w:lang w:val="ru-RU"/>
        </w:rPr>
        <w:t>ть благоприятные изменения ожидаемых кредитных убытков</w:t>
      </w:r>
      <w:r w:rsidRPr="0049187C">
        <w:rPr>
          <w:lang w:val="ru-RU"/>
        </w:rPr>
        <w:t xml:space="preserve"> </w:t>
      </w:r>
      <w:r w:rsidR="000B61C3">
        <w:rPr>
          <w:lang w:val="ru-RU"/>
        </w:rPr>
        <w:t>за весь срок</w:t>
      </w:r>
      <w:r w:rsidRPr="0049187C">
        <w:rPr>
          <w:lang w:val="ru-RU"/>
        </w:rPr>
        <w:t xml:space="preserve"> в качестве прибыли </w:t>
      </w:r>
      <w:r w:rsidR="008B521C">
        <w:rPr>
          <w:lang w:val="ru-RU"/>
        </w:rPr>
        <w:t>от обесценения, даже если ожидаемые кредитные убытки</w:t>
      </w:r>
      <w:r w:rsidRPr="0049187C">
        <w:rPr>
          <w:lang w:val="ru-RU"/>
        </w:rPr>
        <w:t xml:space="preserve"> </w:t>
      </w:r>
      <w:r w:rsidR="000B61C3">
        <w:rPr>
          <w:lang w:val="ru-RU"/>
        </w:rPr>
        <w:t>за весь срок</w:t>
      </w:r>
      <w:r w:rsidRPr="0049187C">
        <w:rPr>
          <w:lang w:val="ru-RU"/>
        </w:rPr>
        <w:t xml:space="preserve"> меньше </w:t>
      </w:r>
      <w:r w:rsidR="008B521C">
        <w:rPr>
          <w:lang w:val="ru-RU"/>
        </w:rPr>
        <w:t xml:space="preserve">величины </w:t>
      </w:r>
      <w:r w:rsidRPr="0049187C">
        <w:rPr>
          <w:lang w:val="ru-RU"/>
        </w:rPr>
        <w:t xml:space="preserve">ожидаемых кредитных убытков, </w:t>
      </w:r>
      <w:r w:rsidR="00D67EB9" w:rsidRPr="0049187C">
        <w:rPr>
          <w:lang w:val="ru-RU"/>
        </w:rPr>
        <w:t xml:space="preserve">которые были </w:t>
      </w:r>
      <w:r w:rsidRPr="0049187C">
        <w:rPr>
          <w:lang w:val="ru-RU"/>
        </w:rPr>
        <w:t>включен</w:t>
      </w:r>
      <w:r w:rsidR="00D67EB9" w:rsidRPr="0049187C">
        <w:rPr>
          <w:lang w:val="ru-RU"/>
        </w:rPr>
        <w:t>ы</w:t>
      </w:r>
      <w:r w:rsidRPr="0049187C">
        <w:rPr>
          <w:lang w:val="ru-RU"/>
        </w:rPr>
        <w:t xml:space="preserve"> в расчетные денежные потоки при первоначальном признании.</w:t>
      </w:r>
    </w:p>
    <w:p w:rsidR="007D4BCC" w:rsidRPr="0049187C" w:rsidRDefault="007D4BCC" w:rsidP="007D4BCC">
      <w:pPr>
        <w:pStyle w:val="IASBSectionTitle2Ind"/>
        <w:rPr>
          <w:lang w:val="ru-RU"/>
        </w:rPr>
      </w:pPr>
      <w:r w:rsidRPr="0049187C">
        <w:rPr>
          <w:lang w:val="ru-RU"/>
        </w:rPr>
        <w:t xml:space="preserve">Упрощенный подход </w:t>
      </w:r>
      <w:r w:rsidR="00D67EB9" w:rsidRPr="0049187C">
        <w:rPr>
          <w:lang w:val="ru-RU"/>
        </w:rPr>
        <w:t>для</w:t>
      </w:r>
      <w:r w:rsidRPr="0049187C">
        <w:rPr>
          <w:lang w:val="ru-RU"/>
        </w:rPr>
        <w:t xml:space="preserve"> торговой дебиторской задолженности, активов по договору и дебиторской задолженности по аренде</w:t>
      </w:r>
    </w:p>
    <w:p w:rsidR="007D4BCC" w:rsidRPr="0049187C" w:rsidRDefault="007D4BCC" w:rsidP="007D4BCC">
      <w:pPr>
        <w:pStyle w:val="IASBNormalnpara"/>
        <w:rPr>
          <w:b/>
          <w:lang w:val="ru-RU"/>
        </w:rPr>
      </w:pPr>
      <w:r w:rsidRPr="0049187C">
        <w:rPr>
          <w:b/>
          <w:lang w:val="ru-RU"/>
        </w:rPr>
        <w:t>5.5.15</w:t>
      </w:r>
      <w:r w:rsidRPr="0049187C">
        <w:rPr>
          <w:b/>
          <w:lang w:val="ru-RU"/>
        </w:rPr>
        <w:tab/>
        <w:t xml:space="preserve">Несмотря на требования пунктов 5.5.3 и 5.5.5, организация всегда должна оценивать оценочный резерв </w:t>
      </w:r>
      <w:r w:rsidR="00D67EB9" w:rsidRPr="0049187C">
        <w:rPr>
          <w:b/>
          <w:lang w:val="ru-RU"/>
        </w:rPr>
        <w:t xml:space="preserve">под убытки </w:t>
      </w:r>
      <w:r w:rsidR="00637236">
        <w:rPr>
          <w:b/>
          <w:lang w:val="ru-RU"/>
        </w:rPr>
        <w:t>в</w:t>
      </w:r>
      <w:r w:rsidRPr="0049187C">
        <w:rPr>
          <w:b/>
          <w:lang w:val="ru-RU"/>
        </w:rPr>
        <w:t xml:space="preserve"> сумме, равной ожидаемым кредитным убыткам </w:t>
      </w:r>
      <w:r w:rsidR="007E6FF8">
        <w:rPr>
          <w:b/>
          <w:lang w:val="ru-RU"/>
        </w:rPr>
        <w:t>за весь срок</w:t>
      </w:r>
      <w:r w:rsidRPr="0049187C">
        <w:rPr>
          <w:b/>
          <w:lang w:val="ru-RU"/>
        </w:rPr>
        <w:t>, в случае:</w:t>
      </w:r>
    </w:p>
    <w:p w:rsidR="007D4BCC" w:rsidRPr="0049187C" w:rsidRDefault="007D4BCC" w:rsidP="004D2F3F">
      <w:pPr>
        <w:pStyle w:val="IASBNormalnparaL1"/>
        <w:numPr>
          <w:ilvl w:val="0"/>
          <w:numId w:val="24"/>
        </w:numPr>
        <w:rPr>
          <w:b/>
          <w:lang w:val="ru-RU"/>
        </w:rPr>
      </w:pPr>
      <w:r w:rsidRPr="0049187C">
        <w:rPr>
          <w:b/>
          <w:lang w:val="ru-RU"/>
        </w:rPr>
        <w:t xml:space="preserve">торговой дебиторской задолженности или активов по договору, которые возникают вследствие операций, </w:t>
      </w:r>
      <w:r w:rsidR="00D67EB9" w:rsidRPr="0049187C">
        <w:rPr>
          <w:b/>
          <w:lang w:val="ru-RU"/>
        </w:rPr>
        <w:t>относящихся к</w:t>
      </w:r>
      <w:r w:rsidRPr="0049187C">
        <w:rPr>
          <w:b/>
          <w:lang w:val="ru-RU"/>
        </w:rPr>
        <w:t xml:space="preserve"> сфере применения МСФО (IFRS) 15, и которые:</w:t>
      </w:r>
    </w:p>
    <w:p w:rsidR="007D4BCC" w:rsidRPr="0049187C" w:rsidRDefault="007D4BCC" w:rsidP="004D2F3F">
      <w:pPr>
        <w:pStyle w:val="IASBNormalnparaL2"/>
        <w:numPr>
          <w:ilvl w:val="0"/>
          <w:numId w:val="25"/>
        </w:numPr>
        <w:ind w:left="2127" w:hanging="562"/>
        <w:rPr>
          <w:b/>
          <w:lang w:val="ru-RU"/>
        </w:rPr>
      </w:pPr>
      <w:r w:rsidRPr="0049187C">
        <w:rPr>
          <w:b/>
          <w:lang w:val="ru-RU"/>
        </w:rPr>
        <w:t xml:space="preserve">не содержат значительного компонента </w:t>
      </w:r>
      <w:r w:rsidR="00D67EB9" w:rsidRPr="0049187C">
        <w:rPr>
          <w:b/>
          <w:lang w:val="ru-RU"/>
        </w:rPr>
        <w:t>финансирования</w:t>
      </w:r>
      <w:r w:rsidR="00932028">
        <w:rPr>
          <w:b/>
          <w:lang w:val="ru-RU"/>
        </w:rPr>
        <w:t xml:space="preserve"> в соответствии с МСФО (</w:t>
      </w:r>
      <w:r w:rsidR="00932028">
        <w:rPr>
          <w:b/>
        </w:rPr>
        <w:t>IFRS</w:t>
      </w:r>
      <w:r w:rsidR="00932028" w:rsidRPr="00932028">
        <w:rPr>
          <w:b/>
          <w:lang w:val="ru-RU"/>
        </w:rPr>
        <w:t>) 15</w:t>
      </w:r>
      <w:r w:rsidR="00D67EB9" w:rsidRPr="0049187C">
        <w:rPr>
          <w:b/>
          <w:lang w:val="ru-RU"/>
        </w:rPr>
        <w:t xml:space="preserve"> </w:t>
      </w:r>
      <w:r w:rsidRPr="0049187C">
        <w:rPr>
          <w:b/>
          <w:lang w:val="ru-RU"/>
        </w:rPr>
        <w:t xml:space="preserve">(или </w:t>
      </w:r>
      <w:r w:rsidR="00786F5D" w:rsidRPr="0049187C">
        <w:rPr>
          <w:b/>
          <w:lang w:val="ru-RU"/>
        </w:rPr>
        <w:t xml:space="preserve">когда </w:t>
      </w:r>
      <w:r w:rsidRPr="0049187C">
        <w:rPr>
          <w:b/>
          <w:lang w:val="ru-RU"/>
        </w:rPr>
        <w:t xml:space="preserve">организация применяет </w:t>
      </w:r>
      <w:r w:rsidR="00786F5D" w:rsidRPr="0049187C">
        <w:rPr>
          <w:b/>
          <w:lang w:val="ru-RU"/>
        </w:rPr>
        <w:t xml:space="preserve">упрощение </w:t>
      </w:r>
      <w:r w:rsidRPr="0049187C">
        <w:rPr>
          <w:b/>
          <w:lang w:val="ru-RU"/>
        </w:rPr>
        <w:t>практического характера</w:t>
      </w:r>
      <w:r w:rsidR="00A35E6E">
        <w:rPr>
          <w:b/>
          <w:lang w:val="ru-RU"/>
        </w:rPr>
        <w:t xml:space="preserve">, предусмотренное </w:t>
      </w:r>
      <w:r w:rsidR="00932028">
        <w:rPr>
          <w:b/>
          <w:lang w:val="ru-RU"/>
        </w:rPr>
        <w:t>пунктом 63 МСФО (</w:t>
      </w:r>
      <w:r w:rsidR="00932028">
        <w:rPr>
          <w:b/>
        </w:rPr>
        <w:t>IFRS</w:t>
      </w:r>
      <w:r w:rsidR="00932028" w:rsidRPr="00932028">
        <w:rPr>
          <w:b/>
          <w:lang w:val="ru-RU"/>
        </w:rPr>
        <w:t>)</w:t>
      </w:r>
      <w:r w:rsidR="00932028">
        <w:rPr>
          <w:b/>
          <w:lang w:val="ru-RU"/>
        </w:rPr>
        <w:t xml:space="preserve"> 15</w:t>
      </w:r>
      <w:r w:rsidRPr="0049187C">
        <w:rPr>
          <w:b/>
          <w:lang w:val="ru-RU"/>
        </w:rPr>
        <w:t>); или</w:t>
      </w:r>
    </w:p>
    <w:p w:rsidR="007D4BCC" w:rsidRPr="0049187C" w:rsidRDefault="007D4BCC" w:rsidP="004D2F3F">
      <w:pPr>
        <w:pStyle w:val="IASBNormalnparaL2"/>
        <w:numPr>
          <w:ilvl w:val="0"/>
          <w:numId w:val="25"/>
        </w:numPr>
        <w:ind w:left="2127" w:hanging="579"/>
        <w:rPr>
          <w:b/>
          <w:lang w:val="ru-RU"/>
        </w:rPr>
      </w:pPr>
      <w:r w:rsidRPr="0049187C">
        <w:rPr>
          <w:b/>
          <w:lang w:val="ru-RU"/>
        </w:rPr>
        <w:t xml:space="preserve">содержат значительный компонент </w:t>
      </w:r>
      <w:r w:rsidR="00786F5D" w:rsidRPr="0049187C">
        <w:rPr>
          <w:b/>
          <w:lang w:val="ru-RU"/>
        </w:rPr>
        <w:t xml:space="preserve">финансирования </w:t>
      </w:r>
      <w:r w:rsidR="00015E5A">
        <w:rPr>
          <w:b/>
          <w:lang w:val="ru-RU"/>
        </w:rPr>
        <w:t>в соответствии с МСФО</w:t>
      </w:r>
      <w:r w:rsidR="00015E5A">
        <w:rPr>
          <w:b/>
        </w:rPr>
        <w:t> </w:t>
      </w:r>
      <w:r w:rsidRPr="0049187C">
        <w:rPr>
          <w:b/>
          <w:lang w:val="ru-RU"/>
        </w:rPr>
        <w:t xml:space="preserve">(IFRS) 15, если организация в качестве своей учетной политики выбирает оценку оценочного резерва </w:t>
      </w:r>
      <w:r w:rsidR="00786F5D" w:rsidRPr="0049187C">
        <w:rPr>
          <w:b/>
          <w:lang w:val="ru-RU"/>
        </w:rPr>
        <w:t xml:space="preserve">под убытки </w:t>
      </w:r>
      <w:r w:rsidR="00637236">
        <w:rPr>
          <w:b/>
          <w:lang w:val="ru-RU"/>
        </w:rPr>
        <w:t>в</w:t>
      </w:r>
      <w:r w:rsidRPr="0049187C">
        <w:rPr>
          <w:b/>
          <w:lang w:val="ru-RU"/>
        </w:rPr>
        <w:t xml:space="preserve"> сумме, равной ожидаемым кредитным убыткам </w:t>
      </w:r>
      <w:r w:rsidR="007E6FF8">
        <w:rPr>
          <w:b/>
          <w:lang w:val="ru-RU"/>
        </w:rPr>
        <w:t>за весь срок</w:t>
      </w:r>
      <w:r w:rsidRPr="0049187C">
        <w:rPr>
          <w:b/>
          <w:lang w:val="ru-RU"/>
        </w:rPr>
        <w:t xml:space="preserve">. Данная учетная политика должна применяться ко всей </w:t>
      </w:r>
      <w:r w:rsidR="00786F5D" w:rsidRPr="0049187C">
        <w:rPr>
          <w:b/>
          <w:lang w:val="ru-RU"/>
        </w:rPr>
        <w:t xml:space="preserve">такой </w:t>
      </w:r>
      <w:r w:rsidRPr="0049187C">
        <w:rPr>
          <w:b/>
          <w:lang w:val="ru-RU"/>
        </w:rPr>
        <w:t>торговой дебиторской задолженности и</w:t>
      </w:r>
      <w:r w:rsidR="00786F5D" w:rsidRPr="0049187C">
        <w:rPr>
          <w:b/>
          <w:lang w:val="ru-RU"/>
        </w:rPr>
        <w:t>ли</w:t>
      </w:r>
      <w:r w:rsidRPr="0049187C">
        <w:rPr>
          <w:b/>
          <w:lang w:val="ru-RU"/>
        </w:rPr>
        <w:t xml:space="preserve"> </w:t>
      </w:r>
      <w:r w:rsidR="009B617F">
        <w:rPr>
          <w:b/>
          <w:lang w:val="ru-RU"/>
        </w:rPr>
        <w:t xml:space="preserve">всем таким </w:t>
      </w:r>
      <w:r w:rsidRPr="0049187C">
        <w:rPr>
          <w:b/>
          <w:lang w:val="ru-RU"/>
        </w:rPr>
        <w:t>актив</w:t>
      </w:r>
      <w:r w:rsidR="00786F5D" w:rsidRPr="0049187C">
        <w:rPr>
          <w:b/>
          <w:lang w:val="ru-RU"/>
        </w:rPr>
        <w:t>а</w:t>
      </w:r>
      <w:r w:rsidRPr="0049187C">
        <w:rPr>
          <w:b/>
          <w:lang w:val="ru-RU"/>
        </w:rPr>
        <w:t xml:space="preserve">м по договору, но может применяться отдельно к торговой дебиторской задолженности и </w:t>
      </w:r>
      <w:r w:rsidR="00A35E6E">
        <w:rPr>
          <w:b/>
          <w:lang w:val="ru-RU"/>
        </w:rPr>
        <w:t xml:space="preserve">к </w:t>
      </w:r>
      <w:r w:rsidR="0081120C">
        <w:rPr>
          <w:b/>
          <w:lang w:val="ru-RU"/>
        </w:rPr>
        <w:t>активам по договору;</w:t>
      </w:r>
    </w:p>
    <w:p w:rsidR="007D4BCC" w:rsidRPr="0049187C" w:rsidRDefault="007D4BCC" w:rsidP="00047253">
      <w:pPr>
        <w:pStyle w:val="IASBNormalnparaL1"/>
        <w:numPr>
          <w:ilvl w:val="0"/>
          <w:numId w:val="24"/>
        </w:numPr>
        <w:rPr>
          <w:b/>
          <w:lang w:val="ru-RU"/>
        </w:rPr>
      </w:pPr>
      <w:r w:rsidRPr="0049187C">
        <w:rPr>
          <w:b/>
          <w:lang w:val="ru-RU"/>
        </w:rPr>
        <w:t xml:space="preserve">дебиторской задолженности по аренде, которая возникает вследствие операций, </w:t>
      </w:r>
      <w:r w:rsidR="00786F5D" w:rsidRPr="0049187C">
        <w:rPr>
          <w:b/>
          <w:lang w:val="ru-RU"/>
        </w:rPr>
        <w:t>относящихся к</w:t>
      </w:r>
      <w:r w:rsidRPr="0049187C">
        <w:rPr>
          <w:b/>
          <w:lang w:val="ru-RU"/>
        </w:rPr>
        <w:t xml:space="preserve"> сфере применения </w:t>
      </w:r>
      <w:r w:rsidR="00047253" w:rsidRPr="00047253">
        <w:rPr>
          <w:b/>
          <w:lang w:val="ru-RU"/>
        </w:rPr>
        <w:t>МСФО (IFRS) 16</w:t>
      </w:r>
      <w:r w:rsidRPr="0049187C">
        <w:rPr>
          <w:b/>
          <w:lang w:val="ru-RU"/>
        </w:rPr>
        <w:t xml:space="preserve">, если организация в качестве своей учетной политики выбирает оценку оценочного резерва </w:t>
      </w:r>
      <w:r w:rsidR="00786F5D" w:rsidRPr="0049187C">
        <w:rPr>
          <w:b/>
          <w:lang w:val="ru-RU"/>
        </w:rPr>
        <w:t xml:space="preserve">под убытки </w:t>
      </w:r>
      <w:r w:rsidR="00637236">
        <w:rPr>
          <w:b/>
          <w:lang w:val="ru-RU"/>
        </w:rPr>
        <w:t>в</w:t>
      </w:r>
      <w:r w:rsidRPr="0049187C">
        <w:rPr>
          <w:b/>
          <w:lang w:val="ru-RU"/>
        </w:rPr>
        <w:t xml:space="preserve"> сумме, равной ожидаемым кредитным убыткам </w:t>
      </w:r>
      <w:r w:rsidR="007E6FF8">
        <w:rPr>
          <w:b/>
          <w:lang w:val="ru-RU"/>
        </w:rPr>
        <w:t>за весь срок</w:t>
      </w:r>
      <w:r w:rsidRPr="0049187C">
        <w:rPr>
          <w:b/>
          <w:lang w:val="ru-RU"/>
        </w:rPr>
        <w:t>. Данная учетная политика должна применяться ко всей дебиторской задолженности</w:t>
      </w:r>
      <w:r w:rsidR="00786F5D" w:rsidRPr="0049187C">
        <w:rPr>
          <w:b/>
          <w:lang w:val="ru-RU"/>
        </w:rPr>
        <w:t xml:space="preserve"> по аренде</w:t>
      </w:r>
      <w:r w:rsidRPr="0049187C">
        <w:rPr>
          <w:b/>
          <w:lang w:val="ru-RU"/>
        </w:rPr>
        <w:t xml:space="preserve">, но может применяться </w:t>
      </w:r>
      <w:r w:rsidR="00A35E6E">
        <w:rPr>
          <w:b/>
          <w:lang w:val="ru-RU"/>
        </w:rPr>
        <w:t>по</w:t>
      </w:r>
      <w:r w:rsidR="00A30265">
        <w:rPr>
          <w:b/>
          <w:lang w:val="ru-RU"/>
        </w:rPr>
        <w:t xml:space="preserve"> </w:t>
      </w:r>
      <w:r w:rsidRPr="0049187C">
        <w:rPr>
          <w:b/>
          <w:lang w:val="ru-RU"/>
        </w:rPr>
        <w:t>отдельно</w:t>
      </w:r>
      <w:r w:rsidR="00A35E6E">
        <w:rPr>
          <w:b/>
          <w:lang w:val="ru-RU"/>
        </w:rPr>
        <w:t>сти</w:t>
      </w:r>
      <w:r w:rsidRPr="0049187C">
        <w:rPr>
          <w:b/>
          <w:lang w:val="ru-RU"/>
        </w:rPr>
        <w:t xml:space="preserve"> к дебиторской задолженности по финансовой и операционной аренде.</w:t>
      </w:r>
    </w:p>
    <w:p w:rsidR="007D4BCC" w:rsidRPr="0049187C" w:rsidRDefault="007D4BCC" w:rsidP="007D4BCC">
      <w:pPr>
        <w:pStyle w:val="IASBNormalnpara"/>
        <w:rPr>
          <w:lang w:val="ru-RU"/>
        </w:rPr>
      </w:pPr>
      <w:r w:rsidRPr="0049187C">
        <w:rPr>
          <w:lang w:val="ru-RU"/>
        </w:rPr>
        <w:t>5.5.16</w:t>
      </w:r>
      <w:r w:rsidRPr="0049187C">
        <w:rPr>
          <w:lang w:val="ru-RU"/>
        </w:rPr>
        <w:tab/>
        <w:t xml:space="preserve">Организация </w:t>
      </w:r>
      <w:r w:rsidR="009B617F">
        <w:rPr>
          <w:lang w:val="ru-RU"/>
        </w:rPr>
        <w:t>вправе</w:t>
      </w:r>
      <w:r w:rsidR="009B617F" w:rsidRPr="0049187C">
        <w:rPr>
          <w:lang w:val="ru-RU"/>
        </w:rPr>
        <w:t xml:space="preserve"> </w:t>
      </w:r>
      <w:r w:rsidRPr="0049187C">
        <w:rPr>
          <w:lang w:val="ru-RU"/>
        </w:rPr>
        <w:t>выбирать учетную политику для торговой дебиторской задолженности, дебиторской задолженности по аренде и актив</w:t>
      </w:r>
      <w:r w:rsidR="00D838D6" w:rsidRPr="0049187C">
        <w:rPr>
          <w:lang w:val="ru-RU"/>
        </w:rPr>
        <w:t>ов</w:t>
      </w:r>
      <w:r w:rsidRPr="0049187C">
        <w:rPr>
          <w:lang w:val="ru-RU"/>
        </w:rPr>
        <w:t xml:space="preserve"> по договору независимо друг от друга.</w:t>
      </w:r>
    </w:p>
    <w:p w:rsidR="007D4BCC" w:rsidRPr="0049187C" w:rsidRDefault="007D4BCC" w:rsidP="007D4BCC">
      <w:pPr>
        <w:pStyle w:val="IASBSectionTitle2Ind"/>
        <w:rPr>
          <w:lang w:val="ru-RU"/>
        </w:rPr>
      </w:pPr>
      <w:r w:rsidRPr="0049187C">
        <w:rPr>
          <w:lang w:val="ru-RU"/>
        </w:rPr>
        <w:t>Оценка ожидаемых кредитных убытков</w:t>
      </w:r>
    </w:p>
    <w:p w:rsidR="007D4BCC" w:rsidRPr="0049187C" w:rsidRDefault="007D4BCC" w:rsidP="007D4BCC">
      <w:pPr>
        <w:pStyle w:val="IASBNormalnpara"/>
        <w:rPr>
          <w:b/>
          <w:lang w:val="ru-RU"/>
        </w:rPr>
      </w:pPr>
      <w:r w:rsidRPr="0049187C">
        <w:rPr>
          <w:b/>
          <w:lang w:val="ru-RU"/>
        </w:rPr>
        <w:t>5.5.17</w:t>
      </w:r>
      <w:r w:rsidRPr="0049187C">
        <w:rPr>
          <w:b/>
          <w:lang w:val="ru-RU"/>
        </w:rPr>
        <w:tab/>
        <w:t>Организация должна оценивать ожидаемые кредитные убытки по финансовому инструменту способом, который отражает:</w:t>
      </w:r>
    </w:p>
    <w:p w:rsidR="007D4BCC" w:rsidRPr="0049187C" w:rsidRDefault="00F3228E" w:rsidP="004D2F3F">
      <w:pPr>
        <w:pStyle w:val="IASBNormalnparaL1"/>
        <w:numPr>
          <w:ilvl w:val="0"/>
          <w:numId w:val="26"/>
        </w:numPr>
        <w:rPr>
          <w:b/>
          <w:lang w:val="ru-RU"/>
        </w:rPr>
      </w:pPr>
      <w:r>
        <w:rPr>
          <w:b/>
          <w:lang w:val="ru-RU"/>
        </w:rPr>
        <w:t>непредвзятую</w:t>
      </w:r>
      <w:r w:rsidRPr="0049187C">
        <w:rPr>
          <w:b/>
          <w:lang w:val="ru-RU"/>
        </w:rPr>
        <w:t xml:space="preserve"> </w:t>
      </w:r>
      <w:r w:rsidR="007D4BCC" w:rsidRPr="0049187C">
        <w:rPr>
          <w:b/>
          <w:lang w:val="ru-RU"/>
        </w:rPr>
        <w:t>и взвешенную с учетом вероятности сумму, определенную путем оценки диапазона возможных результатов;</w:t>
      </w:r>
    </w:p>
    <w:p w:rsidR="007D4BCC" w:rsidRPr="0049187C" w:rsidRDefault="00C67977" w:rsidP="004D2F3F">
      <w:pPr>
        <w:pStyle w:val="IASBNormalnparaL1"/>
        <w:numPr>
          <w:ilvl w:val="0"/>
          <w:numId w:val="26"/>
        </w:numPr>
        <w:rPr>
          <w:b/>
          <w:lang w:val="ru-RU"/>
        </w:rPr>
      </w:pPr>
      <w:r w:rsidRPr="00C67977">
        <w:rPr>
          <w:b/>
          <w:lang w:val="ru-RU"/>
        </w:rPr>
        <w:t>временнý</w:t>
      </w:r>
      <w:r w:rsidR="007D4BCC" w:rsidRPr="00C67977">
        <w:rPr>
          <w:b/>
          <w:lang w:val="ru-RU"/>
        </w:rPr>
        <w:t>ю</w:t>
      </w:r>
      <w:r w:rsidR="007D4BCC" w:rsidRPr="0049187C">
        <w:rPr>
          <w:b/>
          <w:lang w:val="ru-RU"/>
        </w:rPr>
        <w:t xml:space="preserve"> стоимость денег; и</w:t>
      </w:r>
    </w:p>
    <w:p w:rsidR="007D4BCC" w:rsidRPr="0049187C" w:rsidRDefault="007D4BCC" w:rsidP="004D2F3F">
      <w:pPr>
        <w:pStyle w:val="IASBNormalnparaL1"/>
        <w:numPr>
          <w:ilvl w:val="0"/>
          <w:numId w:val="26"/>
        </w:numPr>
        <w:rPr>
          <w:b/>
          <w:lang w:val="ru-RU"/>
        </w:rPr>
      </w:pPr>
      <w:r w:rsidRPr="0049187C">
        <w:rPr>
          <w:b/>
          <w:lang w:val="ru-RU"/>
        </w:rPr>
        <w:t xml:space="preserve">обоснованную и </w:t>
      </w:r>
      <w:r w:rsidR="00F3228E">
        <w:rPr>
          <w:b/>
          <w:lang w:val="ru-RU"/>
        </w:rPr>
        <w:t>подтверждаемую</w:t>
      </w:r>
      <w:r w:rsidR="00F3228E" w:rsidRPr="0049187C">
        <w:rPr>
          <w:b/>
          <w:lang w:val="ru-RU"/>
        </w:rPr>
        <w:t xml:space="preserve"> </w:t>
      </w:r>
      <w:r w:rsidRPr="0049187C">
        <w:rPr>
          <w:b/>
          <w:lang w:val="ru-RU"/>
        </w:rPr>
        <w:t>информацию о прошлых событиях, текущих условиях и прогнозируемых будущих экономических условиях, доступную</w:t>
      </w:r>
      <w:r w:rsidR="008B521C">
        <w:rPr>
          <w:b/>
          <w:lang w:val="ru-RU"/>
        </w:rPr>
        <w:t xml:space="preserve"> на отчетную дату</w:t>
      </w:r>
      <w:r w:rsidRPr="0049187C">
        <w:rPr>
          <w:b/>
          <w:lang w:val="ru-RU"/>
        </w:rPr>
        <w:t xml:space="preserve"> без чрезмерных затрат и</w:t>
      </w:r>
      <w:r w:rsidR="002F6B82">
        <w:rPr>
          <w:b/>
          <w:lang w:val="ru-RU"/>
        </w:rPr>
        <w:t>ли</w:t>
      </w:r>
      <w:r w:rsidRPr="0049187C">
        <w:rPr>
          <w:b/>
          <w:lang w:val="ru-RU"/>
        </w:rPr>
        <w:t xml:space="preserve"> усилий.</w:t>
      </w:r>
    </w:p>
    <w:p w:rsidR="007D4BCC" w:rsidRPr="0049187C" w:rsidRDefault="007D4BCC" w:rsidP="007D4BCC">
      <w:pPr>
        <w:pStyle w:val="IASBNormalnpara"/>
        <w:rPr>
          <w:lang w:val="ru-RU"/>
        </w:rPr>
      </w:pPr>
      <w:r w:rsidRPr="0049187C">
        <w:rPr>
          <w:lang w:val="ru-RU"/>
        </w:rPr>
        <w:t>5.5.18</w:t>
      </w:r>
      <w:r w:rsidRPr="0049187C">
        <w:rPr>
          <w:lang w:val="ru-RU"/>
        </w:rPr>
        <w:tab/>
        <w:t xml:space="preserve">При оценке ожидаемых кредитных убытков организация не должна обязательно идентифицировать все возможные сценарии. Однако она должна принять во внимание риск или </w:t>
      </w:r>
      <w:r w:rsidR="00D838D6" w:rsidRPr="0049187C">
        <w:rPr>
          <w:lang w:val="ru-RU"/>
        </w:rPr>
        <w:t xml:space="preserve">вероятность </w:t>
      </w:r>
      <w:r w:rsidRPr="0049187C">
        <w:rPr>
          <w:lang w:val="ru-RU"/>
        </w:rPr>
        <w:t xml:space="preserve">возникновения кредитного убытка путем отражения </w:t>
      </w:r>
      <w:r w:rsidR="00D838D6" w:rsidRPr="0049187C">
        <w:rPr>
          <w:lang w:val="ru-RU"/>
        </w:rPr>
        <w:t xml:space="preserve">возможности </w:t>
      </w:r>
      <w:r w:rsidRPr="0049187C">
        <w:rPr>
          <w:lang w:val="ru-RU"/>
        </w:rPr>
        <w:t xml:space="preserve">возникновения кредитного убытка и </w:t>
      </w:r>
      <w:r w:rsidR="00D838D6" w:rsidRPr="0049187C">
        <w:rPr>
          <w:lang w:val="ru-RU"/>
        </w:rPr>
        <w:t xml:space="preserve">возможности </w:t>
      </w:r>
      <w:r w:rsidRPr="0049187C">
        <w:rPr>
          <w:lang w:val="ru-RU"/>
        </w:rPr>
        <w:t xml:space="preserve">невозникновения кредитного убытка, даже если </w:t>
      </w:r>
      <w:r w:rsidR="00D838D6" w:rsidRPr="0049187C">
        <w:rPr>
          <w:lang w:val="ru-RU"/>
        </w:rPr>
        <w:t xml:space="preserve">возможность </w:t>
      </w:r>
      <w:r w:rsidRPr="0049187C">
        <w:rPr>
          <w:lang w:val="ru-RU"/>
        </w:rPr>
        <w:t>возникновения кредитного убытка очень мала.</w:t>
      </w:r>
    </w:p>
    <w:p w:rsidR="007D4BCC" w:rsidRPr="0049187C" w:rsidRDefault="007D4BCC" w:rsidP="007D4BCC">
      <w:pPr>
        <w:pStyle w:val="IASBNormalnpara"/>
        <w:rPr>
          <w:lang w:val="ru-RU"/>
        </w:rPr>
      </w:pPr>
      <w:r w:rsidRPr="0049187C">
        <w:rPr>
          <w:lang w:val="ru-RU"/>
        </w:rPr>
        <w:t>5.5.19</w:t>
      </w:r>
      <w:r w:rsidRPr="0049187C">
        <w:rPr>
          <w:lang w:val="ru-RU"/>
        </w:rPr>
        <w:tab/>
        <w:t>Максимальный период, рассматривае</w:t>
      </w:r>
      <w:r w:rsidR="00F3228E">
        <w:rPr>
          <w:lang w:val="ru-RU"/>
        </w:rPr>
        <w:t>мый</w:t>
      </w:r>
      <w:r w:rsidRPr="0049187C">
        <w:rPr>
          <w:lang w:val="ru-RU"/>
        </w:rPr>
        <w:t xml:space="preserve"> при оценке ожидаемых кредитных убытков, – это максимальный период по договору (</w:t>
      </w:r>
      <w:r w:rsidR="008841FA">
        <w:rPr>
          <w:lang w:val="ru-RU"/>
        </w:rPr>
        <w:t>с учетом опционов на продление</w:t>
      </w:r>
      <w:r w:rsidRPr="0049187C">
        <w:rPr>
          <w:lang w:val="ru-RU"/>
        </w:rPr>
        <w:t xml:space="preserve">), на протяжении которого организация подвержена кредитному риску, а не больший период, даже если он соответствует </w:t>
      </w:r>
      <w:r w:rsidR="00D838D6" w:rsidRPr="0049187C">
        <w:rPr>
          <w:lang w:val="ru-RU"/>
        </w:rPr>
        <w:t xml:space="preserve">деловой </w:t>
      </w:r>
      <w:r w:rsidRPr="0049187C">
        <w:rPr>
          <w:lang w:val="ru-RU"/>
        </w:rPr>
        <w:t>практике.</w:t>
      </w:r>
    </w:p>
    <w:p w:rsidR="007D4BCC" w:rsidRPr="0049187C" w:rsidRDefault="007D4BCC" w:rsidP="007D4BCC">
      <w:pPr>
        <w:pStyle w:val="IASBNormalnpara"/>
        <w:rPr>
          <w:lang w:val="ru-RU"/>
        </w:rPr>
      </w:pPr>
      <w:r w:rsidRPr="0049187C">
        <w:rPr>
          <w:lang w:val="ru-RU"/>
        </w:rPr>
        <w:t>5.5.20</w:t>
      </w:r>
      <w:r w:rsidRPr="0049187C">
        <w:rPr>
          <w:lang w:val="ru-RU"/>
        </w:rPr>
        <w:tab/>
        <w:t xml:space="preserve">Однако некоторые финансовые инструменты включают как </w:t>
      </w:r>
      <w:r w:rsidR="008B521C">
        <w:rPr>
          <w:lang w:val="ru-RU"/>
        </w:rPr>
        <w:t>заем</w:t>
      </w:r>
      <w:r w:rsidRPr="0049187C">
        <w:rPr>
          <w:lang w:val="ru-RU"/>
        </w:rPr>
        <w:t xml:space="preserve">, так и </w:t>
      </w:r>
      <w:r w:rsidR="008B521C">
        <w:rPr>
          <w:lang w:val="ru-RU"/>
        </w:rPr>
        <w:t xml:space="preserve">неиспользованный </w:t>
      </w:r>
      <w:r w:rsidRPr="0049187C">
        <w:rPr>
          <w:lang w:val="ru-RU"/>
        </w:rPr>
        <w:t xml:space="preserve">компонент обязательства по предоставлению займов, и </w:t>
      </w:r>
      <w:r w:rsidR="00D838D6" w:rsidRPr="0049187C">
        <w:rPr>
          <w:lang w:val="ru-RU"/>
        </w:rPr>
        <w:t xml:space="preserve">предусмотренная договором </w:t>
      </w:r>
      <w:r w:rsidRPr="0049187C">
        <w:rPr>
          <w:lang w:val="ru-RU"/>
        </w:rPr>
        <w:t xml:space="preserve">возможность организации требовать </w:t>
      </w:r>
      <w:r w:rsidR="00D838D6" w:rsidRPr="0049187C">
        <w:rPr>
          <w:lang w:val="ru-RU"/>
        </w:rPr>
        <w:t>погашения</w:t>
      </w:r>
      <w:r w:rsidR="0022658D">
        <w:rPr>
          <w:lang w:val="ru-RU"/>
        </w:rPr>
        <w:t xml:space="preserve"> займа</w:t>
      </w:r>
      <w:r w:rsidRPr="0049187C">
        <w:rPr>
          <w:lang w:val="ru-RU"/>
        </w:rPr>
        <w:t xml:space="preserve"> и аннулирова</w:t>
      </w:r>
      <w:r w:rsidR="00D838D6" w:rsidRPr="0049187C">
        <w:rPr>
          <w:lang w:val="ru-RU"/>
        </w:rPr>
        <w:t>ть</w:t>
      </w:r>
      <w:r w:rsidRPr="0049187C">
        <w:rPr>
          <w:lang w:val="ru-RU"/>
        </w:rPr>
        <w:t xml:space="preserve"> </w:t>
      </w:r>
      <w:r w:rsidR="008B521C">
        <w:rPr>
          <w:lang w:val="ru-RU"/>
        </w:rPr>
        <w:t>неиспользованный компонент</w:t>
      </w:r>
      <w:r w:rsidRPr="0049187C">
        <w:rPr>
          <w:lang w:val="ru-RU"/>
        </w:rPr>
        <w:t xml:space="preserve"> обязательства по предоставлению займов не ограничивает подверженность организации риску кредитных убытков договорным сроком </w:t>
      </w:r>
      <w:r w:rsidR="0046762C" w:rsidRPr="0049187C">
        <w:rPr>
          <w:lang w:val="ru-RU"/>
        </w:rPr>
        <w:t xml:space="preserve">для </w:t>
      </w:r>
      <w:r w:rsidR="0022658D">
        <w:rPr>
          <w:lang w:val="ru-RU"/>
        </w:rPr>
        <w:t xml:space="preserve">подачи </w:t>
      </w:r>
      <w:r w:rsidR="0046762C" w:rsidRPr="0049187C">
        <w:rPr>
          <w:lang w:val="ru-RU"/>
        </w:rPr>
        <w:t>уведомления</w:t>
      </w:r>
      <w:r w:rsidRPr="0049187C">
        <w:rPr>
          <w:lang w:val="ru-RU"/>
        </w:rPr>
        <w:t xml:space="preserve">. По таким и только таким финансовым инструментам организация должна оценивать ожидаемые кредитные убытки </w:t>
      </w:r>
      <w:r w:rsidR="007E6FF8">
        <w:rPr>
          <w:lang w:val="ru-RU"/>
        </w:rPr>
        <w:t>за весь период</w:t>
      </w:r>
      <w:r w:rsidRPr="0049187C">
        <w:rPr>
          <w:lang w:val="ru-RU"/>
        </w:rPr>
        <w:t>, в течение которого организация подвержена кредитному риску</w:t>
      </w:r>
      <w:r w:rsidR="004F2105" w:rsidRPr="0049187C">
        <w:rPr>
          <w:lang w:val="ru-RU"/>
        </w:rPr>
        <w:t>,</w:t>
      </w:r>
      <w:r w:rsidRPr="0049187C">
        <w:rPr>
          <w:lang w:val="ru-RU"/>
        </w:rPr>
        <w:t xml:space="preserve"> и ожидаемые кредитные убытки не будут уменьшаться </w:t>
      </w:r>
      <w:r w:rsidR="0022658D">
        <w:rPr>
          <w:lang w:val="ru-RU"/>
        </w:rPr>
        <w:t>в результате</w:t>
      </w:r>
      <w:r w:rsidR="0022658D" w:rsidRPr="0049187C">
        <w:rPr>
          <w:lang w:val="ru-RU"/>
        </w:rPr>
        <w:t xml:space="preserve"> </w:t>
      </w:r>
      <w:r w:rsidRPr="0049187C">
        <w:rPr>
          <w:lang w:val="ru-RU"/>
        </w:rPr>
        <w:t>де</w:t>
      </w:r>
      <w:r w:rsidR="004F2105" w:rsidRPr="0049187C">
        <w:rPr>
          <w:lang w:val="ru-RU"/>
        </w:rPr>
        <w:t>ятельности</w:t>
      </w:r>
      <w:r w:rsidRPr="0049187C">
        <w:rPr>
          <w:lang w:val="ru-RU"/>
        </w:rPr>
        <w:t xml:space="preserve"> </w:t>
      </w:r>
      <w:r w:rsidR="0022658D">
        <w:rPr>
          <w:lang w:val="ru-RU"/>
        </w:rPr>
        <w:t xml:space="preserve">организации </w:t>
      </w:r>
      <w:r w:rsidRPr="0049187C">
        <w:rPr>
          <w:lang w:val="ru-RU"/>
        </w:rPr>
        <w:t xml:space="preserve">по управлению </w:t>
      </w:r>
      <w:r w:rsidR="004F2105" w:rsidRPr="0049187C">
        <w:rPr>
          <w:lang w:val="ru-RU"/>
        </w:rPr>
        <w:t xml:space="preserve">кредитными </w:t>
      </w:r>
      <w:r w:rsidRPr="0049187C">
        <w:rPr>
          <w:lang w:val="ru-RU"/>
        </w:rPr>
        <w:t xml:space="preserve">рисками, даже если </w:t>
      </w:r>
      <w:r w:rsidR="004F2105" w:rsidRPr="0049187C">
        <w:rPr>
          <w:lang w:val="ru-RU"/>
        </w:rPr>
        <w:t xml:space="preserve">такой </w:t>
      </w:r>
      <w:r w:rsidRPr="0049187C">
        <w:rPr>
          <w:lang w:val="ru-RU"/>
        </w:rPr>
        <w:t>период превосходит максимальный период по договору.</w:t>
      </w:r>
    </w:p>
    <w:p w:rsidR="007D4BCC" w:rsidRPr="0049187C" w:rsidRDefault="007D4BCC" w:rsidP="007D4BCC">
      <w:pPr>
        <w:pStyle w:val="IASBSectionTitle1NonInd"/>
        <w:rPr>
          <w:lang w:val="ru-RU"/>
        </w:rPr>
      </w:pPr>
      <w:bookmarkStart w:id="31" w:name="F32570138"/>
      <w:r w:rsidRPr="0049187C">
        <w:rPr>
          <w:lang w:val="ru-RU"/>
        </w:rPr>
        <w:t xml:space="preserve">5.6 </w:t>
      </w:r>
      <w:bookmarkEnd w:id="31"/>
      <w:r w:rsidRPr="0049187C">
        <w:rPr>
          <w:lang w:val="ru-RU"/>
        </w:rPr>
        <w:t>Реклассификация финансовых активов</w:t>
      </w:r>
    </w:p>
    <w:p w:rsidR="007D4BCC" w:rsidRPr="0049187C" w:rsidRDefault="007D4BCC" w:rsidP="007D4BCC">
      <w:pPr>
        <w:pStyle w:val="IASBNormalnpara"/>
        <w:rPr>
          <w:b/>
          <w:lang w:val="ru-RU"/>
        </w:rPr>
      </w:pPr>
      <w:r w:rsidRPr="0049187C">
        <w:rPr>
          <w:b/>
          <w:lang w:val="ru-RU"/>
        </w:rPr>
        <w:t>5.6.1</w:t>
      </w:r>
      <w:r w:rsidRPr="0049187C">
        <w:rPr>
          <w:b/>
          <w:lang w:val="ru-RU"/>
        </w:rPr>
        <w:tab/>
        <w:t xml:space="preserve">Если организация реклассифицирует финансовые активы в соответствии с пунктом 4.4.1, она должна осуществить реклассификацию перспективно с </w:t>
      </w:r>
      <w:r w:rsidRPr="0049187C">
        <w:rPr>
          <w:b/>
          <w:i/>
          <w:lang w:val="ru-RU"/>
        </w:rPr>
        <w:t>даты реклассификации</w:t>
      </w:r>
      <w:r w:rsidRPr="0049187C">
        <w:rPr>
          <w:b/>
          <w:lang w:val="ru-RU"/>
        </w:rPr>
        <w:t>. Организация не должна пересчитывать ранее признанные прибыли, убытки (включая прибыли и</w:t>
      </w:r>
      <w:r w:rsidR="004F2105" w:rsidRPr="0049187C">
        <w:rPr>
          <w:b/>
          <w:lang w:val="ru-RU"/>
        </w:rPr>
        <w:t>ли</w:t>
      </w:r>
      <w:r w:rsidRPr="0049187C">
        <w:rPr>
          <w:b/>
          <w:lang w:val="ru-RU"/>
        </w:rPr>
        <w:t xml:space="preserve"> убытки от обесценения) или проценты. Пункты 5.6.2–5.6.7 устанавливают требования к реклассификации.</w:t>
      </w:r>
    </w:p>
    <w:p w:rsidR="007D4BCC" w:rsidRPr="0049187C" w:rsidRDefault="007D4BCC" w:rsidP="007D4BCC">
      <w:pPr>
        <w:pStyle w:val="IASBNormalnpara"/>
        <w:rPr>
          <w:b/>
          <w:lang w:val="ru-RU"/>
        </w:rPr>
      </w:pPr>
      <w:r w:rsidRPr="0049187C">
        <w:rPr>
          <w:b/>
          <w:lang w:val="ru-RU"/>
        </w:rPr>
        <w:t>5.6.2</w:t>
      </w:r>
      <w:r w:rsidRPr="0049187C">
        <w:rPr>
          <w:b/>
          <w:lang w:val="ru-RU"/>
        </w:rPr>
        <w:tab/>
        <w:t xml:space="preserve">Если организация реклассифицирует финансовый актив из категории оцениваемых по амортизированной стоимости в категорию оцениваемых по справедливой стоимости через прибыль или убыток, его справедливая стоимость оценивается по состоянию на дату реклассификации. Любые прибыль или убыток, являющиеся результатом разницы между предыдущей амортизированной стоимостью финансового актива и </w:t>
      </w:r>
      <w:r w:rsidR="0022658D">
        <w:rPr>
          <w:b/>
          <w:lang w:val="ru-RU"/>
        </w:rPr>
        <w:t xml:space="preserve">его </w:t>
      </w:r>
      <w:r w:rsidRPr="0049187C">
        <w:rPr>
          <w:b/>
          <w:lang w:val="ru-RU"/>
        </w:rPr>
        <w:t>справедливой стоимостью, признаются в составе прибыли или убытка.</w:t>
      </w:r>
    </w:p>
    <w:p w:rsidR="007D4BCC" w:rsidRPr="0049187C" w:rsidRDefault="007D4BCC" w:rsidP="007D4BCC">
      <w:pPr>
        <w:pStyle w:val="IASBNormalnpara"/>
        <w:rPr>
          <w:b/>
          <w:lang w:val="ru-RU"/>
        </w:rPr>
      </w:pPr>
      <w:r w:rsidRPr="0049187C">
        <w:rPr>
          <w:b/>
          <w:lang w:val="ru-RU"/>
        </w:rPr>
        <w:t>5.6.3</w:t>
      </w:r>
      <w:r w:rsidRPr="0049187C">
        <w:rPr>
          <w:b/>
          <w:lang w:val="ru-RU"/>
        </w:rPr>
        <w:tab/>
        <w:t xml:space="preserve">Если организация реклассифицирует финансовый актив из категории оцениваемых по справедливой стоимости через прибыль или убыток в категорию оцениваемых по амортизированной стоимости, его справедливая стоимость на дату реклассификации становится новой валовой балансовой стоимостью такого актива. (См. указания в пункте B5.6.2 в отношении определения эффективной процентной ставки и оценочного резерва </w:t>
      </w:r>
      <w:r w:rsidR="004F2105" w:rsidRPr="0049187C">
        <w:rPr>
          <w:b/>
          <w:lang w:val="ru-RU"/>
        </w:rPr>
        <w:t xml:space="preserve">под убытки </w:t>
      </w:r>
      <w:r w:rsidRPr="0049187C">
        <w:rPr>
          <w:b/>
          <w:lang w:val="ru-RU"/>
        </w:rPr>
        <w:t>на дату реклассификации.)</w:t>
      </w:r>
    </w:p>
    <w:p w:rsidR="007D4BCC" w:rsidRPr="0049187C" w:rsidRDefault="007D4BCC" w:rsidP="007D4BCC">
      <w:pPr>
        <w:pStyle w:val="IASBNormalnpara"/>
        <w:rPr>
          <w:b/>
          <w:lang w:val="ru-RU"/>
        </w:rPr>
      </w:pPr>
      <w:r w:rsidRPr="0049187C">
        <w:rPr>
          <w:b/>
          <w:lang w:val="ru-RU"/>
        </w:rPr>
        <w:t>5.6.4</w:t>
      </w:r>
      <w:r w:rsidRPr="0049187C">
        <w:rPr>
          <w:b/>
          <w:lang w:val="ru-RU"/>
        </w:rPr>
        <w:tab/>
        <w:t>Если организация реклассифицирует финансовый актив из категории оцениваемых по амортизированной стоимости в категорию оцениваемых по справедливой стоимости через прочий совокупный доход, его справедливая стоимость оценивается по состоянию на дату реклассификации. Любые прибыль или убыток, являющиеся результатом разницы между предыдущей амортизированной стоимостью финансового актива и справедливой стоимостью, признаются в составе прочего совокупного дохода. Эффективная процентная ставка и оценка ожидаемых кредитных убытков не корректируются в результате реклассификации. (См. пункт B5.6.1.)</w:t>
      </w:r>
    </w:p>
    <w:p w:rsidR="007D4BCC" w:rsidRPr="0049187C" w:rsidRDefault="007D4BCC" w:rsidP="007D4BCC">
      <w:pPr>
        <w:pStyle w:val="IASBNormalnpara"/>
        <w:rPr>
          <w:b/>
          <w:lang w:val="ru-RU"/>
        </w:rPr>
      </w:pPr>
      <w:r w:rsidRPr="0049187C">
        <w:rPr>
          <w:b/>
          <w:lang w:val="ru-RU"/>
        </w:rPr>
        <w:t>5.6.5</w:t>
      </w:r>
      <w:r w:rsidRPr="0049187C">
        <w:rPr>
          <w:b/>
          <w:lang w:val="ru-RU"/>
        </w:rPr>
        <w:tab/>
        <w:t>Если организация реклассифицирует финансовый актив из категории оцениваемых по справедливой стоимости через прочий совокупный доход в категорию оцениваемых по амортизированной стоимости, финансовый актив реклассифицируется по своей справедливой стоимости на дату рек</w:t>
      </w:r>
      <w:r w:rsidR="004B2C5E">
        <w:rPr>
          <w:b/>
          <w:lang w:val="ru-RU"/>
        </w:rPr>
        <w:t>лассификации. Однако накопленная величина</w:t>
      </w:r>
      <w:r w:rsidRPr="0049187C">
        <w:rPr>
          <w:b/>
          <w:lang w:val="ru-RU"/>
        </w:rPr>
        <w:t xml:space="preserve"> </w:t>
      </w:r>
      <w:r w:rsidR="004B2C5E">
        <w:rPr>
          <w:b/>
          <w:lang w:val="ru-RU"/>
        </w:rPr>
        <w:t>прибыли или убытка, ранее признанная</w:t>
      </w:r>
      <w:r w:rsidRPr="0049187C">
        <w:rPr>
          <w:b/>
          <w:lang w:val="ru-RU"/>
        </w:rPr>
        <w:t xml:space="preserve"> в составе проч</w:t>
      </w:r>
      <w:r w:rsidR="004B2C5E">
        <w:rPr>
          <w:b/>
          <w:lang w:val="ru-RU"/>
        </w:rPr>
        <w:t>его совокупного дохода, исключае</w:t>
      </w:r>
      <w:r w:rsidRPr="0049187C">
        <w:rPr>
          <w:b/>
          <w:lang w:val="ru-RU"/>
        </w:rPr>
        <w:t>тся из соб</w:t>
      </w:r>
      <w:r w:rsidR="004B2C5E">
        <w:rPr>
          <w:b/>
          <w:lang w:val="ru-RU"/>
        </w:rPr>
        <w:t>ственного капитала и корректируе</w:t>
      </w:r>
      <w:r w:rsidRPr="0049187C">
        <w:rPr>
          <w:b/>
          <w:lang w:val="ru-RU"/>
        </w:rPr>
        <w:t xml:space="preserve">тся против справедливой стоимости финансового актива на дату реклассификации. В результате финансовый актив оценивается на дату реклассификации, как если бы он всегда оценивался по амортизированной стоимости. </w:t>
      </w:r>
      <w:r w:rsidR="004F2105" w:rsidRPr="0049187C">
        <w:rPr>
          <w:b/>
          <w:lang w:val="ru-RU"/>
        </w:rPr>
        <w:t>Такая к</w:t>
      </w:r>
      <w:r w:rsidRPr="0049187C">
        <w:rPr>
          <w:b/>
          <w:lang w:val="ru-RU"/>
        </w:rPr>
        <w:t xml:space="preserve">орректировка влияет на прочий совокупный доход, но не влияет на прибыль или убыток и, таким образом, не является реклассификационной корректировкой (см. МСФО (IAS) 1 </w:t>
      </w:r>
      <w:r w:rsidRPr="0049187C">
        <w:rPr>
          <w:b/>
          <w:i/>
          <w:lang w:val="ru-RU"/>
        </w:rPr>
        <w:t>«Представление финансовой отчетности»</w:t>
      </w:r>
      <w:r w:rsidRPr="0049187C">
        <w:rPr>
          <w:b/>
          <w:lang w:val="ru-RU"/>
        </w:rPr>
        <w:t>). Эффективная процентная ставка и оценка ожидаемых кредитных убытков не корректируются в результате реклассификации. (См. пункт B5.6.1.)</w:t>
      </w:r>
    </w:p>
    <w:p w:rsidR="007D4BCC" w:rsidRPr="0049187C" w:rsidRDefault="007D4BCC" w:rsidP="007D4BCC">
      <w:pPr>
        <w:pStyle w:val="IASBNormalnpara"/>
        <w:rPr>
          <w:b/>
          <w:lang w:val="ru-RU"/>
        </w:rPr>
      </w:pPr>
      <w:r w:rsidRPr="0049187C">
        <w:rPr>
          <w:b/>
          <w:lang w:val="ru-RU"/>
        </w:rPr>
        <w:t>5.6.6</w:t>
      </w:r>
      <w:r w:rsidRPr="0049187C">
        <w:rPr>
          <w:b/>
          <w:lang w:val="ru-RU"/>
        </w:rPr>
        <w:tab/>
        <w:t>Если организация реклассифицирует финансовый актив из категории оцениваемых по справедливой стоимости через прибыль или убыток в категорию оцениваемых по справедливой стоимости через прочий совокупный доход, финансовый актив продолжает оцениваться по справедливой стоимости. (См. указания в пункте B5.6.2 в отношении определения эффективной процентной ставки и оценочного резерва на дату реклассификации.)</w:t>
      </w:r>
    </w:p>
    <w:p w:rsidR="007D4BCC" w:rsidRPr="0049187C" w:rsidRDefault="007D4BCC" w:rsidP="007D4BCC">
      <w:pPr>
        <w:pStyle w:val="IASBNormalnpara"/>
        <w:rPr>
          <w:b/>
          <w:lang w:val="ru-RU"/>
        </w:rPr>
      </w:pPr>
      <w:r w:rsidRPr="0049187C">
        <w:rPr>
          <w:b/>
          <w:lang w:val="ru-RU"/>
        </w:rPr>
        <w:t>5.6.7</w:t>
      </w:r>
      <w:r w:rsidRPr="0049187C">
        <w:rPr>
          <w:b/>
          <w:lang w:val="ru-RU"/>
        </w:rPr>
        <w:tab/>
        <w:t>Если организация реклассифицирует финансовый актив из категории оцениваемых по справедливой стоимост</w:t>
      </w:r>
      <w:r w:rsidR="00B76490">
        <w:rPr>
          <w:b/>
          <w:lang w:val="ru-RU"/>
        </w:rPr>
        <w:t>и через прочий совокупный доход</w:t>
      </w:r>
      <w:r w:rsidRPr="0049187C">
        <w:rPr>
          <w:b/>
          <w:lang w:val="ru-RU"/>
        </w:rPr>
        <w:t xml:space="preserve"> в категорию оцениваемых по справедливой стоимости через прибыль или убыток, финансовый актив продолжает оцениваться по справедливой стоимости. Накопленные прибыль или убыток, ранее признанные в составе прочего совокупного дохода, реклассифицируются из состава собственного капитала в состав прибыли и убытка в качестве реклассификационной корректировки (см. МСФО (IAS) 1) на дату реклассификации.</w:t>
      </w:r>
    </w:p>
    <w:p w:rsidR="007D4BCC" w:rsidRPr="0049187C" w:rsidRDefault="007D4BCC" w:rsidP="007D4BCC">
      <w:pPr>
        <w:pStyle w:val="IASBSectionTitle1NonInd"/>
        <w:rPr>
          <w:lang w:val="ru-RU"/>
        </w:rPr>
      </w:pPr>
      <w:bookmarkStart w:id="32" w:name="F32570149"/>
      <w:r w:rsidRPr="0049187C">
        <w:rPr>
          <w:lang w:val="ru-RU"/>
        </w:rPr>
        <w:t xml:space="preserve">5.7 </w:t>
      </w:r>
      <w:bookmarkEnd w:id="32"/>
      <w:r w:rsidRPr="0049187C">
        <w:rPr>
          <w:lang w:val="ru-RU"/>
        </w:rPr>
        <w:t>Прибыли и убытки</w:t>
      </w:r>
    </w:p>
    <w:p w:rsidR="007D4BCC" w:rsidRPr="0049187C" w:rsidRDefault="007D4BCC" w:rsidP="007D4BCC">
      <w:pPr>
        <w:pStyle w:val="IASBNormalnpara"/>
        <w:rPr>
          <w:b/>
          <w:lang w:val="ru-RU"/>
        </w:rPr>
      </w:pPr>
      <w:r w:rsidRPr="0049187C">
        <w:rPr>
          <w:b/>
          <w:lang w:val="ru-RU"/>
        </w:rPr>
        <w:t>5.7.1</w:t>
      </w:r>
      <w:r w:rsidRPr="0049187C">
        <w:rPr>
          <w:b/>
          <w:lang w:val="ru-RU"/>
        </w:rPr>
        <w:tab/>
      </w:r>
      <w:bookmarkStart w:id="33" w:name="F27177552"/>
      <w:r w:rsidRPr="0049187C">
        <w:rPr>
          <w:b/>
          <w:lang w:val="ru-RU"/>
        </w:rPr>
        <w:t>Прибыль или убыток от финансового актива или финанс</w:t>
      </w:r>
      <w:r w:rsidR="00C75EB0">
        <w:rPr>
          <w:b/>
          <w:lang w:val="ru-RU"/>
        </w:rPr>
        <w:t>ового обязательства, оцениваемого</w:t>
      </w:r>
      <w:r w:rsidRPr="0049187C">
        <w:rPr>
          <w:b/>
          <w:lang w:val="ru-RU"/>
        </w:rPr>
        <w:t xml:space="preserve"> п</w:t>
      </w:r>
      <w:r w:rsidR="00C75EB0">
        <w:rPr>
          <w:b/>
          <w:lang w:val="ru-RU"/>
        </w:rPr>
        <w:t>о справедливой стоимости, следует</w:t>
      </w:r>
      <w:r w:rsidRPr="0049187C">
        <w:rPr>
          <w:b/>
          <w:lang w:val="ru-RU"/>
        </w:rPr>
        <w:t xml:space="preserve"> призн</w:t>
      </w:r>
      <w:r w:rsidR="00C75EB0">
        <w:rPr>
          <w:b/>
          <w:lang w:val="ru-RU"/>
        </w:rPr>
        <w:t>авать</w:t>
      </w:r>
      <w:r w:rsidRPr="0049187C">
        <w:rPr>
          <w:b/>
          <w:lang w:val="ru-RU"/>
        </w:rPr>
        <w:t xml:space="preserve"> в составе прибыли или убытка</w:t>
      </w:r>
      <w:r w:rsidR="00C75EB0">
        <w:rPr>
          <w:b/>
          <w:lang w:val="ru-RU"/>
        </w:rPr>
        <w:t xml:space="preserve"> за период</w:t>
      </w:r>
      <w:r w:rsidRPr="0049187C">
        <w:rPr>
          <w:b/>
          <w:lang w:val="ru-RU"/>
        </w:rPr>
        <w:t>, за исключением следующих случаев:</w:t>
      </w:r>
      <w:bookmarkEnd w:id="33"/>
    </w:p>
    <w:p w:rsidR="007D4BCC" w:rsidRPr="0049187C" w:rsidRDefault="007D4BCC" w:rsidP="007D4BCC">
      <w:pPr>
        <w:pStyle w:val="IASBNormalnparaL1"/>
        <w:rPr>
          <w:b/>
          <w:lang w:val="ru-RU"/>
        </w:rPr>
      </w:pPr>
      <w:r w:rsidRPr="0049187C">
        <w:rPr>
          <w:b/>
          <w:lang w:val="ru-RU"/>
        </w:rPr>
        <w:t>(a)</w:t>
      </w:r>
      <w:r w:rsidRPr="0049187C">
        <w:rPr>
          <w:b/>
          <w:lang w:val="ru-RU"/>
        </w:rPr>
        <w:tab/>
      </w:r>
      <w:bookmarkStart w:id="34" w:name="F27177555"/>
      <w:r w:rsidR="00C75EB0">
        <w:rPr>
          <w:b/>
          <w:lang w:val="ru-RU"/>
        </w:rPr>
        <w:t xml:space="preserve">данный </w:t>
      </w:r>
      <w:r w:rsidRPr="0049187C">
        <w:rPr>
          <w:b/>
          <w:lang w:val="ru-RU"/>
        </w:rPr>
        <w:t xml:space="preserve">финансовый </w:t>
      </w:r>
      <w:r w:rsidR="00C75EB0">
        <w:rPr>
          <w:b/>
          <w:lang w:val="ru-RU"/>
        </w:rPr>
        <w:t>инструмент</w:t>
      </w:r>
      <w:r w:rsidRPr="0049187C">
        <w:rPr>
          <w:b/>
          <w:lang w:val="ru-RU"/>
        </w:rPr>
        <w:t xml:space="preserve"> является частью отношени</w:t>
      </w:r>
      <w:r w:rsidR="0057748C">
        <w:rPr>
          <w:b/>
          <w:lang w:val="ru-RU"/>
        </w:rPr>
        <w:t>й</w:t>
      </w:r>
      <w:r w:rsidRPr="0049187C">
        <w:rPr>
          <w:b/>
          <w:lang w:val="ru-RU"/>
        </w:rPr>
        <w:t xml:space="preserve"> хеджирования (см. пункты 6.5.8–6.5.14 и, если применимо, пункты 89–94 МСФО (IAS) 39 касательно учета хеджиро</w:t>
      </w:r>
      <w:r w:rsidR="00C75EB0">
        <w:rPr>
          <w:b/>
          <w:lang w:val="ru-RU"/>
        </w:rPr>
        <w:t>вания справедливой стоимости в случае портфельного хеджирования</w:t>
      </w:r>
      <w:r w:rsidRPr="0049187C">
        <w:rPr>
          <w:b/>
          <w:lang w:val="ru-RU"/>
        </w:rPr>
        <w:t xml:space="preserve"> процентного риска);</w:t>
      </w:r>
      <w:bookmarkEnd w:id="34"/>
    </w:p>
    <w:p w:rsidR="007D4BCC" w:rsidRPr="0049187C" w:rsidRDefault="007D4BCC" w:rsidP="007D4BCC">
      <w:pPr>
        <w:pStyle w:val="IASBNormalnparaL1"/>
        <w:rPr>
          <w:b/>
          <w:lang w:val="ru-RU"/>
        </w:rPr>
      </w:pPr>
      <w:r w:rsidRPr="0049187C">
        <w:rPr>
          <w:b/>
          <w:lang w:val="ru-RU"/>
        </w:rPr>
        <w:t>(b)</w:t>
      </w:r>
      <w:r w:rsidRPr="0049187C">
        <w:rPr>
          <w:b/>
          <w:lang w:val="ru-RU"/>
        </w:rPr>
        <w:tab/>
      </w:r>
      <w:bookmarkStart w:id="35" w:name="F27177557"/>
      <w:r w:rsidR="00C75EB0">
        <w:rPr>
          <w:b/>
          <w:lang w:val="ru-RU"/>
        </w:rPr>
        <w:t xml:space="preserve">данный </w:t>
      </w:r>
      <w:r w:rsidRPr="0049187C">
        <w:rPr>
          <w:b/>
          <w:lang w:val="ru-RU"/>
        </w:rPr>
        <w:t xml:space="preserve">финансовый </w:t>
      </w:r>
      <w:r w:rsidR="00C75EB0">
        <w:rPr>
          <w:b/>
          <w:lang w:val="ru-RU"/>
        </w:rPr>
        <w:t>инструмент</w:t>
      </w:r>
      <w:r w:rsidRPr="0049187C">
        <w:rPr>
          <w:b/>
          <w:lang w:val="ru-RU"/>
        </w:rPr>
        <w:t xml:space="preserve"> является инвестицией в долевой инструмент, и организация </w:t>
      </w:r>
      <w:r w:rsidR="00C75EB0">
        <w:rPr>
          <w:b/>
          <w:lang w:val="ru-RU"/>
        </w:rPr>
        <w:t>приняла решение представлять прибыли и убытки</w:t>
      </w:r>
      <w:r w:rsidRPr="0049187C">
        <w:rPr>
          <w:b/>
          <w:lang w:val="ru-RU"/>
        </w:rPr>
        <w:t xml:space="preserve"> от </w:t>
      </w:r>
      <w:r w:rsidR="00C75EB0">
        <w:rPr>
          <w:b/>
          <w:lang w:val="ru-RU"/>
        </w:rPr>
        <w:t>указанной инвестиции</w:t>
      </w:r>
      <w:r w:rsidRPr="0049187C">
        <w:rPr>
          <w:b/>
          <w:lang w:val="ru-RU"/>
        </w:rPr>
        <w:t xml:space="preserve"> в составе прочего совокупного дохода в соответствии с пунктом 5.7.5;</w:t>
      </w:r>
      <w:bookmarkEnd w:id="35"/>
    </w:p>
    <w:p w:rsidR="007D4BCC" w:rsidRPr="0049187C" w:rsidRDefault="007D4BCC" w:rsidP="007D4BCC">
      <w:pPr>
        <w:pStyle w:val="IASBNormalnparaL1"/>
        <w:rPr>
          <w:b/>
          <w:lang w:val="ru-RU"/>
        </w:rPr>
      </w:pPr>
      <w:r w:rsidRPr="0049187C">
        <w:rPr>
          <w:b/>
          <w:lang w:val="ru-RU"/>
        </w:rPr>
        <w:t>(c)</w:t>
      </w:r>
      <w:r w:rsidRPr="0049187C">
        <w:rPr>
          <w:b/>
          <w:lang w:val="ru-RU"/>
        </w:rPr>
        <w:tab/>
      </w:r>
      <w:bookmarkStart w:id="36" w:name="F27177561"/>
      <w:r w:rsidR="00C75EB0">
        <w:rPr>
          <w:b/>
          <w:lang w:val="ru-RU"/>
        </w:rPr>
        <w:t>данный финансовый</w:t>
      </w:r>
      <w:r w:rsidRPr="0049187C">
        <w:rPr>
          <w:b/>
          <w:lang w:val="ru-RU"/>
        </w:rPr>
        <w:t xml:space="preserve"> </w:t>
      </w:r>
      <w:r w:rsidR="00C75EB0">
        <w:rPr>
          <w:b/>
          <w:lang w:val="ru-RU"/>
        </w:rPr>
        <w:t>инструмент является финансовым обязательством, которое организация по собственному усмотрению</w:t>
      </w:r>
      <w:r w:rsidRPr="0049187C">
        <w:rPr>
          <w:b/>
          <w:lang w:val="ru-RU"/>
        </w:rPr>
        <w:t xml:space="preserve"> </w:t>
      </w:r>
      <w:r w:rsidR="00C75EB0">
        <w:rPr>
          <w:b/>
          <w:lang w:val="ru-RU"/>
        </w:rPr>
        <w:t>классифицировала</w:t>
      </w:r>
      <w:r w:rsidR="00207E17">
        <w:rPr>
          <w:b/>
          <w:lang w:val="ru-RU"/>
        </w:rPr>
        <w:t xml:space="preserve"> </w:t>
      </w:r>
      <w:r w:rsidRPr="0049187C">
        <w:rPr>
          <w:b/>
          <w:lang w:val="ru-RU"/>
        </w:rPr>
        <w:t>как оцениваемое по справедливой сто</w:t>
      </w:r>
      <w:r w:rsidR="0081120C">
        <w:rPr>
          <w:b/>
          <w:lang w:val="ru-RU"/>
        </w:rPr>
        <w:t>имости через прибыль или убыток</w:t>
      </w:r>
      <w:r w:rsidRPr="0049187C">
        <w:rPr>
          <w:b/>
          <w:lang w:val="ru-RU"/>
        </w:rPr>
        <w:t xml:space="preserve"> и обязана представлять эффект от изменений </w:t>
      </w:r>
      <w:r w:rsidRPr="0049187C">
        <w:rPr>
          <w:b/>
          <w:i/>
          <w:lang w:val="ru-RU"/>
        </w:rPr>
        <w:t xml:space="preserve">кредитного риска </w:t>
      </w:r>
      <w:r w:rsidRPr="0049187C">
        <w:rPr>
          <w:b/>
          <w:lang w:val="ru-RU"/>
        </w:rPr>
        <w:t>по данному обязательству в составе прочего совокупного дохода в соответствии с пунктом 5.7.7</w:t>
      </w:r>
      <w:bookmarkEnd w:id="36"/>
      <w:r w:rsidRPr="0049187C">
        <w:rPr>
          <w:b/>
          <w:lang w:val="ru-RU"/>
        </w:rPr>
        <w:t>; или</w:t>
      </w:r>
    </w:p>
    <w:p w:rsidR="007D4BCC" w:rsidRPr="0049187C" w:rsidRDefault="007D4BCC" w:rsidP="007D4BCC">
      <w:pPr>
        <w:pStyle w:val="IASBNormalnparaL1"/>
        <w:rPr>
          <w:b/>
          <w:lang w:val="ru-RU"/>
        </w:rPr>
      </w:pPr>
      <w:r w:rsidRPr="0049187C">
        <w:rPr>
          <w:b/>
          <w:lang w:val="ru-RU"/>
        </w:rPr>
        <w:t>(d)</w:t>
      </w:r>
      <w:r w:rsidRPr="0049187C">
        <w:rPr>
          <w:b/>
          <w:lang w:val="ru-RU"/>
        </w:rPr>
        <w:tab/>
      </w:r>
      <w:r w:rsidR="00C75EB0">
        <w:rPr>
          <w:b/>
          <w:lang w:val="ru-RU"/>
        </w:rPr>
        <w:t>данный финансовый инструмент является финансовым</w:t>
      </w:r>
      <w:r w:rsidRPr="0049187C">
        <w:rPr>
          <w:b/>
          <w:lang w:val="ru-RU"/>
        </w:rPr>
        <w:t xml:space="preserve"> актив</w:t>
      </w:r>
      <w:r w:rsidR="00C75EB0">
        <w:rPr>
          <w:b/>
          <w:lang w:val="ru-RU"/>
        </w:rPr>
        <w:t>ом, оцениваемым</w:t>
      </w:r>
      <w:r w:rsidRPr="0049187C">
        <w:rPr>
          <w:b/>
          <w:lang w:val="ru-RU"/>
        </w:rPr>
        <w:t xml:space="preserve"> по справедливой стоимости через прочий совокупный доход в соответствии с пунктом 4.1.2А, и организация обязана признавать некоторые изменения справедливой стоимости в составе прочего совокупного дохода в соответствии с пунктом 5.7.10.</w:t>
      </w:r>
    </w:p>
    <w:p w:rsidR="007D4BCC" w:rsidRPr="0049187C" w:rsidRDefault="007D4BCC" w:rsidP="007D4BCC">
      <w:pPr>
        <w:pStyle w:val="IASBNormalnpara"/>
        <w:rPr>
          <w:lang w:val="ru-RU"/>
        </w:rPr>
      </w:pPr>
      <w:r w:rsidRPr="0049187C">
        <w:rPr>
          <w:lang w:val="ru-RU"/>
        </w:rPr>
        <w:t>5.7.1A</w:t>
      </w:r>
      <w:r w:rsidRPr="0049187C">
        <w:rPr>
          <w:lang w:val="ru-RU"/>
        </w:rPr>
        <w:tab/>
      </w:r>
      <w:r w:rsidRPr="0049187C">
        <w:rPr>
          <w:i/>
          <w:lang w:val="ru-RU"/>
        </w:rPr>
        <w:t>Дивиденды</w:t>
      </w:r>
      <w:r w:rsidRPr="0049187C">
        <w:rPr>
          <w:lang w:val="ru-RU"/>
        </w:rPr>
        <w:t xml:space="preserve"> признаются в составе прибыли или убытка только </w:t>
      </w:r>
      <w:r w:rsidR="00682BD4" w:rsidRPr="0049187C">
        <w:rPr>
          <w:lang w:val="ru-RU"/>
        </w:rPr>
        <w:t>тогда, когда</w:t>
      </w:r>
      <w:r w:rsidRPr="0049187C">
        <w:rPr>
          <w:lang w:val="ru-RU"/>
        </w:rPr>
        <w:t>:</w:t>
      </w:r>
    </w:p>
    <w:p w:rsidR="007D4BCC" w:rsidRPr="0049187C" w:rsidRDefault="007D4BCC" w:rsidP="007D4BCC">
      <w:pPr>
        <w:pStyle w:val="IASBNormalnparaL1"/>
        <w:ind w:hanging="713"/>
        <w:rPr>
          <w:lang w:val="ru-RU"/>
        </w:rPr>
      </w:pPr>
      <w:r w:rsidRPr="0049187C">
        <w:rPr>
          <w:lang w:val="ru-RU"/>
        </w:rPr>
        <w:t>(a)</w:t>
      </w:r>
      <w:r w:rsidRPr="0049187C">
        <w:rPr>
          <w:lang w:val="ru-RU"/>
        </w:rPr>
        <w:tab/>
        <w:t>право организации на получени</w:t>
      </w:r>
      <w:r w:rsidR="00682BD4" w:rsidRPr="0049187C">
        <w:rPr>
          <w:lang w:val="ru-RU"/>
        </w:rPr>
        <w:t>е</w:t>
      </w:r>
      <w:r w:rsidRPr="0049187C">
        <w:rPr>
          <w:lang w:val="ru-RU"/>
        </w:rPr>
        <w:t xml:space="preserve"> дивидендов</w:t>
      </w:r>
      <w:r w:rsidR="003C144C">
        <w:rPr>
          <w:lang w:val="ru-RU"/>
        </w:rPr>
        <w:t xml:space="preserve"> установлено</w:t>
      </w:r>
      <w:r w:rsidRPr="0049187C">
        <w:rPr>
          <w:lang w:val="ru-RU"/>
        </w:rPr>
        <w:t>;</w:t>
      </w:r>
    </w:p>
    <w:p w:rsidR="007D4BCC" w:rsidRPr="0049187C" w:rsidRDefault="007D4BCC" w:rsidP="007D4BCC">
      <w:pPr>
        <w:pStyle w:val="IASBNormalnparaL1"/>
        <w:ind w:hanging="713"/>
        <w:rPr>
          <w:lang w:val="ru-RU"/>
        </w:rPr>
      </w:pPr>
      <w:r w:rsidRPr="0049187C">
        <w:rPr>
          <w:lang w:val="ru-RU"/>
        </w:rPr>
        <w:t>(b)</w:t>
      </w:r>
      <w:r w:rsidRPr="0049187C">
        <w:rPr>
          <w:lang w:val="ru-RU"/>
        </w:rPr>
        <w:tab/>
      </w:r>
      <w:r w:rsidR="00682BD4" w:rsidRPr="0049187C">
        <w:rPr>
          <w:lang w:val="ru-RU"/>
        </w:rPr>
        <w:t>поступление в организацию экономических выгод, связанных с дивидендами, является вероятным; и</w:t>
      </w:r>
    </w:p>
    <w:p w:rsidR="007D4BCC" w:rsidRPr="0049187C" w:rsidRDefault="007D4BCC" w:rsidP="007D4BCC">
      <w:pPr>
        <w:pStyle w:val="IASBNormalnparaL1"/>
        <w:ind w:hanging="713"/>
        <w:rPr>
          <w:lang w:val="ru-RU"/>
        </w:rPr>
      </w:pPr>
      <w:r w:rsidRPr="0049187C">
        <w:rPr>
          <w:lang w:val="ru-RU"/>
        </w:rPr>
        <w:t>(с)</w:t>
      </w:r>
      <w:r w:rsidRPr="0049187C">
        <w:rPr>
          <w:lang w:val="ru-RU"/>
        </w:rPr>
        <w:tab/>
        <w:t>сумма дивидендов может быть надежно оценена.</w:t>
      </w:r>
    </w:p>
    <w:p w:rsidR="007D4BCC" w:rsidRPr="0049187C" w:rsidRDefault="007D4BCC" w:rsidP="007D4BCC">
      <w:pPr>
        <w:pStyle w:val="IASBNormalnpara"/>
        <w:rPr>
          <w:b/>
          <w:lang w:val="ru-RU"/>
        </w:rPr>
      </w:pPr>
      <w:r w:rsidRPr="0049187C">
        <w:rPr>
          <w:b/>
          <w:lang w:val="ru-RU"/>
        </w:rPr>
        <w:t>5.7.2</w:t>
      </w:r>
      <w:r w:rsidRPr="0049187C">
        <w:rPr>
          <w:b/>
          <w:lang w:val="ru-RU"/>
        </w:rPr>
        <w:tab/>
      </w:r>
      <w:bookmarkStart w:id="37" w:name="F27177563"/>
      <w:r w:rsidRPr="0049187C">
        <w:rPr>
          <w:b/>
          <w:lang w:val="ru-RU"/>
        </w:rPr>
        <w:t>Прибыль или убыток от финансового актива, оцениваемого по амортизированной стоимости и</w:t>
      </w:r>
      <w:r w:rsidR="0057748C">
        <w:rPr>
          <w:b/>
          <w:lang w:val="ru-RU"/>
        </w:rPr>
        <w:t xml:space="preserve"> не являющегося частью отношений</w:t>
      </w:r>
      <w:r w:rsidRPr="0049187C">
        <w:rPr>
          <w:b/>
          <w:lang w:val="ru-RU"/>
        </w:rPr>
        <w:t xml:space="preserve"> хеджирования (см. пункты 6.5.8–6.5.14 и, если применимо, </w:t>
      </w:r>
      <w:r w:rsidR="000E4664">
        <w:rPr>
          <w:b/>
          <w:lang w:val="ru-RU"/>
        </w:rPr>
        <w:t>пункты 89</w:t>
      </w:r>
      <w:r w:rsidR="000E4664" w:rsidRPr="000E4664">
        <w:rPr>
          <w:b/>
          <w:lang w:val="ru-RU"/>
        </w:rPr>
        <w:t>–</w:t>
      </w:r>
      <w:r w:rsidRPr="0049187C">
        <w:rPr>
          <w:b/>
          <w:lang w:val="ru-RU"/>
        </w:rPr>
        <w:t xml:space="preserve">94 МСФО (IAS) 39 касательно учета хеджирования справедливой стоимости </w:t>
      </w:r>
      <w:r w:rsidR="003C144C">
        <w:rPr>
          <w:b/>
          <w:lang w:val="ru-RU"/>
        </w:rPr>
        <w:t>в случае портфельного хеджирования</w:t>
      </w:r>
      <w:r w:rsidRPr="0049187C">
        <w:rPr>
          <w:b/>
          <w:lang w:val="ru-RU"/>
        </w:rPr>
        <w:t xml:space="preserve"> процентного риска), </w:t>
      </w:r>
      <w:r w:rsidR="003C144C">
        <w:rPr>
          <w:b/>
          <w:lang w:val="ru-RU"/>
        </w:rPr>
        <w:t xml:space="preserve">следует </w:t>
      </w:r>
      <w:r w:rsidR="00E0497A">
        <w:rPr>
          <w:b/>
          <w:lang w:val="ru-RU"/>
        </w:rPr>
        <w:t>признавать</w:t>
      </w:r>
      <w:r w:rsidRPr="0049187C">
        <w:rPr>
          <w:b/>
          <w:lang w:val="ru-RU"/>
        </w:rPr>
        <w:t xml:space="preserve"> в составе прибыли или убытка</w:t>
      </w:r>
      <w:r w:rsidR="003C144C">
        <w:rPr>
          <w:b/>
          <w:lang w:val="ru-RU"/>
        </w:rPr>
        <w:t xml:space="preserve"> за период в момент</w:t>
      </w:r>
      <w:r w:rsidRPr="0049187C">
        <w:rPr>
          <w:b/>
          <w:lang w:val="ru-RU"/>
        </w:rPr>
        <w:t xml:space="preserve"> </w:t>
      </w:r>
      <w:r w:rsidR="003C144C">
        <w:rPr>
          <w:b/>
          <w:lang w:val="ru-RU"/>
        </w:rPr>
        <w:t>прекращения</w:t>
      </w:r>
      <w:r w:rsidRPr="0049187C">
        <w:rPr>
          <w:b/>
          <w:lang w:val="ru-RU"/>
        </w:rPr>
        <w:t xml:space="preserve"> признани</w:t>
      </w:r>
      <w:r w:rsidR="003C144C">
        <w:rPr>
          <w:b/>
          <w:lang w:val="ru-RU"/>
        </w:rPr>
        <w:t>я такого финансового актива,</w:t>
      </w:r>
      <w:r w:rsidRPr="0049187C">
        <w:rPr>
          <w:b/>
          <w:lang w:val="ru-RU"/>
        </w:rPr>
        <w:t xml:space="preserve"> его реклассификации в соответствии с пунктом 5.6.2, </w:t>
      </w:r>
      <w:r w:rsidR="003C144C">
        <w:rPr>
          <w:b/>
          <w:lang w:val="ru-RU"/>
        </w:rPr>
        <w:t>в процессе</w:t>
      </w:r>
      <w:r w:rsidRPr="0049187C">
        <w:rPr>
          <w:b/>
          <w:lang w:val="ru-RU"/>
        </w:rPr>
        <w:t xml:space="preserve"> амортизации или с целью признания прибылей или убытков от обесценения. </w:t>
      </w:r>
      <w:r w:rsidR="00B878E6">
        <w:rPr>
          <w:b/>
          <w:lang w:val="ru-RU"/>
        </w:rPr>
        <w:t xml:space="preserve">Организация должна применять </w:t>
      </w:r>
      <w:r w:rsidR="00B878E6" w:rsidRPr="0049187C">
        <w:rPr>
          <w:b/>
          <w:lang w:val="ru-RU"/>
        </w:rPr>
        <w:t>пункты 5.6.2 и 5.6.4</w:t>
      </w:r>
      <w:r w:rsidR="00B878E6">
        <w:rPr>
          <w:b/>
          <w:lang w:val="ru-RU"/>
        </w:rPr>
        <w:t>, если она реклассифицирует финансовые активы</w:t>
      </w:r>
      <w:r w:rsidRPr="0049187C">
        <w:rPr>
          <w:b/>
          <w:lang w:val="ru-RU"/>
        </w:rPr>
        <w:t xml:space="preserve"> из категории оцениваемых по амортизированной стоимости</w:t>
      </w:r>
      <w:r w:rsidR="00B878E6">
        <w:rPr>
          <w:b/>
          <w:lang w:val="ru-RU"/>
        </w:rPr>
        <w:t xml:space="preserve"> в другую категорию.</w:t>
      </w:r>
      <w:r w:rsidRPr="0049187C">
        <w:rPr>
          <w:b/>
          <w:lang w:val="ru-RU"/>
        </w:rPr>
        <w:t xml:space="preserve"> Прибыль или убыток от финансового обязательства, оцениваемого по амортизированной стоимости и не являющегося частью отношени</w:t>
      </w:r>
      <w:r w:rsidR="0057748C">
        <w:rPr>
          <w:b/>
          <w:lang w:val="ru-RU"/>
        </w:rPr>
        <w:t>й</w:t>
      </w:r>
      <w:r w:rsidRPr="0049187C">
        <w:rPr>
          <w:b/>
          <w:lang w:val="ru-RU"/>
        </w:rPr>
        <w:t xml:space="preserve"> хеджирования (см. пункты 6.5.8–6.5.14 и, если применимо, пункты 89</w:t>
      </w:r>
      <w:r w:rsidR="00F2597D" w:rsidRPr="000E4664">
        <w:rPr>
          <w:b/>
          <w:lang w:val="ru-RU"/>
        </w:rPr>
        <w:t>–</w:t>
      </w:r>
      <w:r w:rsidRPr="0049187C">
        <w:rPr>
          <w:b/>
          <w:lang w:val="ru-RU"/>
        </w:rPr>
        <w:t xml:space="preserve">94 МСФО (IAS) 39 касательно учета хеджирования справедливой стоимости </w:t>
      </w:r>
      <w:r w:rsidR="00B878E6">
        <w:rPr>
          <w:b/>
          <w:lang w:val="ru-RU"/>
        </w:rPr>
        <w:t>в случае портфельного хеджирования</w:t>
      </w:r>
      <w:r w:rsidRPr="0049187C">
        <w:rPr>
          <w:b/>
          <w:lang w:val="ru-RU"/>
        </w:rPr>
        <w:t xml:space="preserve"> процентного риска), </w:t>
      </w:r>
      <w:r w:rsidR="00B878E6">
        <w:rPr>
          <w:b/>
          <w:lang w:val="ru-RU"/>
        </w:rPr>
        <w:t>следует признавать</w:t>
      </w:r>
      <w:r w:rsidRPr="0049187C">
        <w:rPr>
          <w:b/>
          <w:lang w:val="ru-RU"/>
        </w:rPr>
        <w:t xml:space="preserve"> в составе прибыли или убытка</w:t>
      </w:r>
      <w:r w:rsidR="00B878E6">
        <w:rPr>
          <w:b/>
          <w:lang w:val="ru-RU"/>
        </w:rPr>
        <w:t xml:space="preserve"> за период в момент</w:t>
      </w:r>
      <w:r w:rsidRPr="0049187C">
        <w:rPr>
          <w:b/>
          <w:lang w:val="ru-RU"/>
        </w:rPr>
        <w:t xml:space="preserve"> </w:t>
      </w:r>
      <w:r w:rsidR="00B878E6">
        <w:rPr>
          <w:b/>
          <w:lang w:val="ru-RU"/>
        </w:rPr>
        <w:t>прекращения</w:t>
      </w:r>
      <w:r w:rsidRPr="0049187C">
        <w:rPr>
          <w:b/>
          <w:lang w:val="ru-RU"/>
        </w:rPr>
        <w:t xml:space="preserve"> признания</w:t>
      </w:r>
      <w:r w:rsidR="00B878E6">
        <w:rPr>
          <w:b/>
          <w:lang w:val="ru-RU"/>
        </w:rPr>
        <w:t xml:space="preserve"> указанного</w:t>
      </w:r>
      <w:r w:rsidRPr="0049187C">
        <w:rPr>
          <w:b/>
          <w:lang w:val="ru-RU"/>
        </w:rPr>
        <w:t xml:space="preserve"> финансового обязательства, а также </w:t>
      </w:r>
      <w:r w:rsidR="00B878E6">
        <w:rPr>
          <w:b/>
          <w:lang w:val="ru-RU"/>
        </w:rPr>
        <w:t>в процессе</w:t>
      </w:r>
      <w:r w:rsidRPr="0049187C">
        <w:rPr>
          <w:b/>
          <w:lang w:val="ru-RU"/>
        </w:rPr>
        <w:t xml:space="preserve"> амортизации.</w:t>
      </w:r>
      <w:bookmarkEnd w:id="37"/>
      <w:r w:rsidRPr="0049187C">
        <w:rPr>
          <w:b/>
          <w:lang w:val="ru-RU"/>
        </w:rPr>
        <w:t xml:space="preserve"> (См. указания в пункте B5.7.2 в отношении прибылей или убытков от изменения валютных курсов.)</w:t>
      </w:r>
    </w:p>
    <w:p w:rsidR="007D4BCC" w:rsidRPr="0049187C" w:rsidRDefault="007D4BCC" w:rsidP="007D4BCC">
      <w:pPr>
        <w:pStyle w:val="IASBNormalnpara"/>
        <w:rPr>
          <w:b/>
          <w:lang w:val="ru-RU"/>
        </w:rPr>
      </w:pPr>
      <w:r w:rsidRPr="0049187C">
        <w:rPr>
          <w:b/>
          <w:lang w:val="ru-RU"/>
        </w:rPr>
        <w:t>5.7.3</w:t>
      </w:r>
      <w:r w:rsidRPr="0049187C">
        <w:rPr>
          <w:b/>
          <w:lang w:val="ru-RU"/>
        </w:rPr>
        <w:tab/>
      </w:r>
      <w:bookmarkStart w:id="38" w:name="F27177564"/>
      <w:r w:rsidRPr="0049187C">
        <w:rPr>
          <w:b/>
          <w:lang w:val="ru-RU"/>
        </w:rPr>
        <w:t>Прибыль или убыток от финансовых активов или финансовых обязательств, являющихся объектами</w:t>
      </w:r>
      <w:r w:rsidR="0057748C">
        <w:rPr>
          <w:b/>
          <w:lang w:val="ru-RU"/>
        </w:rPr>
        <w:t xml:space="preserve"> хеджирования в рамках </w:t>
      </w:r>
      <w:r w:rsidR="00B878E6">
        <w:rPr>
          <w:b/>
          <w:lang w:val="ru-RU"/>
        </w:rPr>
        <w:t xml:space="preserve">некоторых </w:t>
      </w:r>
      <w:r w:rsidR="0057748C">
        <w:rPr>
          <w:b/>
          <w:lang w:val="ru-RU"/>
        </w:rPr>
        <w:t>отношений</w:t>
      </w:r>
      <w:r w:rsidRPr="0049187C">
        <w:rPr>
          <w:b/>
          <w:lang w:val="ru-RU"/>
        </w:rPr>
        <w:t xml:space="preserve"> хеджирования, должны признаваться в соответствии с пунктами 6.5.8–6.5.14</w:t>
      </w:r>
      <w:r w:rsidR="00A876BE">
        <w:rPr>
          <w:b/>
          <w:lang w:val="ru-RU"/>
        </w:rPr>
        <w:t xml:space="preserve"> и, если применимо, пунктами 89</w:t>
      </w:r>
      <w:r w:rsidR="00A876BE" w:rsidRPr="008872E8">
        <w:rPr>
          <w:lang w:val="ru-RU"/>
        </w:rPr>
        <w:t>–</w:t>
      </w:r>
      <w:r w:rsidRPr="0049187C">
        <w:rPr>
          <w:b/>
          <w:lang w:val="ru-RU"/>
        </w:rPr>
        <w:t xml:space="preserve">94 МСФО (IAS) 39 касательно учета хеджирования справедливой стоимости </w:t>
      </w:r>
      <w:r w:rsidR="00B878E6">
        <w:rPr>
          <w:b/>
          <w:lang w:val="ru-RU"/>
        </w:rPr>
        <w:t>в случае портфельного хеджирования</w:t>
      </w:r>
      <w:r w:rsidRPr="0049187C">
        <w:rPr>
          <w:b/>
          <w:lang w:val="ru-RU"/>
        </w:rPr>
        <w:t xml:space="preserve"> процентного риска.</w:t>
      </w:r>
      <w:bookmarkEnd w:id="38"/>
    </w:p>
    <w:p w:rsidR="007D4BCC" w:rsidRPr="0049187C" w:rsidRDefault="007D4BCC" w:rsidP="007D4BCC">
      <w:pPr>
        <w:pStyle w:val="IASBNormalnpara"/>
        <w:rPr>
          <w:b/>
          <w:lang w:val="ru-RU"/>
        </w:rPr>
      </w:pPr>
      <w:r w:rsidRPr="0049187C">
        <w:rPr>
          <w:b/>
          <w:lang w:val="ru-RU"/>
        </w:rPr>
        <w:t>5.7.4</w:t>
      </w:r>
      <w:r w:rsidRPr="0049187C">
        <w:rPr>
          <w:b/>
          <w:lang w:val="ru-RU"/>
        </w:rPr>
        <w:tab/>
      </w:r>
      <w:bookmarkStart w:id="39" w:name="F27177565"/>
      <w:r w:rsidRPr="0049187C">
        <w:rPr>
          <w:b/>
          <w:lang w:val="ru-RU"/>
        </w:rPr>
        <w:t xml:space="preserve">Если организация признает финансовые активы, используя </w:t>
      </w:r>
      <w:r w:rsidR="0081120C">
        <w:rPr>
          <w:b/>
          <w:lang w:val="ru-RU"/>
        </w:rPr>
        <w:t xml:space="preserve">метод </w:t>
      </w:r>
      <w:r w:rsidRPr="0049187C">
        <w:rPr>
          <w:b/>
          <w:lang w:val="ru-RU"/>
        </w:rPr>
        <w:t>учет</w:t>
      </w:r>
      <w:r w:rsidR="0081120C">
        <w:rPr>
          <w:b/>
          <w:lang w:val="ru-RU"/>
        </w:rPr>
        <w:t>а</w:t>
      </w:r>
      <w:r w:rsidRPr="0049187C">
        <w:rPr>
          <w:b/>
          <w:lang w:val="ru-RU"/>
        </w:rPr>
        <w:t xml:space="preserve"> по дате расчетов (см.</w:t>
      </w:r>
      <w:r w:rsidR="0081120C">
        <w:rPr>
          <w:b/>
          <w:lang w:val="ru-RU"/>
        </w:rPr>
        <w:t> </w:t>
      </w:r>
      <w:r w:rsidRPr="0049187C">
        <w:rPr>
          <w:b/>
          <w:lang w:val="ru-RU"/>
        </w:rPr>
        <w:t>пункты 3.</w:t>
      </w:r>
      <w:r w:rsidR="0082090A">
        <w:rPr>
          <w:b/>
          <w:lang w:val="ru-RU"/>
        </w:rPr>
        <w:t xml:space="preserve">1.2, B3.1.3 и B3.1.6), то </w:t>
      </w:r>
      <w:r w:rsidR="00E002E4">
        <w:rPr>
          <w:b/>
          <w:lang w:val="ru-RU"/>
        </w:rPr>
        <w:t xml:space="preserve">любое </w:t>
      </w:r>
      <w:r w:rsidRPr="0049187C">
        <w:rPr>
          <w:b/>
          <w:lang w:val="ru-RU"/>
        </w:rPr>
        <w:t>изменение справедливой стоимости актива</w:t>
      </w:r>
      <w:r w:rsidR="00B878E6">
        <w:rPr>
          <w:b/>
          <w:lang w:val="ru-RU"/>
        </w:rPr>
        <w:t xml:space="preserve"> к получению</w:t>
      </w:r>
      <w:r w:rsidRPr="0049187C">
        <w:rPr>
          <w:b/>
          <w:lang w:val="ru-RU"/>
        </w:rPr>
        <w:t xml:space="preserve"> в течение периода между датой заключения сделки и датой </w:t>
      </w:r>
      <w:r w:rsidR="00C15E24" w:rsidRPr="0049187C">
        <w:rPr>
          <w:b/>
          <w:lang w:val="ru-RU"/>
        </w:rPr>
        <w:t>расчет</w:t>
      </w:r>
      <w:r w:rsidR="00C15E24">
        <w:rPr>
          <w:b/>
          <w:lang w:val="ru-RU"/>
        </w:rPr>
        <w:t>ов</w:t>
      </w:r>
      <w:r w:rsidRPr="0049187C">
        <w:rPr>
          <w:b/>
          <w:lang w:val="ru-RU"/>
        </w:rPr>
        <w:t xml:space="preserve"> </w:t>
      </w:r>
      <w:r w:rsidR="00B878E6">
        <w:rPr>
          <w:b/>
          <w:lang w:val="ru-RU"/>
        </w:rPr>
        <w:t xml:space="preserve">не признается </w:t>
      </w:r>
      <w:r w:rsidRPr="0049187C">
        <w:rPr>
          <w:b/>
          <w:lang w:val="ru-RU"/>
        </w:rPr>
        <w:t>в отношении активов, оцениваемых по амортизированной стоимости. Однако, в отношении активов, оцениваемых по справедливой стоимости, изменение</w:t>
      </w:r>
      <w:r w:rsidR="00B878E6">
        <w:rPr>
          <w:b/>
          <w:lang w:val="ru-RU"/>
        </w:rPr>
        <w:t xml:space="preserve"> их</w:t>
      </w:r>
      <w:r w:rsidRPr="0049187C">
        <w:rPr>
          <w:b/>
          <w:lang w:val="ru-RU"/>
        </w:rPr>
        <w:t xml:space="preserve"> справедливой стоимости </w:t>
      </w:r>
      <w:r w:rsidR="00B878E6">
        <w:rPr>
          <w:b/>
          <w:lang w:val="ru-RU"/>
        </w:rPr>
        <w:t>подлежит признанию</w:t>
      </w:r>
      <w:r w:rsidRPr="0049187C">
        <w:rPr>
          <w:b/>
          <w:lang w:val="ru-RU"/>
        </w:rPr>
        <w:t xml:space="preserve"> в составе прибыли или убытка или в составе прочего совокупного дохода</w:t>
      </w:r>
      <w:r w:rsidR="00B878E6">
        <w:rPr>
          <w:b/>
          <w:lang w:val="ru-RU"/>
        </w:rPr>
        <w:t xml:space="preserve"> в зависимости от ситуации</w:t>
      </w:r>
      <w:r w:rsidRPr="0049187C">
        <w:rPr>
          <w:b/>
          <w:lang w:val="ru-RU"/>
        </w:rPr>
        <w:t xml:space="preserve"> в соответствии с пунктом 5.7.1.</w:t>
      </w:r>
      <w:bookmarkEnd w:id="39"/>
      <w:r w:rsidRPr="0049187C">
        <w:rPr>
          <w:b/>
          <w:lang w:val="ru-RU"/>
        </w:rPr>
        <w:t xml:space="preserve"> Для целей применения требований</w:t>
      </w:r>
      <w:r w:rsidR="00705E4E">
        <w:rPr>
          <w:b/>
          <w:lang w:val="ru-RU"/>
        </w:rPr>
        <w:t>,</w:t>
      </w:r>
      <w:r w:rsidRPr="0049187C">
        <w:rPr>
          <w:b/>
          <w:lang w:val="ru-RU"/>
        </w:rPr>
        <w:t xml:space="preserve"> к</w:t>
      </w:r>
      <w:r w:rsidR="00B878E6">
        <w:rPr>
          <w:b/>
          <w:lang w:val="ru-RU"/>
        </w:rPr>
        <w:t>асающих</w:t>
      </w:r>
      <w:r w:rsidR="00705E4E">
        <w:rPr>
          <w:b/>
          <w:lang w:val="ru-RU"/>
        </w:rPr>
        <w:t>ся обесценения,</w:t>
      </w:r>
      <w:r w:rsidRPr="0049187C">
        <w:rPr>
          <w:b/>
          <w:lang w:val="ru-RU"/>
        </w:rPr>
        <w:t xml:space="preserve"> дат</w:t>
      </w:r>
      <w:r w:rsidR="001B539F" w:rsidRPr="0049187C">
        <w:rPr>
          <w:b/>
          <w:lang w:val="ru-RU"/>
        </w:rPr>
        <w:t>у</w:t>
      </w:r>
      <w:r w:rsidRPr="0049187C">
        <w:rPr>
          <w:b/>
          <w:lang w:val="ru-RU"/>
        </w:rPr>
        <w:t xml:space="preserve"> заключения сделки </w:t>
      </w:r>
      <w:r w:rsidR="00B878E6">
        <w:rPr>
          <w:b/>
          <w:lang w:val="ru-RU"/>
        </w:rPr>
        <w:t>следует</w:t>
      </w:r>
      <w:r w:rsidRPr="0049187C">
        <w:rPr>
          <w:b/>
          <w:lang w:val="ru-RU"/>
        </w:rPr>
        <w:t xml:space="preserve"> считать дат</w:t>
      </w:r>
      <w:r w:rsidR="001B539F" w:rsidRPr="0049187C">
        <w:rPr>
          <w:b/>
          <w:lang w:val="ru-RU"/>
        </w:rPr>
        <w:t>ой</w:t>
      </w:r>
      <w:r w:rsidRPr="0049187C">
        <w:rPr>
          <w:b/>
          <w:lang w:val="ru-RU"/>
        </w:rPr>
        <w:t xml:space="preserve"> первоначального признания.</w:t>
      </w:r>
    </w:p>
    <w:p w:rsidR="007D4BCC" w:rsidRPr="0049187C" w:rsidRDefault="007D4BCC" w:rsidP="007D4BCC">
      <w:pPr>
        <w:pStyle w:val="IASBSectionTitle2Ind"/>
        <w:rPr>
          <w:lang w:val="ru-RU"/>
        </w:rPr>
      </w:pPr>
      <w:r w:rsidRPr="0049187C">
        <w:rPr>
          <w:lang w:val="ru-RU"/>
        </w:rPr>
        <w:t>Инвестиции в долевые инструменты</w:t>
      </w:r>
    </w:p>
    <w:p w:rsidR="007D4BCC" w:rsidRPr="0049187C" w:rsidRDefault="007D4BCC" w:rsidP="007D4BCC">
      <w:pPr>
        <w:pStyle w:val="IASBNormalnpara"/>
        <w:rPr>
          <w:b/>
          <w:lang w:val="ru-RU"/>
        </w:rPr>
      </w:pPr>
      <w:r w:rsidRPr="0049187C">
        <w:rPr>
          <w:b/>
          <w:lang w:val="ru-RU"/>
        </w:rPr>
        <w:t>5.7.5</w:t>
      </w:r>
      <w:r w:rsidRPr="0049187C">
        <w:rPr>
          <w:b/>
          <w:lang w:val="ru-RU"/>
        </w:rPr>
        <w:tab/>
        <w:t>При первоначальном признании организация может</w:t>
      </w:r>
      <w:r w:rsidR="00B878E6">
        <w:rPr>
          <w:b/>
          <w:lang w:val="ru-RU"/>
        </w:rPr>
        <w:t xml:space="preserve"> по своему усмотрению</w:t>
      </w:r>
      <w:r w:rsidRPr="0049187C">
        <w:rPr>
          <w:b/>
          <w:lang w:val="ru-RU"/>
        </w:rPr>
        <w:t xml:space="preserve"> принять решение</w:t>
      </w:r>
      <w:r w:rsidR="00B80D82">
        <w:rPr>
          <w:b/>
          <w:lang w:val="ru-RU"/>
        </w:rPr>
        <w:t>,</w:t>
      </w:r>
      <w:r w:rsidR="00DE0EF7">
        <w:rPr>
          <w:b/>
          <w:lang w:val="ru-RU"/>
        </w:rPr>
        <w:t xml:space="preserve"> без права </w:t>
      </w:r>
      <w:r w:rsidR="00B878E6">
        <w:rPr>
          <w:b/>
          <w:lang w:val="ru-RU"/>
        </w:rPr>
        <w:t>его последующей</w:t>
      </w:r>
      <w:r w:rsidR="00DE0EF7">
        <w:rPr>
          <w:b/>
          <w:lang w:val="ru-RU"/>
        </w:rPr>
        <w:t xml:space="preserve"> </w:t>
      </w:r>
      <w:r w:rsidR="00B878E6">
        <w:rPr>
          <w:b/>
          <w:lang w:val="ru-RU"/>
        </w:rPr>
        <w:t>отмены</w:t>
      </w:r>
      <w:r w:rsidR="00B80D82">
        <w:rPr>
          <w:b/>
          <w:lang w:val="ru-RU"/>
        </w:rPr>
        <w:t>,</w:t>
      </w:r>
      <w:r w:rsidRPr="0049187C">
        <w:rPr>
          <w:b/>
          <w:lang w:val="ru-RU"/>
        </w:rPr>
        <w:t xml:space="preserve"> представлять в составе прочего совокупного дохода последующие изменения справедливой стоимости инвестиции в </w:t>
      </w:r>
      <w:r w:rsidR="007F44BA" w:rsidRPr="0049187C">
        <w:rPr>
          <w:b/>
          <w:lang w:val="ru-RU"/>
        </w:rPr>
        <w:t xml:space="preserve">относящийся к сфере применения настоящего стандарта долевой инструмент, не </w:t>
      </w:r>
      <w:r w:rsidR="007F44BA" w:rsidRPr="004D2F3F">
        <w:rPr>
          <w:b/>
          <w:i/>
          <w:lang w:val="ru-RU"/>
        </w:rPr>
        <w:t>предназначенный для торговли</w:t>
      </w:r>
      <w:r w:rsidR="007F44BA" w:rsidRPr="0049187C">
        <w:rPr>
          <w:b/>
          <w:lang w:val="ru-RU"/>
        </w:rPr>
        <w:t>, а также не являющийся условным возмещением</w:t>
      </w:r>
      <w:r w:rsidR="00B878E6">
        <w:rPr>
          <w:b/>
          <w:lang w:val="ru-RU"/>
        </w:rPr>
        <w:t>, признанным</w:t>
      </w:r>
      <w:r w:rsidR="007F44BA" w:rsidRPr="0049187C">
        <w:rPr>
          <w:b/>
          <w:lang w:val="ru-RU"/>
        </w:rPr>
        <w:t xml:space="preserve"> </w:t>
      </w:r>
      <w:r w:rsidR="00D93426">
        <w:rPr>
          <w:b/>
          <w:lang w:val="ru-RU"/>
        </w:rPr>
        <w:t>приоб</w:t>
      </w:r>
      <w:r w:rsidR="00B878E6">
        <w:rPr>
          <w:b/>
          <w:lang w:val="ru-RU"/>
        </w:rPr>
        <w:t>ретателем</w:t>
      </w:r>
      <w:r w:rsidR="007F44BA" w:rsidRPr="0049187C">
        <w:rPr>
          <w:b/>
          <w:lang w:val="ru-RU"/>
        </w:rPr>
        <w:t xml:space="preserve"> в рамках</w:t>
      </w:r>
      <w:r w:rsidR="00A35DF0">
        <w:rPr>
          <w:b/>
          <w:lang w:val="ru-RU"/>
        </w:rPr>
        <w:t xml:space="preserve"> сделки по объединению бизнесов</w:t>
      </w:r>
      <w:r w:rsidR="00B878E6">
        <w:rPr>
          <w:b/>
          <w:lang w:val="ru-RU"/>
        </w:rPr>
        <w:t>, в отношении которой</w:t>
      </w:r>
      <w:r w:rsidR="007F44BA" w:rsidRPr="0049187C">
        <w:rPr>
          <w:b/>
          <w:lang w:val="ru-RU"/>
        </w:rPr>
        <w:t xml:space="preserve"> </w:t>
      </w:r>
      <w:r w:rsidRPr="0049187C">
        <w:rPr>
          <w:b/>
          <w:lang w:val="ru-RU"/>
        </w:rPr>
        <w:t>применяется МСФО (IFRS) 3. (См. указания в пункте B5.7.3 в отношении прибылей или убытков от изменения валютных курсов.)</w:t>
      </w:r>
    </w:p>
    <w:p w:rsidR="007D4BCC" w:rsidRPr="0049187C" w:rsidRDefault="007D4BCC" w:rsidP="007D4BCC">
      <w:pPr>
        <w:pStyle w:val="IASBNormalnpara"/>
        <w:rPr>
          <w:lang w:val="ru-RU"/>
        </w:rPr>
      </w:pPr>
      <w:r w:rsidRPr="0049187C">
        <w:rPr>
          <w:lang w:val="ru-RU"/>
        </w:rPr>
        <w:t>5.7.6</w:t>
      </w:r>
      <w:r w:rsidRPr="0049187C">
        <w:rPr>
          <w:lang w:val="ru-RU"/>
        </w:rPr>
        <w:tab/>
        <w:t>Если организация принимает решение, указанное в пункте 5.7.5, она должна призна</w:t>
      </w:r>
      <w:r w:rsidR="00C15E24">
        <w:rPr>
          <w:lang w:val="ru-RU"/>
        </w:rPr>
        <w:t>ва</w:t>
      </w:r>
      <w:r w:rsidRPr="0049187C">
        <w:rPr>
          <w:lang w:val="ru-RU"/>
        </w:rPr>
        <w:t xml:space="preserve">ть </w:t>
      </w:r>
      <w:r w:rsidR="00C15E24" w:rsidRPr="0049187C">
        <w:rPr>
          <w:lang w:val="ru-RU"/>
        </w:rPr>
        <w:t xml:space="preserve">в соответствии с пунктом 5.7.1A </w:t>
      </w:r>
      <w:r w:rsidRPr="0049187C">
        <w:rPr>
          <w:lang w:val="ru-RU"/>
        </w:rPr>
        <w:t>дивиденды, полученные от такой инвестиции,</w:t>
      </w:r>
      <w:r w:rsidR="00C15E24">
        <w:rPr>
          <w:lang w:val="ru-RU"/>
        </w:rPr>
        <w:t xml:space="preserve"> </w:t>
      </w:r>
      <w:r w:rsidR="00C15E24" w:rsidRPr="0049187C">
        <w:rPr>
          <w:lang w:val="ru-RU"/>
        </w:rPr>
        <w:t>в составе прибыли или убытка</w:t>
      </w:r>
      <w:r w:rsidRPr="0049187C">
        <w:rPr>
          <w:lang w:val="ru-RU"/>
        </w:rPr>
        <w:t>.</w:t>
      </w:r>
    </w:p>
    <w:p w:rsidR="007D4BCC" w:rsidRPr="0049187C" w:rsidRDefault="007D4BCC" w:rsidP="007D4BCC">
      <w:pPr>
        <w:pStyle w:val="IASBSectionTitle2Ind"/>
        <w:rPr>
          <w:lang w:val="ru-RU"/>
        </w:rPr>
      </w:pPr>
      <w:r w:rsidRPr="0049187C">
        <w:rPr>
          <w:lang w:val="ru-RU"/>
        </w:rPr>
        <w:t xml:space="preserve">Обязательства, </w:t>
      </w:r>
      <w:r w:rsidR="00207E17">
        <w:rPr>
          <w:lang w:val="ru-RU"/>
        </w:rPr>
        <w:t>классифицированные по усмотрению организации</w:t>
      </w:r>
      <w:r w:rsidRPr="0049187C">
        <w:rPr>
          <w:lang w:val="ru-RU"/>
        </w:rPr>
        <w:t xml:space="preserve"> как оцениваемые по справедливой стоимости через прибыль или убыток</w:t>
      </w:r>
    </w:p>
    <w:p w:rsidR="007D4BCC" w:rsidRPr="0049187C" w:rsidRDefault="007D4BCC" w:rsidP="007D4BCC">
      <w:pPr>
        <w:pStyle w:val="IASBNormalnpara"/>
        <w:rPr>
          <w:b/>
          <w:lang w:val="ru-RU"/>
        </w:rPr>
      </w:pPr>
      <w:r w:rsidRPr="0049187C">
        <w:rPr>
          <w:b/>
          <w:lang w:val="ru-RU"/>
        </w:rPr>
        <w:t>5.7.7</w:t>
      </w:r>
      <w:r w:rsidRPr="0049187C">
        <w:rPr>
          <w:b/>
          <w:lang w:val="ru-RU"/>
        </w:rPr>
        <w:tab/>
        <w:t xml:space="preserve">Организация должна представлять прибыль или убыток от финансового обязательства, </w:t>
      </w:r>
      <w:r w:rsidR="00D743BA" w:rsidRPr="0049187C">
        <w:rPr>
          <w:b/>
          <w:lang w:val="ru-RU"/>
        </w:rPr>
        <w:t xml:space="preserve">которое </w:t>
      </w:r>
      <w:r w:rsidR="00207E17">
        <w:rPr>
          <w:b/>
          <w:lang w:val="ru-RU"/>
        </w:rPr>
        <w:t>классифицировано по ее усмотрению</w:t>
      </w:r>
      <w:r w:rsidRPr="0049187C">
        <w:rPr>
          <w:b/>
          <w:lang w:val="ru-RU"/>
        </w:rPr>
        <w:t xml:space="preserve"> как оцениваем</w:t>
      </w:r>
      <w:r w:rsidR="000E773E" w:rsidRPr="0049187C">
        <w:rPr>
          <w:b/>
          <w:lang w:val="ru-RU"/>
        </w:rPr>
        <w:t>ое</w:t>
      </w:r>
      <w:r w:rsidRPr="0049187C">
        <w:rPr>
          <w:b/>
          <w:lang w:val="ru-RU"/>
        </w:rPr>
        <w:t xml:space="preserve"> по справедливой стоимости через прибыль или убыток</w:t>
      </w:r>
      <w:r w:rsidR="00D743BA" w:rsidRPr="0049187C">
        <w:rPr>
          <w:b/>
          <w:lang w:val="ru-RU"/>
        </w:rPr>
        <w:t xml:space="preserve"> в соответствии с пунктом 4.2.2 или пунктом 4.3.5</w:t>
      </w:r>
      <w:r w:rsidRPr="0049187C">
        <w:rPr>
          <w:b/>
          <w:lang w:val="ru-RU"/>
        </w:rPr>
        <w:t>, следующим образом:</w:t>
      </w:r>
    </w:p>
    <w:p w:rsidR="007D4BCC" w:rsidRPr="0049187C" w:rsidRDefault="0081120C" w:rsidP="004D2F3F">
      <w:pPr>
        <w:pStyle w:val="IASBNormalnparaL1"/>
        <w:numPr>
          <w:ilvl w:val="0"/>
          <w:numId w:val="27"/>
        </w:numPr>
        <w:rPr>
          <w:b/>
          <w:lang w:val="ru-RU"/>
        </w:rPr>
      </w:pPr>
      <w:r>
        <w:rPr>
          <w:b/>
          <w:lang w:val="ru-RU"/>
        </w:rPr>
        <w:t>в</w:t>
      </w:r>
      <w:r w:rsidR="008B521C">
        <w:rPr>
          <w:b/>
          <w:lang w:val="ru-RU"/>
        </w:rPr>
        <w:t>еличина</w:t>
      </w:r>
      <w:r w:rsidR="00B878E6">
        <w:rPr>
          <w:b/>
          <w:lang w:val="ru-RU"/>
        </w:rPr>
        <w:t>, отражающая изменение</w:t>
      </w:r>
      <w:r w:rsidR="007D4BCC" w:rsidRPr="0049187C">
        <w:rPr>
          <w:b/>
          <w:lang w:val="ru-RU"/>
        </w:rPr>
        <w:t xml:space="preserve"> справедливой стоимости финансового обязательства, </w:t>
      </w:r>
      <w:r w:rsidR="00E0497A">
        <w:rPr>
          <w:b/>
          <w:lang w:val="ru-RU"/>
        </w:rPr>
        <w:t>обусловленное</w:t>
      </w:r>
      <w:r w:rsidR="007D4BCC" w:rsidRPr="0049187C">
        <w:rPr>
          <w:b/>
          <w:lang w:val="ru-RU"/>
        </w:rPr>
        <w:t xml:space="preserve"> изменения</w:t>
      </w:r>
      <w:r w:rsidR="00B878E6">
        <w:rPr>
          <w:b/>
          <w:lang w:val="ru-RU"/>
        </w:rPr>
        <w:t>ми</w:t>
      </w:r>
      <w:r w:rsidR="007D4BCC" w:rsidRPr="0049187C">
        <w:rPr>
          <w:b/>
          <w:lang w:val="ru-RU"/>
        </w:rPr>
        <w:t xml:space="preserve"> кредитного риска по такому обязательству, должна быть представлена в составе прочего совокупного дохода (см. пункты B5.7.13–B5.7.20), </w:t>
      </w:r>
      <w:r w:rsidR="00D743BA" w:rsidRPr="0049187C">
        <w:rPr>
          <w:b/>
          <w:lang w:val="ru-RU"/>
        </w:rPr>
        <w:t>а</w:t>
      </w:r>
    </w:p>
    <w:p w:rsidR="00F2597D" w:rsidRPr="00F2597D" w:rsidRDefault="008B521C" w:rsidP="00F2597D">
      <w:pPr>
        <w:pStyle w:val="IASBNormalnparaL1"/>
        <w:numPr>
          <w:ilvl w:val="0"/>
          <w:numId w:val="27"/>
        </w:numPr>
        <w:rPr>
          <w:b/>
          <w:lang w:val="ru-RU"/>
        </w:rPr>
      </w:pPr>
      <w:r>
        <w:rPr>
          <w:b/>
          <w:lang w:val="ru-RU"/>
        </w:rPr>
        <w:t>оставшаяся величина</w:t>
      </w:r>
      <w:r w:rsidR="007D4BCC" w:rsidRPr="0049187C">
        <w:rPr>
          <w:b/>
          <w:lang w:val="ru-RU"/>
        </w:rPr>
        <w:t xml:space="preserve"> изменения справедливой стоимости обязательства должна быть представлена в составе прибыли или убытка,</w:t>
      </w:r>
      <w:r w:rsidR="00F2597D">
        <w:rPr>
          <w:b/>
          <w:lang w:val="ru-RU"/>
        </w:rPr>
        <w:br/>
      </w:r>
    </w:p>
    <w:p w:rsidR="007D4BCC" w:rsidRPr="0049187C" w:rsidRDefault="007D4BCC" w:rsidP="0081120C">
      <w:pPr>
        <w:autoSpaceDE w:val="0"/>
        <w:autoSpaceDN w:val="0"/>
        <w:adjustRightInd w:val="0"/>
        <w:spacing w:before="100"/>
        <w:ind w:left="782"/>
        <w:jc w:val="both"/>
        <w:rPr>
          <w:b/>
          <w:sz w:val="19"/>
          <w:szCs w:val="20"/>
          <w:lang w:val="ru-RU"/>
        </w:rPr>
      </w:pPr>
      <w:r w:rsidRPr="0049187C">
        <w:rPr>
          <w:b/>
          <w:sz w:val="19"/>
          <w:szCs w:val="20"/>
          <w:lang w:val="ru-RU"/>
        </w:rPr>
        <w:t xml:space="preserve">за исключением случаев, когда порядок </w:t>
      </w:r>
      <w:r w:rsidR="00B878E6">
        <w:rPr>
          <w:b/>
          <w:sz w:val="19"/>
          <w:szCs w:val="20"/>
          <w:lang w:val="ru-RU"/>
        </w:rPr>
        <w:t>отражения эффекта от</w:t>
      </w:r>
      <w:r w:rsidRPr="0049187C">
        <w:rPr>
          <w:b/>
          <w:sz w:val="19"/>
          <w:szCs w:val="20"/>
          <w:lang w:val="ru-RU"/>
        </w:rPr>
        <w:t xml:space="preserve"> изменений кредитного риска по обязательству, описанный в </w:t>
      </w:r>
      <w:r w:rsidR="0081120C">
        <w:rPr>
          <w:b/>
          <w:sz w:val="19"/>
          <w:szCs w:val="20"/>
          <w:lang w:val="ru-RU"/>
        </w:rPr>
        <w:t>под</w:t>
      </w:r>
      <w:r w:rsidRPr="0049187C">
        <w:rPr>
          <w:b/>
          <w:sz w:val="19"/>
          <w:szCs w:val="20"/>
          <w:lang w:val="ru-RU"/>
        </w:rPr>
        <w:t xml:space="preserve">пункте (a), привел бы к возникновению или увеличению </w:t>
      </w:r>
      <w:r w:rsidR="00B878E6">
        <w:rPr>
          <w:b/>
          <w:sz w:val="19"/>
          <w:szCs w:val="20"/>
          <w:lang w:val="ru-RU"/>
        </w:rPr>
        <w:t xml:space="preserve">влияния на прибыль или убыток вследствие </w:t>
      </w:r>
      <w:r w:rsidRPr="0049187C">
        <w:rPr>
          <w:b/>
          <w:sz w:val="19"/>
          <w:szCs w:val="20"/>
          <w:lang w:val="ru-RU"/>
        </w:rPr>
        <w:t xml:space="preserve">учетного несоответствия (в </w:t>
      </w:r>
      <w:r w:rsidR="00D644D4">
        <w:rPr>
          <w:b/>
          <w:sz w:val="19"/>
          <w:szCs w:val="20"/>
          <w:lang w:val="ru-RU"/>
        </w:rPr>
        <w:t xml:space="preserve">этих </w:t>
      </w:r>
      <w:r w:rsidRPr="0049187C">
        <w:rPr>
          <w:b/>
          <w:sz w:val="19"/>
          <w:szCs w:val="20"/>
          <w:lang w:val="ru-RU"/>
        </w:rPr>
        <w:t>случа</w:t>
      </w:r>
      <w:r w:rsidR="00D644D4">
        <w:rPr>
          <w:b/>
          <w:sz w:val="19"/>
          <w:szCs w:val="20"/>
          <w:lang w:val="ru-RU"/>
        </w:rPr>
        <w:t>ях</w:t>
      </w:r>
      <w:r w:rsidRPr="0049187C">
        <w:rPr>
          <w:b/>
          <w:sz w:val="19"/>
          <w:szCs w:val="20"/>
          <w:lang w:val="ru-RU"/>
        </w:rPr>
        <w:t xml:space="preserve"> применяется пункт 5.7.8). Пункты B5.7.5</w:t>
      </w:r>
      <w:r w:rsidRPr="0081120C">
        <w:rPr>
          <w:b/>
          <w:sz w:val="19"/>
          <w:szCs w:val="20"/>
          <w:lang w:val="ru-RU"/>
        </w:rPr>
        <w:t>–</w:t>
      </w:r>
      <w:r w:rsidRPr="0049187C">
        <w:rPr>
          <w:b/>
          <w:sz w:val="19"/>
          <w:szCs w:val="20"/>
          <w:lang w:val="ru-RU"/>
        </w:rPr>
        <w:t>B5.7.7 и B5.7.10</w:t>
      </w:r>
      <w:r w:rsidRPr="0081120C">
        <w:rPr>
          <w:b/>
          <w:sz w:val="19"/>
          <w:szCs w:val="20"/>
          <w:lang w:val="ru-RU"/>
        </w:rPr>
        <w:t>–</w:t>
      </w:r>
      <w:r w:rsidRPr="0049187C">
        <w:rPr>
          <w:b/>
          <w:sz w:val="19"/>
          <w:szCs w:val="20"/>
          <w:lang w:val="ru-RU"/>
        </w:rPr>
        <w:t xml:space="preserve">B5.7.12 содержат указания по определению того, </w:t>
      </w:r>
      <w:r w:rsidR="00B878E6">
        <w:rPr>
          <w:b/>
          <w:sz w:val="19"/>
          <w:szCs w:val="20"/>
          <w:lang w:val="ru-RU"/>
        </w:rPr>
        <w:t>возникнет ли или увеличится</w:t>
      </w:r>
      <w:r w:rsidRPr="0049187C">
        <w:rPr>
          <w:b/>
          <w:sz w:val="19"/>
          <w:szCs w:val="20"/>
          <w:lang w:val="ru-RU"/>
        </w:rPr>
        <w:t xml:space="preserve"> учетное несоответствие.</w:t>
      </w:r>
    </w:p>
    <w:p w:rsidR="007D4BCC" w:rsidRPr="0049187C" w:rsidRDefault="007D4BCC" w:rsidP="007D4BCC">
      <w:pPr>
        <w:pStyle w:val="IASBNormalnpara"/>
        <w:rPr>
          <w:b/>
          <w:lang w:val="ru-RU"/>
        </w:rPr>
      </w:pPr>
      <w:r w:rsidRPr="0049187C">
        <w:rPr>
          <w:b/>
          <w:lang w:val="ru-RU"/>
        </w:rPr>
        <w:t>5.7.8</w:t>
      </w:r>
      <w:r w:rsidRPr="0049187C">
        <w:rPr>
          <w:b/>
          <w:lang w:val="ru-RU"/>
        </w:rPr>
        <w:tab/>
        <w:t xml:space="preserve">Если </w:t>
      </w:r>
      <w:r w:rsidR="00B878E6">
        <w:rPr>
          <w:b/>
          <w:lang w:val="ru-RU"/>
        </w:rPr>
        <w:t xml:space="preserve">выполнение </w:t>
      </w:r>
      <w:r w:rsidRPr="0049187C">
        <w:rPr>
          <w:b/>
          <w:lang w:val="ru-RU"/>
        </w:rPr>
        <w:t>требован</w:t>
      </w:r>
      <w:r w:rsidR="00B878E6">
        <w:rPr>
          <w:b/>
          <w:lang w:val="ru-RU"/>
        </w:rPr>
        <w:t>ий, изложенных</w:t>
      </w:r>
      <w:r w:rsidRPr="0049187C">
        <w:rPr>
          <w:b/>
          <w:lang w:val="ru-RU"/>
        </w:rPr>
        <w:t xml:space="preserve"> в пункте 5.7.7, </w:t>
      </w:r>
      <w:r w:rsidR="00B878E6">
        <w:rPr>
          <w:b/>
          <w:lang w:val="ru-RU"/>
        </w:rPr>
        <w:t>привело бы к возникновению или увеличению влияния на прибыль или убыток последствий учетного несоответствия</w:t>
      </w:r>
      <w:r w:rsidRPr="0049187C">
        <w:rPr>
          <w:b/>
          <w:lang w:val="ru-RU"/>
        </w:rPr>
        <w:t xml:space="preserve">, организация должна представить все прибыли или убытки от такого обязательства (включая </w:t>
      </w:r>
      <w:r w:rsidR="00B878E6">
        <w:rPr>
          <w:b/>
          <w:lang w:val="ru-RU"/>
        </w:rPr>
        <w:t>эффект от изменения</w:t>
      </w:r>
      <w:r w:rsidRPr="0049187C">
        <w:rPr>
          <w:b/>
          <w:lang w:val="ru-RU"/>
        </w:rPr>
        <w:t xml:space="preserve"> кредитного риска по такому обязательству) в составе прибыли или убытка.</w:t>
      </w:r>
    </w:p>
    <w:p w:rsidR="007D4BCC" w:rsidRPr="0049187C" w:rsidRDefault="007D4BCC" w:rsidP="007D4BCC">
      <w:pPr>
        <w:pStyle w:val="IASBNormalnpara"/>
        <w:rPr>
          <w:lang w:val="ru-RU"/>
        </w:rPr>
      </w:pPr>
      <w:r w:rsidRPr="0049187C">
        <w:rPr>
          <w:lang w:val="ru-RU"/>
        </w:rPr>
        <w:t>5.7.9</w:t>
      </w:r>
      <w:r w:rsidRPr="0049187C">
        <w:rPr>
          <w:lang w:val="ru-RU"/>
        </w:rPr>
        <w:tab/>
        <w:t xml:space="preserve">Несмотря на требования, изложенные в пунктах 5.7.7 и 5.7.8, организация должна представлять в составе прибыли или убытка все прибыли или убытки </w:t>
      </w:r>
      <w:r w:rsidR="00D644D4">
        <w:rPr>
          <w:lang w:val="ru-RU"/>
        </w:rPr>
        <w:t>по</w:t>
      </w:r>
      <w:r w:rsidR="00D644D4" w:rsidRPr="0049187C">
        <w:rPr>
          <w:lang w:val="ru-RU"/>
        </w:rPr>
        <w:t xml:space="preserve"> </w:t>
      </w:r>
      <w:r w:rsidRPr="0049187C">
        <w:rPr>
          <w:lang w:val="ru-RU"/>
        </w:rPr>
        <w:t>обязательств</w:t>
      </w:r>
      <w:r w:rsidR="00D644D4">
        <w:rPr>
          <w:lang w:val="ru-RU"/>
        </w:rPr>
        <w:t>ам</w:t>
      </w:r>
      <w:r w:rsidRPr="0049187C">
        <w:rPr>
          <w:lang w:val="ru-RU"/>
        </w:rPr>
        <w:t xml:space="preserve"> по предоставлению займов и договор</w:t>
      </w:r>
      <w:r w:rsidR="00D644D4">
        <w:rPr>
          <w:lang w:val="ru-RU"/>
        </w:rPr>
        <w:t>ам</w:t>
      </w:r>
      <w:r w:rsidRPr="0049187C">
        <w:rPr>
          <w:lang w:val="ru-RU"/>
        </w:rPr>
        <w:t xml:space="preserve"> финансовой гарантии, которые </w:t>
      </w:r>
      <w:r w:rsidR="00207E17">
        <w:rPr>
          <w:lang w:val="ru-RU"/>
        </w:rPr>
        <w:t>классифицированы по усмотрению организации</w:t>
      </w:r>
      <w:r w:rsidRPr="0049187C">
        <w:rPr>
          <w:lang w:val="ru-RU"/>
        </w:rPr>
        <w:t xml:space="preserve"> как оцениваемые по справедливой стоимости через прибыль или убыток.</w:t>
      </w:r>
    </w:p>
    <w:p w:rsidR="007D4BCC" w:rsidRPr="0049187C" w:rsidRDefault="007D4BCC" w:rsidP="007D4BCC">
      <w:pPr>
        <w:pStyle w:val="IASBSectionTitle2Ind"/>
        <w:rPr>
          <w:lang w:val="ru-RU"/>
        </w:rPr>
      </w:pPr>
      <w:r w:rsidRPr="0049187C">
        <w:rPr>
          <w:lang w:val="ru-RU"/>
        </w:rPr>
        <w:t>Активы, оцениваемые по справедливой стоимости через прочий совокупный доход</w:t>
      </w:r>
    </w:p>
    <w:p w:rsidR="007D4BCC" w:rsidRPr="0049187C" w:rsidRDefault="007D4BCC" w:rsidP="007D4BCC">
      <w:pPr>
        <w:pStyle w:val="IASBNormalnpara"/>
        <w:rPr>
          <w:b/>
          <w:lang w:val="ru-RU"/>
        </w:rPr>
      </w:pPr>
      <w:r w:rsidRPr="0049187C">
        <w:rPr>
          <w:b/>
          <w:lang w:val="ru-RU"/>
        </w:rPr>
        <w:t>5.7.10</w:t>
      </w:r>
      <w:r w:rsidRPr="0049187C">
        <w:rPr>
          <w:b/>
          <w:lang w:val="ru-RU"/>
        </w:rPr>
        <w:tab/>
      </w:r>
      <w:r w:rsidR="00D644D4">
        <w:rPr>
          <w:b/>
          <w:lang w:val="ru-RU"/>
        </w:rPr>
        <w:t>Д</w:t>
      </w:r>
      <w:r w:rsidR="00D644D4" w:rsidRPr="0049187C">
        <w:rPr>
          <w:b/>
          <w:lang w:val="ru-RU"/>
        </w:rPr>
        <w:t xml:space="preserve">о </w:t>
      </w:r>
      <w:r w:rsidR="004E0501">
        <w:rPr>
          <w:b/>
          <w:lang w:val="ru-RU"/>
        </w:rPr>
        <w:t xml:space="preserve">момента </w:t>
      </w:r>
      <w:r w:rsidR="00D644D4" w:rsidRPr="0049187C">
        <w:rPr>
          <w:b/>
          <w:lang w:val="ru-RU"/>
        </w:rPr>
        <w:t xml:space="preserve">прекращения признания или реклассификации </w:t>
      </w:r>
      <w:r w:rsidRPr="0049187C">
        <w:rPr>
          <w:b/>
          <w:lang w:val="ru-RU"/>
        </w:rPr>
        <w:t xml:space="preserve">финансового актива, оцениваемого по справедливой стоимости через прочий совокупный доход в соответствии с пунктом 4.1.2А, </w:t>
      </w:r>
      <w:r w:rsidR="00D644D4">
        <w:rPr>
          <w:b/>
          <w:lang w:val="ru-RU"/>
        </w:rPr>
        <w:t xml:space="preserve">относящиеся к </w:t>
      </w:r>
      <w:r w:rsidR="004E0501">
        <w:rPr>
          <w:b/>
          <w:lang w:val="ru-RU"/>
        </w:rPr>
        <w:t>этому активу</w:t>
      </w:r>
      <w:r w:rsidR="00D644D4">
        <w:rPr>
          <w:b/>
          <w:lang w:val="ru-RU"/>
        </w:rPr>
        <w:t xml:space="preserve"> п</w:t>
      </w:r>
      <w:r w:rsidR="00D644D4" w:rsidRPr="0049187C">
        <w:rPr>
          <w:b/>
          <w:lang w:val="ru-RU"/>
        </w:rPr>
        <w:t>рибыль или убыток</w:t>
      </w:r>
      <w:r w:rsidR="004E0501">
        <w:rPr>
          <w:b/>
          <w:lang w:val="ru-RU"/>
        </w:rPr>
        <w:t xml:space="preserve"> должны признаваться в составе прочего совокупного дохода</w:t>
      </w:r>
      <w:r w:rsidR="00D644D4" w:rsidRPr="0049187C">
        <w:rPr>
          <w:b/>
          <w:lang w:val="ru-RU"/>
        </w:rPr>
        <w:t xml:space="preserve">, </w:t>
      </w:r>
      <w:r w:rsidR="004E0501">
        <w:rPr>
          <w:b/>
          <w:lang w:val="ru-RU"/>
        </w:rPr>
        <w:t>за исключением</w:t>
      </w:r>
      <w:r w:rsidR="00D644D4" w:rsidRPr="0049187C">
        <w:rPr>
          <w:b/>
          <w:lang w:val="ru-RU"/>
        </w:rPr>
        <w:t xml:space="preserve"> прибылей и</w:t>
      </w:r>
      <w:r w:rsidR="00C25F1D">
        <w:rPr>
          <w:b/>
          <w:lang w:val="ru-RU"/>
        </w:rPr>
        <w:t>ли убытков от обесценения (см. Р</w:t>
      </w:r>
      <w:r w:rsidR="00D644D4" w:rsidRPr="0049187C">
        <w:rPr>
          <w:b/>
          <w:lang w:val="ru-RU"/>
        </w:rPr>
        <w:t>аздел 5.5) и прибылей и убытков от изменения валютных кур</w:t>
      </w:r>
      <w:r w:rsidR="004E0501">
        <w:rPr>
          <w:b/>
          <w:lang w:val="ru-RU"/>
        </w:rPr>
        <w:t>сов (см. пункты B5.7.2–B5.7.2A)</w:t>
      </w:r>
      <w:r w:rsidRPr="0049187C">
        <w:rPr>
          <w:b/>
          <w:lang w:val="ru-RU"/>
        </w:rPr>
        <w:t xml:space="preserve">. </w:t>
      </w:r>
      <w:r w:rsidR="004E0501">
        <w:rPr>
          <w:b/>
          <w:lang w:val="ru-RU"/>
        </w:rPr>
        <w:t>Когда признание</w:t>
      </w:r>
      <w:r w:rsidRPr="0049187C">
        <w:rPr>
          <w:b/>
          <w:lang w:val="ru-RU"/>
        </w:rPr>
        <w:t xml:space="preserve"> финансового актива</w:t>
      </w:r>
      <w:r w:rsidR="004E0501">
        <w:rPr>
          <w:b/>
          <w:lang w:val="ru-RU"/>
        </w:rPr>
        <w:t xml:space="preserve"> прекращается,</w:t>
      </w:r>
      <w:r w:rsidRPr="0049187C">
        <w:rPr>
          <w:b/>
          <w:lang w:val="ru-RU"/>
        </w:rPr>
        <w:t xml:space="preserve"> накопленные прибыль или убыток, ранее признанные в </w:t>
      </w:r>
      <w:r w:rsidR="00E8265F">
        <w:rPr>
          <w:b/>
          <w:lang w:val="ru-RU"/>
        </w:rPr>
        <w:t>составе прочего совокупного дохода</w:t>
      </w:r>
      <w:r w:rsidRPr="0049187C">
        <w:rPr>
          <w:b/>
          <w:lang w:val="ru-RU"/>
        </w:rPr>
        <w:t>, реклассифицируются из состава собственного капитала в состав прибыли или убытка в качестве реклассификационной корректировки (см. МСФО (IAS) 1). Если финансовый актив реклассифицируется из категории оцениваемых по справедливой стоимости через прочий совокупный доход</w:t>
      </w:r>
      <w:r w:rsidR="004E0501">
        <w:rPr>
          <w:b/>
          <w:lang w:val="ru-RU"/>
        </w:rPr>
        <w:t xml:space="preserve"> в другую категорию</w:t>
      </w:r>
      <w:r w:rsidRPr="0049187C">
        <w:rPr>
          <w:b/>
          <w:lang w:val="ru-RU"/>
        </w:rPr>
        <w:t xml:space="preserve">, </w:t>
      </w:r>
      <w:r w:rsidR="004E0501">
        <w:rPr>
          <w:b/>
          <w:lang w:val="ru-RU"/>
        </w:rPr>
        <w:t>то</w:t>
      </w:r>
      <w:r w:rsidRPr="0049187C">
        <w:rPr>
          <w:b/>
          <w:lang w:val="ru-RU"/>
        </w:rPr>
        <w:t xml:space="preserve"> накопленные прибыль или убыток, ранее признанные в </w:t>
      </w:r>
      <w:r w:rsidR="00E8265F">
        <w:rPr>
          <w:b/>
          <w:lang w:val="ru-RU"/>
        </w:rPr>
        <w:t>составе прочего совокупного дохода</w:t>
      </w:r>
      <w:r w:rsidRPr="0049187C">
        <w:rPr>
          <w:b/>
          <w:lang w:val="ru-RU"/>
        </w:rPr>
        <w:t xml:space="preserve">, </w:t>
      </w:r>
      <w:r w:rsidR="004E0501">
        <w:rPr>
          <w:b/>
          <w:lang w:val="ru-RU"/>
        </w:rPr>
        <w:t xml:space="preserve">организация должна учесть </w:t>
      </w:r>
      <w:r w:rsidRPr="0049187C">
        <w:rPr>
          <w:b/>
          <w:lang w:val="ru-RU"/>
        </w:rPr>
        <w:t xml:space="preserve">в соответствии с пунктами 5.6.5 и 5.6.7. </w:t>
      </w:r>
      <w:r w:rsidR="00D644D4">
        <w:rPr>
          <w:b/>
          <w:lang w:val="ru-RU"/>
        </w:rPr>
        <w:t>П</w:t>
      </w:r>
      <w:r w:rsidRPr="0049187C">
        <w:rPr>
          <w:b/>
          <w:lang w:val="ru-RU"/>
        </w:rPr>
        <w:t>роцент, рассчитанн</w:t>
      </w:r>
      <w:r w:rsidR="00D644D4">
        <w:rPr>
          <w:b/>
          <w:lang w:val="ru-RU"/>
        </w:rPr>
        <w:t>ый</w:t>
      </w:r>
      <w:r w:rsidRPr="0049187C">
        <w:rPr>
          <w:b/>
          <w:lang w:val="ru-RU"/>
        </w:rPr>
        <w:t xml:space="preserve"> с использованием метода эффективной процентной ставки, признается в составе прибыли или убытка.</w:t>
      </w:r>
    </w:p>
    <w:p w:rsidR="007D4BCC" w:rsidRPr="0049187C" w:rsidRDefault="007D4BCC" w:rsidP="007D4BCC">
      <w:pPr>
        <w:pStyle w:val="IASBNormalnpara"/>
        <w:rPr>
          <w:b/>
          <w:lang w:val="ru-RU"/>
        </w:rPr>
      </w:pPr>
      <w:r w:rsidRPr="0049187C">
        <w:rPr>
          <w:b/>
          <w:lang w:val="ru-RU"/>
        </w:rPr>
        <w:t>5.7.11</w:t>
      </w:r>
      <w:r w:rsidRPr="0049187C">
        <w:rPr>
          <w:b/>
          <w:lang w:val="ru-RU"/>
        </w:rPr>
        <w:tab/>
        <w:t xml:space="preserve">Согласно пункту 5.7.10, если финансовый актив оценивается по справедливой стоимости через прочий совокупный доход в соответствии с пунктом 4.1.2А, суммы, </w:t>
      </w:r>
      <w:r w:rsidR="00D644D4">
        <w:rPr>
          <w:b/>
          <w:lang w:val="ru-RU"/>
        </w:rPr>
        <w:t>признаваемые</w:t>
      </w:r>
      <w:r w:rsidRPr="0049187C">
        <w:rPr>
          <w:b/>
          <w:lang w:val="ru-RU"/>
        </w:rPr>
        <w:t xml:space="preserve"> в составе прибыли или убытка, равны суммам, которые были бы признаны в составе прибыли или убытка, если бы финансовый актив оценивался по амортизированной стоимости.</w:t>
      </w:r>
    </w:p>
    <w:p w:rsidR="007D4BCC" w:rsidRPr="0049187C" w:rsidRDefault="007D4BCC" w:rsidP="007D4BCC">
      <w:pPr>
        <w:pStyle w:val="IASBSectionTitle1NonInd"/>
        <w:pBdr>
          <w:bottom w:val="none" w:sz="0" w:space="0" w:color="auto"/>
        </w:pBdr>
        <w:rPr>
          <w:lang w:val="ru-RU"/>
        </w:rPr>
      </w:pPr>
      <w:r w:rsidRPr="0049187C">
        <w:rPr>
          <w:lang w:val="ru-RU"/>
        </w:rPr>
        <w:t>Глава 6 Учет хеджирования</w:t>
      </w:r>
    </w:p>
    <w:p w:rsidR="007D4BCC" w:rsidRPr="0049187C" w:rsidRDefault="007D4BCC" w:rsidP="007D4BCC">
      <w:pPr>
        <w:pStyle w:val="IASBSectionTitle1NonInd"/>
        <w:tabs>
          <w:tab w:val="left" w:pos="6072"/>
        </w:tabs>
        <w:rPr>
          <w:lang w:val="ru-RU"/>
        </w:rPr>
      </w:pPr>
      <w:bookmarkStart w:id="40" w:name="SL32570197"/>
      <w:r w:rsidRPr="0049187C">
        <w:rPr>
          <w:lang w:val="ru-RU"/>
        </w:rPr>
        <w:t>6.1</w:t>
      </w:r>
      <w:bookmarkEnd w:id="40"/>
      <w:r w:rsidRPr="0049187C">
        <w:rPr>
          <w:lang w:val="ru-RU"/>
        </w:rPr>
        <w:t xml:space="preserve"> Цель и сфера применения учета хеджирования</w:t>
      </w:r>
    </w:p>
    <w:p w:rsidR="007D4BCC" w:rsidRPr="0049187C" w:rsidRDefault="007D4BCC" w:rsidP="007D4BCC">
      <w:pPr>
        <w:pStyle w:val="IASBNormalnpara"/>
        <w:rPr>
          <w:lang w:val="ru-RU"/>
        </w:rPr>
      </w:pPr>
      <w:r w:rsidRPr="0049187C">
        <w:rPr>
          <w:lang w:val="ru-RU"/>
        </w:rPr>
        <w:t>6.1.1</w:t>
      </w:r>
      <w:r w:rsidRPr="0049187C">
        <w:rPr>
          <w:lang w:val="ru-RU"/>
        </w:rPr>
        <w:tab/>
      </w:r>
      <w:bookmarkStart w:id="41" w:name="F27177571"/>
      <w:r w:rsidR="004C0AC5" w:rsidRPr="003D505F">
        <w:rPr>
          <w:lang w:val="ru-RU"/>
        </w:rPr>
        <w:t xml:space="preserve">Цель учета хеджирования </w:t>
      </w:r>
      <w:r w:rsidR="004C0AC5">
        <w:rPr>
          <w:lang w:val="ru-RU"/>
        </w:rPr>
        <w:t xml:space="preserve">– отразить </w:t>
      </w:r>
      <w:r w:rsidR="004C0AC5" w:rsidRPr="003D505F">
        <w:rPr>
          <w:lang w:val="ru-RU"/>
        </w:rPr>
        <w:t>в финансовой отчетности</w:t>
      </w:r>
      <w:r w:rsidR="004C0AC5">
        <w:rPr>
          <w:lang w:val="ru-RU"/>
        </w:rPr>
        <w:t xml:space="preserve"> организации</w:t>
      </w:r>
      <w:r w:rsidR="004C0AC5" w:rsidRPr="003D505F">
        <w:rPr>
          <w:lang w:val="ru-RU"/>
        </w:rPr>
        <w:t xml:space="preserve"> </w:t>
      </w:r>
      <w:r w:rsidR="004C0AC5">
        <w:rPr>
          <w:lang w:val="ru-RU"/>
        </w:rPr>
        <w:t>результаты</w:t>
      </w:r>
      <w:r w:rsidR="004C0AC5" w:rsidRPr="003D505F">
        <w:rPr>
          <w:lang w:val="ru-RU"/>
        </w:rPr>
        <w:t xml:space="preserve"> </w:t>
      </w:r>
      <w:r w:rsidR="004C0AC5">
        <w:rPr>
          <w:lang w:val="ru-RU"/>
        </w:rPr>
        <w:t xml:space="preserve">ее </w:t>
      </w:r>
      <w:r w:rsidR="004C0AC5" w:rsidRPr="003D505F">
        <w:rPr>
          <w:lang w:val="ru-RU"/>
        </w:rPr>
        <w:t xml:space="preserve">деятельности по управлению рисками, </w:t>
      </w:r>
      <w:r w:rsidR="004C0AC5">
        <w:rPr>
          <w:lang w:val="ru-RU"/>
        </w:rPr>
        <w:t xml:space="preserve">предусматривающей </w:t>
      </w:r>
      <w:r w:rsidR="004C0AC5" w:rsidRPr="003D505F">
        <w:rPr>
          <w:lang w:val="ru-RU"/>
        </w:rPr>
        <w:t>использ</w:t>
      </w:r>
      <w:r w:rsidR="004C0AC5">
        <w:rPr>
          <w:lang w:val="ru-RU"/>
        </w:rPr>
        <w:t>ование</w:t>
      </w:r>
      <w:r w:rsidR="004C0AC5" w:rsidRPr="003D505F">
        <w:rPr>
          <w:lang w:val="ru-RU"/>
        </w:rPr>
        <w:t xml:space="preserve"> финансовы</w:t>
      </w:r>
      <w:r w:rsidR="004C0AC5">
        <w:rPr>
          <w:lang w:val="ru-RU"/>
        </w:rPr>
        <w:t>х</w:t>
      </w:r>
      <w:r w:rsidR="004C0AC5" w:rsidRPr="003D505F">
        <w:rPr>
          <w:lang w:val="ru-RU"/>
        </w:rPr>
        <w:t xml:space="preserve"> инструмент</w:t>
      </w:r>
      <w:r w:rsidR="004C0AC5">
        <w:rPr>
          <w:lang w:val="ru-RU"/>
        </w:rPr>
        <w:t>ов</w:t>
      </w:r>
      <w:r w:rsidR="004C0AC5" w:rsidRPr="003D505F">
        <w:rPr>
          <w:lang w:val="ru-RU"/>
        </w:rPr>
        <w:t xml:space="preserve"> для управления позициями </w:t>
      </w:r>
      <w:r w:rsidR="004C0AC5">
        <w:rPr>
          <w:lang w:val="ru-RU"/>
        </w:rPr>
        <w:t xml:space="preserve">по определенным </w:t>
      </w:r>
      <w:r w:rsidR="004C0AC5" w:rsidRPr="003D505F">
        <w:rPr>
          <w:lang w:val="ru-RU"/>
        </w:rPr>
        <w:t>риска</w:t>
      </w:r>
      <w:r w:rsidR="004C0AC5">
        <w:rPr>
          <w:lang w:val="ru-RU"/>
        </w:rPr>
        <w:t>м</w:t>
      </w:r>
      <w:r w:rsidR="004C0AC5" w:rsidRPr="003D505F">
        <w:rPr>
          <w:lang w:val="ru-RU"/>
        </w:rPr>
        <w:t>, которые могли бы повлиять на прибыль или убыток (либо прочий совокупный доход</w:t>
      </w:r>
      <w:r w:rsidR="004C0AC5">
        <w:rPr>
          <w:lang w:val="ru-RU"/>
        </w:rPr>
        <w:t xml:space="preserve">, если это </w:t>
      </w:r>
      <w:r w:rsidR="004C0AC5" w:rsidRPr="003D505F">
        <w:rPr>
          <w:lang w:val="ru-RU"/>
        </w:rPr>
        <w:t>инвестици</w:t>
      </w:r>
      <w:r w:rsidR="004C0AC5">
        <w:rPr>
          <w:lang w:val="ru-RU"/>
        </w:rPr>
        <w:t>и</w:t>
      </w:r>
      <w:r w:rsidR="004C0AC5" w:rsidRPr="003D505F">
        <w:rPr>
          <w:lang w:val="ru-RU"/>
        </w:rPr>
        <w:t xml:space="preserve"> в долевые инструменты, </w:t>
      </w:r>
      <w:r w:rsidR="004C0AC5">
        <w:rPr>
          <w:lang w:val="ru-RU"/>
        </w:rPr>
        <w:t>применительно к</w:t>
      </w:r>
      <w:r w:rsidR="004C0AC5" w:rsidRPr="003D505F">
        <w:rPr>
          <w:lang w:val="ru-RU"/>
        </w:rPr>
        <w:t xml:space="preserve"> которы</w:t>
      </w:r>
      <w:r w:rsidR="004C0AC5">
        <w:rPr>
          <w:lang w:val="ru-RU"/>
        </w:rPr>
        <w:t>м</w:t>
      </w:r>
      <w:r w:rsidR="004C0AC5" w:rsidRPr="003D505F">
        <w:rPr>
          <w:lang w:val="ru-RU"/>
        </w:rPr>
        <w:t xml:space="preserve"> организация </w:t>
      </w:r>
      <w:r w:rsidR="004C0AC5">
        <w:rPr>
          <w:lang w:val="ru-RU"/>
        </w:rPr>
        <w:t xml:space="preserve">решила </w:t>
      </w:r>
      <w:r w:rsidR="004C0AC5" w:rsidRPr="003D505F">
        <w:rPr>
          <w:lang w:val="ru-RU"/>
        </w:rPr>
        <w:t>представл</w:t>
      </w:r>
      <w:r w:rsidR="004C0AC5">
        <w:rPr>
          <w:lang w:val="ru-RU"/>
        </w:rPr>
        <w:t>ять</w:t>
      </w:r>
      <w:r w:rsidR="004C0AC5" w:rsidRPr="003D505F">
        <w:rPr>
          <w:lang w:val="ru-RU"/>
        </w:rPr>
        <w:t xml:space="preserve"> изменени</w:t>
      </w:r>
      <w:r w:rsidR="004C0AC5">
        <w:rPr>
          <w:lang w:val="ru-RU"/>
        </w:rPr>
        <w:t>я</w:t>
      </w:r>
      <w:r w:rsidR="004C0AC5" w:rsidRPr="003D505F">
        <w:rPr>
          <w:lang w:val="ru-RU"/>
        </w:rPr>
        <w:t xml:space="preserve"> справедливой стоимости в составе прочего совокупного дохода в соответствии с пунктом 5.7.5). </w:t>
      </w:r>
      <w:r w:rsidR="004C0AC5">
        <w:rPr>
          <w:lang w:val="ru-RU"/>
        </w:rPr>
        <w:t>Д</w:t>
      </w:r>
      <w:r w:rsidR="004C0AC5" w:rsidRPr="003D505F">
        <w:rPr>
          <w:lang w:val="ru-RU"/>
        </w:rPr>
        <w:t>анн</w:t>
      </w:r>
      <w:r w:rsidR="004C0AC5">
        <w:rPr>
          <w:lang w:val="ru-RU"/>
        </w:rPr>
        <w:t>ый</w:t>
      </w:r>
      <w:r w:rsidR="004C0AC5" w:rsidRPr="003D505F">
        <w:rPr>
          <w:lang w:val="ru-RU"/>
        </w:rPr>
        <w:t xml:space="preserve"> подход пр</w:t>
      </w:r>
      <w:r w:rsidR="004C0AC5">
        <w:rPr>
          <w:lang w:val="ru-RU"/>
        </w:rPr>
        <w:t>изван разъяснить контекст использования</w:t>
      </w:r>
      <w:r w:rsidR="004C0AC5" w:rsidRPr="003D505F">
        <w:rPr>
          <w:lang w:val="ru-RU"/>
        </w:rPr>
        <w:t xml:space="preserve"> инструмент</w:t>
      </w:r>
      <w:r w:rsidR="004C0AC5">
        <w:rPr>
          <w:lang w:val="ru-RU"/>
        </w:rPr>
        <w:t>ов</w:t>
      </w:r>
      <w:r w:rsidR="004C0AC5" w:rsidRPr="003D505F">
        <w:rPr>
          <w:lang w:val="ru-RU"/>
        </w:rPr>
        <w:t xml:space="preserve"> хеджирования, </w:t>
      </w:r>
      <w:r w:rsidR="004C0AC5">
        <w:rPr>
          <w:lang w:val="ru-RU"/>
        </w:rPr>
        <w:t>к</w:t>
      </w:r>
      <w:r w:rsidR="004C0AC5" w:rsidRPr="003D505F">
        <w:rPr>
          <w:lang w:val="ru-RU"/>
        </w:rPr>
        <w:t xml:space="preserve"> которы</w:t>
      </w:r>
      <w:r w:rsidR="004C0AC5">
        <w:rPr>
          <w:lang w:val="ru-RU"/>
        </w:rPr>
        <w:t>м</w:t>
      </w:r>
      <w:r w:rsidR="004C0AC5" w:rsidRPr="003D505F">
        <w:rPr>
          <w:lang w:val="ru-RU"/>
        </w:rPr>
        <w:t xml:space="preserve"> применяется учет хеджирования, чтобы </w:t>
      </w:r>
      <w:r w:rsidR="004C0AC5">
        <w:rPr>
          <w:lang w:val="ru-RU"/>
        </w:rPr>
        <w:t xml:space="preserve">дать возможность понять </w:t>
      </w:r>
      <w:r w:rsidR="004C0AC5" w:rsidRPr="003D505F">
        <w:rPr>
          <w:lang w:val="ru-RU"/>
        </w:rPr>
        <w:t xml:space="preserve">их </w:t>
      </w:r>
      <w:r w:rsidR="004C0AC5" w:rsidRPr="00BB6403">
        <w:rPr>
          <w:lang w:val="ru-RU"/>
        </w:rPr>
        <w:t>назначение и влияние на отчетность</w:t>
      </w:r>
      <w:r w:rsidRPr="0049187C">
        <w:rPr>
          <w:lang w:val="ru-RU"/>
        </w:rPr>
        <w:t>.</w:t>
      </w:r>
      <w:bookmarkEnd w:id="41"/>
    </w:p>
    <w:p w:rsidR="007D4BCC" w:rsidRPr="0049187C" w:rsidRDefault="007D4BCC" w:rsidP="007D4BCC">
      <w:pPr>
        <w:pStyle w:val="IASBNormalnpara"/>
        <w:rPr>
          <w:lang w:val="ru-RU"/>
        </w:rPr>
      </w:pPr>
      <w:r w:rsidRPr="0049187C">
        <w:rPr>
          <w:lang w:val="ru-RU"/>
        </w:rPr>
        <w:t>6.1.2</w:t>
      </w:r>
      <w:r w:rsidRPr="0049187C">
        <w:rPr>
          <w:lang w:val="ru-RU"/>
        </w:rPr>
        <w:tab/>
      </w:r>
      <w:bookmarkStart w:id="42" w:name="F27177572"/>
      <w:r w:rsidR="004C0AC5" w:rsidRPr="003D505F">
        <w:rPr>
          <w:lang w:val="ru-RU"/>
        </w:rPr>
        <w:t xml:space="preserve">Организация </w:t>
      </w:r>
      <w:r w:rsidR="004C0AC5">
        <w:rPr>
          <w:lang w:val="ru-RU"/>
        </w:rPr>
        <w:t>может</w:t>
      </w:r>
      <w:r w:rsidR="004C0AC5" w:rsidRPr="003D505F">
        <w:rPr>
          <w:lang w:val="ru-RU"/>
        </w:rPr>
        <w:t xml:space="preserve"> </w:t>
      </w:r>
      <w:r w:rsidR="004C0AC5">
        <w:rPr>
          <w:lang w:val="ru-RU"/>
        </w:rPr>
        <w:t>по собственному усмотрению</w:t>
      </w:r>
      <w:r w:rsidR="004C0AC5" w:rsidRPr="003D505F">
        <w:rPr>
          <w:lang w:val="ru-RU"/>
        </w:rPr>
        <w:t xml:space="preserve"> </w:t>
      </w:r>
      <w:r w:rsidR="004C0AC5">
        <w:rPr>
          <w:lang w:val="ru-RU"/>
        </w:rPr>
        <w:t xml:space="preserve">определить </w:t>
      </w:r>
      <w:r w:rsidR="004C0AC5" w:rsidRPr="003D505F">
        <w:rPr>
          <w:lang w:val="ru-RU"/>
        </w:rPr>
        <w:t>отношени</w:t>
      </w:r>
      <w:r w:rsidR="004C0AC5">
        <w:rPr>
          <w:lang w:val="ru-RU"/>
        </w:rPr>
        <w:t>я</w:t>
      </w:r>
      <w:r w:rsidR="004C0AC5" w:rsidRPr="003D505F">
        <w:rPr>
          <w:lang w:val="ru-RU"/>
        </w:rPr>
        <w:t xml:space="preserve"> хеджирования между инструментом хеджирования и объектом хеджирования в соответствии с пунктами 6.2.1–6.3.7 и </w:t>
      </w:r>
      <w:r w:rsidR="004C0AC5">
        <w:t>B</w:t>
      </w:r>
      <w:r w:rsidR="004C0AC5" w:rsidRPr="003D505F">
        <w:rPr>
          <w:lang w:val="ru-RU"/>
        </w:rPr>
        <w:t>6.2.1–</w:t>
      </w:r>
      <w:r w:rsidR="004C0AC5">
        <w:t>B</w:t>
      </w:r>
      <w:r w:rsidR="004C0AC5" w:rsidRPr="003D505F">
        <w:rPr>
          <w:lang w:val="ru-RU"/>
        </w:rPr>
        <w:t xml:space="preserve">6.3.25. </w:t>
      </w:r>
      <w:r w:rsidR="004C0AC5">
        <w:rPr>
          <w:lang w:val="ru-RU"/>
        </w:rPr>
        <w:t xml:space="preserve">Применительно к </w:t>
      </w:r>
      <w:r w:rsidR="004C0AC5" w:rsidRPr="003D505F">
        <w:rPr>
          <w:lang w:val="ru-RU"/>
        </w:rPr>
        <w:t>отношени</w:t>
      </w:r>
      <w:r w:rsidR="004C0AC5">
        <w:rPr>
          <w:lang w:val="ru-RU"/>
        </w:rPr>
        <w:t>ям</w:t>
      </w:r>
      <w:r w:rsidR="004C0AC5" w:rsidRPr="003D505F">
        <w:rPr>
          <w:lang w:val="ru-RU"/>
        </w:rPr>
        <w:t xml:space="preserve"> хеджирования, </w:t>
      </w:r>
      <w:r w:rsidR="004C0AC5">
        <w:rPr>
          <w:lang w:val="ru-RU"/>
        </w:rPr>
        <w:t xml:space="preserve">которые </w:t>
      </w:r>
      <w:r w:rsidR="004C0AC5" w:rsidRPr="003D505F">
        <w:rPr>
          <w:lang w:val="ru-RU"/>
        </w:rPr>
        <w:t>отвечаю</w:t>
      </w:r>
      <w:r w:rsidR="004C0AC5">
        <w:rPr>
          <w:lang w:val="ru-RU"/>
        </w:rPr>
        <w:t>т</w:t>
      </w:r>
      <w:r w:rsidR="004C0AC5" w:rsidRPr="003D505F">
        <w:rPr>
          <w:lang w:val="ru-RU"/>
        </w:rPr>
        <w:t xml:space="preserve"> </w:t>
      </w:r>
      <w:r w:rsidR="004C0AC5" w:rsidRPr="000F4EFF">
        <w:rPr>
          <w:lang w:val="ru-RU"/>
        </w:rPr>
        <w:t>критериям применения учета хеджирования, организация должна учитывать прибыль или</w:t>
      </w:r>
      <w:r w:rsidR="004C0AC5" w:rsidRPr="003D505F">
        <w:rPr>
          <w:lang w:val="ru-RU"/>
        </w:rPr>
        <w:t xml:space="preserve"> убыток от инструмента хеджирования и </w:t>
      </w:r>
      <w:r w:rsidR="004C0AC5">
        <w:rPr>
          <w:lang w:val="ru-RU"/>
        </w:rPr>
        <w:t xml:space="preserve">от </w:t>
      </w:r>
      <w:r w:rsidR="004C0AC5" w:rsidRPr="003D505F">
        <w:rPr>
          <w:lang w:val="ru-RU"/>
        </w:rPr>
        <w:t xml:space="preserve">объекта хеджирования в </w:t>
      </w:r>
      <w:r w:rsidR="004C0AC5">
        <w:rPr>
          <w:lang w:val="ru-RU"/>
        </w:rPr>
        <w:t xml:space="preserve">порядке, предусмотренном </w:t>
      </w:r>
      <w:r w:rsidR="004C0AC5" w:rsidRPr="003D505F">
        <w:rPr>
          <w:lang w:val="ru-RU"/>
        </w:rPr>
        <w:t xml:space="preserve">пунктами 6.5.1–6.5.14 и </w:t>
      </w:r>
      <w:r w:rsidR="004C0AC5">
        <w:t>B</w:t>
      </w:r>
      <w:r w:rsidR="004C0AC5" w:rsidRPr="003D505F">
        <w:rPr>
          <w:lang w:val="ru-RU"/>
        </w:rPr>
        <w:t>6.5.1–</w:t>
      </w:r>
      <w:r w:rsidR="004C0AC5">
        <w:t>B</w:t>
      </w:r>
      <w:r w:rsidR="004C0AC5" w:rsidRPr="003D505F">
        <w:rPr>
          <w:lang w:val="ru-RU"/>
        </w:rPr>
        <w:t xml:space="preserve">6.5.28. Если объект хеджирования представляет собой группу </w:t>
      </w:r>
      <w:r w:rsidR="004C0AC5" w:rsidRPr="0036023E">
        <w:rPr>
          <w:lang w:val="ru-RU"/>
        </w:rPr>
        <w:t>объектов</w:t>
      </w:r>
      <w:r w:rsidR="004C0AC5" w:rsidRPr="003D505F">
        <w:rPr>
          <w:lang w:val="ru-RU"/>
        </w:rPr>
        <w:t xml:space="preserve">, то организация должна соблюдать дополнительные требования, изложенные в пунктах 6.6.1–6.6.6 и </w:t>
      </w:r>
      <w:r w:rsidR="004C0AC5">
        <w:t>B</w:t>
      </w:r>
      <w:r w:rsidR="004C0AC5" w:rsidRPr="003D505F">
        <w:rPr>
          <w:lang w:val="ru-RU"/>
        </w:rPr>
        <w:t>6.6.1–</w:t>
      </w:r>
      <w:r w:rsidR="004C0AC5">
        <w:t>B</w:t>
      </w:r>
      <w:r w:rsidR="004C0AC5" w:rsidRPr="003D505F">
        <w:rPr>
          <w:lang w:val="ru-RU"/>
        </w:rPr>
        <w:t>6.6.16</w:t>
      </w:r>
      <w:r w:rsidRPr="0049187C">
        <w:rPr>
          <w:lang w:val="ru-RU"/>
        </w:rPr>
        <w:t>.</w:t>
      </w:r>
      <w:bookmarkEnd w:id="42"/>
    </w:p>
    <w:p w:rsidR="007D4BCC" w:rsidRPr="0049187C" w:rsidRDefault="007D4BCC" w:rsidP="007D4BCC">
      <w:pPr>
        <w:pStyle w:val="IASBNormalnpara"/>
        <w:rPr>
          <w:lang w:val="ru-RU"/>
        </w:rPr>
      </w:pPr>
      <w:r w:rsidRPr="0049187C">
        <w:rPr>
          <w:lang w:val="ru-RU"/>
        </w:rPr>
        <w:t>6.1.3</w:t>
      </w:r>
      <w:r w:rsidRPr="0049187C">
        <w:rPr>
          <w:lang w:val="ru-RU"/>
        </w:rPr>
        <w:tab/>
      </w:r>
      <w:bookmarkStart w:id="43" w:name="F27177573"/>
      <w:r w:rsidR="004C0AC5">
        <w:rPr>
          <w:lang w:val="ru-RU"/>
        </w:rPr>
        <w:t>Применительно к</w:t>
      </w:r>
      <w:r w:rsidR="004C0AC5" w:rsidRPr="003D505F">
        <w:rPr>
          <w:lang w:val="ru-RU"/>
        </w:rPr>
        <w:t xml:space="preserve"> хеджировани</w:t>
      </w:r>
      <w:r w:rsidR="004C0AC5">
        <w:rPr>
          <w:lang w:val="ru-RU"/>
        </w:rPr>
        <w:t>ю</w:t>
      </w:r>
      <w:r w:rsidR="004C0AC5" w:rsidRPr="003D505F">
        <w:rPr>
          <w:lang w:val="ru-RU"/>
        </w:rPr>
        <w:t xml:space="preserve"> справедливой стоимости портфел</w:t>
      </w:r>
      <w:r w:rsidR="004C0AC5">
        <w:rPr>
          <w:lang w:val="ru-RU"/>
        </w:rPr>
        <w:t>я</w:t>
      </w:r>
      <w:r w:rsidR="004C0AC5" w:rsidRPr="003D505F">
        <w:rPr>
          <w:lang w:val="ru-RU"/>
        </w:rPr>
        <w:t xml:space="preserve"> финансовых активов или финансовых обязательств</w:t>
      </w:r>
      <w:r w:rsidR="004C0AC5">
        <w:rPr>
          <w:lang w:val="ru-RU"/>
        </w:rPr>
        <w:t xml:space="preserve"> от изменений, связанных с</w:t>
      </w:r>
      <w:r w:rsidR="004C0AC5" w:rsidRPr="00E247C6">
        <w:rPr>
          <w:lang w:val="ru-RU"/>
        </w:rPr>
        <w:t xml:space="preserve"> процентным риском</w:t>
      </w:r>
      <w:r w:rsidR="004C0AC5" w:rsidRPr="003D505F">
        <w:rPr>
          <w:lang w:val="ru-RU"/>
        </w:rPr>
        <w:t xml:space="preserve"> (и </w:t>
      </w:r>
      <w:r w:rsidR="004C0AC5">
        <w:rPr>
          <w:lang w:val="ru-RU"/>
        </w:rPr>
        <w:t xml:space="preserve">исключительно </w:t>
      </w:r>
      <w:r w:rsidR="004C0AC5" w:rsidRPr="003D505F">
        <w:rPr>
          <w:lang w:val="ru-RU"/>
        </w:rPr>
        <w:t>в случае такого хеджирования)</w:t>
      </w:r>
      <w:r w:rsidR="004C0AC5">
        <w:rPr>
          <w:lang w:val="ru-RU"/>
        </w:rPr>
        <w:t>,</w:t>
      </w:r>
      <w:r w:rsidR="004C0AC5" w:rsidRPr="003D505F">
        <w:rPr>
          <w:lang w:val="ru-RU"/>
        </w:rPr>
        <w:t xml:space="preserve"> организация вправе применить требования к учету хеджирования</w:t>
      </w:r>
      <w:r w:rsidR="004C0AC5">
        <w:rPr>
          <w:lang w:val="ru-RU"/>
        </w:rPr>
        <w:t xml:space="preserve">, предусмотренные </w:t>
      </w:r>
      <w:r w:rsidR="004C0AC5" w:rsidRPr="003D505F">
        <w:rPr>
          <w:lang w:val="ru-RU"/>
        </w:rPr>
        <w:t>МСФО (</w:t>
      </w:r>
      <w:r w:rsidR="004C0AC5">
        <w:t>IAS</w:t>
      </w:r>
      <w:r w:rsidR="004C0AC5" w:rsidRPr="003D505F">
        <w:rPr>
          <w:lang w:val="ru-RU"/>
        </w:rPr>
        <w:t>) 39</w:t>
      </w:r>
      <w:r w:rsidR="004C0AC5">
        <w:rPr>
          <w:lang w:val="ru-RU"/>
        </w:rPr>
        <w:t>,</w:t>
      </w:r>
      <w:r w:rsidR="004C0AC5" w:rsidRPr="003D505F">
        <w:rPr>
          <w:lang w:val="ru-RU"/>
        </w:rPr>
        <w:t xml:space="preserve"> вместо требований, установленных настоящим стандартом. В этом случае организация также должна применить особые требования по учету хеджирования справедливой стоимости для портфельного хеджирования процентного риска и </w:t>
      </w:r>
      <w:r w:rsidR="004C0AC5">
        <w:rPr>
          <w:lang w:val="ru-RU"/>
        </w:rPr>
        <w:t>определить по собственному усмотрению</w:t>
      </w:r>
      <w:r w:rsidR="004C0AC5" w:rsidRPr="003D505F">
        <w:rPr>
          <w:lang w:val="ru-RU"/>
        </w:rPr>
        <w:t xml:space="preserve"> в качестве объекта хеджирования часть, </w:t>
      </w:r>
      <w:r w:rsidR="004C0AC5">
        <w:rPr>
          <w:lang w:val="ru-RU"/>
        </w:rPr>
        <w:t xml:space="preserve">представляющую собой некоторую денежную </w:t>
      </w:r>
      <w:r w:rsidR="004C0AC5" w:rsidRPr="003D505F">
        <w:rPr>
          <w:lang w:val="ru-RU"/>
        </w:rPr>
        <w:t>сумму</w:t>
      </w:r>
      <w:r w:rsidR="004C0AC5">
        <w:rPr>
          <w:lang w:val="ru-RU"/>
        </w:rPr>
        <w:t xml:space="preserve"> </w:t>
      </w:r>
      <w:r w:rsidR="004C0AC5" w:rsidRPr="003D505F">
        <w:rPr>
          <w:lang w:val="ru-RU"/>
        </w:rPr>
        <w:t>(см. пункты 81</w:t>
      </w:r>
      <w:r w:rsidR="004C0AC5">
        <w:t>A</w:t>
      </w:r>
      <w:r w:rsidR="004C0AC5" w:rsidRPr="003D505F">
        <w:rPr>
          <w:lang w:val="ru-RU"/>
        </w:rPr>
        <w:t>, 89</w:t>
      </w:r>
      <w:r w:rsidR="004C0AC5">
        <w:t>A</w:t>
      </w:r>
      <w:r w:rsidR="004C0AC5" w:rsidRPr="003D505F">
        <w:rPr>
          <w:lang w:val="ru-RU"/>
        </w:rPr>
        <w:t xml:space="preserve"> и </w:t>
      </w:r>
      <w:r w:rsidR="004C0AC5">
        <w:t>AG</w:t>
      </w:r>
      <w:r w:rsidR="004C0AC5" w:rsidRPr="003D505F">
        <w:rPr>
          <w:lang w:val="ru-RU"/>
        </w:rPr>
        <w:t>114–</w:t>
      </w:r>
      <w:r w:rsidR="004C0AC5">
        <w:t>AG</w:t>
      </w:r>
      <w:r w:rsidR="00914F2C">
        <w:rPr>
          <w:lang w:val="ru-RU"/>
        </w:rPr>
        <w:t xml:space="preserve">132 </w:t>
      </w:r>
      <w:r w:rsidR="004C0AC5" w:rsidRPr="003D505F">
        <w:rPr>
          <w:lang w:val="ru-RU"/>
        </w:rPr>
        <w:t>МСФО (</w:t>
      </w:r>
      <w:r w:rsidR="004C0AC5">
        <w:t>IAS</w:t>
      </w:r>
      <w:r w:rsidR="004C0AC5" w:rsidRPr="003D505F">
        <w:rPr>
          <w:lang w:val="ru-RU"/>
        </w:rPr>
        <w:t>) 39)</w:t>
      </w:r>
      <w:r w:rsidRPr="0049187C">
        <w:rPr>
          <w:lang w:val="ru-RU"/>
        </w:rPr>
        <w:t>.</w:t>
      </w:r>
      <w:bookmarkEnd w:id="43"/>
    </w:p>
    <w:p w:rsidR="007D4BCC" w:rsidRPr="0049187C" w:rsidRDefault="007D4BCC" w:rsidP="007D4BCC">
      <w:pPr>
        <w:pStyle w:val="IASBSectionTitle1NonInd"/>
        <w:rPr>
          <w:lang w:val="ru-RU"/>
        </w:rPr>
      </w:pPr>
      <w:bookmarkStart w:id="44" w:name="SL32570202"/>
      <w:r w:rsidRPr="0049187C">
        <w:rPr>
          <w:lang w:val="ru-RU"/>
        </w:rPr>
        <w:t xml:space="preserve">6.2 </w:t>
      </w:r>
      <w:bookmarkEnd w:id="44"/>
      <w:r w:rsidRPr="0049187C">
        <w:rPr>
          <w:lang w:val="ru-RU"/>
        </w:rPr>
        <w:t>Инструменты хеджирования</w:t>
      </w:r>
    </w:p>
    <w:p w:rsidR="007D4BCC" w:rsidRPr="0049187C" w:rsidRDefault="004C0AC5" w:rsidP="007D4BCC">
      <w:pPr>
        <w:pStyle w:val="IASBSectionTitle2Ind"/>
        <w:rPr>
          <w:lang w:val="ru-RU"/>
        </w:rPr>
      </w:pPr>
      <w:r>
        <w:rPr>
          <w:lang w:val="ru-RU"/>
        </w:rPr>
        <w:t>Квалифицируемые инструменты хеджирования</w:t>
      </w:r>
    </w:p>
    <w:p w:rsidR="007D4BCC" w:rsidRPr="0049187C" w:rsidRDefault="007D4BCC" w:rsidP="007D4BCC">
      <w:pPr>
        <w:pStyle w:val="IASBNormalnpara"/>
        <w:rPr>
          <w:b/>
          <w:lang w:val="ru-RU"/>
        </w:rPr>
      </w:pPr>
      <w:r w:rsidRPr="0049187C">
        <w:rPr>
          <w:b/>
          <w:lang w:val="ru-RU"/>
        </w:rPr>
        <w:t>6.2.1</w:t>
      </w:r>
      <w:r w:rsidRPr="0049187C">
        <w:rPr>
          <w:b/>
          <w:lang w:val="ru-RU"/>
        </w:rPr>
        <w:tab/>
      </w:r>
      <w:bookmarkStart w:id="45" w:name="F27186649"/>
      <w:r w:rsidR="004C0AC5" w:rsidRPr="003D505F">
        <w:rPr>
          <w:b/>
          <w:lang w:val="ru-RU"/>
        </w:rPr>
        <w:t xml:space="preserve">Производный инструмент, оцениваемый по справедливой стоимости через прибыль или убыток, может быть </w:t>
      </w:r>
      <w:r w:rsidR="004C0AC5">
        <w:rPr>
          <w:b/>
          <w:lang w:val="ru-RU"/>
        </w:rPr>
        <w:t>определен по усмотрению организации</w:t>
      </w:r>
      <w:r w:rsidR="004C0AC5" w:rsidRPr="003D505F">
        <w:rPr>
          <w:b/>
          <w:lang w:val="ru-RU"/>
        </w:rPr>
        <w:t xml:space="preserve"> как инструмент хеджирования, за исключением некоторых выпущенных опционов (см. пункт В6.2.4)</w:t>
      </w:r>
      <w:r w:rsidRPr="0049187C">
        <w:rPr>
          <w:b/>
          <w:lang w:val="ru-RU"/>
        </w:rPr>
        <w:t>.</w:t>
      </w:r>
      <w:bookmarkEnd w:id="45"/>
    </w:p>
    <w:p w:rsidR="007D4BCC" w:rsidRPr="0049187C" w:rsidRDefault="007D4BCC" w:rsidP="007D4BCC">
      <w:pPr>
        <w:pStyle w:val="IASBNormalnpara"/>
        <w:rPr>
          <w:b/>
          <w:lang w:val="ru-RU"/>
        </w:rPr>
      </w:pPr>
      <w:r w:rsidRPr="0049187C">
        <w:rPr>
          <w:b/>
          <w:lang w:val="ru-RU"/>
        </w:rPr>
        <w:t>6.2.2</w:t>
      </w:r>
      <w:r w:rsidRPr="0049187C">
        <w:rPr>
          <w:b/>
          <w:lang w:val="ru-RU"/>
        </w:rPr>
        <w:tab/>
      </w:r>
      <w:bookmarkStart w:id="46" w:name="F27186650"/>
      <w:r w:rsidR="004C0AC5" w:rsidRPr="003D505F">
        <w:rPr>
          <w:b/>
          <w:lang w:val="ru-RU"/>
        </w:rPr>
        <w:t xml:space="preserve">Непроизводный финансовый актив или непроизводное финансовое обязательство, </w:t>
      </w:r>
      <w:r w:rsidR="004C0AC5" w:rsidRPr="00C831FE">
        <w:rPr>
          <w:b/>
          <w:lang w:val="ru-RU"/>
        </w:rPr>
        <w:t>который (которое) оценивается</w:t>
      </w:r>
      <w:r w:rsidR="004C0AC5" w:rsidRPr="003D505F">
        <w:rPr>
          <w:b/>
          <w:lang w:val="ru-RU"/>
        </w:rPr>
        <w:t xml:space="preserve"> по справедливой стоимости через прибыль или убыток, мо</w:t>
      </w:r>
      <w:r w:rsidR="004C0AC5">
        <w:rPr>
          <w:b/>
          <w:lang w:val="ru-RU"/>
        </w:rPr>
        <w:t>жет</w:t>
      </w:r>
      <w:r w:rsidR="004C0AC5" w:rsidRPr="0041746F">
        <w:rPr>
          <w:b/>
          <w:lang w:val="ru-RU"/>
        </w:rPr>
        <w:t xml:space="preserve"> </w:t>
      </w:r>
      <w:r w:rsidR="004C0AC5" w:rsidRPr="00C831FE">
        <w:rPr>
          <w:b/>
          <w:lang w:val="ru-RU"/>
        </w:rPr>
        <w:t xml:space="preserve">быть </w:t>
      </w:r>
      <w:r w:rsidR="004C0AC5">
        <w:rPr>
          <w:b/>
          <w:lang w:val="ru-RU"/>
        </w:rPr>
        <w:t xml:space="preserve">определен по усмотрению организации </w:t>
      </w:r>
      <w:r w:rsidR="004C0AC5" w:rsidRPr="003D505F">
        <w:rPr>
          <w:b/>
          <w:lang w:val="ru-RU"/>
        </w:rPr>
        <w:t xml:space="preserve">в качестве инструмента хеджирования, если только это не финансовое обязательство, </w:t>
      </w:r>
      <w:r w:rsidR="004C0AC5">
        <w:rPr>
          <w:b/>
          <w:lang w:val="ru-RU"/>
        </w:rPr>
        <w:t>классифицированное по усмотрению организации</w:t>
      </w:r>
      <w:r w:rsidR="004C0AC5" w:rsidRPr="003D505F">
        <w:rPr>
          <w:b/>
          <w:lang w:val="ru-RU"/>
        </w:rPr>
        <w:t xml:space="preserve"> как оцениваемое по справедливой стоимости через прибыль или убыток, </w:t>
      </w:r>
      <w:r w:rsidR="004C0AC5">
        <w:rPr>
          <w:b/>
          <w:lang w:val="ru-RU"/>
        </w:rPr>
        <w:t xml:space="preserve">применительно к </w:t>
      </w:r>
      <w:r w:rsidR="004C0AC5" w:rsidRPr="003D505F">
        <w:rPr>
          <w:b/>
          <w:lang w:val="ru-RU"/>
        </w:rPr>
        <w:t>которо</w:t>
      </w:r>
      <w:r w:rsidR="004C0AC5">
        <w:rPr>
          <w:b/>
          <w:lang w:val="ru-RU"/>
        </w:rPr>
        <w:t>му</w:t>
      </w:r>
      <w:r w:rsidR="008B521C">
        <w:rPr>
          <w:b/>
          <w:lang w:val="ru-RU"/>
        </w:rPr>
        <w:t xml:space="preserve"> сумма</w:t>
      </w:r>
      <w:r w:rsidR="004C0AC5" w:rsidRPr="003D505F">
        <w:rPr>
          <w:b/>
          <w:lang w:val="ru-RU"/>
        </w:rPr>
        <w:t xml:space="preserve"> изменения его справедливой стоимости</w:t>
      </w:r>
      <w:r w:rsidR="004C0AC5">
        <w:rPr>
          <w:b/>
          <w:lang w:val="ru-RU"/>
        </w:rPr>
        <w:t xml:space="preserve"> в части</w:t>
      </w:r>
      <w:r w:rsidR="004C0AC5" w:rsidRPr="003D505F">
        <w:rPr>
          <w:b/>
          <w:lang w:val="ru-RU"/>
        </w:rPr>
        <w:t>, обусловленн</w:t>
      </w:r>
      <w:r w:rsidR="004C0AC5">
        <w:rPr>
          <w:b/>
          <w:lang w:val="ru-RU"/>
        </w:rPr>
        <w:t>ой</w:t>
      </w:r>
      <w:r w:rsidR="004C0AC5" w:rsidRPr="003D505F">
        <w:rPr>
          <w:b/>
          <w:lang w:val="ru-RU"/>
        </w:rPr>
        <w:t xml:space="preserve"> изменениями кредитного риска по </w:t>
      </w:r>
      <w:r w:rsidR="004C0AC5">
        <w:rPr>
          <w:b/>
          <w:lang w:val="ru-RU"/>
        </w:rPr>
        <w:t>указанному обязательству</w:t>
      </w:r>
      <w:r w:rsidR="004C0AC5" w:rsidRPr="003D505F">
        <w:rPr>
          <w:b/>
          <w:lang w:val="ru-RU"/>
        </w:rPr>
        <w:t xml:space="preserve">, представляется в составе прочего совокупного дохода в соответствии с пунктом 5.7.7. </w:t>
      </w:r>
      <w:r w:rsidR="004C0AC5">
        <w:rPr>
          <w:b/>
          <w:lang w:val="ru-RU"/>
        </w:rPr>
        <w:t xml:space="preserve">Применительно к </w:t>
      </w:r>
      <w:r w:rsidR="004C0AC5" w:rsidRPr="003D505F">
        <w:rPr>
          <w:b/>
          <w:lang w:val="ru-RU"/>
        </w:rPr>
        <w:t>хеджировани</w:t>
      </w:r>
      <w:r w:rsidR="004C0AC5">
        <w:rPr>
          <w:b/>
          <w:lang w:val="ru-RU"/>
        </w:rPr>
        <w:t>ю</w:t>
      </w:r>
      <w:r w:rsidR="004C0AC5" w:rsidRPr="003D505F">
        <w:rPr>
          <w:b/>
          <w:lang w:val="ru-RU"/>
        </w:rPr>
        <w:t xml:space="preserve"> валютного риска </w:t>
      </w:r>
      <w:r w:rsidR="004C0AC5" w:rsidRPr="00494F8D">
        <w:rPr>
          <w:b/>
          <w:lang w:val="ru-RU"/>
        </w:rPr>
        <w:t>организация может</w:t>
      </w:r>
      <w:r w:rsidR="004C0AC5">
        <w:rPr>
          <w:b/>
          <w:lang w:val="ru-RU"/>
        </w:rPr>
        <w:t xml:space="preserve"> </w:t>
      </w:r>
      <w:r w:rsidR="004C0AC5" w:rsidRPr="00494F8D">
        <w:rPr>
          <w:b/>
          <w:lang w:val="ru-RU"/>
        </w:rPr>
        <w:t>по собственному усмотрению определить</w:t>
      </w:r>
      <w:r w:rsidR="004C0AC5">
        <w:rPr>
          <w:b/>
          <w:lang w:val="ru-RU"/>
        </w:rPr>
        <w:t xml:space="preserve"> в качестве </w:t>
      </w:r>
      <w:r w:rsidR="004C0AC5" w:rsidRPr="003D505F">
        <w:rPr>
          <w:b/>
          <w:lang w:val="ru-RU"/>
        </w:rPr>
        <w:t>инструмент</w:t>
      </w:r>
      <w:r w:rsidR="004C0AC5">
        <w:rPr>
          <w:b/>
          <w:lang w:val="ru-RU"/>
        </w:rPr>
        <w:t>а</w:t>
      </w:r>
      <w:r w:rsidR="004C0AC5" w:rsidRPr="003D505F">
        <w:rPr>
          <w:b/>
          <w:lang w:val="ru-RU"/>
        </w:rPr>
        <w:t xml:space="preserve"> хеджирования компонент непроизводного финансового актива или непроизводного финансового обязательства</w:t>
      </w:r>
      <w:r w:rsidR="004C0AC5">
        <w:rPr>
          <w:b/>
          <w:lang w:val="ru-RU"/>
        </w:rPr>
        <w:t xml:space="preserve">, связанный с </w:t>
      </w:r>
      <w:r w:rsidR="004C0AC5" w:rsidRPr="003D505F">
        <w:rPr>
          <w:b/>
          <w:lang w:val="ru-RU"/>
        </w:rPr>
        <w:t>валютн</w:t>
      </w:r>
      <w:r w:rsidR="004C0AC5">
        <w:rPr>
          <w:b/>
          <w:lang w:val="ru-RU"/>
        </w:rPr>
        <w:t>ым</w:t>
      </w:r>
      <w:r w:rsidR="004C0AC5" w:rsidRPr="003D505F">
        <w:rPr>
          <w:b/>
          <w:lang w:val="ru-RU"/>
        </w:rPr>
        <w:t xml:space="preserve"> риск</w:t>
      </w:r>
      <w:r w:rsidR="004C0AC5">
        <w:rPr>
          <w:b/>
          <w:lang w:val="ru-RU"/>
        </w:rPr>
        <w:t xml:space="preserve">ом, </w:t>
      </w:r>
      <w:r w:rsidR="004C0AC5" w:rsidRPr="003D505F">
        <w:rPr>
          <w:b/>
          <w:lang w:val="ru-RU"/>
        </w:rPr>
        <w:t>при условии, что данный непроизводный финансовый инструмент не является инвестицией в долевой инструмент, изменени</w:t>
      </w:r>
      <w:r w:rsidR="004C0AC5">
        <w:rPr>
          <w:b/>
          <w:lang w:val="ru-RU"/>
        </w:rPr>
        <w:t>я</w:t>
      </w:r>
      <w:r w:rsidR="004C0AC5" w:rsidRPr="003D505F">
        <w:rPr>
          <w:b/>
          <w:lang w:val="ru-RU"/>
        </w:rPr>
        <w:t xml:space="preserve"> справедливой стоимости </w:t>
      </w:r>
      <w:r w:rsidR="004C0AC5">
        <w:rPr>
          <w:b/>
          <w:lang w:val="ru-RU"/>
        </w:rPr>
        <w:t xml:space="preserve">которой организация решила представлять </w:t>
      </w:r>
      <w:r w:rsidR="004C0AC5" w:rsidRPr="003D505F">
        <w:rPr>
          <w:b/>
          <w:lang w:val="ru-RU"/>
        </w:rPr>
        <w:t>в составе прочего совокупного дохода в соответствии с пунктом 5.7.5</w:t>
      </w:r>
      <w:r w:rsidRPr="0049187C">
        <w:rPr>
          <w:b/>
          <w:lang w:val="ru-RU"/>
        </w:rPr>
        <w:t>.</w:t>
      </w:r>
      <w:bookmarkEnd w:id="46"/>
    </w:p>
    <w:p w:rsidR="007D4BCC" w:rsidRPr="0049187C" w:rsidRDefault="007D4BCC" w:rsidP="007D4BCC">
      <w:pPr>
        <w:pStyle w:val="IASBNormalnpara"/>
        <w:rPr>
          <w:b/>
          <w:lang w:val="ru-RU"/>
        </w:rPr>
      </w:pPr>
      <w:r w:rsidRPr="0049187C">
        <w:rPr>
          <w:b/>
          <w:lang w:val="ru-RU"/>
        </w:rPr>
        <w:t>6.2.3</w:t>
      </w:r>
      <w:r w:rsidRPr="0049187C">
        <w:rPr>
          <w:b/>
          <w:lang w:val="ru-RU"/>
        </w:rPr>
        <w:tab/>
      </w:r>
      <w:bookmarkStart w:id="47" w:name="F27186651"/>
      <w:r w:rsidR="004C0AC5" w:rsidRPr="003D505F">
        <w:rPr>
          <w:b/>
          <w:lang w:val="ru-RU"/>
        </w:rPr>
        <w:t>Для целей учета хеджирования</w:t>
      </w:r>
      <w:r w:rsidR="004C0AC5">
        <w:rPr>
          <w:b/>
          <w:lang w:val="ru-RU"/>
        </w:rPr>
        <w:t xml:space="preserve"> </w:t>
      </w:r>
      <w:r w:rsidR="004C0AC5" w:rsidRPr="003D505F">
        <w:rPr>
          <w:b/>
          <w:lang w:val="ru-RU"/>
        </w:rPr>
        <w:t xml:space="preserve">только </w:t>
      </w:r>
      <w:r w:rsidR="004C0AC5">
        <w:rPr>
          <w:b/>
          <w:lang w:val="ru-RU"/>
        </w:rPr>
        <w:t xml:space="preserve">те </w:t>
      </w:r>
      <w:r w:rsidR="004C0AC5" w:rsidRPr="003D505F">
        <w:rPr>
          <w:b/>
          <w:lang w:val="ru-RU"/>
        </w:rPr>
        <w:t xml:space="preserve">договоры, </w:t>
      </w:r>
      <w:r w:rsidR="004C0AC5">
        <w:rPr>
          <w:b/>
          <w:lang w:val="ru-RU"/>
        </w:rPr>
        <w:t xml:space="preserve">которые </w:t>
      </w:r>
      <w:r w:rsidR="004C0AC5" w:rsidRPr="003D505F">
        <w:rPr>
          <w:b/>
          <w:lang w:val="ru-RU"/>
        </w:rPr>
        <w:t>заключены с</w:t>
      </w:r>
      <w:r w:rsidR="004C0AC5">
        <w:rPr>
          <w:b/>
          <w:lang w:val="ru-RU"/>
        </w:rPr>
        <w:t xml:space="preserve"> внешней по отношению к</w:t>
      </w:r>
      <w:r w:rsidR="004C0AC5" w:rsidRPr="003D505F">
        <w:rPr>
          <w:b/>
          <w:lang w:val="ru-RU"/>
        </w:rPr>
        <w:t xml:space="preserve"> отчитывающейся организаци</w:t>
      </w:r>
      <w:r w:rsidR="004C0AC5">
        <w:rPr>
          <w:b/>
          <w:lang w:val="ru-RU"/>
        </w:rPr>
        <w:t>и стороной</w:t>
      </w:r>
      <w:r w:rsidR="00D568A2">
        <w:rPr>
          <w:b/>
          <w:lang w:val="ru-RU"/>
        </w:rPr>
        <w:t xml:space="preserve"> (т. </w:t>
      </w:r>
      <w:r w:rsidR="004C0AC5" w:rsidRPr="003D505F">
        <w:rPr>
          <w:b/>
          <w:lang w:val="ru-RU"/>
        </w:rPr>
        <w:t xml:space="preserve">е. </w:t>
      </w:r>
      <w:r w:rsidR="004C0AC5">
        <w:rPr>
          <w:b/>
          <w:lang w:val="ru-RU"/>
        </w:rPr>
        <w:t>внешней для группы</w:t>
      </w:r>
      <w:r w:rsidR="004C0AC5" w:rsidRPr="003D505F">
        <w:rPr>
          <w:b/>
          <w:lang w:val="ru-RU"/>
        </w:rPr>
        <w:t xml:space="preserve"> или </w:t>
      </w:r>
      <w:r w:rsidR="004C0AC5">
        <w:rPr>
          <w:b/>
          <w:lang w:val="ru-RU"/>
        </w:rPr>
        <w:t>отдельной организации</w:t>
      </w:r>
      <w:r w:rsidR="004C0AC5" w:rsidRPr="003D505F">
        <w:rPr>
          <w:b/>
          <w:lang w:val="ru-RU"/>
        </w:rPr>
        <w:t xml:space="preserve">, </w:t>
      </w:r>
      <w:r w:rsidR="004C0AC5">
        <w:rPr>
          <w:b/>
          <w:lang w:val="ru-RU"/>
        </w:rPr>
        <w:t xml:space="preserve">в отношении </w:t>
      </w:r>
      <w:r w:rsidR="004C0AC5" w:rsidRPr="003D505F">
        <w:rPr>
          <w:b/>
          <w:lang w:val="ru-RU"/>
        </w:rPr>
        <w:t>которой составляется финансовая отчетность)</w:t>
      </w:r>
      <w:r w:rsidR="004C0AC5">
        <w:rPr>
          <w:b/>
          <w:lang w:val="ru-RU"/>
        </w:rPr>
        <w:t>,</w:t>
      </w:r>
      <w:r w:rsidR="004C0AC5" w:rsidRPr="003D505F">
        <w:rPr>
          <w:b/>
          <w:lang w:val="ru-RU"/>
        </w:rPr>
        <w:t xml:space="preserve"> </w:t>
      </w:r>
      <w:r w:rsidR="004C0AC5" w:rsidRPr="00494F8D">
        <w:rPr>
          <w:b/>
          <w:lang w:val="ru-RU"/>
        </w:rPr>
        <w:t>могут по усмотрению организации определяться в качестве инструментов хеджирования</w:t>
      </w:r>
      <w:r w:rsidRPr="0049187C">
        <w:rPr>
          <w:b/>
          <w:lang w:val="ru-RU"/>
        </w:rPr>
        <w:t xml:space="preserve">. </w:t>
      </w:r>
      <w:bookmarkEnd w:id="47"/>
    </w:p>
    <w:p w:rsidR="007D4BCC" w:rsidRPr="0049187C" w:rsidRDefault="004C0AC5" w:rsidP="007D4BCC">
      <w:pPr>
        <w:pStyle w:val="IASBSectionTitle2Ind"/>
        <w:rPr>
          <w:lang w:val="ru-RU"/>
        </w:rPr>
      </w:pPr>
      <w:bookmarkStart w:id="48" w:name="F27186653"/>
      <w:r>
        <w:rPr>
          <w:lang w:val="ru-RU"/>
        </w:rPr>
        <w:t>Определение</w:t>
      </w:r>
      <w:r w:rsidR="007D4BCC" w:rsidRPr="0049187C">
        <w:rPr>
          <w:lang w:val="ru-RU"/>
        </w:rPr>
        <w:t xml:space="preserve"> инструментов хеджирования</w:t>
      </w:r>
      <w:bookmarkEnd w:id="48"/>
      <w:r>
        <w:rPr>
          <w:lang w:val="ru-RU"/>
        </w:rPr>
        <w:t xml:space="preserve"> по усмотрению организации</w:t>
      </w:r>
    </w:p>
    <w:p w:rsidR="004C0AC5" w:rsidRPr="003D505F" w:rsidRDefault="007D4BCC" w:rsidP="004C0AC5">
      <w:pPr>
        <w:pStyle w:val="IASBNormalnpara"/>
        <w:rPr>
          <w:lang w:val="ru-RU"/>
        </w:rPr>
      </w:pPr>
      <w:r w:rsidRPr="0049187C">
        <w:rPr>
          <w:lang w:val="ru-RU"/>
        </w:rPr>
        <w:t>6.2.4</w:t>
      </w:r>
      <w:r w:rsidRPr="0049187C">
        <w:rPr>
          <w:lang w:val="ru-RU"/>
        </w:rPr>
        <w:tab/>
      </w:r>
      <w:bookmarkStart w:id="49" w:name="F27186661"/>
      <w:bookmarkStart w:id="50" w:name="F27186654"/>
      <w:r w:rsidR="004C0AC5" w:rsidRPr="005E60E3">
        <w:rPr>
          <w:lang w:val="ru-RU"/>
        </w:rPr>
        <w:t>Квалифицируемый инструмент хеджирования</w:t>
      </w:r>
      <w:r w:rsidR="004C0AC5">
        <w:rPr>
          <w:lang w:val="ru-RU"/>
        </w:rPr>
        <w:t xml:space="preserve"> может определяться по усмотрению организации </w:t>
      </w:r>
      <w:r w:rsidR="004C0AC5" w:rsidRPr="003D505F">
        <w:rPr>
          <w:lang w:val="ru-RU"/>
        </w:rPr>
        <w:t>в качестве инструмента хеджирования</w:t>
      </w:r>
      <w:r w:rsidR="004C0AC5">
        <w:rPr>
          <w:lang w:val="ru-RU"/>
        </w:rPr>
        <w:t xml:space="preserve"> только</w:t>
      </w:r>
      <w:r w:rsidR="004C0AC5" w:rsidRPr="003D505F">
        <w:rPr>
          <w:lang w:val="ru-RU"/>
        </w:rPr>
        <w:t xml:space="preserve"> целиком. Единственными </w:t>
      </w:r>
      <w:r w:rsidR="004C0AC5">
        <w:rPr>
          <w:lang w:val="ru-RU"/>
        </w:rPr>
        <w:t xml:space="preserve">допустимыми </w:t>
      </w:r>
      <w:r w:rsidR="004C0AC5" w:rsidRPr="003D505F">
        <w:rPr>
          <w:lang w:val="ru-RU"/>
        </w:rPr>
        <w:t>исключениями являются:</w:t>
      </w:r>
      <w:bookmarkEnd w:id="50"/>
    </w:p>
    <w:p w:rsidR="004C0AC5" w:rsidRPr="003D505F" w:rsidRDefault="004C0AC5" w:rsidP="004C0AC5">
      <w:pPr>
        <w:pStyle w:val="IASBNormalnparaL1"/>
        <w:rPr>
          <w:lang w:val="ru-RU"/>
        </w:rPr>
      </w:pPr>
      <w:r w:rsidRPr="003D505F">
        <w:rPr>
          <w:lang w:val="ru-RU"/>
        </w:rPr>
        <w:t>(</w:t>
      </w:r>
      <w:r>
        <w:t>a</w:t>
      </w:r>
      <w:r w:rsidRPr="003D505F">
        <w:rPr>
          <w:lang w:val="ru-RU"/>
        </w:rPr>
        <w:t>)</w:t>
      </w:r>
      <w:r w:rsidRPr="003D505F">
        <w:rPr>
          <w:lang w:val="ru-RU"/>
        </w:rPr>
        <w:tab/>
      </w:r>
      <w:bookmarkStart w:id="51" w:name="F27186657"/>
      <w:r>
        <w:rPr>
          <w:lang w:val="ru-RU"/>
        </w:rPr>
        <w:t>раз</w:t>
      </w:r>
      <w:r w:rsidRPr="003D505F">
        <w:rPr>
          <w:lang w:val="ru-RU"/>
        </w:rPr>
        <w:t xml:space="preserve">деление </w:t>
      </w:r>
      <w:r>
        <w:rPr>
          <w:lang w:val="ru-RU"/>
        </w:rPr>
        <w:t xml:space="preserve">стоимости </w:t>
      </w:r>
      <w:r w:rsidRPr="003D505F">
        <w:rPr>
          <w:lang w:val="ru-RU"/>
        </w:rPr>
        <w:t xml:space="preserve">договора опциона </w:t>
      </w:r>
      <w:r>
        <w:rPr>
          <w:lang w:val="ru-RU"/>
        </w:rPr>
        <w:t>на внутреннюю</w:t>
      </w:r>
      <w:r w:rsidRPr="003D505F">
        <w:rPr>
          <w:lang w:val="ru-RU"/>
        </w:rPr>
        <w:t xml:space="preserve"> стоимости и временн</w:t>
      </w:r>
      <w:r>
        <w:rPr>
          <w:lang w:val="ru-RU"/>
        </w:rPr>
        <w:t>ýю стоимость</w:t>
      </w:r>
      <w:r w:rsidRPr="003D505F">
        <w:rPr>
          <w:lang w:val="ru-RU"/>
        </w:rPr>
        <w:t xml:space="preserve"> и </w:t>
      </w:r>
      <w:r>
        <w:rPr>
          <w:lang w:val="ru-RU"/>
        </w:rPr>
        <w:t xml:space="preserve">определение </w:t>
      </w:r>
      <w:r w:rsidRPr="003D505F">
        <w:rPr>
          <w:lang w:val="ru-RU"/>
        </w:rPr>
        <w:t>в качестве инструмента хеджирования только изменени</w:t>
      </w:r>
      <w:r>
        <w:rPr>
          <w:lang w:val="ru-RU"/>
        </w:rPr>
        <w:t>й</w:t>
      </w:r>
      <w:r w:rsidRPr="003D505F">
        <w:rPr>
          <w:lang w:val="ru-RU"/>
        </w:rPr>
        <w:t xml:space="preserve"> внутренней стоимости опциона, </w:t>
      </w:r>
      <w:r w:rsidR="00D568A2">
        <w:rPr>
          <w:lang w:val="ru-RU"/>
        </w:rPr>
        <w:t>исключая изменения</w:t>
      </w:r>
      <w:r w:rsidRPr="003D505F">
        <w:rPr>
          <w:lang w:val="ru-RU"/>
        </w:rPr>
        <w:t xml:space="preserve"> его временн</w:t>
      </w:r>
      <w:r w:rsidRPr="00B44571">
        <w:rPr>
          <w:lang w:val="ru-RU"/>
        </w:rPr>
        <w:t>ó</w:t>
      </w:r>
      <w:r w:rsidRPr="003D505F">
        <w:rPr>
          <w:lang w:val="ru-RU"/>
        </w:rPr>
        <w:t>й стоимости (см. пункты 6.5.15 и В6.5.29–В6.5.33);</w:t>
      </w:r>
      <w:bookmarkEnd w:id="51"/>
    </w:p>
    <w:p w:rsidR="004C0AC5" w:rsidRPr="003D505F" w:rsidRDefault="004C0AC5" w:rsidP="004C0AC5">
      <w:pPr>
        <w:pStyle w:val="IASBNormalnparaL1"/>
        <w:rPr>
          <w:lang w:val="ru-RU"/>
        </w:rPr>
      </w:pPr>
      <w:r w:rsidRPr="003D505F">
        <w:rPr>
          <w:lang w:val="ru-RU"/>
        </w:rPr>
        <w:t>(</w:t>
      </w:r>
      <w:r>
        <w:t>b</w:t>
      </w:r>
      <w:r w:rsidRPr="003D505F">
        <w:rPr>
          <w:lang w:val="ru-RU"/>
        </w:rPr>
        <w:t>)</w:t>
      </w:r>
      <w:r w:rsidRPr="003D505F">
        <w:rPr>
          <w:lang w:val="ru-RU"/>
        </w:rPr>
        <w:tab/>
      </w:r>
      <w:bookmarkStart w:id="52" w:name="F27186659"/>
      <w:r w:rsidRPr="003D505F">
        <w:rPr>
          <w:lang w:val="ru-RU"/>
        </w:rPr>
        <w:t xml:space="preserve">разделение </w:t>
      </w:r>
      <w:r>
        <w:rPr>
          <w:lang w:val="ru-RU"/>
        </w:rPr>
        <w:t>стоимости форвардного договора на форвардный элемент</w:t>
      </w:r>
      <w:r w:rsidRPr="003D505F">
        <w:rPr>
          <w:lang w:val="ru-RU"/>
        </w:rPr>
        <w:t xml:space="preserve"> и </w:t>
      </w:r>
      <w:r w:rsidRPr="005E60E3">
        <w:rPr>
          <w:lang w:val="ru-RU"/>
        </w:rPr>
        <w:t>спот-элемент и</w:t>
      </w:r>
      <w:r w:rsidRPr="003D505F">
        <w:rPr>
          <w:lang w:val="ru-RU"/>
        </w:rPr>
        <w:t xml:space="preserve"> </w:t>
      </w:r>
      <w:r>
        <w:rPr>
          <w:lang w:val="ru-RU"/>
        </w:rPr>
        <w:t>определение по усмотрению организации</w:t>
      </w:r>
      <w:r w:rsidRPr="003D505F">
        <w:rPr>
          <w:lang w:val="ru-RU"/>
        </w:rPr>
        <w:t xml:space="preserve"> в качестве инструмента хеджирования только изменени</w:t>
      </w:r>
      <w:r>
        <w:rPr>
          <w:lang w:val="ru-RU"/>
        </w:rPr>
        <w:t>й</w:t>
      </w:r>
      <w:r w:rsidRPr="003D505F">
        <w:rPr>
          <w:lang w:val="ru-RU"/>
        </w:rPr>
        <w:t xml:space="preserve"> стоимости </w:t>
      </w:r>
      <w:r w:rsidRPr="003E599C">
        <w:rPr>
          <w:lang w:val="ru-RU"/>
        </w:rPr>
        <w:t>спот-элемента форвардного</w:t>
      </w:r>
      <w:r>
        <w:rPr>
          <w:lang w:val="ru-RU"/>
        </w:rPr>
        <w:t xml:space="preserve"> договора</w:t>
      </w:r>
      <w:r w:rsidRPr="003D505F">
        <w:rPr>
          <w:lang w:val="ru-RU"/>
        </w:rPr>
        <w:t xml:space="preserve">, но не </w:t>
      </w:r>
      <w:r>
        <w:rPr>
          <w:lang w:val="ru-RU"/>
        </w:rPr>
        <w:t xml:space="preserve">изменений стоимости </w:t>
      </w:r>
      <w:r w:rsidRPr="003D505F">
        <w:rPr>
          <w:lang w:val="ru-RU"/>
        </w:rPr>
        <w:t>форвардного элемента; аналогичным образом</w:t>
      </w:r>
      <w:r>
        <w:rPr>
          <w:lang w:val="ru-RU"/>
        </w:rPr>
        <w:t xml:space="preserve"> может быть выделен валютный базисный спрэ</w:t>
      </w:r>
      <w:r w:rsidRPr="003D505F">
        <w:rPr>
          <w:lang w:val="ru-RU"/>
        </w:rPr>
        <w:t>д</w:t>
      </w:r>
      <w:r w:rsidRPr="003E599C">
        <w:rPr>
          <w:lang w:val="ru-RU"/>
        </w:rPr>
        <w:t xml:space="preserve">, чтобы не принимать его в расчет при </w:t>
      </w:r>
      <w:r>
        <w:rPr>
          <w:lang w:val="ru-RU"/>
        </w:rPr>
        <w:t>определении</w:t>
      </w:r>
      <w:r w:rsidRPr="003D505F">
        <w:rPr>
          <w:lang w:val="ru-RU"/>
        </w:rPr>
        <w:t xml:space="preserve"> финансового инструмента </w:t>
      </w:r>
      <w:r>
        <w:rPr>
          <w:lang w:val="ru-RU"/>
        </w:rPr>
        <w:t xml:space="preserve">по усмотрению организации </w:t>
      </w:r>
      <w:r w:rsidRPr="003D505F">
        <w:rPr>
          <w:lang w:val="ru-RU"/>
        </w:rPr>
        <w:t xml:space="preserve">в качестве инструмента хеджирования (см. пункты 6.5.16 и </w:t>
      </w:r>
      <w:r>
        <w:t>B</w:t>
      </w:r>
      <w:r w:rsidRPr="003D505F">
        <w:rPr>
          <w:lang w:val="ru-RU"/>
        </w:rPr>
        <w:t>6.5.34–</w:t>
      </w:r>
      <w:r>
        <w:t>B</w:t>
      </w:r>
      <w:r w:rsidRPr="003D505F">
        <w:rPr>
          <w:lang w:val="ru-RU"/>
        </w:rPr>
        <w:t>6.5.39); и</w:t>
      </w:r>
      <w:bookmarkEnd w:id="52"/>
    </w:p>
    <w:p w:rsidR="007D4BCC" w:rsidRPr="0049187C" w:rsidRDefault="004C0AC5" w:rsidP="004C0AC5">
      <w:pPr>
        <w:pStyle w:val="IASBNormalnpara"/>
        <w:ind w:left="1560" w:hanging="709"/>
        <w:rPr>
          <w:lang w:val="ru-RU"/>
        </w:rPr>
      </w:pPr>
      <w:r w:rsidRPr="003D505F">
        <w:rPr>
          <w:lang w:val="ru-RU"/>
        </w:rPr>
        <w:t>(</w:t>
      </w:r>
      <w:r>
        <w:t>c</w:t>
      </w:r>
      <w:r w:rsidRPr="003D505F">
        <w:rPr>
          <w:lang w:val="ru-RU"/>
        </w:rPr>
        <w:t>)</w:t>
      </w:r>
      <w:r w:rsidRPr="003D505F">
        <w:rPr>
          <w:lang w:val="ru-RU"/>
        </w:rPr>
        <w:tab/>
      </w:r>
      <w:r>
        <w:rPr>
          <w:lang w:val="ru-RU"/>
        </w:rPr>
        <w:t>пропорциональная доля</w:t>
      </w:r>
      <w:r w:rsidRPr="003D505F">
        <w:rPr>
          <w:lang w:val="ru-RU"/>
        </w:rPr>
        <w:t xml:space="preserve"> всего инструмента хеджирования, </w:t>
      </w:r>
      <w:r>
        <w:rPr>
          <w:lang w:val="ru-RU"/>
        </w:rPr>
        <w:t>например</w:t>
      </w:r>
      <w:r w:rsidRPr="003D505F">
        <w:rPr>
          <w:lang w:val="ru-RU"/>
        </w:rPr>
        <w:t xml:space="preserve"> 50 процентов его номинальной стоимости, может быть </w:t>
      </w:r>
      <w:r w:rsidRPr="00042D97">
        <w:rPr>
          <w:lang w:val="ru-RU"/>
        </w:rPr>
        <w:t>определена по усмотрению организации в</w:t>
      </w:r>
      <w:r>
        <w:rPr>
          <w:lang w:val="ru-RU"/>
        </w:rPr>
        <w:t xml:space="preserve"> качестве</w:t>
      </w:r>
      <w:r w:rsidRPr="003D505F">
        <w:rPr>
          <w:lang w:val="ru-RU"/>
        </w:rPr>
        <w:t xml:space="preserve"> инструмент</w:t>
      </w:r>
      <w:r>
        <w:rPr>
          <w:lang w:val="ru-RU"/>
        </w:rPr>
        <w:t>а</w:t>
      </w:r>
      <w:r w:rsidRPr="003D505F">
        <w:rPr>
          <w:lang w:val="ru-RU"/>
        </w:rPr>
        <w:t xml:space="preserve"> хеджирования в отношения</w:t>
      </w:r>
      <w:r>
        <w:rPr>
          <w:lang w:val="ru-RU"/>
        </w:rPr>
        <w:t>х</w:t>
      </w:r>
      <w:r w:rsidRPr="003D505F">
        <w:rPr>
          <w:lang w:val="ru-RU"/>
        </w:rPr>
        <w:t xml:space="preserve"> хеджирования. Однако </w:t>
      </w:r>
      <w:r>
        <w:rPr>
          <w:lang w:val="ru-RU"/>
        </w:rPr>
        <w:t xml:space="preserve">нельзя определять в качестве </w:t>
      </w:r>
      <w:r w:rsidRPr="003D505F">
        <w:rPr>
          <w:lang w:val="ru-RU"/>
        </w:rPr>
        <w:t>инструмент</w:t>
      </w:r>
      <w:r>
        <w:rPr>
          <w:lang w:val="ru-RU"/>
        </w:rPr>
        <w:t>а</w:t>
      </w:r>
      <w:r w:rsidRPr="003D505F">
        <w:rPr>
          <w:lang w:val="ru-RU"/>
        </w:rPr>
        <w:t xml:space="preserve"> хеджирования ч</w:t>
      </w:r>
      <w:r>
        <w:rPr>
          <w:lang w:val="ru-RU"/>
        </w:rPr>
        <w:t>асть</w:t>
      </w:r>
      <w:r w:rsidRPr="003D505F">
        <w:rPr>
          <w:lang w:val="ru-RU"/>
        </w:rPr>
        <w:t xml:space="preserve"> изменения его справедливой стоимости, </w:t>
      </w:r>
      <w:r>
        <w:rPr>
          <w:lang w:val="ru-RU"/>
        </w:rPr>
        <w:t>относящуюся только к части срока</w:t>
      </w:r>
      <w:r w:rsidRPr="003D505F">
        <w:rPr>
          <w:lang w:val="ru-RU"/>
        </w:rPr>
        <w:t>, в течение которого данный инструмент хеджирования находится в обращении</w:t>
      </w:r>
      <w:r w:rsidR="007D4BCC" w:rsidRPr="0049187C">
        <w:rPr>
          <w:lang w:val="ru-RU"/>
        </w:rPr>
        <w:t>.</w:t>
      </w:r>
      <w:bookmarkEnd w:id="49"/>
    </w:p>
    <w:p w:rsidR="004C0AC5" w:rsidRPr="003D505F" w:rsidRDefault="007D4BCC" w:rsidP="004C0AC5">
      <w:pPr>
        <w:pStyle w:val="IASBNormalnpara"/>
        <w:rPr>
          <w:lang w:val="ru-RU"/>
        </w:rPr>
      </w:pPr>
      <w:r w:rsidRPr="0049187C">
        <w:rPr>
          <w:lang w:val="ru-RU"/>
        </w:rPr>
        <w:t>6.2.5</w:t>
      </w:r>
      <w:r w:rsidRPr="0049187C">
        <w:rPr>
          <w:lang w:val="ru-RU"/>
        </w:rPr>
        <w:tab/>
      </w:r>
      <w:bookmarkStart w:id="53" w:name="F27186668"/>
      <w:bookmarkStart w:id="54" w:name="F27186662"/>
      <w:r w:rsidR="004C0AC5" w:rsidRPr="003D505F">
        <w:rPr>
          <w:lang w:val="ru-RU"/>
        </w:rPr>
        <w:t xml:space="preserve">Организация вправе рассматривать в совокупности и объединять для </w:t>
      </w:r>
      <w:r w:rsidR="004C0AC5">
        <w:rPr>
          <w:lang w:val="ru-RU"/>
        </w:rPr>
        <w:t xml:space="preserve">определения по </w:t>
      </w:r>
      <w:r w:rsidR="004C0AC5" w:rsidRPr="00042D97">
        <w:rPr>
          <w:lang w:val="ru-RU"/>
        </w:rPr>
        <w:t xml:space="preserve">собственному усмотрению </w:t>
      </w:r>
      <w:r w:rsidR="004C0AC5" w:rsidRPr="003D505F">
        <w:rPr>
          <w:lang w:val="ru-RU"/>
        </w:rPr>
        <w:t>в качестве инструмента хеджирования следующи</w:t>
      </w:r>
      <w:r w:rsidR="004C0AC5">
        <w:rPr>
          <w:lang w:val="ru-RU"/>
        </w:rPr>
        <w:t>е</w:t>
      </w:r>
      <w:r w:rsidR="004C0AC5" w:rsidRPr="003D505F">
        <w:rPr>
          <w:lang w:val="ru-RU"/>
        </w:rPr>
        <w:t xml:space="preserve"> инструмент</w:t>
      </w:r>
      <w:r w:rsidR="004C0AC5">
        <w:rPr>
          <w:lang w:val="ru-RU"/>
        </w:rPr>
        <w:t>ы в любом их сочетании</w:t>
      </w:r>
      <w:r w:rsidR="004C0AC5" w:rsidRPr="003D505F">
        <w:rPr>
          <w:lang w:val="ru-RU"/>
        </w:rPr>
        <w:t xml:space="preserve"> (включая обстоятельства, в которых риск или риски, возникающие по некоторым инструментам хеджирования, компенсируют риски, возникающие по другим инструментам хеджирования):</w:t>
      </w:r>
      <w:bookmarkEnd w:id="54"/>
    </w:p>
    <w:p w:rsidR="004C0AC5" w:rsidRPr="003D505F" w:rsidRDefault="004C0AC5" w:rsidP="004C0AC5">
      <w:pPr>
        <w:pStyle w:val="IASBNormalnparaL1"/>
        <w:rPr>
          <w:lang w:val="ru-RU"/>
        </w:rPr>
      </w:pPr>
      <w:r w:rsidRPr="003D505F">
        <w:rPr>
          <w:lang w:val="ru-RU"/>
        </w:rPr>
        <w:t>(</w:t>
      </w:r>
      <w:r>
        <w:t>a</w:t>
      </w:r>
      <w:r w:rsidRPr="003D505F">
        <w:rPr>
          <w:lang w:val="ru-RU"/>
        </w:rPr>
        <w:t>)</w:t>
      </w:r>
      <w:r w:rsidRPr="003D505F">
        <w:rPr>
          <w:lang w:val="ru-RU"/>
        </w:rPr>
        <w:tab/>
      </w:r>
      <w:bookmarkStart w:id="55" w:name="F27186665"/>
      <w:r w:rsidRPr="003D505F">
        <w:rPr>
          <w:lang w:val="ru-RU"/>
        </w:rPr>
        <w:t xml:space="preserve">производные инструменты или их пропорциональная </w:t>
      </w:r>
      <w:r>
        <w:rPr>
          <w:lang w:val="ru-RU"/>
        </w:rPr>
        <w:t>доля</w:t>
      </w:r>
      <w:r w:rsidRPr="003D505F">
        <w:rPr>
          <w:lang w:val="ru-RU"/>
        </w:rPr>
        <w:t>; и</w:t>
      </w:r>
      <w:bookmarkEnd w:id="55"/>
    </w:p>
    <w:p w:rsidR="004C0AC5" w:rsidRPr="003D505F" w:rsidRDefault="004C0AC5" w:rsidP="004C0AC5">
      <w:pPr>
        <w:pStyle w:val="IASBNormalnparaL1"/>
        <w:rPr>
          <w:lang w:val="ru-RU"/>
        </w:rPr>
      </w:pPr>
      <w:r w:rsidRPr="003D505F">
        <w:rPr>
          <w:lang w:val="ru-RU"/>
        </w:rPr>
        <w:t>(</w:t>
      </w:r>
      <w:r>
        <w:t>b</w:t>
      </w:r>
      <w:r w:rsidRPr="003D505F">
        <w:rPr>
          <w:lang w:val="ru-RU"/>
        </w:rPr>
        <w:t>)</w:t>
      </w:r>
      <w:r w:rsidRPr="003D505F">
        <w:rPr>
          <w:lang w:val="ru-RU"/>
        </w:rPr>
        <w:tab/>
      </w:r>
      <w:bookmarkStart w:id="56" w:name="F27186667"/>
      <w:r w:rsidRPr="003D505F">
        <w:rPr>
          <w:lang w:val="ru-RU"/>
        </w:rPr>
        <w:t xml:space="preserve">непроизводные инструменты или их </w:t>
      </w:r>
      <w:r w:rsidRPr="00A50A7A">
        <w:rPr>
          <w:lang w:val="ru-RU"/>
        </w:rPr>
        <w:t xml:space="preserve">пропорциональная </w:t>
      </w:r>
      <w:r>
        <w:rPr>
          <w:lang w:val="ru-RU"/>
        </w:rPr>
        <w:t>доля</w:t>
      </w:r>
      <w:r w:rsidRPr="003D505F">
        <w:rPr>
          <w:lang w:val="ru-RU"/>
        </w:rPr>
        <w:t>.</w:t>
      </w:r>
      <w:bookmarkEnd w:id="56"/>
    </w:p>
    <w:p w:rsidR="007D4BCC" w:rsidRPr="0049187C" w:rsidRDefault="004C0AC5" w:rsidP="004C0AC5">
      <w:pPr>
        <w:pStyle w:val="IASBNormalnpara"/>
        <w:rPr>
          <w:lang w:val="ru-RU"/>
        </w:rPr>
      </w:pPr>
      <w:r w:rsidRPr="003D505F">
        <w:rPr>
          <w:lang w:val="ru-RU"/>
        </w:rPr>
        <w:t>6.2.6</w:t>
      </w:r>
      <w:r w:rsidRPr="003D505F">
        <w:rPr>
          <w:lang w:val="ru-RU"/>
        </w:rPr>
        <w:tab/>
        <w:t>Однако производный инструмент, который объединяет в себе выпущенный о</w:t>
      </w:r>
      <w:r w:rsidR="00D85425">
        <w:rPr>
          <w:lang w:val="ru-RU"/>
        </w:rPr>
        <w:t>пцион и приобретенный опцион (например</w:t>
      </w:r>
      <w:r w:rsidRPr="003D505F">
        <w:rPr>
          <w:lang w:val="ru-RU"/>
        </w:rPr>
        <w:t>, процентный кол</w:t>
      </w:r>
      <w:r w:rsidR="00C36636">
        <w:rPr>
          <w:lang w:val="ru-RU"/>
        </w:rPr>
        <w:t>л</w:t>
      </w:r>
      <w:r w:rsidRPr="003D505F">
        <w:rPr>
          <w:lang w:val="ru-RU"/>
        </w:rPr>
        <w:t>ар), не</w:t>
      </w:r>
      <w:r>
        <w:rPr>
          <w:lang w:val="ru-RU"/>
        </w:rPr>
        <w:t>льзя квалифицировать как</w:t>
      </w:r>
      <w:r w:rsidRPr="003D505F">
        <w:rPr>
          <w:lang w:val="ru-RU"/>
        </w:rPr>
        <w:t xml:space="preserve"> инструмент хеджирования, если на дату </w:t>
      </w:r>
      <w:r>
        <w:rPr>
          <w:lang w:val="ru-RU"/>
        </w:rPr>
        <w:t>определения его по усмотрению организации в качестве такового</w:t>
      </w:r>
      <w:r w:rsidRPr="003D505F">
        <w:rPr>
          <w:lang w:val="ru-RU"/>
        </w:rPr>
        <w:t xml:space="preserve"> он</w:t>
      </w:r>
      <w:r>
        <w:rPr>
          <w:lang w:val="ru-RU"/>
        </w:rPr>
        <w:t xml:space="preserve">, по существу, </w:t>
      </w:r>
      <w:r w:rsidR="0082090A">
        <w:rPr>
          <w:lang w:val="ru-RU"/>
        </w:rPr>
        <w:t>представляет собой нетто-</w:t>
      </w:r>
      <w:r w:rsidRPr="003D505F">
        <w:rPr>
          <w:lang w:val="ru-RU"/>
        </w:rPr>
        <w:t xml:space="preserve">выпущенный опцион (кроме случаев, когда он </w:t>
      </w:r>
      <w:r>
        <w:rPr>
          <w:lang w:val="ru-RU"/>
        </w:rPr>
        <w:t xml:space="preserve">квалифицируется </w:t>
      </w:r>
      <w:r w:rsidRPr="003D505F">
        <w:rPr>
          <w:lang w:val="ru-RU"/>
        </w:rPr>
        <w:t xml:space="preserve">в качестве инструмента хеджирования согласно пункту В6.2.4). Аналогичным образом, два или более инструментов (или их </w:t>
      </w:r>
      <w:r w:rsidRPr="00A50A7A">
        <w:rPr>
          <w:lang w:val="ru-RU"/>
        </w:rPr>
        <w:t>пропорциональные доли</w:t>
      </w:r>
      <w:r w:rsidRPr="003D505F">
        <w:rPr>
          <w:lang w:val="ru-RU"/>
        </w:rPr>
        <w:t xml:space="preserve">) могут быть вместе </w:t>
      </w:r>
      <w:r>
        <w:rPr>
          <w:lang w:val="ru-RU"/>
        </w:rPr>
        <w:t>определены по усмотрению организации в качестве</w:t>
      </w:r>
      <w:r w:rsidRPr="003D505F">
        <w:rPr>
          <w:lang w:val="ru-RU"/>
        </w:rPr>
        <w:t xml:space="preserve"> инструмент</w:t>
      </w:r>
      <w:r>
        <w:rPr>
          <w:lang w:val="ru-RU"/>
        </w:rPr>
        <w:t>а</w:t>
      </w:r>
      <w:r w:rsidRPr="003D505F">
        <w:rPr>
          <w:lang w:val="ru-RU"/>
        </w:rPr>
        <w:t xml:space="preserve"> хеджирования только в том случае, если на дату </w:t>
      </w:r>
      <w:r>
        <w:rPr>
          <w:lang w:val="ru-RU"/>
        </w:rPr>
        <w:t xml:space="preserve">их определения по усмотрению организации в качестве такового они, рассматриваемые </w:t>
      </w:r>
      <w:r w:rsidRPr="003D505F">
        <w:rPr>
          <w:lang w:val="ru-RU"/>
        </w:rPr>
        <w:t>в сочетании</w:t>
      </w:r>
      <w:r>
        <w:rPr>
          <w:lang w:val="ru-RU"/>
        </w:rPr>
        <w:t xml:space="preserve">, </w:t>
      </w:r>
      <w:r w:rsidRPr="003D505F">
        <w:rPr>
          <w:lang w:val="ru-RU"/>
        </w:rPr>
        <w:t>не являются</w:t>
      </w:r>
      <w:r>
        <w:rPr>
          <w:lang w:val="ru-RU"/>
        </w:rPr>
        <w:t>,</w:t>
      </w:r>
      <w:r w:rsidRPr="003D505F">
        <w:rPr>
          <w:lang w:val="ru-RU"/>
        </w:rPr>
        <w:t xml:space="preserve"> </w:t>
      </w:r>
      <w:r>
        <w:rPr>
          <w:lang w:val="ru-RU"/>
        </w:rPr>
        <w:t xml:space="preserve">по существу, </w:t>
      </w:r>
      <w:r w:rsidR="0082090A">
        <w:rPr>
          <w:lang w:val="ru-RU"/>
        </w:rPr>
        <w:t>нетто-</w:t>
      </w:r>
      <w:r w:rsidRPr="003D505F">
        <w:rPr>
          <w:lang w:val="ru-RU"/>
        </w:rPr>
        <w:t xml:space="preserve">выпущенным опционом (кроме случаев, когда он </w:t>
      </w:r>
      <w:r w:rsidRPr="000F4EFF">
        <w:rPr>
          <w:lang w:val="ru-RU"/>
        </w:rPr>
        <w:t xml:space="preserve">является квалифицируемым инструментом </w:t>
      </w:r>
      <w:r w:rsidRPr="003D505F">
        <w:rPr>
          <w:lang w:val="ru-RU"/>
        </w:rPr>
        <w:t>хеджирования согласно пункту В6.2.4)</w:t>
      </w:r>
      <w:r w:rsidR="007D4BCC" w:rsidRPr="0049187C">
        <w:rPr>
          <w:lang w:val="ru-RU"/>
        </w:rPr>
        <w:t>.</w:t>
      </w:r>
      <w:bookmarkEnd w:id="53"/>
    </w:p>
    <w:p w:rsidR="007D4BCC" w:rsidRPr="0049187C" w:rsidRDefault="007D4BCC" w:rsidP="007D4BCC">
      <w:pPr>
        <w:pStyle w:val="IASBSectionTitle1NonInd"/>
        <w:rPr>
          <w:lang w:val="ru-RU"/>
        </w:rPr>
      </w:pPr>
      <w:bookmarkStart w:id="57" w:name="SL32570226"/>
      <w:r w:rsidRPr="0049187C">
        <w:rPr>
          <w:lang w:val="ru-RU"/>
        </w:rPr>
        <w:t xml:space="preserve">6.3 </w:t>
      </w:r>
      <w:bookmarkEnd w:id="57"/>
      <w:r w:rsidRPr="0049187C">
        <w:rPr>
          <w:lang w:val="ru-RU"/>
        </w:rPr>
        <w:t>Объекты хеджирования</w:t>
      </w:r>
    </w:p>
    <w:p w:rsidR="007D4BCC" w:rsidRPr="0049187C" w:rsidRDefault="004C0AC5" w:rsidP="007D4BCC">
      <w:pPr>
        <w:pStyle w:val="IASBSectionTitle2Ind"/>
        <w:rPr>
          <w:lang w:val="ru-RU"/>
        </w:rPr>
      </w:pPr>
      <w:bookmarkStart w:id="58" w:name="F27192209"/>
      <w:r>
        <w:rPr>
          <w:lang w:val="ru-RU"/>
        </w:rPr>
        <w:t>Квалифицируемые о</w:t>
      </w:r>
      <w:r w:rsidR="007D4BCC" w:rsidRPr="0049187C">
        <w:rPr>
          <w:lang w:val="ru-RU"/>
        </w:rPr>
        <w:t>бъекты хеджирования</w:t>
      </w:r>
      <w:bookmarkEnd w:id="58"/>
    </w:p>
    <w:p w:rsidR="004C0AC5" w:rsidRPr="003D505F" w:rsidRDefault="007D4BCC" w:rsidP="004C0AC5">
      <w:pPr>
        <w:pStyle w:val="IASBNormalnpara"/>
        <w:rPr>
          <w:b/>
          <w:lang w:val="ru-RU"/>
        </w:rPr>
      </w:pPr>
      <w:r w:rsidRPr="0049187C">
        <w:rPr>
          <w:b/>
          <w:lang w:val="ru-RU"/>
        </w:rPr>
        <w:t>6.3.1</w:t>
      </w:r>
      <w:r w:rsidRPr="0049187C">
        <w:rPr>
          <w:b/>
          <w:lang w:val="ru-RU"/>
        </w:rPr>
        <w:tab/>
      </w:r>
      <w:bookmarkStart w:id="59" w:name="F27186684"/>
      <w:bookmarkStart w:id="60" w:name="F27186672"/>
      <w:r w:rsidR="004C0AC5" w:rsidRPr="003D505F">
        <w:rPr>
          <w:b/>
          <w:lang w:val="ru-RU"/>
        </w:rPr>
        <w:t xml:space="preserve">Объект хеджирования может представлять собой признанный актив или обязательство, непризнанное </w:t>
      </w:r>
      <w:r w:rsidR="004C0AC5" w:rsidRPr="003D505F">
        <w:rPr>
          <w:b/>
          <w:i/>
          <w:lang w:val="ru-RU"/>
        </w:rPr>
        <w:t>твердое договорное обязательство, прогнозируемую операцию</w:t>
      </w:r>
      <w:r w:rsidR="004C0AC5" w:rsidRPr="003D505F">
        <w:rPr>
          <w:b/>
          <w:lang w:val="ru-RU"/>
        </w:rPr>
        <w:t xml:space="preserve"> либо </w:t>
      </w:r>
      <w:r w:rsidR="004C0AC5" w:rsidRPr="004C0AC5">
        <w:rPr>
          <w:b/>
          <w:lang w:val="ru-RU"/>
        </w:rPr>
        <w:t>чистую инвестицию в иностранное подразделение</w:t>
      </w:r>
      <w:r w:rsidR="004C0AC5" w:rsidRPr="003D505F">
        <w:rPr>
          <w:b/>
          <w:lang w:val="ru-RU"/>
        </w:rPr>
        <w:t xml:space="preserve">. </w:t>
      </w:r>
      <w:r w:rsidR="004C0AC5">
        <w:rPr>
          <w:b/>
          <w:lang w:val="ru-RU"/>
        </w:rPr>
        <w:t xml:space="preserve">Объект </w:t>
      </w:r>
      <w:r w:rsidR="004C0AC5" w:rsidRPr="003D505F">
        <w:rPr>
          <w:b/>
          <w:lang w:val="ru-RU"/>
        </w:rPr>
        <w:t>хеджирования может представлять собой:</w:t>
      </w:r>
      <w:bookmarkEnd w:id="60"/>
    </w:p>
    <w:p w:rsidR="004C0AC5" w:rsidRPr="003D505F" w:rsidRDefault="004C0AC5" w:rsidP="004C0AC5">
      <w:pPr>
        <w:pStyle w:val="IASBNormalnparaL1"/>
        <w:rPr>
          <w:b/>
          <w:lang w:val="ru-RU"/>
        </w:rPr>
      </w:pPr>
      <w:r w:rsidRPr="003D505F">
        <w:rPr>
          <w:b/>
          <w:lang w:val="ru-RU"/>
        </w:rPr>
        <w:t>(</w:t>
      </w:r>
      <w:r>
        <w:rPr>
          <w:b/>
        </w:rPr>
        <w:t>a</w:t>
      </w:r>
      <w:r w:rsidRPr="003D505F">
        <w:rPr>
          <w:b/>
          <w:lang w:val="ru-RU"/>
        </w:rPr>
        <w:t>)</w:t>
      </w:r>
      <w:r w:rsidRPr="003D505F">
        <w:rPr>
          <w:lang w:val="ru-RU"/>
        </w:rPr>
        <w:tab/>
      </w:r>
      <w:bookmarkStart w:id="61" w:name="F27186677"/>
      <w:r>
        <w:rPr>
          <w:b/>
          <w:lang w:val="ru-RU"/>
        </w:rPr>
        <w:t>один объект</w:t>
      </w:r>
      <w:r w:rsidRPr="003D505F">
        <w:rPr>
          <w:b/>
          <w:lang w:val="ru-RU"/>
        </w:rPr>
        <w:t>; либо</w:t>
      </w:r>
      <w:bookmarkEnd w:id="61"/>
    </w:p>
    <w:p w:rsidR="004C0AC5" w:rsidRPr="003D505F" w:rsidRDefault="004C0AC5" w:rsidP="004C0AC5">
      <w:pPr>
        <w:pStyle w:val="IASBNormalnparaL1"/>
        <w:rPr>
          <w:b/>
          <w:lang w:val="ru-RU"/>
        </w:rPr>
      </w:pPr>
      <w:r w:rsidRPr="003D505F">
        <w:rPr>
          <w:b/>
          <w:lang w:val="ru-RU"/>
        </w:rPr>
        <w:t>(</w:t>
      </w:r>
      <w:r>
        <w:rPr>
          <w:b/>
        </w:rPr>
        <w:t>b</w:t>
      </w:r>
      <w:r w:rsidRPr="003D505F">
        <w:rPr>
          <w:b/>
          <w:lang w:val="ru-RU"/>
        </w:rPr>
        <w:t>)</w:t>
      </w:r>
      <w:r w:rsidRPr="003D505F">
        <w:rPr>
          <w:lang w:val="ru-RU"/>
        </w:rPr>
        <w:tab/>
      </w:r>
      <w:bookmarkStart w:id="62" w:name="F27186679"/>
      <w:r w:rsidRPr="003D505F">
        <w:rPr>
          <w:b/>
          <w:lang w:val="ru-RU"/>
        </w:rPr>
        <w:t>групп</w:t>
      </w:r>
      <w:r>
        <w:rPr>
          <w:b/>
          <w:lang w:val="ru-RU"/>
        </w:rPr>
        <w:t>у объектов</w:t>
      </w:r>
      <w:r w:rsidRPr="003D505F">
        <w:rPr>
          <w:b/>
          <w:lang w:val="ru-RU"/>
        </w:rPr>
        <w:t xml:space="preserve"> (</w:t>
      </w:r>
      <w:r>
        <w:rPr>
          <w:b/>
          <w:lang w:val="ru-RU"/>
        </w:rPr>
        <w:t>с учетом требований</w:t>
      </w:r>
      <w:r w:rsidRPr="003D505F">
        <w:rPr>
          <w:b/>
          <w:lang w:val="ru-RU"/>
        </w:rPr>
        <w:t xml:space="preserve"> пунктов 6.6.1–6.6.6 и </w:t>
      </w:r>
      <w:r>
        <w:rPr>
          <w:b/>
        </w:rPr>
        <w:t>B</w:t>
      </w:r>
      <w:r w:rsidRPr="003D505F">
        <w:rPr>
          <w:b/>
          <w:lang w:val="ru-RU"/>
        </w:rPr>
        <w:t>6.6.1–</w:t>
      </w:r>
      <w:r>
        <w:rPr>
          <w:b/>
        </w:rPr>
        <w:t>B</w:t>
      </w:r>
      <w:r w:rsidRPr="003D505F">
        <w:rPr>
          <w:b/>
          <w:lang w:val="ru-RU"/>
        </w:rPr>
        <w:t>6.6.16).</w:t>
      </w:r>
      <w:bookmarkEnd w:id="62"/>
    </w:p>
    <w:p w:rsidR="004C0AC5" w:rsidRPr="003D505F" w:rsidRDefault="004C0AC5" w:rsidP="004C0AC5">
      <w:pPr>
        <w:pStyle w:val="IASBNormalnparaP"/>
        <w:rPr>
          <w:b/>
          <w:lang w:val="ru-RU"/>
        </w:rPr>
      </w:pPr>
      <w:bookmarkStart w:id="63" w:name="F27186680"/>
      <w:r w:rsidRPr="003D505F">
        <w:rPr>
          <w:b/>
          <w:lang w:val="ru-RU"/>
        </w:rPr>
        <w:t>Объект хеджирования также может быть компонентом тако</w:t>
      </w:r>
      <w:r>
        <w:rPr>
          <w:b/>
          <w:lang w:val="ru-RU"/>
        </w:rPr>
        <w:t>го объекта</w:t>
      </w:r>
      <w:r w:rsidRPr="003D505F">
        <w:rPr>
          <w:b/>
          <w:lang w:val="ru-RU"/>
        </w:rPr>
        <w:t xml:space="preserve"> или группы </w:t>
      </w:r>
      <w:r>
        <w:rPr>
          <w:b/>
          <w:lang w:val="ru-RU"/>
        </w:rPr>
        <w:t>объектов</w:t>
      </w:r>
      <w:r w:rsidRPr="003D505F">
        <w:rPr>
          <w:b/>
          <w:lang w:val="ru-RU"/>
        </w:rPr>
        <w:t xml:space="preserve"> (см. пункты 6.3.7 и В6.3.7–В6.3.25).</w:t>
      </w:r>
      <w:bookmarkEnd w:id="63"/>
    </w:p>
    <w:p w:rsidR="004C0AC5" w:rsidRPr="003D505F" w:rsidRDefault="004C0AC5" w:rsidP="004C0AC5">
      <w:pPr>
        <w:pStyle w:val="IASBNormalnpara"/>
        <w:rPr>
          <w:b/>
          <w:lang w:val="ru-RU"/>
        </w:rPr>
      </w:pPr>
      <w:r w:rsidRPr="003D505F">
        <w:rPr>
          <w:b/>
          <w:lang w:val="ru-RU"/>
        </w:rPr>
        <w:t>6.3.2</w:t>
      </w:r>
      <w:r w:rsidRPr="003D505F">
        <w:rPr>
          <w:lang w:val="ru-RU"/>
        </w:rPr>
        <w:tab/>
      </w:r>
      <w:bookmarkStart w:id="64" w:name="F27186681"/>
      <w:r w:rsidRPr="003D505F">
        <w:rPr>
          <w:b/>
          <w:lang w:val="ru-RU"/>
        </w:rPr>
        <w:t>Объект хеджирования должен поддаваться надежной оценке.</w:t>
      </w:r>
      <w:bookmarkEnd w:id="64"/>
    </w:p>
    <w:p w:rsidR="004C0AC5" w:rsidRPr="003D505F" w:rsidRDefault="004C0AC5" w:rsidP="004C0AC5">
      <w:pPr>
        <w:pStyle w:val="IASBNormalnpara"/>
        <w:rPr>
          <w:b/>
          <w:lang w:val="ru-RU"/>
        </w:rPr>
      </w:pPr>
      <w:r w:rsidRPr="003D505F">
        <w:rPr>
          <w:b/>
          <w:lang w:val="ru-RU"/>
        </w:rPr>
        <w:t>6.3.3</w:t>
      </w:r>
      <w:r w:rsidRPr="003D505F">
        <w:rPr>
          <w:lang w:val="ru-RU"/>
        </w:rPr>
        <w:tab/>
      </w:r>
      <w:bookmarkStart w:id="65" w:name="F27186682"/>
      <w:r w:rsidRPr="003D505F">
        <w:rPr>
          <w:b/>
          <w:lang w:val="ru-RU"/>
        </w:rPr>
        <w:t xml:space="preserve">Если объект хеджирования представляет собой прогнозируемую операцию (или ее компонент), то </w:t>
      </w:r>
      <w:r w:rsidRPr="0095563D">
        <w:rPr>
          <w:b/>
          <w:lang w:val="ru-RU"/>
        </w:rPr>
        <w:t>данная операция должна быть высоковероятной</w:t>
      </w:r>
      <w:r w:rsidRPr="003D505F">
        <w:rPr>
          <w:b/>
          <w:lang w:val="ru-RU"/>
        </w:rPr>
        <w:t>.</w:t>
      </w:r>
      <w:bookmarkEnd w:id="65"/>
    </w:p>
    <w:p w:rsidR="004C0AC5" w:rsidRPr="003D505F" w:rsidRDefault="004C0AC5" w:rsidP="004C0AC5">
      <w:pPr>
        <w:pStyle w:val="IASBNormalnpara"/>
        <w:rPr>
          <w:b/>
          <w:lang w:val="ru-RU"/>
        </w:rPr>
      </w:pPr>
      <w:r w:rsidRPr="003D505F">
        <w:rPr>
          <w:b/>
          <w:lang w:val="ru-RU"/>
        </w:rPr>
        <w:t>6.3.4</w:t>
      </w:r>
      <w:r w:rsidRPr="003D505F">
        <w:rPr>
          <w:lang w:val="ru-RU"/>
        </w:rPr>
        <w:tab/>
      </w:r>
      <w:bookmarkStart w:id="66" w:name="F27186683"/>
      <w:r>
        <w:rPr>
          <w:b/>
          <w:lang w:val="ru-RU"/>
        </w:rPr>
        <w:t xml:space="preserve">В качестве объекта хеджирования может по усмотрению организации быть определена совокупная позиция по </w:t>
      </w:r>
      <w:r w:rsidRPr="003D505F">
        <w:rPr>
          <w:b/>
          <w:lang w:val="ru-RU"/>
        </w:rPr>
        <w:t>риску</w:t>
      </w:r>
      <w:r>
        <w:rPr>
          <w:b/>
          <w:lang w:val="ru-RU"/>
        </w:rPr>
        <w:t xml:space="preserve">, представляющая собой комбинацию из позиции, отвечающей требованиям к объекту хеджирования </w:t>
      </w:r>
      <w:r w:rsidRPr="003D505F">
        <w:rPr>
          <w:b/>
          <w:lang w:val="ru-RU"/>
        </w:rPr>
        <w:t xml:space="preserve">согласно пункту 6.3.1, </w:t>
      </w:r>
      <w:r w:rsidR="007B7C23">
        <w:rPr>
          <w:b/>
          <w:lang w:val="ru-RU"/>
        </w:rPr>
        <w:t>и производного инструмента (см. </w:t>
      </w:r>
      <w:r w:rsidRPr="003D505F">
        <w:rPr>
          <w:b/>
          <w:lang w:val="ru-RU"/>
        </w:rPr>
        <w:t xml:space="preserve">пункты </w:t>
      </w:r>
      <w:r>
        <w:rPr>
          <w:b/>
        </w:rPr>
        <w:t>B</w:t>
      </w:r>
      <w:r w:rsidRPr="003D505F">
        <w:rPr>
          <w:b/>
          <w:lang w:val="ru-RU"/>
        </w:rPr>
        <w:t>6.3.3–</w:t>
      </w:r>
      <w:r>
        <w:rPr>
          <w:b/>
        </w:rPr>
        <w:t>B</w:t>
      </w:r>
      <w:r w:rsidRPr="003D505F">
        <w:rPr>
          <w:b/>
          <w:lang w:val="ru-RU"/>
        </w:rPr>
        <w:t xml:space="preserve">6.3.4). </w:t>
      </w:r>
      <w:r>
        <w:rPr>
          <w:b/>
          <w:lang w:val="ru-RU"/>
        </w:rPr>
        <w:t xml:space="preserve">Это относится и к прогнозируемой операции, ведущей к возникновению совокупной позиции </w:t>
      </w:r>
      <w:r w:rsidRPr="003D505F">
        <w:rPr>
          <w:b/>
          <w:lang w:val="ru-RU"/>
        </w:rPr>
        <w:t>(</w:t>
      </w:r>
      <w:r w:rsidR="00730672">
        <w:rPr>
          <w:b/>
          <w:lang w:val="ru-RU"/>
        </w:rPr>
        <w:t>т. е.</w:t>
      </w:r>
      <w:r>
        <w:rPr>
          <w:b/>
          <w:lang w:val="ru-RU"/>
        </w:rPr>
        <w:t xml:space="preserve"> ожидаемым будущим операциям,</w:t>
      </w:r>
      <w:r w:rsidRPr="000A60CB">
        <w:rPr>
          <w:b/>
          <w:lang w:val="ru-RU"/>
        </w:rPr>
        <w:t xml:space="preserve"> в отношении которых еще не заключено соглашение, которые приведут к возникновению позиции по риску и производного инструмента</w:t>
      </w:r>
      <w:r>
        <w:rPr>
          <w:b/>
          <w:lang w:val="ru-RU"/>
        </w:rPr>
        <w:t>)</w:t>
      </w:r>
      <w:r w:rsidRPr="003D505F">
        <w:rPr>
          <w:b/>
          <w:lang w:val="ru-RU"/>
        </w:rPr>
        <w:t xml:space="preserve">, если </w:t>
      </w:r>
      <w:r w:rsidRPr="0095563D">
        <w:rPr>
          <w:b/>
          <w:lang w:val="ru-RU"/>
        </w:rPr>
        <w:t xml:space="preserve">возникновение такой совокупной </w:t>
      </w:r>
      <w:r w:rsidR="007B7C23">
        <w:rPr>
          <w:b/>
          <w:lang w:val="ru-RU"/>
        </w:rPr>
        <w:t>позиции по риску высоковероятно</w:t>
      </w:r>
      <w:r w:rsidRPr="003D505F">
        <w:rPr>
          <w:b/>
          <w:lang w:val="ru-RU"/>
        </w:rPr>
        <w:t xml:space="preserve"> и </w:t>
      </w:r>
      <w:r>
        <w:rPr>
          <w:b/>
          <w:lang w:val="ru-RU"/>
        </w:rPr>
        <w:t>при этом, как только соответствующая операция будет совершена и</w:t>
      </w:r>
      <w:r w:rsidRPr="003D505F">
        <w:rPr>
          <w:b/>
          <w:lang w:val="ru-RU"/>
        </w:rPr>
        <w:t xml:space="preserve">, следовательно, </w:t>
      </w:r>
      <w:r>
        <w:rPr>
          <w:b/>
          <w:lang w:val="ru-RU"/>
        </w:rPr>
        <w:t xml:space="preserve">уже </w:t>
      </w:r>
      <w:r w:rsidRPr="003D505F">
        <w:rPr>
          <w:b/>
          <w:lang w:val="ru-RU"/>
        </w:rPr>
        <w:t>не будет прогнозируемой</w:t>
      </w:r>
      <w:r>
        <w:rPr>
          <w:b/>
          <w:lang w:val="ru-RU"/>
        </w:rPr>
        <w:t>, данная позиция будет отвечать требованиям к объекту хеджирования</w:t>
      </w:r>
      <w:r w:rsidRPr="003D505F">
        <w:rPr>
          <w:b/>
          <w:lang w:val="ru-RU"/>
        </w:rPr>
        <w:t>.</w:t>
      </w:r>
      <w:bookmarkEnd w:id="66"/>
    </w:p>
    <w:p w:rsidR="007D4BCC" w:rsidRPr="0049187C" w:rsidRDefault="004C0AC5" w:rsidP="004C0AC5">
      <w:pPr>
        <w:pStyle w:val="IASBNormalnpara"/>
        <w:rPr>
          <w:b/>
          <w:lang w:val="ru-RU"/>
        </w:rPr>
      </w:pPr>
      <w:r w:rsidRPr="003D505F">
        <w:rPr>
          <w:b/>
          <w:lang w:val="ru-RU"/>
        </w:rPr>
        <w:t>6.3.5</w:t>
      </w:r>
      <w:r w:rsidRPr="003D505F">
        <w:rPr>
          <w:lang w:val="ru-RU"/>
        </w:rPr>
        <w:tab/>
      </w:r>
      <w:r w:rsidRPr="003D505F">
        <w:rPr>
          <w:b/>
          <w:lang w:val="ru-RU"/>
        </w:rPr>
        <w:t xml:space="preserve">Для целей учета хеджирования в качестве объектов хеджирования могут </w:t>
      </w:r>
      <w:r>
        <w:rPr>
          <w:b/>
          <w:lang w:val="ru-RU"/>
        </w:rPr>
        <w:t xml:space="preserve">по усмотрению организации определяться </w:t>
      </w:r>
      <w:r w:rsidRPr="003D505F">
        <w:rPr>
          <w:b/>
          <w:lang w:val="ru-RU"/>
        </w:rPr>
        <w:t xml:space="preserve">только </w:t>
      </w:r>
      <w:r>
        <w:rPr>
          <w:b/>
          <w:lang w:val="ru-RU"/>
        </w:rPr>
        <w:t xml:space="preserve">те </w:t>
      </w:r>
      <w:r w:rsidRPr="003D505F">
        <w:rPr>
          <w:b/>
          <w:lang w:val="ru-RU"/>
        </w:rPr>
        <w:t xml:space="preserve">активы, обязательства, твердые договорные обязательства </w:t>
      </w:r>
      <w:r w:rsidR="007B7C23">
        <w:rPr>
          <w:b/>
          <w:lang w:val="ru-RU"/>
        </w:rPr>
        <w:t xml:space="preserve">либо </w:t>
      </w:r>
      <w:r w:rsidRPr="0095563D">
        <w:rPr>
          <w:b/>
          <w:lang w:val="ru-RU"/>
        </w:rPr>
        <w:t>высоковероятные прогнозируемые операции</w:t>
      </w:r>
      <w:r w:rsidRPr="003D505F">
        <w:rPr>
          <w:b/>
          <w:lang w:val="ru-RU"/>
        </w:rPr>
        <w:t xml:space="preserve">, </w:t>
      </w:r>
      <w:r>
        <w:rPr>
          <w:b/>
          <w:lang w:val="ru-RU"/>
        </w:rPr>
        <w:t xml:space="preserve">которые заключаются со </w:t>
      </w:r>
      <w:r w:rsidRPr="003D505F">
        <w:rPr>
          <w:b/>
          <w:lang w:val="ru-RU"/>
        </w:rPr>
        <w:t>сторонам</w:t>
      </w:r>
      <w:r>
        <w:rPr>
          <w:b/>
          <w:lang w:val="ru-RU"/>
        </w:rPr>
        <w:t>и</w:t>
      </w:r>
      <w:r w:rsidRPr="003D505F">
        <w:rPr>
          <w:b/>
          <w:lang w:val="ru-RU"/>
        </w:rPr>
        <w:t xml:space="preserve">, </w:t>
      </w:r>
      <w:r>
        <w:rPr>
          <w:b/>
          <w:lang w:val="ru-RU"/>
        </w:rPr>
        <w:t>являющимися внешними по отношению к</w:t>
      </w:r>
      <w:r w:rsidRPr="003D505F">
        <w:rPr>
          <w:b/>
          <w:lang w:val="ru-RU"/>
        </w:rPr>
        <w:t xml:space="preserve"> отчитывающейся организаци</w:t>
      </w:r>
      <w:r>
        <w:rPr>
          <w:b/>
          <w:lang w:val="ru-RU"/>
        </w:rPr>
        <w:t>и</w:t>
      </w:r>
      <w:r w:rsidRPr="003D505F">
        <w:rPr>
          <w:b/>
          <w:lang w:val="ru-RU"/>
        </w:rPr>
        <w:t xml:space="preserve">. </w:t>
      </w:r>
      <w:r>
        <w:rPr>
          <w:b/>
          <w:lang w:val="ru-RU"/>
        </w:rPr>
        <w:t>У</w:t>
      </w:r>
      <w:r w:rsidRPr="003D505F">
        <w:rPr>
          <w:b/>
          <w:lang w:val="ru-RU"/>
        </w:rPr>
        <w:t xml:space="preserve">чет хеджирования может применяться к операциям между организациями, входящими в состав одной группы, только </w:t>
      </w:r>
      <w:r>
        <w:rPr>
          <w:b/>
          <w:lang w:val="ru-RU"/>
        </w:rPr>
        <w:t>для целей</w:t>
      </w:r>
      <w:r w:rsidRPr="003D505F">
        <w:rPr>
          <w:b/>
          <w:lang w:val="ru-RU"/>
        </w:rPr>
        <w:t xml:space="preserve"> индивидуальной или отдельной финансовой отчетности </w:t>
      </w:r>
      <w:r>
        <w:rPr>
          <w:b/>
          <w:lang w:val="ru-RU"/>
        </w:rPr>
        <w:t>указанных</w:t>
      </w:r>
      <w:r w:rsidRPr="003D505F">
        <w:rPr>
          <w:b/>
          <w:lang w:val="ru-RU"/>
        </w:rPr>
        <w:t xml:space="preserve"> организаций, но не </w:t>
      </w:r>
      <w:r>
        <w:rPr>
          <w:b/>
          <w:lang w:val="ru-RU"/>
        </w:rPr>
        <w:t xml:space="preserve">для целей </w:t>
      </w:r>
      <w:r w:rsidRPr="003D505F">
        <w:rPr>
          <w:b/>
          <w:lang w:val="ru-RU"/>
        </w:rPr>
        <w:t xml:space="preserve">консолидированной финансовой отчетности группы, </w:t>
      </w:r>
      <w:r>
        <w:rPr>
          <w:b/>
          <w:lang w:val="ru-RU"/>
        </w:rPr>
        <w:t xml:space="preserve">кроме </w:t>
      </w:r>
      <w:r w:rsidRPr="003D505F">
        <w:rPr>
          <w:b/>
          <w:lang w:val="ru-RU"/>
        </w:rPr>
        <w:t xml:space="preserve">консолидированной финансовой отчетности инвестиционной организации, как </w:t>
      </w:r>
      <w:r>
        <w:rPr>
          <w:b/>
          <w:lang w:val="ru-RU"/>
        </w:rPr>
        <w:t xml:space="preserve">этот термин </w:t>
      </w:r>
      <w:r w:rsidRPr="003D505F">
        <w:rPr>
          <w:b/>
          <w:lang w:val="ru-RU"/>
        </w:rPr>
        <w:t>определен в МСФО (</w:t>
      </w:r>
      <w:r>
        <w:rPr>
          <w:b/>
        </w:rPr>
        <w:t>IFRS</w:t>
      </w:r>
      <w:r w:rsidRPr="003D505F">
        <w:rPr>
          <w:b/>
          <w:lang w:val="ru-RU"/>
        </w:rPr>
        <w:t xml:space="preserve">) 10, </w:t>
      </w:r>
      <w:r>
        <w:rPr>
          <w:b/>
          <w:lang w:val="ru-RU"/>
        </w:rPr>
        <w:t xml:space="preserve">поскольку </w:t>
      </w:r>
      <w:r w:rsidRPr="003D505F">
        <w:rPr>
          <w:b/>
          <w:lang w:val="ru-RU"/>
        </w:rPr>
        <w:t xml:space="preserve">в </w:t>
      </w:r>
      <w:r>
        <w:rPr>
          <w:b/>
          <w:lang w:val="ru-RU"/>
        </w:rPr>
        <w:t xml:space="preserve">такой консолидированной финансовой отчетности не будут </w:t>
      </w:r>
      <w:r w:rsidRPr="0095563D">
        <w:rPr>
          <w:b/>
          <w:lang w:val="ru-RU"/>
        </w:rPr>
        <w:t>взаимоисключаться</w:t>
      </w:r>
      <w:r>
        <w:rPr>
          <w:b/>
          <w:lang w:val="ru-RU"/>
        </w:rPr>
        <w:t xml:space="preserve"> </w:t>
      </w:r>
      <w:r w:rsidRPr="003D505F">
        <w:rPr>
          <w:b/>
          <w:lang w:val="ru-RU"/>
        </w:rPr>
        <w:t>операции между самой инвестиционной организацией и ее дочерними организациями, оцениваемыми по справедливой стоимости через прибыль или убыток</w:t>
      </w:r>
      <w:r w:rsidR="007D4BCC" w:rsidRPr="0049187C">
        <w:rPr>
          <w:b/>
          <w:lang w:val="ru-RU"/>
        </w:rPr>
        <w:t xml:space="preserve">. </w:t>
      </w:r>
      <w:bookmarkEnd w:id="59"/>
    </w:p>
    <w:p w:rsidR="007D4BCC" w:rsidRPr="0049187C" w:rsidRDefault="007D4BCC" w:rsidP="007D4BCC">
      <w:pPr>
        <w:pStyle w:val="IASBNormalnpara"/>
        <w:rPr>
          <w:lang w:val="ru-RU"/>
        </w:rPr>
      </w:pPr>
      <w:r w:rsidRPr="0049187C">
        <w:rPr>
          <w:lang w:val="ru-RU"/>
        </w:rPr>
        <w:t>6.3.6</w:t>
      </w:r>
      <w:r w:rsidRPr="0049187C">
        <w:rPr>
          <w:lang w:val="ru-RU"/>
        </w:rPr>
        <w:tab/>
      </w:r>
      <w:bookmarkStart w:id="67" w:name="F27186685"/>
      <w:r w:rsidR="004C0AC5" w:rsidRPr="003D505F">
        <w:rPr>
          <w:lang w:val="ru-RU"/>
        </w:rPr>
        <w:t xml:space="preserve">Однако в виде исключения из </w:t>
      </w:r>
      <w:r w:rsidR="004C0AC5">
        <w:rPr>
          <w:lang w:val="ru-RU"/>
        </w:rPr>
        <w:t xml:space="preserve">требований </w:t>
      </w:r>
      <w:r w:rsidR="004C0AC5" w:rsidRPr="003D505F">
        <w:rPr>
          <w:lang w:val="ru-RU"/>
        </w:rPr>
        <w:t>пункта 6.3.5 валютный риск по внутр</w:t>
      </w:r>
      <w:r w:rsidR="00D85425">
        <w:rPr>
          <w:lang w:val="ru-RU"/>
        </w:rPr>
        <w:t>игрупповой монетарной статье (например</w:t>
      </w:r>
      <w:r w:rsidR="004C0AC5" w:rsidRPr="003D505F">
        <w:rPr>
          <w:lang w:val="ru-RU"/>
        </w:rPr>
        <w:t xml:space="preserve">, кредиторская/дебиторская задолженность между двумя дочерними организациями) может </w:t>
      </w:r>
      <w:r w:rsidR="004C0AC5">
        <w:rPr>
          <w:lang w:val="ru-RU"/>
        </w:rPr>
        <w:t xml:space="preserve">быть </w:t>
      </w:r>
      <w:r w:rsidR="004C0AC5" w:rsidRPr="003E599C">
        <w:rPr>
          <w:lang w:val="ru-RU"/>
        </w:rPr>
        <w:t>квалифицируемым объектом хеджирования</w:t>
      </w:r>
      <w:r w:rsidR="004C0AC5" w:rsidRPr="003D505F">
        <w:rPr>
          <w:lang w:val="ru-RU"/>
        </w:rPr>
        <w:t xml:space="preserve"> в консолидированной финансовой отчетности, если он приводит к </w:t>
      </w:r>
      <w:r w:rsidR="004C0AC5" w:rsidRPr="0095563D">
        <w:rPr>
          <w:lang w:val="ru-RU"/>
        </w:rPr>
        <w:t>потенциальному</w:t>
      </w:r>
      <w:r w:rsidR="004C0AC5">
        <w:rPr>
          <w:lang w:val="ru-RU"/>
        </w:rPr>
        <w:t xml:space="preserve"> </w:t>
      </w:r>
      <w:r w:rsidR="004C0AC5" w:rsidRPr="003D505F">
        <w:rPr>
          <w:lang w:val="ru-RU"/>
        </w:rPr>
        <w:t xml:space="preserve">возникновению </w:t>
      </w:r>
      <w:r w:rsidR="004C0AC5">
        <w:rPr>
          <w:lang w:val="ru-RU"/>
        </w:rPr>
        <w:t>прибылей</w:t>
      </w:r>
      <w:r w:rsidR="004C0AC5" w:rsidRPr="003D505F">
        <w:rPr>
          <w:lang w:val="ru-RU"/>
        </w:rPr>
        <w:t xml:space="preserve"> или убытк</w:t>
      </w:r>
      <w:r w:rsidR="004C0AC5">
        <w:rPr>
          <w:lang w:val="ru-RU"/>
        </w:rPr>
        <w:t>ов</w:t>
      </w:r>
      <w:r w:rsidR="004C0AC5" w:rsidRPr="003D505F">
        <w:rPr>
          <w:lang w:val="ru-RU"/>
        </w:rPr>
        <w:t xml:space="preserve"> вследствие изменения валютных курсов, которые не в полной мере исключаются при консолидации </w:t>
      </w:r>
      <w:r w:rsidR="004C0AC5">
        <w:rPr>
          <w:lang w:val="ru-RU"/>
        </w:rPr>
        <w:t>в соответствии с</w:t>
      </w:r>
      <w:r w:rsidR="004C0AC5" w:rsidRPr="003D505F">
        <w:rPr>
          <w:lang w:val="ru-RU"/>
        </w:rPr>
        <w:t xml:space="preserve"> МСФО (</w:t>
      </w:r>
      <w:r w:rsidR="004C0AC5">
        <w:t>IAS</w:t>
      </w:r>
      <w:r w:rsidR="004C0AC5" w:rsidRPr="003D505F">
        <w:rPr>
          <w:lang w:val="ru-RU"/>
        </w:rPr>
        <w:t xml:space="preserve">) 21 </w:t>
      </w:r>
      <w:r w:rsidR="004C0AC5" w:rsidRPr="003D505F">
        <w:rPr>
          <w:i/>
          <w:lang w:val="ru-RU"/>
        </w:rPr>
        <w:t>«Влияние изменений валютных курсов»</w:t>
      </w:r>
      <w:r w:rsidR="004C0AC5" w:rsidRPr="003D505F">
        <w:rPr>
          <w:lang w:val="ru-RU"/>
        </w:rPr>
        <w:t>. В соответствии с МСФО (</w:t>
      </w:r>
      <w:r w:rsidR="004C0AC5">
        <w:t>IAS</w:t>
      </w:r>
      <w:r w:rsidR="004C0AC5" w:rsidRPr="003D505F">
        <w:rPr>
          <w:lang w:val="ru-RU"/>
        </w:rPr>
        <w:t xml:space="preserve">) 21 прибыли и убытки, обусловленные изменениями валютных курсов, по внутригрупповым монетарным статьям не исключаются в полном объеме при консолидации, </w:t>
      </w:r>
      <w:r w:rsidR="004C0AC5">
        <w:rPr>
          <w:lang w:val="ru-RU"/>
        </w:rPr>
        <w:t>когда</w:t>
      </w:r>
      <w:r w:rsidR="004C0AC5" w:rsidRPr="003D505F">
        <w:rPr>
          <w:lang w:val="ru-RU"/>
        </w:rPr>
        <w:t xml:space="preserve"> </w:t>
      </w:r>
      <w:r w:rsidR="004C0AC5">
        <w:rPr>
          <w:lang w:val="ru-RU"/>
        </w:rPr>
        <w:t xml:space="preserve">соответствующая </w:t>
      </w:r>
      <w:r w:rsidR="004C0AC5" w:rsidRPr="003D505F">
        <w:rPr>
          <w:lang w:val="ru-RU"/>
        </w:rPr>
        <w:t>внутригруппов</w:t>
      </w:r>
      <w:r w:rsidR="004C0AC5">
        <w:rPr>
          <w:lang w:val="ru-RU"/>
        </w:rPr>
        <w:t>ая</w:t>
      </w:r>
      <w:r w:rsidR="004C0AC5" w:rsidRPr="003D505F">
        <w:rPr>
          <w:lang w:val="ru-RU"/>
        </w:rPr>
        <w:t xml:space="preserve"> монетарн</w:t>
      </w:r>
      <w:r w:rsidR="004C0AC5">
        <w:rPr>
          <w:lang w:val="ru-RU"/>
        </w:rPr>
        <w:t>ая</w:t>
      </w:r>
      <w:r w:rsidR="004C0AC5" w:rsidRPr="003D505F">
        <w:rPr>
          <w:lang w:val="ru-RU"/>
        </w:rPr>
        <w:t xml:space="preserve"> стать</w:t>
      </w:r>
      <w:r w:rsidR="004C0AC5">
        <w:rPr>
          <w:lang w:val="ru-RU"/>
        </w:rPr>
        <w:t>я является результатом операции</w:t>
      </w:r>
      <w:r w:rsidR="004C0AC5" w:rsidRPr="003D505F">
        <w:rPr>
          <w:lang w:val="ru-RU"/>
        </w:rPr>
        <w:t xml:space="preserve"> между двумя организациями </w:t>
      </w:r>
      <w:r w:rsidR="004C0AC5">
        <w:rPr>
          <w:lang w:val="ru-RU"/>
        </w:rPr>
        <w:t xml:space="preserve">в рамках </w:t>
      </w:r>
      <w:r w:rsidR="004C0AC5" w:rsidRPr="003D505F">
        <w:rPr>
          <w:lang w:val="ru-RU"/>
        </w:rPr>
        <w:t>группы</w:t>
      </w:r>
      <w:r w:rsidR="004C0AC5">
        <w:rPr>
          <w:lang w:val="ru-RU"/>
        </w:rPr>
        <w:t>, имеющими</w:t>
      </w:r>
      <w:r w:rsidR="004C0AC5" w:rsidRPr="003D505F">
        <w:rPr>
          <w:lang w:val="ru-RU"/>
        </w:rPr>
        <w:t xml:space="preserve"> разны</w:t>
      </w:r>
      <w:r w:rsidR="004C0AC5">
        <w:rPr>
          <w:lang w:val="ru-RU"/>
        </w:rPr>
        <w:t>е</w:t>
      </w:r>
      <w:r w:rsidR="004C0AC5" w:rsidRPr="003D505F">
        <w:rPr>
          <w:lang w:val="ru-RU"/>
        </w:rPr>
        <w:t xml:space="preserve"> функциональны</w:t>
      </w:r>
      <w:r w:rsidR="004C0AC5">
        <w:rPr>
          <w:lang w:val="ru-RU"/>
        </w:rPr>
        <w:t>е</w:t>
      </w:r>
      <w:r w:rsidR="004C0AC5" w:rsidRPr="003D505F">
        <w:rPr>
          <w:lang w:val="ru-RU"/>
        </w:rPr>
        <w:t xml:space="preserve"> валют</w:t>
      </w:r>
      <w:r w:rsidR="004C0AC5">
        <w:rPr>
          <w:lang w:val="ru-RU"/>
        </w:rPr>
        <w:t>ы</w:t>
      </w:r>
      <w:r w:rsidR="004C0AC5" w:rsidRPr="003D505F">
        <w:rPr>
          <w:lang w:val="ru-RU"/>
        </w:rPr>
        <w:t xml:space="preserve">. Кроме того, валютный риск по прогнозируемой внутригрупповой операции, являющейся </w:t>
      </w:r>
      <w:r w:rsidR="004C0AC5">
        <w:rPr>
          <w:lang w:val="ru-RU"/>
        </w:rPr>
        <w:t>высоковероятной</w:t>
      </w:r>
      <w:r w:rsidR="004C0AC5" w:rsidRPr="003D505F">
        <w:rPr>
          <w:lang w:val="ru-RU"/>
        </w:rPr>
        <w:t xml:space="preserve">, может </w:t>
      </w:r>
      <w:r w:rsidR="004C0AC5">
        <w:rPr>
          <w:lang w:val="ru-RU"/>
        </w:rPr>
        <w:t xml:space="preserve">быть </w:t>
      </w:r>
      <w:r w:rsidR="004C0AC5" w:rsidRPr="0095563D">
        <w:rPr>
          <w:lang w:val="ru-RU"/>
        </w:rPr>
        <w:t>квалифицируемым объектом хеджирования</w:t>
      </w:r>
      <w:r w:rsidR="004C0AC5" w:rsidRPr="003D505F">
        <w:rPr>
          <w:lang w:val="ru-RU"/>
        </w:rPr>
        <w:t xml:space="preserve"> в консолидированной финансовой отчетности при условии, что данная операция выражена в валюте, отличной от функциональной валюты организации, участвующей в данной операции, а валютный риск окажет влияние на консолидированн</w:t>
      </w:r>
      <w:r w:rsidR="004C0AC5">
        <w:rPr>
          <w:lang w:val="ru-RU"/>
        </w:rPr>
        <w:t xml:space="preserve">ую величину </w:t>
      </w:r>
      <w:r w:rsidR="004C0AC5" w:rsidRPr="003D505F">
        <w:rPr>
          <w:lang w:val="ru-RU"/>
        </w:rPr>
        <w:t>прибыл</w:t>
      </w:r>
      <w:r w:rsidR="004C0AC5">
        <w:rPr>
          <w:lang w:val="ru-RU"/>
        </w:rPr>
        <w:t>и</w:t>
      </w:r>
      <w:r w:rsidR="004C0AC5" w:rsidRPr="003D505F">
        <w:rPr>
          <w:lang w:val="ru-RU"/>
        </w:rPr>
        <w:t xml:space="preserve"> или убытк</w:t>
      </w:r>
      <w:r w:rsidR="004C0AC5">
        <w:rPr>
          <w:lang w:val="ru-RU"/>
        </w:rPr>
        <w:t>а</w:t>
      </w:r>
      <w:r w:rsidRPr="0049187C">
        <w:rPr>
          <w:lang w:val="ru-RU"/>
        </w:rPr>
        <w:t>.</w:t>
      </w:r>
      <w:bookmarkEnd w:id="67"/>
    </w:p>
    <w:p w:rsidR="007D4BCC" w:rsidRPr="0049187C" w:rsidRDefault="007D4BCC" w:rsidP="007D4BCC">
      <w:pPr>
        <w:pStyle w:val="IASBSectionTitle2Ind"/>
        <w:rPr>
          <w:lang w:val="ru-RU"/>
        </w:rPr>
      </w:pPr>
      <w:bookmarkStart w:id="68" w:name="F27186688"/>
      <w:r w:rsidRPr="0049187C">
        <w:rPr>
          <w:lang w:val="ru-RU"/>
        </w:rPr>
        <w:t>О</w:t>
      </w:r>
      <w:r w:rsidR="0016710A">
        <w:rPr>
          <w:lang w:val="ru-RU"/>
        </w:rPr>
        <w:t>пределение</w:t>
      </w:r>
      <w:r w:rsidRPr="0049187C">
        <w:rPr>
          <w:lang w:val="ru-RU"/>
        </w:rPr>
        <w:t xml:space="preserve"> объектов хеджирования</w:t>
      </w:r>
      <w:bookmarkEnd w:id="68"/>
      <w:r w:rsidR="0016710A">
        <w:rPr>
          <w:lang w:val="ru-RU"/>
        </w:rPr>
        <w:t xml:space="preserve"> по усмотрению организации</w:t>
      </w:r>
    </w:p>
    <w:p w:rsidR="0016710A" w:rsidRPr="003D505F" w:rsidRDefault="007D4BCC" w:rsidP="0016710A">
      <w:pPr>
        <w:pStyle w:val="IASBNormalnpara"/>
        <w:rPr>
          <w:lang w:val="ru-RU"/>
        </w:rPr>
      </w:pPr>
      <w:r w:rsidRPr="0049187C">
        <w:rPr>
          <w:lang w:val="ru-RU"/>
        </w:rPr>
        <w:t>6.3.7</w:t>
      </w:r>
      <w:r w:rsidRPr="0049187C">
        <w:rPr>
          <w:lang w:val="ru-RU"/>
        </w:rPr>
        <w:tab/>
      </w:r>
      <w:bookmarkStart w:id="69" w:name="F27186696"/>
      <w:bookmarkStart w:id="70" w:name="F27186689"/>
      <w:r w:rsidR="0016710A" w:rsidRPr="003D505F">
        <w:rPr>
          <w:lang w:val="ru-RU"/>
        </w:rPr>
        <w:t xml:space="preserve">Организация может </w:t>
      </w:r>
      <w:r w:rsidR="0016710A">
        <w:rPr>
          <w:lang w:val="ru-RU"/>
        </w:rPr>
        <w:t xml:space="preserve">по собственному усмотрению определить целиком весь объект </w:t>
      </w:r>
      <w:r w:rsidR="0016710A" w:rsidRPr="003D505F">
        <w:rPr>
          <w:lang w:val="ru-RU"/>
        </w:rPr>
        <w:t xml:space="preserve">или </w:t>
      </w:r>
      <w:r w:rsidR="0016710A">
        <w:rPr>
          <w:lang w:val="ru-RU"/>
        </w:rPr>
        <w:t xml:space="preserve">его </w:t>
      </w:r>
      <w:r w:rsidR="0016710A" w:rsidRPr="003D505F">
        <w:rPr>
          <w:lang w:val="ru-RU"/>
        </w:rPr>
        <w:t xml:space="preserve">компонент </w:t>
      </w:r>
      <w:r w:rsidR="0016710A">
        <w:rPr>
          <w:lang w:val="ru-RU"/>
        </w:rPr>
        <w:t>в качестве</w:t>
      </w:r>
      <w:r w:rsidR="0016710A" w:rsidRPr="003D505F">
        <w:rPr>
          <w:lang w:val="ru-RU"/>
        </w:rPr>
        <w:t xml:space="preserve"> объект</w:t>
      </w:r>
      <w:r w:rsidR="0016710A">
        <w:rPr>
          <w:lang w:val="ru-RU"/>
        </w:rPr>
        <w:t>а</w:t>
      </w:r>
      <w:r w:rsidR="0016710A" w:rsidRPr="003D505F">
        <w:rPr>
          <w:lang w:val="ru-RU"/>
        </w:rPr>
        <w:t xml:space="preserve"> хеджирования в </w:t>
      </w:r>
      <w:r w:rsidR="0016710A">
        <w:rPr>
          <w:lang w:val="ru-RU"/>
        </w:rPr>
        <w:t xml:space="preserve">рамках </w:t>
      </w:r>
      <w:r w:rsidR="0016710A" w:rsidRPr="003D505F">
        <w:rPr>
          <w:lang w:val="ru-RU"/>
        </w:rPr>
        <w:t>отношени</w:t>
      </w:r>
      <w:r w:rsidR="0057748C">
        <w:rPr>
          <w:lang w:val="ru-RU"/>
        </w:rPr>
        <w:t>й</w:t>
      </w:r>
      <w:r w:rsidR="0016710A" w:rsidRPr="003D505F">
        <w:rPr>
          <w:lang w:val="ru-RU"/>
        </w:rPr>
        <w:t xml:space="preserve"> хеджирования. </w:t>
      </w:r>
      <w:r w:rsidR="0016710A">
        <w:rPr>
          <w:lang w:val="ru-RU"/>
        </w:rPr>
        <w:t xml:space="preserve">Целиком весь объект </w:t>
      </w:r>
      <w:r w:rsidR="0016710A" w:rsidRPr="003D505F">
        <w:rPr>
          <w:lang w:val="ru-RU"/>
        </w:rPr>
        <w:t xml:space="preserve">заключает в себе все изменения </w:t>
      </w:r>
      <w:r w:rsidR="0016710A">
        <w:rPr>
          <w:lang w:val="ru-RU"/>
        </w:rPr>
        <w:t xml:space="preserve">потоков </w:t>
      </w:r>
      <w:r w:rsidR="0016710A" w:rsidRPr="003D505F">
        <w:rPr>
          <w:lang w:val="ru-RU"/>
        </w:rPr>
        <w:t xml:space="preserve">денежных </w:t>
      </w:r>
      <w:r w:rsidR="0016710A">
        <w:rPr>
          <w:lang w:val="ru-RU"/>
        </w:rPr>
        <w:t xml:space="preserve">средств </w:t>
      </w:r>
      <w:r w:rsidR="0016710A" w:rsidRPr="003D505F">
        <w:rPr>
          <w:lang w:val="ru-RU"/>
        </w:rPr>
        <w:t xml:space="preserve">или справедливой стоимости </w:t>
      </w:r>
      <w:r w:rsidR="0016710A">
        <w:rPr>
          <w:lang w:val="ru-RU"/>
        </w:rPr>
        <w:t>объекта</w:t>
      </w:r>
      <w:r w:rsidR="0016710A" w:rsidRPr="003D505F">
        <w:rPr>
          <w:lang w:val="ru-RU"/>
        </w:rPr>
        <w:t>. Компонент заключает в себе не</w:t>
      </w:r>
      <w:r w:rsidR="0016710A">
        <w:rPr>
          <w:lang w:val="ru-RU"/>
        </w:rPr>
        <w:t xml:space="preserve"> всю величину </w:t>
      </w:r>
      <w:r w:rsidR="0016710A" w:rsidRPr="003D505F">
        <w:rPr>
          <w:lang w:val="ru-RU"/>
        </w:rPr>
        <w:t xml:space="preserve">изменения справедливой стоимости или изменчивости денежных потоков по </w:t>
      </w:r>
      <w:r w:rsidR="0016710A">
        <w:rPr>
          <w:lang w:val="ru-RU"/>
        </w:rPr>
        <w:t>объекту</w:t>
      </w:r>
      <w:r w:rsidR="0016710A" w:rsidRPr="003D505F">
        <w:rPr>
          <w:lang w:val="ru-RU"/>
        </w:rPr>
        <w:t xml:space="preserve">. В </w:t>
      </w:r>
      <w:r w:rsidR="0016710A">
        <w:rPr>
          <w:lang w:val="ru-RU"/>
        </w:rPr>
        <w:t xml:space="preserve">последнем </w:t>
      </w:r>
      <w:r w:rsidR="0016710A" w:rsidRPr="003D505F">
        <w:rPr>
          <w:lang w:val="ru-RU"/>
        </w:rPr>
        <w:t xml:space="preserve">случае организация может </w:t>
      </w:r>
      <w:r w:rsidR="0016710A">
        <w:rPr>
          <w:lang w:val="ru-RU"/>
        </w:rPr>
        <w:t xml:space="preserve">по собственному усмотрению определить </w:t>
      </w:r>
      <w:r w:rsidR="0016710A" w:rsidRPr="003D505F">
        <w:rPr>
          <w:lang w:val="ru-RU"/>
        </w:rPr>
        <w:t>в качестве объектов хеджирования только следующие типы компонентов (включая их сочетания):</w:t>
      </w:r>
      <w:bookmarkEnd w:id="70"/>
    </w:p>
    <w:p w:rsidR="0016710A" w:rsidRPr="003F00C5" w:rsidRDefault="0016710A" w:rsidP="0016710A">
      <w:pPr>
        <w:pStyle w:val="IASBNormalnparaL1"/>
        <w:rPr>
          <w:lang w:val="ru-RU"/>
        </w:rPr>
      </w:pPr>
      <w:r w:rsidRPr="003D505F">
        <w:rPr>
          <w:lang w:val="ru-RU"/>
        </w:rPr>
        <w:t>(</w:t>
      </w:r>
      <w:r>
        <w:t>a</w:t>
      </w:r>
      <w:r w:rsidRPr="003D505F">
        <w:rPr>
          <w:lang w:val="ru-RU"/>
        </w:rPr>
        <w:t>)</w:t>
      </w:r>
      <w:r w:rsidRPr="003D505F">
        <w:rPr>
          <w:lang w:val="ru-RU"/>
        </w:rPr>
        <w:tab/>
      </w:r>
      <w:bookmarkStart w:id="71" w:name="F27186692"/>
      <w:r w:rsidRPr="003D505F">
        <w:rPr>
          <w:lang w:val="ru-RU"/>
        </w:rPr>
        <w:t xml:space="preserve">только </w:t>
      </w:r>
      <w:r>
        <w:rPr>
          <w:lang w:val="ru-RU"/>
        </w:rPr>
        <w:t xml:space="preserve">те </w:t>
      </w:r>
      <w:r w:rsidRPr="003D505F">
        <w:rPr>
          <w:lang w:val="ru-RU"/>
        </w:rPr>
        <w:t>изменения денежных потоков или справедливой стоимости</w:t>
      </w:r>
      <w:r>
        <w:rPr>
          <w:lang w:val="ru-RU"/>
        </w:rPr>
        <w:t xml:space="preserve"> объекта</w:t>
      </w:r>
      <w:r w:rsidRPr="003D505F">
        <w:rPr>
          <w:lang w:val="ru-RU"/>
        </w:rPr>
        <w:t xml:space="preserve">, </w:t>
      </w:r>
      <w:r>
        <w:rPr>
          <w:lang w:val="ru-RU"/>
        </w:rPr>
        <w:t xml:space="preserve">которые </w:t>
      </w:r>
      <w:r w:rsidRPr="003D505F">
        <w:rPr>
          <w:lang w:val="ru-RU"/>
        </w:rPr>
        <w:t>обусловлены определенным риском или рисками (</w:t>
      </w:r>
      <w:r>
        <w:rPr>
          <w:lang w:val="ru-RU"/>
        </w:rPr>
        <w:t>рисковый компонент</w:t>
      </w:r>
      <w:r w:rsidRPr="003D505F">
        <w:rPr>
          <w:lang w:val="ru-RU"/>
        </w:rPr>
        <w:t xml:space="preserve">), при условии, что анализ в контексте конкретной структуры рынка показывает, что данный компонент риска является отдельно идентифицируемым и поддается надежной оценке (см. пункты В6.3.8–В6.3.15). </w:t>
      </w:r>
      <w:r w:rsidRPr="00367298">
        <w:rPr>
          <w:lang w:val="ru-RU"/>
        </w:rPr>
        <w:t xml:space="preserve">В качестве компонентов риска могут </w:t>
      </w:r>
      <w:r w:rsidRPr="007C30B2">
        <w:rPr>
          <w:lang w:val="ru-RU"/>
        </w:rPr>
        <w:t>быть определены по усмотрению организации</w:t>
      </w:r>
      <w:r w:rsidRPr="00367298">
        <w:rPr>
          <w:lang w:val="ru-RU"/>
        </w:rPr>
        <w:t xml:space="preserve"> только изменения денежных потоков или справедливой стоимости по объекту хеджирования выше или ниже указанного значения цены или иной переменной (односторонний риск)</w:t>
      </w:r>
      <w:bookmarkEnd w:id="71"/>
      <w:r w:rsidR="003F00C5">
        <w:rPr>
          <w:lang w:val="ru-RU"/>
        </w:rPr>
        <w:t>;</w:t>
      </w:r>
    </w:p>
    <w:p w:rsidR="0016710A" w:rsidRPr="003D505F" w:rsidRDefault="0016710A" w:rsidP="0016710A">
      <w:pPr>
        <w:pStyle w:val="IASBNormalnparaL1"/>
        <w:rPr>
          <w:lang w:val="ru-RU"/>
        </w:rPr>
      </w:pPr>
      <w:r w:rsidRPr="003D505F">
        <w:rPr>
          <w:lang w:val="ru-RU"/>
        </w:rPr>
        <w:t>(</w:t>
      </w:r>
      <w:r>
        <w:t>b</w:t>
      </w:r>
      <w:r w:rsidRPr="003D505F">
        <w:rPr>
          <w:lang w:val="ru-RU"/>
        </w:rPr>
        <w:t>)</w:t>
      </w:r>
      <w:r w:rsidRPr="003D505F">
        <w:rPr>
          <w:lang w:val="ru-RU"/>
        </w:rPr>
        <w:tab/>
      </w:r>
      <w:bookmarkStart w:id="72" w:name="F27186694"/>
      <w:r w:rsidRPr="003D505F">
        <w:rPr>
          <w:lang w:val="ru-RU"/>
        </w:rPr>
        <w:t xml:space="preserve">один или более </w:t>
      </w:r>
      <w:r>
        <w:rPr>
          <w:lang w:val="ru-RU"/>
        </w:rPr>
        <w:t xml:space="preserve">из </w:t>
      </w:r>
      <w:r w:rsidRPr="003D505F">
        <w:rPr>
          <w:lang w:val="ru-RU"/>
        </w:rPr>
        <w:t>выбранных денежных</w:t>
      </w:r>
      <w:r>
        <w:rPr>
          <w:lang w:val="ru-RU"/>
        </w:rPr>
        <w:t xml:space="preserve"> потоков, предусмотренных договором</w:t>
      </w:r>
      <w:bookmarkEnd w:id="72"/>
      <w:r w:rsidR="003F00C5">
        <w:rPr>
          <w:lang w:val="ru-RU"/>
        </w:rPr>
        <w:t>;</w:t>
      </w:r>
    </w:p>
    <w:p w:rsidR="007D4BCC" w:rsidRPr="0049187C" w:rsidRDefault="0016710A" w:rsidP="0016710A">
      <w:pPr>
        <w:pStyle w:val="IASBNormalnparaL1"/>
        <w:rPr>
          <w:lang w:val="ru-RU"/>
        </w:rPr>
      </w:pPr>
      <w:r w:rsidRPr="003D505F">
        <w:rPr>
          <w:lang w:val="ru-RU"/>
        </w:rPr>
        <w:t>(</w:t>
      </w:r>
      <w:r w:rsidRPr="0016710A">
        <w:rPr>
          <w:lang w:val="ru-RU"/>
        </w:rPr>
        <w:t>c</w:t>
      </w:r>
      <w:r w:rsidRPr="003D505F">
        <w:rPr>
          <w:lang w:val="ru-RU"/>
        </w:rPr>
        <w:t>)</w:t>
      </w:r>
      <w:r w:rsidRPr="003D505F">
        <w:rPr>
          <w:lang w:val="ru-RU"/>
        </w:rPr>
        <w:tab/>
        <w:t xml:space="preserve">компоненты номинальной стоимости, </w:t>
      </w:r>
      <w:r w:rsidR="003F00C5">
        <w:rPr>
          <w:lang w:val="ru-RU"/>
        </w:rPr>
        <w:t>т. </w:t>
      </w:r>
      <w:r w:rsidR="00730672">
        <w:rPr>
          <w:lang w:val="ru-RU"/>
        </w:rPr>
        <w:t>е.</w:t>
      </w:r>
      <w:r w:rsidRPr="003D505F">
        <w:rPr>
          <w:lang w:val="ru-RU"/>
        </w:rPr>
        <w:t xml:space="preserve"> определенная часть </w:t>
      </w:r>
      <w:r>
        <w:rPr>
          <w:lang w:val="ru-RU"/>
        </w:rPr>
        <w:t>величины объекта</w:t>
      </w:r>
      <w:r w:rsidR="003F00C5">
        <w:rPr>
          <w:lang w:val="ru-RU"/>
        </w:rPr>
        <w:t xml:space="preserve"> (см. </w:t>
      </w:r>
      <w:r w:rsidRPr="003D505F">
        <w:rPr>
          <w:lang w:val="ru-RU"/>
        </w:rPr>
        <w:t>пункты В6.3.16–</w:t>
      </w:r>
      <w:r w:rsidRPr="0016710A">
        <w:rPr>
          <w:lang w:val="ru-RU"/>
        </w:rPr>
        <w:t>B</w:t>
      </w:r>
      <w:r w:rsidRPr="003D505F">
        <w:rPr>
          <w:lang w:val="ru-RU"/>
        </w:rPr>
        <w:t>6.3.20).</w:t>
      </w:r>
      <w:bookmarkEnd w:id="69"/>
    </w:p>
    <w:p w:rsidR="007D4BCC" w:rsidRPr="0049187C" w:rsidRDefault="007D4BCC" w:rsidP="007D4BCC">
      <w:pPr>
        <w:pStyle w:val="IASBSectionTitle1NonInd"/>
        <w:rPr>
          <w:lang w:val="ru-RU"/>
        </w:rPr>
      </w:pPr>
      <w:bookmarkStart w:id="73" w:name="SL32570256"/>
      <w:r w:rsidRPr="0049187C">
        <w:rPr>
          <w:lang w:val="ru-RU"/>
        </w:rPr>
        <w:t xml:space="preserve">6.4 </w:t>
      </w:r>
      <w:bookmarkEnd w:id="73"/>
      <w:r w:rsidRPr="0049187C">
        <w:rPr>
          <w:lang w:val="ru-RU"/>
        </w:rPr>
        <w:t>Критерии применения учета хеджирования</w:t>
      </w:r>
    </w:p>
    <w:p w:rsidR="0016710A" w:rsidRPr="003D505F" w:rsidRDefault="007D4BCC" w:rsidP="0016710A">
      <w:pPr>
        <w:pStyle w:val="IASBNormalnpara"/>
        <w:rPr>
          <w:b/>
          <w:lang w:val="ru-RU"/>
        </w:rPr>
      </w:pPr>
      <w:r w:rsidRPr="0049187C">
        <w:rPr>
          <w:b/>
          <w:lang w:val="ru-RU"/>
        </w:rPr>
        <w:t>6.4.1</w:t>
      </w:r>
      <w:r w:rsidRPr="0049187C">
        <w:rPr>
          <w:b/>
          <w:lang w:val="ru-RU"/>
        </w:rPr>
        <w:tab/>
      </w:r>
      <w:bookmarkStart w:id="74" w:name="F27186714"/>
      <w:bookmarkStart w:id="75" w:name="F27186699"/>
      <w:r w:rsidR="0016710A" w:rsidRPr="00F66B6E">
        <w:rPr>
          <w:b/>
          <w:lang w:val="ru-RU"/>
        </w:rPr>
        <w:t>К отношениям хеджирования разрешено применять учет хеджирования только</w:t>
      </w:r>
      <w:r w:rsidR="0016710A" w:rsidRPr="003D505F">
        <w:rPr>
          <w:b/>
          <w:lang w:val="ru-RU"/>
        </w:rPr>
        <w:t xml:space="preserve"> </w:t>
      </w:r>
      <w:r w:rsidR="0016710A" w:rsidRPr="007C30B2">
        <w:rPr>
          <w:b/>
          <w:lang w:val="ru-RU"/>
        </w:rPr>
        <w:t>если они соответ</w:t>
      </w:r>
      <w:r w:rsidR="0016710A">
        <w:rPr>
          <w:b/>
          <w:lang w:val="ru-RU"/>
        </w:rPr>
        <w:t>ствуют всем следующим критериям</w:t>
      </w:r>
      <w:r w:rsidR="0016710A" w:rsidRPr="003D505F">
        <w:rPr>
          <w:b/>
          <w:lang w:val="ru-RU"/>
        </w:rPr>
        <w:t>:</w:t>
      </w:r>
      <w:bookmarkEnd w:id="75"/>
    </w:p>
    <w:p w:rsidR="0016710A" w:rsidRPr="003D505F" w:rsidRDefault="0016710A" w:rsidP="0016710A">
      <w:pPr>
        <w:pStyle w:val="IASBNormalnparaL1"/>
        <w:rPr>
          <w:b/>
          <w:lang w:val="ru-RU"/>
        </w:rPr>
      </w:pPr>
      <w:r w:rsidRPr="003D505F">
        <w:rPr>
          <w:b/>
          <w:lang w:val="ru-RU"/>
        </w:rPr>
        <w:t>(</w:t>
      </w:r>
      <w:r>
        <w:rPr>
          <w:b/>
        </w:rPr>
        <w:t>a</w:t>
      </w:r>
      <w:r w:rsidRPr="003D505F">
        <w:rPr>
          <w:b/>
          <w:lang w:val="ru-RU"/>
        </w:rPr>
        <w:t>)</w:t>
      </w:r>
      <w:r w:rsidRPr="003D505F">
        <w:rPr>
          <w:lang w:val="ru-RU"/>
        </w:rPr>
        <w:tab/>
      </w:r>
      <w:bookmarkStart w:id="76" w:name="F27186702"/>
      <w:r w:rsidRPr="00514998">
        <w:rPr>
          <w:b/>
          <w:lang w:val="ru-RU"/>
        </w:rPr>
        <w:t>данные отношения хеджирования включ</w:t>
      </w:r>
      <w:r>
        <w:rPr>
          <w:b/>
          <w:lang w:val="ru-RU"/>
        </w:rPr>
        <w:t>а</w:t>
      </w:r>
      <w:r w:rsidRPr="00514998">
        <w:rPr>
          <w:b/>
          <w:lang w:val="ru-RU"/>
        </w:rPr>
        <w:t>ют только квалифицируемые инструменты хеджирования и квалифицируемые объекты хеджирования</w:t>
      </w:r>
      <w:bookmarkEnd w:id="76"/>
      <w:r w:rsidR="003F00C5">
        <w:rPr>
          <w:b/>
          <w:lang w:val="ru-RU"/>
        </w:rPr>
        <w:t>;</w:t>
      </w:r>
    </w:p>
    <w:p w:rsidR="0016710A" w:rsidRPr="003D505F" w:rsidRDefault="0016710A" w:rsidP="0016710A">
      <w:pPr>
        <w:pStyle w:val="IASBNormalnparaL1"/>
        <w:rPr>
          <w:b/>
          <w:lang w:val="ru-RU"/>
        </w:rPr>
      </w:pPr>
      <w:r w:rsidRPr="003D505F">
        <w:rPr>
          <w:b/>
          <w:lang w:val="ru-RU"/>
        </w:rPr>
        <w:t>(</w:t>
      </w:r>
      <w:r>
        <w:rPr>
          <w:b/>
        </w:rPr>
        <w:t>b</w:t>
      </w:r>
      <w:r w:rsidRPr="003D505F">
        <w:rPr>
          <w:b/>
          <w:lang w:val="ru-RU"/>
        </w:rPr>
        <w:t>)</w:t>
      </w:r>
      <w:r w:rsidRPr="003D505F">
        <w:rPr>
          <w:lang w:val="ru-RU"/>
        </w:rPr>
        <w:tab/>
      </w:r>
      <w:bookmarkStart w:id="77" w:name="F27186704"/>
      <w:r w:rsidRPr="00514998">
        <w:rPr>
          <w:b/>
          <w:lang w:val="ru-RU"/>
        </w:rPr>
        <w:t xml:space="preserve">на дату начала данных отношений хеджирования у организации имеется формализованное решение по их определению и оформленная документация по ним, а также документально зафиксированная цель управления рисками и </w:t>
      </w:r>
      <w:r w:rsidR="00A34BF4" w:rsidRPr="00514998">
        <w:rPr>
          <w:b/>
          <w:lang w:val="ru-RU"/>
        </w:rPr>
        <w:t>стратегия</w:t>
      </w:r>
      <w:r w:rsidRPr="00514998">
        <w:rPr>
          <w:b/>
          <w:lang w:val="ru-RU"/>
        </w:rPr>
        <w:t xml:space="preserve"> осуществления хеджирования</w:t>
      </w:r>
      <w:r w:rsidRPr="002649FC">
        <w:rPr>
          <w:b/>
          <w:lang w:val="ru-RU"/>
        </w:rPr>
        <w:t xml:space="preserve">. </w:t>
      </w:r>
      <w:r>
        <w:rPr>
          <w:b/>
          <w:lang w:val="ru-RU"/>
        </w:rPr>
        <w:t xml:space="preserve">В этой </w:t>
      </w:r>
      <w:r w:rsidRPr="003D505F">
        <w:rPr>
          <w:b/>
          <w:lang w:val="ru-RU"/>
        </w:rPr>
        <w:t>документаци</w:t>
      </w:r>
      <w:r>
        <w:rPr>
          <w:b/>
          <w:lang w:val="ru-RU"/>
        </w:rPr>
        <w:t>и</w:t>
      </w:r>
      <w:r w:rsidRPr="003D505F">
        <w:rPr>
          <w:b/>
          <w:lang w:val="ru-RU"/>
        </w:rPr>
        <w:t xml:space="preserve"> долж</w:t>
      </w:r>
      <w:r>
        <w:rPr>
          <w:b/>
          <w:lang w:val="ru-RU"/>
        </w:rPr>
        <w:t>ны</w:t>
      </w:r>
      <w:r w:rsidRPr="003D505F">
        <w:rPr>
          <w:b/>
          <w:lang w:val="ru-RU"/>
        </w:rPr>
        <w:t xml:space="preserve"> </w:t>
      </w:r>
      <w:r>
        <w:rPr>
          <w:b/>
          <w:lang w:val="ru-RU"/>
        </w:rPr>
        <w:t>быть</w:t>
      </w:r>
      <w:r w:rsidRPr="003D505F">
        <w:rPr>
          <w:b/>
          <w:lang w:val="ru-RU"/>
        </w:rPr>
        <w:t xml:space="preserve"> </w:t>
      </w:r>
      <w:r>
        <w:rPr>
          <w:b/>
          <w:lang w:val="ru-RU"/>
        </w:rPr>
        <w:t xml:space="preserve">указаны </w:t>
      </w:r>
      <w:r w:rsidRPr="003D505F">
        <w:rPr>
          <w:b/>
          <w:lang w:val="ru-RU"/>
        </w:rPr>
        <w:t xml:space="preserve">инструмент хеджирования, объект хеджирования, </w:t>
      </w:r>
      <w:r>
        <w:rPr>
          <w:b/>
          <w:lang w:val="ru-RU"/>
        </w:rPr>
        <w:t xml:space="preserve">описан </w:t>
      </w:r>
      <w:r w:rsidRPr="003D505F">
        <w:rPr>
          <w:b/>
          <w:lang w:val="ru-RU"/>
        </w:rPr>
        <w:t>характер хеджируемого риска и то, как</w:t>
      </w:r>
      <w:r>
        <w:rPr>
          <w:b/>
          <w:lang w:val="ru-RU"/>
        </w:rPr>
        <w:t>им образом</w:t>
      </w:r>
      <w:r w:rsidRPr="003D505F">
        <w:rPr>
          <w:b/>
          <w:lang w:val="ru-RU"/>
        </w:rPr>
        <w:t xml:space="preserve"> организация будет оценивать, отвеча</w:t>
      </w:r>
      <w:r>
        <w:rPr>
          <w:b/>
          <w:lang w:val="ru-RU"/>
        </w:rPr>
        <w:t>ю</w:t>
      </w:r>
      <w:r w:rsidRPr="003D505F">
        <w:rPr>
          <w:b/>
          <w:lang w:val="ru-RU"/>
        </w:rPr>
        <w:t xml:space="preserve">т ли </w:t>
      </w:r>
      <w:r>
        <w:rPr>
          <w:b/>
          <w:lang w:val="ru-RU"/>
        </w:rPr>
        <w:t>данные</w:t>
      </w:r>
      <w:r w:rsidRPr="003D505F">
        <w:rPr>
          <w:b/>
          <w:lang w:val="ru-RU"/>
        </w:rPr>
        <w:t xml:space="preserve"> отношени</w:t>
      </w:r>
      <w:r>
        <w:rPr>
          <w:b/>
          <w:lang w:val="ru-RU"/>
        </w:rPr>
        <w:t>я</w:t>
      </w:r>
      <w:r w:rsidRPr="003D505F">
        <w:rPr>
          <w:b/>
          <w:lang w:val="ru-RU"/>
        </w:rPr>
        <w:t xml:space="preserve"> хеджирования требованиям к эффективности хеджирования (включая анализ источников неэффективности хеджирования и </w:t>
      </w:r>
      <w:r>
        <w:rPr>
          <w:b/>
          <w:lang w:val="ru-RU"/>
        </w:rPr>
        <w:t>подходы к определению</w:t>
      </w:r>
      <w:r w:rsidRPr="003D505F">
        <w:rPr>
          <w:b/>
          <w:lang w:val="ru-RU"/>
        </w:rPr>
        <w:t xml:space="preserve"> </w:t>
      </w:r>
      <w:r w:rsidRPr="003D505F">
        <w:rPr>
          <w:b/>
          <w:i/>
          <w:lang w:val="ru-RU"/>
        </w:rPr>
        <w:t>коэффициента хеджирования</w:t>
      </w:r>
      <w:r w:rsidRPr="003D505F">
        <w:rPr>
          <w:b/>
          <w:lang w:val="ru-RU"/>
        </w:rPr>
        <w:t>)</w:t>
      </w:r>
      <w:bookmarkEnd w:id="77"/>
      <w:r w:rsidR="003F00C5">
        <w:rPr>
          <w:b/>
          <w:lang w:val="ru-RU"/>
        </w:rPr>
        <w:t>;</w:t>
      </w:r>
    </w:p>
    <w:p w:rsidR="0016710A" w:rsidRPr="003D505F" w:rsidRDefault="0016710A" w:rsidP="0016710A">
      <w:pPr>
        <w:pStyle w:val="IASBNormalnparaL1"/>
        <w:rPr>
          <w:b/>
          <w:lang w:val="ru-RU"/>
        </w:rPr>
      </w:pPr>
      <w:r w:rsidRPr="003D505F">
        <w:rPr>
          <w:b/>
          <w:lang w:val="ru-RU"/>
        </w:rPr>
        <w:t>(</w:t>
      </w:r>
      <w:r>
        <w:rPr>
          <w:b/>
        </w:rPr>
        <w:t>c</w:t>
      </w:r>
      <w:r w:rsidRPr="003D505F">
        <w:rPr>
          <w:b/>
          <w:lang w:val="ru-RU"/>
        </w:rPr>
        <w:t>)</w:t>
      </w:r>
      <w:r w:rsidRPr="003D505F">
        <w:rPr>
          <w:lang w:val="ru-RU"/>
        </w:rPr>
        <w:tab/>
      </w:r>
      <w:bookmarkStart w:id="78" w:name="F27186707"/>
      <w:r>
        <w:rPr>
          <w:b/>
          <w:lang w:val="ru-RU"/>
        </w:rPr>
        <w:t>данные</w:t>
      </w:r>
      <w:r>
        <w:rPr>
          <w:lang w:val="ru-RU"/>
        </w:rPr>
        <w:t xml:space="preserve"> </w:t>
      </w:r>
      <w:r>
        <w:rPr>
          <w:b/>
          <w:lang w:val="ru-RU"/>
        </w:rPr>
        <w:t>отношения хеджирования отвечаю</w:t>
      </w:r>
      <w:r w:rsidRPr="003D505F">
        <w:rPr>
          <w:b/>
          <w:lang w:val="ru-RU"/>
        </w:rPr>
        <w:t>т всем следующим требованиям к эффективности хеджирования:</w:t>
      </w:r>
      <w:bookmarkEnd w:id="78"/>
    </w:p>
    <w:p w:rsidR="0016710A" w:rsidRPr="003D505F" w:rsidRDefault="0016710A" w:rsidP="0016710A">
      <w:pPr>
        <w:pStyle w:val="IASBNormalnparaL2"/>
        <w:rPr>
          <w:b/>
          <w:lang w:val="ru-RU"/>
        </w:rPr>
      </w:pPr>
      <w:r w:rsidRPr="003D505F">
        <w:rPr>
          <w:b/>
          <w:lang w:val="ru-RU"/>
        </w:rPr>
        <w:t>(</w:t>
      </w:r>
      <w:r>
        <w:rPr>
          <w:b/>
        </w:rPr>
        <w:t>i</w:t>
      </w:r>
      <w:r w:rsidRPr="003D505F">
        <w:rPr>
          <w:b/>
          <w:lang w:val="ru-RU"/>
        </w:rPr>
        <w:t>)</w:t>
      </w:r>
      <w:r w:rsidRPr="003D505F">
        <w:rPr>
          <w:lang w:val="ru-RU"/>
        </w:rPr>
        <w:tab/>
      </w:r>
      <w:bookmarkStart w:id="79" w:name="F27186710"/>
      <w:r w:rsidRPr="003D505F">
        <w:rPr>
          <w:b/>
          <w:lang w:val="ru-RU"/>
        </w:rPr>
        <w:t xml:space="preserve">между объектом хеджирования и инструментом хеджирования </w:t>
      </w:r>
      <w:r>
        <w:rPr>
          <w:b/>
          <w:lang w:val="ru-RU"/>
        </w:rPr>
        <w:t xml:space="preserve">существует </w:t>
      </w:r>
      <w:r w:rsidRPr="003D505F">
        <w:rPr>
          <w:b/>
          <w:lang w:val="ru-RU"/>
        </w:rPr>
        <w:t>экономическ</w:t>
      </w:r>
      <w:r>
        <w:rPr>
          <w:b/>
          <w:lang w:val="ru-RU"/>
        </w:rPr>
        <w:t>ая</w:t>
      </w:r>
      <w:r w:rsidRPr="003D505F">
        <w:rPr>
          <w:b/>
          <w:lang w:val="ru-RU"/>
        </w:rPr>
        <w:t xml:space="preserve"> </w:t>
      </w:r>
      <w:r>
        <w:rPr>
          <w:b/>
          <w:lang w:val="ru-RU"/>
        </w:rPr>
        <w:t>взаимосвязь</w:t>
      </w:r>
      <w:r w:rsidRPr="003D505F">
        <w:rPr>
          <w:b/>
          <w:lang w:val="ru-RU"/>
        </w:rPr>
        <w:t xml:space="preserve"> (см. пункты В6.4.4–В6.4.6);</w:t>
      </w:r>
      <w:bookmarkEnd w:id="79"/>
    </w:p>
    <w:p w:rsidR="0016710A" w:rsidRPr="003D505F" w:rsidRDefault="0016710A" w:rsidP="0016710A">
      <w:pPr>
        <w:pStyle w:val="IASBNormalnparaL2"/>
        <w:rPr>
          <w:b/>
          <w:lang w:val="ru-RU"/>
        </w:rPr>
      </w:pPr>
      <w:r w:rsidRPr="003D505F">
        <w:rPr>
          <w:b/>
          <w:lang w:val="ru-RU"/>
        </w:rPr>
        <w:t>(</w:t>
      </w:r>
      <w:r>
        <w:rPr>
          <w:b/>
        </w:rPr>
        <w:t>ii</w:t>
      </w:r>
      <w:r w:rsidRPr="003D505F">
        <w:rPr>
          <w:b/>
          <w:lang w:val="ru-RU"/>
        </w:rPr>
        <w:t>)</w:t>
      </w:r>
      <w:r w:rsidRPr="003D505F">
        <w:rPr>
          <w:lang w:val="ru-RU"/>
        </w:rPr>
        <w:tab/>
      </w:r>
      <w:bookmarkStart w:id="80" w:name="F27186712"/>
      <w:r>
        <w:rPr>
          <w:b/>
          <w:lang w:val="ru-RU"/>
        </w:rPr>
        <w:t>фактор</w:t>
      </w:r>
      <w:r w:rsidRPr="003D505F">
        <w:rPr>
          <w:b/>
          <w:lang w:val="ru-RU"/>
        </w:rPr>
        <w:t xml:space="preserve"> кредитного риска не </w:t>
      </w:r>
      <w:r>
        <w:rPr>
          <w:b/>
          <w:lang w:val="ru-RU"/>
        </w:rPr>
        <w:t>оказывает</w:t>
      </w:r>
      <w:r w:rsidRPr="003D505F">
        <w:rPr>
          <w:b/>
          <w:lang w:val="ru-RU"/>
        </w:rPr>
        <w:t xml:space="preserve"> доминирующ</w:t>
      </w:r>
      <w:r>
        <w:rPr>
          <w:b/>
          <w:lang w:val="ru-RU"/>
        </w:rPr>
        <w:t>его влияния на</w:t>
      </w:r>
      <w:r w:rsidRPr="003D505F">
        <w:rPr>
          <w:b/>
          <w:lang w:val="ru-RU"/>
        </w:rPr>
        <w:t xml:space="preserve"> изменени</w:t>
      </w:r>
      <w:r>
        <w:rPr>
          <w:b/>
          <w:lang w:val="ru-RU"/>
        </w:rPr>
        <w:t>я</w:t>
      </w:r>
      <w:r w:rsidRPr="003D505F">
        <w:rPr>
          <w:b/>
          <w:lang w:val="ru-RU"/>
        </w:rPr>
        <w:t xml:space="preserve"> стоимости, </w:t>
      </w:r>
      <w:r>
        <w:rPr>
          <w:b/>
          <w:lang w:val="ru-RU"/>
        </w:rPr>
        <w:t xml:space="preserve">обусловленные указанной </w:t>
      </w:r>
      <w:r w:rsidRPr="003D505F">
        <w:rPr>
          <w:b/>
          <w:lang w:val="ru-RU"/>
        </w:rPr>
        <w:t>экономическ</w:t>
      </w:r>
      <w:r>
        <w:rPr>
          <w:b/>
          <w:lang w:val="ru-RU"/>
        </w:rPr>
        <w:t>ой взаимосвязью</w:t>
      </w:r>
      <w:r w:rsidRPr="003D505F">
        <w:rPr>
          <w:b/>
          <w:lang w:val="ru-RU"/>
        </w:rPr>
        <w:t xml:space="preserve"> (см. пункты </w:t>
      </w:r>
      <w:r>
        <w:rPr>
          <w:b/>
        </w:rPr>
        <w:t>B</w:t>
      </w:r>
      <w:r w:rsidRPr="003D505F">
        <w:rPr>
          <w:b/>
          <w:lang w:val="ru-RU"/>
        </w:rPr>
        <w:t>6.4.7–</w:t>
      </w:r>
      <w:r>
        <w:rPr>
          <w:b/>
        </w:rPr>
        <w:t>B</w:t>
      </w:r>
      <w:r w:rsidRPr="003D505F">
        <w:rPr>
          <w:b/>
          <w:lang w:val="ru-RU"/>
        </w:rPr>
        <w:t>6.4.8); и</w:t>
      </w:r>
      <w:bookmarkEnd w:id="80"/>
    </w:p>
    <w:p w:rsidR="007D4BCC" w:rsidRPr="0049187C" w:rsidRDefault="0016710A" w:rsidP="0016710A">
      <w:pPr>
        <w:pStyle w:val="IASBNormalnparaL2"/>
        <w:rPr>
          <w:b/>
          <w:lang w:val="ru-RU"/>
        </w:rPr>
      </w:pPr>
      <w:r w:rsidRPr="003D505F">
        <w:rPr>
          <w:b/>
          <w:lang w:val="ru-RU"/>
        </w:rPr>
        <w:t>(</w:t>
      </w:r>
      <w:r w:rsidRPr="0016710A">
        <w:rPr>
          <w:b/>
          <w:lang w:val="ru-RU"/>
        </w:rPr>
        <w:t>iii</w:t>
      </w:r>
      <w:r w:rsidRPr="003D505F">
        <w:rPr>
          <w:b/>
          <w:lang w:val="ru-RU"/>
        </w:rPr>
        <w:t>)</w:t>
      </w:r>
      <w:r w:rsidRPr="0016710A">
        <w:rPr>
          <w:b/>
          <w:lang w:val="ru-RU"/>
        </w:rPr>
        <w:tab/>
        <w:t>коэффициент хеджирования</w:t>
      </w:r>
      <w:r w:rsidRPr="000505C1">
        <w:rPr>
          <w:b/>
          <w:lang w:val="ru-RU"/>
        </w:rPr>
        <w:t>, определенны</w:t>
      </w:r>
      <w:r w:rsidR="0057748C">
        <w:rPr>
          <w:b/>
          <w:lang w:val="ru-RU"/>
        </w:rPr>
        <w:t>й для данных отношений</w:t>
      </w:r>
      <w:r w:rsidRPr="003D505F">
        <w:rPr>
          <w:b/>
          <w:lang w:val="ru-RU"/>
        </w:rPr>
        <w:t xml:space="preserve"> хеджирования</w:t>
      </w:r>
      <w:r>
        <w:rPr>
          <w:b/>
          <w:lang w:val="ru-RU"/>
        </w:rPr>
        <w:t>,</w:t>
      </w:r>
      <w:r w:rsidRPr="003D505F">
        <w:rPr>
          <w:b/>
          <w:lang w:val="ru-RU"/>
        </w:rPr>
        <w:t xml:space="preserve"> </w:t>
      </w:r>
      <w:r>
        <w:rPr>
          <w:b/>
          <w:lang w:val="ru-RU"/>
        </w:rPr>
        <w:t>отражает соотношение между</w:t>
      </w:r>
      <w:r w:rsidRPr="003D505F">
        <w:rPr>
          <w:b/>
          <w:lang w:val="ru-RU"/>
        </w:rPr>
        <w:t xml:space="preserve"> количественн</w:t>
      </w:r>
      <w:r>
        <w:rPr>
          <w:b/>
          <w:lang w:val="ru-RU"/>
        </w:rPr>
        <w:t>ым</w:t>
      </w:r>
      <w:r w:rsidRPr="003D505F">
        <w:rPr>
          <w:b/>
          <w:lang w:val="ru-RU"/>
        </w:rPr>
        <w:t xml:space="preserve"> объем</w:t>
      </w:r>
      <w:r>
        <w:rPr>
          <w:b/>
          <w:lang w:val="ru-RU"/>
        </w:rPr>
        <w:t>ом</w:t>
      </w:r>
      <w:r w:rsidRPr="003D505F">
        <w:rPr>
          <w:b/>
          <w:lang w:val="ru-RU"/>
        </w:rPr>
        <w:t xml:space="preserve"> объекта хеджирования, фактически хеджируе</w:t>
      </w:r>
      <w:r>
        <w:rPr>
          <w:b/>
          <w:lang w:val="ru-RU"/>
        </w:rPr>
        <w:t>мым организацией</w:t>
      </w:r>
      <w:r w:rsidRPr="003D505F">
        <w:rPr>
          <w:b/>
          <w:lang w:val="ru-RU"/>
        </w:rPr>
        <w:t xml:space="preserve">, </w:t>
      </w:r>
      <w:r>
        <w:rPr>
          <w:b/>
          <w:lang w:val="ru-RU"/>
        </w:rPr>
        <w:t>и</w:t>
      </w:r>
      <w:r w:rsidRPr="003D505F">
        <w:rPr>
          <w:b/>
          <w:lang w:val="ru-RU"/>
        </w:rPr>
        <w:t xml:space="preserve"> </w:t>
      </w:r>
      <w:r w:rsidRPr="0095563D">
        <w:rPr>
          <w:b/>
          <w:lang w:val="ru-RU"/>
        </w:rPr>
        <w:t>количественным объемом</w:t>
      </w:r>
      <w:r w:rsidRPr="003D505F">
        <w:rPr>
          <w:b/>
          <w:lang w:val="ru-RU"/>
        </w:rPr>
        <w:t xml:space="preserve"> инструмента хеджирования, фактически используе</w:t>
      </w:r>
      <w:r>
        <w:rPr>
          <w:b/>
          <w:lang w:val="ru-RU"/>
        </w:rPr>
        <w:t>мым организацией</w:t>
      </w:r>
      <w:r w:rsidRPr="003D505F">
        <w:rPr>
          <w:b/>
          <w:lang w:val="ru-RU"/>
        </w:rPr>
        <w:t xml:space="preserve"> для хеджирования </w:t>
      </w:r>
      <w:r>
        <w:rPr>
          <w:b/>
          <w:lang w:val="ru-RU"/>
        </w:rPr>
        <w:t xml:space="preserve">указанного </w:t>
      </w:r>
      <w:r w:rsidRPr="0095563D">
        <w:rPr>
          <w:b/>
          <w:lang w:val="ru-RU"/>
        </w:rPr>
        <w:t>количественного объема</w:t>
      </w:r>
      <w:r w:rsidRPr="003D505F">
        <w:rPr>
          <w:b/>
          <w:lang w:val="ru-RU"/>
        </w:rPr>
        <w:t xml:space="preserve"> объекта хеджирования. Однако </w:t>
      </w:r>
      <w:r>
        <w:rPr>
          <w:b/>
          <w:lang w:val="ru-RU"/>
        </w:rPr>
        <w:t xml:space="preserve">при определении по усмотрению организации </w:t>
      </w:r>
      <w:r w:rsidRPr="003D505F">
        <w:rPr>
          <w:b/>
          <w:lang w:val="ru-RU"/>
        </w:rPr>
        <w:t>данн</w:t>
      </w:r>
      <w:r>
        <w:rPr>
          <w:b/>
          <w:lang w:val="ru-RU"/>
        </w:rPr>
        <w:t xml:space="preserve">ых отношений </w:t>
      </w:r>
      <w:r w:rsidRPr="003D505F">
        <w:rPr>
          <w:b/>
          <w:lang w:val="ru-RU"/>
        </w:rPr>
        <w:t>не</w:t>
      </w:r>
      <w:r>
        <w:rPr>
          <w:b/>
          <w:lang w:val="ru-RU"/>
        </w:rPr>
        <w:t xml:space="preserve"> следует</w:t>
      </w:r>
      <w:r w:rsidRPr="003D505F">
        <w:rPr>
          <w:b/>
          <w:lang w:val="ru-RU"/>
        </w:rPr>
        <w:t xml:space="preserve"> </w:t>
      </w:r>
      <w:r>
        <w:rPr>
          <w:b/>
          <w:lang w:val="ru-RU"/>
        </w:rPr>
        <w:t xml:space="preserve">принимать в расчет дисбаланс </w:t>
      </w:r>
      <w:r w:rsidRPr="003D505F">
        <w:rPr>
          <w:b/>
          <w:lang w:val="ru-RU"/>
        </w:rPr>
        <w:t xml:space="preserve">между </w:t>
      </w:r>
      <w:r w:rsidRPr="0095563D">
        <w:rPr>
          <w:b/>
          <w:lang w:val="ru-RU"/>
        </w:rPr>
        <w:t>весовыми коэффициентами</w:t>
      </w:r>
      <w:r>
        <w:rPr>
          <w:b/>
          <w:lang w:val="ru-RU"/>
        </w:rPr>
        <w:t xml:space="preserve"> </w:t>
      </w:r>
      <w:r w:rsidRPr="003D505F">
        <w:rPr>
          <w:b/>
          <w:lang w:val="ru-RU"/>
        </w:rPr>
        <w:t>объект</w:t>
      </w:r>
      <w:r>
        <w:rPr>
          <w:b/>
          <w:lang w:val="ru-RU"/>
        </w:rPr>
        <w:t>а</w:t>
      </w:r>
      <w:r w:rsidRPr="003D505F">
        <w:rPr>
          <w:b/>
          <w:lang w:val="ru-RU"/>
        </w:rPr>
        <w:t xml:space="preserve"> хеджирования и инструмент</w:t>
      </w:r>
      <w:r>
        <w:rPr>
          <w:b/>
          <w:lang w:val="ru-RU"/>
        </w:rPr>
        <w:t>а</w:t>
      </w:r>
      <w:r w:rsidRPr="003D505F">
        <w:rPr>
          <w:b/>
          <w:lang w:val="ru-RU"/>
        </w:rPr>
        <w:t xml:space="preserve"> хеджирования, котор</w:t>
      </w:r>
      <w:r>
        <w:rPr>
          <w:b/>
          <w:lang w:val="ru-RU"/>
        </w:rPr>
        <w:t>ый привел бы</w:t>
      </w:r>
      <w:r w:rsidRPr="003D505F">
        <w:rPr>
          <w:b/>
          <w:lang w:val="ru-RU"/>
        </w:rPr>
        <w:t xml:space="preserve"> </w:t>
      </w:r>
      <w:r>
        <w:rPr>
          <w:b/>
          <w:lang w:val="ru-RU"/>
        </w:rPr>
        <w:t xml:space="preserve">к </w:t>
      </w:r>
      <w:r w:rsidRPr="003D505F">
        <w:rPr>
          <w:b/>
          <w:lang w:val="ru-RU"/>
        </w:rPr>
        <w:t>неэффективност</w:t>
      </w:r>
      <w:r>
        <w:rPr>
          <w:b/>
          <w:lang w:val="ru-RU"/>
        </w:rPr>
        <w:t>и</w:t>
      </w:r>
      <w:r w:rsidRPr="003D505F">
        <w:rPr>
          <w:b/>
          <w:lang w:val="ru-RU"/>
        </w:rPr>
        <w:t xml:space="preserve"> хеджирования (вне зависимости от того, </w:t>
      </w:r>
      <w:r>
        <w:rPr>
          <w:b/>
          <w:lang w:val="ru-RU"/>
        </w:rPr>
        <w:t xml:space="preserve">признана </w:t>
      </w:r>
      <w:r w:rsidRPr="003D505F">
        <w:rPr>
          <w:b/>
          <w:lang w:val="ru-RU"/>
        </w:rPr>
        <w:t xml:space="preserve">она или нет), </w:t>
      </w:r>
      <w:r>
        <w:rPr>
          <w:b/>
          <w:lang w:val="ru-RU"/>
        </w:rPr>
        <w:t>вследствие</w:t>
      </w:r>
      <w:r w:rsidRPr="003D505F">
        <w:rPr>
          <w:b/>
          <w:lang w:val="ru-RU"/>
        </w:rPr>
        <w:t xml:space="preserve"> </w:t>
      </w:r>
      <w:r>
        <w:rPr>
          <w:b/>
          <w:lang w:val="ru-RU"/>
        </w:rPr>
        <w:t xml:space="preserve">которой в отчетности может быть отражен </w:t>
      </w:r>
      <w:r w:rsidRPr="003D505F">
        <w:rPr>
          <w:b/>
          <w:lang w:val="ru-RU"/>
        </w:rPr>
        <w:t>результат, не соответств</w:t>
      </w:r>
      <w:r>
        <w:rPr>
          <w:b/>
          <w:lang w:val="ru-RU"/>
        </w:rPr>
        <w:t>ующий</w:t>
      </w:r>
      <w:r w:rsidRPr="003D505F">
        <w:rPr>
          <w:b/>
          <w:lang w:val="ru-RU"/>
        </w:rPr>
        <w:t xml:space="preserve"> цели учета хеджирования (см. пункты В6.4.9–</w:t>
      </w:r>
      <w:r w:rsidRPr="0016710A">
        <w:rPr>
          <w:b/>
          <w:lang w:val="ru-RU"/>
        </w:rPr>
        <w:t>B</w:t>
      </w:r>
      <w:r w:rsidRPr="003D505F">
        <w:rPr>
          <w:b/>
          <w:lang w:val="ru-RU"/>
        </w:rPr>
        <w:t>6.4.11)</w:t>
      </w:r>
      <w:r w:rsidR="007D4BCC" w:rsidRPr="0049187C">
        <w:rPr>
          <w:b/>
          <w:lang w:val="ru-RU"/>
        </w:rPr>
        <w:t>.</w:t>
      </w:r>
      <w:bookmarkEnd w:id="74"/>
    </w:p>
    <w:p w:rsidR="007D4BCC" w:rsidRPr="0049187C" w:rsidRDefault="007D4BCC" w:rsidP="007D4BCC">
      <w:pPr>
        <w:pStyle w:val="IASBSectionTitle1NonInd"/>
        <w:rPr>
          <w:lang w:val="ru-RU"/>
        </w:rPr>
      </w:pPr>
      <w:bookmarkStart w:id="81" w:name="SL32570274"/>
      <w:r w:rsidRPr="0049187C">
        <w:rPr>
          <w:lang w:val="ru-RU"/>
        </w:rPr>
        <w:t xml:space="preserve">6.5 </w:t>
      </w:r>
      <w:bookmarkEnd w:id="81"/>
      <w:r w:rsidR="00A12000">
        <w:rPr>
          <w:lang w:val="ru-RU"/>
        </w:rPr>
        <w:t>Порядок у</w:t>
      </w:r>
      <w:r w:rsidRPr="0049187C">
        <w:rPr>
          <w:lang w:val="ru-RU"/>
        </w:rPr>
        <w:t>чет</w:t>
      </w:r>
      <w:r w:rsidR="00A12000">
        <w:rPr>
          <w:lang w:val="ru-RU"/>
        </w:rPr>
        <w:t>а</w:t>
      </w:r>
      <w:r w:rsidRPr="0049187C">
        <w:rPr>
          <w:lang w:val="ru-RU"/>
        </w:rPr>
        <w:t xml:space="preserve"> </w:t>
      </w:r>
      <w:r w:rsidR="00A12000">
        <w:rPr>
          <w:lang w:val="ru-RU"/>
        </w:rPr>
        <w:t xml:space="preserve">квалифицируемых </w:t>
      </w:r>
      <w:r w:rsidRPr="0049187C">
        <w:rPr>
          <w:lang w:val="ru-RU"/>
        </w:rPr>
        <w:t>отношений хеджирования</w:t>
      </w:r>
    </w:p>
    <w:p w:rsidR="00A12000" w:rsidRPr="003D505F" w:rsidRDefault="007D4BCC" w:rsidP="00A12000">
      <w:pPr>
        <w:pStyle w:val="IASBNormalnpara"/>
        <w:rPr>
          <w:b/>
          <w:lang w:val="ru-RU"/>
        </w:rPr>
      </w:pPr>
      <w:r w:rsidRPr="0049187C">
        <w:rPr>
          <w:b/>
          <w:lang w:val="ru-RU"/>
        </w:rPr>
        <w:t>6.5.1</w:t>
      </w:r>
      <w:r w:rsidRPr="0049187C">
        <w:rPr>
          <w:b/>
          <w:lang w:val="ru-RU"/>
        </w:rPr>
        <w:tab/>
      </w:r>
      <w:bookmarkStart w:id="82" w:name="F27186743"/>
      <w:bookmarkStart w:id="83" w:name="F27186718"/>
      <w:r w:rsidR="00A12000" w:rsidRPr="003D505F">
        <w:rPr>
          <w:b/>
          <w:lang w:val="ru-RU"/>
        </w:rPr>
        <w:t>Организация применяет учет хеджирования к отношениям хеджирования, которые отвечают критериям</w:t>
      </w:r>
      <w:r w:rsidR="00A12000">
        <w:rPr>
          <w:b/>
          <w:lang w:val="ru-RU"/>
        </w:rPr>
        <w:t xml:space="preserve"> применения учета хеджирования</w:t>
      </w:r>
      <w:r w:rsidR="00A12000" w:rsidRPr="003D505F">
        <w:rPr>
          <w:b/>
          <w:lang w:val="ru-RU"/>
        </w:rPr>
        <w:t xml:space="preserve">, </w:t>
      </w:r>
      <w:r w:rsidR="00A12000">
        <w:rPr>
          <w:b/>
          <w:lang w:val="ru-RU"/>
        </w:rPr>
        <w:t xml:space="preserve">предусмотренным </w:t>
      </w:r>
      <w:r w:rsidR="00A12000" w:rsidRPr="003D505F">
        <w:rPr>
          <w:b/>
          <w:lang w:val="ru-RU"/>
        </w:rPr>
        <w:t>пункт</w:t>
      </w:r>
      <w:r w:rsidR="00A12000">
        <w:rPr>
          <w:b/>
          <w:lang w:val="ru-RU"/>
        </w:rPr>
        <w:t>ом</w:t>
      </w:r>
      <w:r w:rsidR="00A12000" w:rsidRPr="003D505F">
        <w:rPr>
          <w:b/>
          <w:lang w:val="ru-RU"/>
        </w:rPr>
        <w:t xml:space="preserve"> 6.4.1 (в число которых входит принятие организацией решения об </w:t>
      </w:r>
      <w:r w:rsidR="00A12000">
        <w:rPr>
          <w:b/>
          <w:lang w:val="ru-RU"/>
        </w:rPr>
        <w:t>определении по собственному усмотрению соответствующих</w:t>
      </w:r>
      <w:r w:rsidR="00A12000" w:rsidRPr="003D505F">
        <w:rPr>
          <w:b/>
          <w:lang w:val="ru-RU"/>
        </w:rPr>
        <w:t xml:space="preserve"> отношени</w:t>
      </w:r>
      <w:r w:rsidR="00A12000">
        <w:rPr>
          <w:b/>
          <w:lang w:val="ru-RU"/>
        </w:rPr>
        <w:t>й</w:t>
      </w:r>
      <w:r w:rsidR="00A12000" w:rsidRPr="003D505F">
        <w:rPr>
          <w:b/>
          <w:lang w:val="ru-RU"/>
        </w:rPr>
        <w:t xml:space="preserve"> хеджирования).</w:t>
      </w:r>
      <w:bookmarkEnd w:id="83"/>
    </w:p>
    <w:p w:rsidR="00A12000" w:rsidRPr="003D505F" w:rsidRDefault="00A12000" w:rsidP="00A12000">
      <w:pPr>
        <w:pStyle w:val="IASBNormalnpara"/>
        <w:rPr>
          <w:b/>
          <w:lang w:val="ru-RU"/>
        </w:rPr>
      </w:pPr>
      <w:r w:rsidRPr="003D505F">
        <w:rPr>
          <w:b/>
          <w:lang w:val="ru-RU"/>
        </w:rPr>
        <w:t>6.5.2</w:t>
      </w:r>
      <w:r w:rsidRPr="003D505F">
        <w:rPr>
          <w:lang w:val="ru-RU"/>
        </w:rPr>
        <w:tab/>
      </w:r>
      <w:bookmarkStart w:id="84" w:name="F27186719"/>
      <w:r w:rsidRPr="00AF7B58">
        <w:rPr>
          <w:b/>
          <w:lang w:val="ru-RU"/>
        </w:rPr>
        <w:t xml:space="preserve">Различают три типа </w:t>
      </w:r>
      <w:r>
        <w:rPr>
          <w:b/>
          <w:lang w:val="ru-RU"/>
        </w:rPr>
        <w:t>о</w:t>
      </w:r>
      <w:r w:rsidRPr="003D505F">
        <w:rPr>
          <w:b/>
          <w:lang w:val="ru-RU"/>
        </w:rPr>
        <w:t>тношени</w:t>
      </w:r>
      <w:r>
        <w:rPr>
          <w:b/>
          <w:lang w:val="ru-RU"/>
        </w:rPr>
        <w:t>й</w:t>
      </w:r>
      <w:r w:rsidRPr="003D505F">
        <w:rPr>
          <w:b/>
          <w:lang w:val="ru-RU"/>
        </w:rPr>
        <w:t xml:space="preserve"> хеджирования:</w:t>
      </w:r>
      <w:bookmarkEnd w:id="84"/>
    </w:p>
    <w:p w:rsidR="00A12000" w:rsidRPr="003D505F" w:rsidRDefault="00A12000" w:rsidP="00A12000">
      <w:pPr>
        <w:pStyle w:val="IASBNormalnparaL1"/>
        <w:rPr>
          <w:b/>
          <w:lang w:val="ru-RU"/>
        </w:rPr>
      </w:pPr>
      <w:r w:rsidRPr="003D505F">
        <w:rPr>
          <w:b/>
          <w:lang w:val="ru-RU"/>
        </w:rPr>
        <w:t>(</w:t>
      </w:r>
      <w:r>
        <w:rPr>
          <w:b/>
        </w:rPr>
        <w:t>a</w:t>
      </w:r>
      <w:r w:rsidRPr="003D505F">
        <w:rPr>
          <w:b/>
          <w:lang w:val="ru-RU"/>
        </w:rPr>
        <w:t>)</w:t>
      </w:r>
      <w:r w:rsidRPr="003D505F">
        <w:rPr>
          <w:lang w:val="ru-RU"/>
        </w:rPr>
        <w:tab/>
      </w:r>
      <w:bookmarkStart w:id="85" w:name="F27186722"/>
      <w:r w:rsidRPr="003D505F">
        <w:rPr>
          <w:b/>
          <w:lang w:val="ru-RU"/>
        </w:rPr>
        <w:t>хеджирование справедливой стоимости: хеджир</w:t>
      </w:r>
      <w:r>
        <w:rPr>
          <w:b/>
          <w:lang w:val="ru-RU"/>
        </w:rPr>
        <w:t>уется</w:t>
      </w:r>
      <w:r w:rsidRPr="003D505F">
        <w:rPr>
          <w:b/>
          <w:lang w:val="ru-RU"/>
        </w:rPr>
        <w:t xml:space="preserve"> </w:t>
      </w:r>
      <w:r>
        <w:rPr>
          <w:b/>
          <w:lang w:val="ru-RU"/>
        </w:rPr>
        <w:t>потенциальное изменение</w:t>
      </w:r>
      <w:r w:rsidRPr="003D505F">
        <w:rPr>
          <w:b/>
          <w:lang w:val="ru-RU"/>
        </w:rPr>
        <w:t xml:space="preserve"> справедливой стоимости признанного актива или обязательства, либо непризнанного твердого договорного обязательства, либо компонента тако</w:t>
      </w:r>
      <w:r>
        <w:rPr>
          <w:b/>
          <w:lang w:val="ru-RU"/>
        </w:rPr>
        <w:t>го объекта, которое</w:t>
      </w:r>
      <w:r w:rsidRPr="003D505F">
        <w:rPr>
          <w:b/>
          <w:lang w:val="ru-RU"/>
        </w:rPr>
        <w:t xml:space="preserve"> </w:t>
      </w:r>
      <w:r>
        <w:rPr>
          <w:b/>
          <w:lang w:val="ru-RU"/>
        </w:rPr>
        <w:t xml:space="preserve">обусловлено </w:t>
      </w:r>
      <w:r w:rsidRPr="003D505F">
        <w:rPr>
          <w:b/>
          <w:lang w:val="ru-RU"/>
        </w:rPr>
        <w:t>определенн</w:t>
      </w:r>
      <w:r>
        <w:rPr>
          <w:b/>
          <w:lang w:val="ru-RU"/>
        </w:rPr>
        <w:t>ым</w:t>
      </w:r>
      <w:r w:rsidRPr="003D505F">
        <w:rPr>
          <w:b/>
          <w:lang w:val="ru-RU"/>
        </w:rPr>
        <w:t xml:space="preserve"> риск</w:t>
      </w:r>
      <w:r>
        <w:rPr>
          <w:b/>
          <w:lang w:val="ru-RU"/>
        </w:rPr>
        <w:t>ом</w:t>
      </w:r>
      <w:r w:rsidRPr="003D505F">
        <w:rPr>
          <w:b/>
          <w:lang w:val="ru-RU"/>
        </w:rPr>
        <w:t xml:space="preserve"> и может оказать влияние на прибыль или убыток</w:t>
      </w:r>
      <w:bookmarkEnd w:id="85"/>
      <w:r w:rsidR="00AF7496">
        <w:rPr>
          <w:b/>
          <w:lang w:val="ru-RU"/>
        </w:rPr>
        <w:t>;</w:t>
      </w:r>
    </w:p>
    <w:p w:rsidR="00A12000" w:rsidRPr="003D505F" w:rsidRDefault="00A12000" w:rsidP="00A12000">
      <w:pPr>
        <w:pStyle w:val="IASBNormalnparaL1"/>
        <w:rPr>
          <w:b/>
          <w:lang w:val="ru-RU"/>
        </w:rPr>
      </w:pPr>
      <w:r w:rsidRPr="003D505F">
        <w:rPr>
          <w:b/>
          <w:lang w:val="ru-RU"/>
        </w:rPr>
        <w:t>(</w:t>
      </w:r>
      <w:r>
        <w:rPr>
          <w:b/>
        </w:rPr>
        <w:t>b</w:t>
      </w:r>
      <w:r w:rsidRPr="003D505F">
        <w:rPr>
          <w:b/>
          <w:lang w:val="ru-RU"/>
        </w:rPr>
        <w:t>)</w:t>
      </w:r>
      <w:r w:rsidRPr="003D505F">
        <w:rPr>
          <w:lang w:val="ru-RU"/>
        </w:rPr>
        <w:tab/>
      </w:r>
      <w:bookmarkStart w:id="86" w:name="F27186724"/>
      <w:r w:rsidRPr="003D505F">
        <w:rPr>
          <w:b/>
          <w:lang w:val="ru-RU"/>
        </w:rPr>
        <w:t>хеджирование денежных потоков</w:t>
      </w:r>
      <w:r>
        <w:rPr>
          <w:b/>
          <w:lang w:val="ru-RU"/>
        </w:rPr>
        <w:t>:</w:t>
      </w:r>
      <w:r w:rsidRPr="003D505F">
        <w:rPr>
          <w:b/>
          <w:lang w:val="ru-RU"/>
        </w:rPr>
        <w:t xml:space="preserve"> хеджир</w:t>
      </w:r>
      <w:r>
        <w:rPr>
          <w:b/>
          <w:lang w:val="ru-RU"/>
        </w:rPr>
        <w:t>уется</w:t>
      </w:r>
      <w:r w:rsidRPr="003D505F">
        <w:rPr>
          <w:b/>
          <w:lang w:val="ru-RU"/>
        </w:rPr>
        <w:t xml:space="preserve"> </w:t>
      </w:r>
      <w:r w:rsidRPr="0095563D">
        <w:rPr>
          <w:b/>
          <w:lang w:val="ru-RU"/>
        </w:rPr>
        <w:t>потенциальное изменение</w:t>
      </w:r>
      <w:r>
        <w:rPr>
          <w:b/>
          <w:lang w:val="ru-RU"/>
        </w:rPr>
        <w:t xml:space="preserve"> величины </w:t>
      </w:r>
      <w:r w:rsidRPr="003D505F">
        <w:rPr>
          <w:b/>
          <w:lang w:val="ru-RU"/>
        </w:rPr>
        <w:t xml:space="preserve">денежных </w:t>
      </w:r>
      <w:r>
        <w:rPr>
          <w:b/>
          <w:lang w:val="ru-RU"/>
        </w:rPr>
        <w:t>потоков, которое</w:t>
      </w:r>
      <w:r w:rsidRPr="003D505F">
        <w:rPr>
          <w:b/>
          <w:lang w:val="ru-RU"/>
        </w:rPr>
        <w:t xml:space="preserve"> </w:t>
      </w:r>
      <w:r>
        <w:rPr>
          <w:b/>
          <w:lang w:val="ru-RU"/>
        </w:rPr>
        <w:t xml:space="preserve">обусловлено </w:t>
      </w:r>
      <w:r w:rsidRPr="003D505F">
        <w:rPr>
          <w:b/>
          <w:lang w:val="ru-RU"/>
        </w:rPr>
        <w:t>определенн</w:t>
      </w:r>
      <w:r>
        <w:rPr>
          <w:b/>
          <w:lang w:val="ru-RU"/>
        </w:rPr>
        <w:t>ым</w:t>
      </w:r>
      <w:r w:rsidRPr="003D505F">
        <w:rPr>
          <w:b/>
          <w:lang w:val="ru-RU"/>
        </w:rPr>
        <w:t xml:space="preserve"> риск</w:t>
      </w:r>
      <w:r>
        <w:rPr>
          <w:b/>
          <w:lang w:val="ru-RU"/>
        </w:rPr>
        <w:t>ом</w:t>
      </w:r>
      <w:r w:rsidRPr="003D505F">
        <w:rPr>
          <w:b/>
          <w:lang w:val="ru-RU"/>
        </w:rPr>
        <w:t>, связанн</w:t>
      </w:r>
      <w:r>
        <w:rPr>
          <w:b/>
          <w:lang w:val="ru-RU"/>
        </w:rPr>
        <w:t>ым</w:t>
      </w:r>
      <w:r w:rsidRPr="003D505F">
        <w:rPr>
          <w:b/>
          <w:lang w:val="ru-RU"/>
        </w:rPr>
        <w:t xml:space="preserve"> со всем признанным активом или обязательством либо его компонентом (</w:t>
      </w:r>
      <w:r>
        <w:rPr>
          <w:b/>
          <w:lang w:val="ru-RU"/>
        </w:rPr>
        <w:t xml:space="preserve">например, </w:t>
      </w:r>
      <w:r w:rsidRPr="003D505F">
        <w:rPr>
          <w:b/>
          <w:lang w:val="ru-RU"/>
        </w:rPr>
        <w:t xml:space="preserve">все или некоторые будущие процентные выплаты по долговому инструменту с переменной ставкой) или с </w:t>
      </w:r>
      <w:r w:rsidR="003F00C5">
        <w:rPr>
          <w:b/>
          <w:lang w:val="ru-RU"/>
        </w:rPr>
        <w:t xml:space="preserve">высоковероятной </w:t>
      </w:r>
      <w:r w:rsidRPr="0095563D">
        <w:rPr>
          <w:b/>
          <w:lang w:val="ru-RU"/>
        </w:rPr>
        <w:t>прогнозируемой операцией</w:t>
      </w:r>
      <w:r w:rsidR="003F00C5">
        <w:rPr>
          <w:b/>
          <w:lang w:val="ru-RU"/>
        </w:rPr>
        <w:t>,</w:t>
      </w:r>
      <w:r w:rsidRPr="003D505F">
        <w:rPr>
          <w:b/>
          <w:lang w:val="ru-RU"/>
        </w:rPr>
        <w:t xml:space="preserve"> и может оказать влияние на прибыль или убыток</w:t>
      </w:r>
      <w:bookmarkEnd w:id="86"/>
      <w:r w:rsidR="00AF7496">
        <w:rPr>
          <w:b/>
          <w:lang w:val="ru-RU"/>
        </w:rPr>
        <w:t>;</w:t>
      </w:r>
    </w:p>
    <w:p w:rsidR="00A12000" w:rsidRPr="003D505F" w:rsidRDefault="00A12000" w:rsidP="00A12000">
      <w:pPr>
        <w:pStyle w:val="IASBNormalnparaL1"/>
        <w:rPr>
          <w:b/>
          <w:lang w:val="ru-RU"/>
        </w:rPr>
      </w:pPr>
      <w:r w:rsidRPr="003D505F">
        <w:rPr>
          <w:b/>
          <w:lang w:val="ru-RU"/>
        </w:rPr>
        <w:t>(</w:t>
      </w:r>
      <w:r>
        <w:rPr>
          <w:b/>
        </w:rPr>
        <w:t>c</w:t>
      </w:r>
      <w:r w:rsidRPr="003D505F">
        <w:rPr>
          <w:b/>
          <w:lang w:val="ru-RU"/>
        </w:rPr>
        <w:t>)</w:t>
      </w:r>
      <w:r w:rsidRPr="003D505F">
        <w:rPr>
          <w:lang w:val="ru-RU"/>
        </w:rPr>
        <w:tab/>
      </w:r>
      <w:bookmarkStart w:id="87" w:name="F27186726"/>
      <w:r w:rsidRPr="003D505F">
        <w:rPr>
          <w:b/>
          <w:lang w:val="ru-RU"/>
        </w:rPr>
        <w:t xml:space="preserve">хеджирование чистой инвестиции в иностранное подразделение, как </w:t>
      </w:r>
      <w:r>
        <w:rPr>
          <w:b/>
          <w:lang w:val="ru-RU"/>
        </w:rPr>
        <w:t>этот термин</w:t>
      </w:r>
      <w:r w:rsidRPr="003D505F">
        <w:rPr>
          <w:b/>
          <w:lang w:val="ru-RU"/>
        </w:rPr>
        <w:t xml:space="preserve"> определен в МСФО (</w:t>
      </w:r>
      <w:r>
        <w:rPr>
          <w:b/>
        </w:rPr>
        <w:t>IAS</w:t>
      </w:r>
      <w:r w:rsidRPr="003D505F">
        <w:rPr>
          <w:b/>
          <w:lang w:val="ru-RU"/>
        </w:rPr>
        <w:t>) 21.</w:t>
      </w:r>
      <w:bookmarkEnd w:id="87"/>
    </w:p>
    <w:p w:rsidR="00A12000" w:rsidRPr="003D505F" w:rsidRDefault="00A12000" w:rsidP="00A12000">
      <w:pPr>
        <w:pStyle w:val="IASBNormalnpara"/>
        <w:rPr>
          <w:lang w:val="ru-RU"/>
        </w:rPr>
      </w:pPr>
      <w:r w:rsidRPr="003D505F">
        <w:rPr>
          <w:lang w:val="ru-RU"/>
        </w:rPr>
        <w:t>6.5.3</w:t>
      </w:r>
      <w:r w:rsidRPr="003D505F">
        <w:rPr>
          <w:lang w:val="ru-RU"/>
        </w:rPr>
        <w:tab/>
      </w:r>
      <w:bookmarkStart w:id="88" w:name="F27186728"/>
      <w:r w:rsidRPr="003D505F">
        <w:rPr>
          <w:lang w:val="ru-RU"/>
        </w:rPr>
        <w:t>Если объект хеджирования представляет собой долевой инструмент, для которого организация выбрала вариант представления изменений справедливой стоимости в составе прочего совокупного дохода в соответствии с пунктом 5.7.5, то хеджируем</w:t>
      </w:r>
      <w:r>
        <w:rPr>
          <w:lang w:val="ru-RU"/>
        </w:rPr>
        <w:t>ое потенциальное изменение</w:t>
      </w:r>
      <w:r w:rsidRPr="003D505F">
        <w:rPr>
          <w:lang w:val="ru-RU"/>
        </w:rPr>
        <w:t>, упоминаем</w:t>
      </w:r>
      <w:r>
        <w:rPr>
          <w:lang w:val="ru-RU"/>
        </w:rPr>
        <w:t>ое</w:t>
      </w:r>
      <w:r w:rsidRPr="003D505F">
        <w:rPr>
          <w:lang w:val="ru-RU"/>
        </w:rPr>
        <w:t xml:space="preserve"> в пункте 6.5.2(а), </w:t>
      </w:r>
      <w:r w:rsidRPr="00516580">
        <w:rPr>
          <w:lang w:val="ru-RU"/>
        </w:rPr>
        <w:t>должно относиться к изменениям, которые могут оказать влияние на прочий совокупный доход</w:t>
      </w:r>
      <w:r w:rsidRPr="003D505F">
        <w:rPr>
          <w:lang w:val="ru-RU"/>
        </w:rPr>
        <w:t xml:space="preserve">. </w:t>
      </w:r>
      <w:r>
        <w:rPr>
          <w:lang w:val="ru-RU"/>
        </w:rPr>
        <w:t>В этом и только в этом случае</w:t>
      </w:r>
      <w:r w:rsidRPr="003D505F">
        <w:rPr>
          <w:lang w:val="ru-RU"/>
        </w:rPr>
        <w:t xml:space="preserve"> признанная неэффективность хеджирования </w:t>
      </w:r>
      <w:r>
        <w:rPr>
          <w:lang w:val="ru-RU"/>
        </w:rPr>
        <w:t>представляется</w:t>
      </w:r>
      <w:r w:rsidRPr="003D505F">
        <w:rPr>
          <w:lang w:val="ru-RU"/>
        </w:rPr>
        <w:t xml:space="preserve"> в составе прочего совокупного дохода. </w:t>
      </w:r>
      <w:bookmarkEnd w:id="88"/>
    </w:p>
    <w:p w:rsidR="00A12000" w:rsidRPr="003D505F" w:rsidRDefault="00A12000" w:rsidP="00A12000">
      <w:pPr>
        <w:pStyle w:val="IASBNormalnpara"/>
        <w:rPr>
          <w:lang w:val="ru-RU"/>
        </w:rPr>
      </w:pPr>
      <w:r w:rsidRPr="003D505F">
        <w:rPr>
          <w:lang w:val="ru-RU"/>
        </w:rPr>
        <w:t>6.5.4</w:t>
      </w:r>
      <w:r w:rsidRPr="003D505F">
        <w:rPr>
          <w:lang w:val="ru-RU"/>
        </w:rPr>
        <w:tab/>
      </w:r>
      <w:bookmarkStart w:id="89" w:name="F27186729"/>
      <w:r w:rsidRPr="003D505F">
        <w:rPr>
          <w:lang w:val="ru-RU"/>
        </w:rPr>
        <w:t>Хеджирование валютного риска по твердому договорному обязательству может учитываться либо как хеджирование справедливой стоимости</w:t>
      </w:r>
      <w:r w:rsidR="00E0497A">
        <w:rPr>
          <w:lang w:val="ru-RU"/>
        </w:rPr>
        <w:t>,</w:t>
      </w:r>
      <w:r w:rsidRPr="003D505F">
        <w:rPr>
          <w:lang w:val="ru-RU"/>
        </w:rPr>
        <w:t xml:space="preserve"> либо как хеджирование денежных потоков.</w:t>
      </w:r>
      <w:bookmarkEnd w:id="89"/>
    </w:p>
    <w:p w:rsidR="00A12000" w:rsidRPr="003D505F" w:rsidRDefault="00A12000" w:rsidP="00A12000">
      <w:pPr>
        <w:pStyle w:val="IASBNormalnpara"/>
        <w:rPr>
          <w:b/>
          <w:lang w:val="ru-RU"/>
        </w:rPr>
      </w:pPr>
      <w:r w:rsidRPr="003D505F">
        <w:rPr>
          <w:b/>
          <w:lang w:val="ru-RU"/>
        </w:rPr>
        <w:t>6.5.5</w:t>
      </w:r>
      <w:r w:rsidRPr="003D505F">
        <w:rPr>
          <w:lang w:val="ru-RU"/>
        </w:rPr>
        <w:tab/>
      </w:r>
      <w:bookmarkStart w:id="90" w:name="F27186730"/>
      <w:r w:rsidRPr="003D505F">
        <w:rPr>
          <w:b/>
          <w:lang w:val="ru-RU"/>
        </w:rPr>
        <w:t>Если отношени</w:t>
      </w:r>
      <w:r>
        <w:rPr>
          <w:b/>
          <w:lang w:val="ru-RU"/>
        </w:rPr>
        <w:t>я</w:t>
      </w:r>
      <w:r w:rsidRPr="003D505F">
        <w:rPr>
          <w:b/>
          <w:lang w:val="ru-RU"/>
        </w:rPr>
        <w:t xml:space="preserve"> хеджирования переста</w:t>
      </w:r>
      <w:r>
        <w:rPr>
          <w:b/>
          <w:lang w:val="ru-RU"/>
        </w:rPr>
        <w:t>ю</w:t>
      </w:r>
      <w:r w:rsidRPr="003D505F">
        <w:rPr>
          <w:b/>
          <w:lang w:val="ru-RU"/>
        </w:rPr>
        <w:t>т отвечать требованию об эффективности хеджирования, связанному с коэффициентом хеджирования (см. пункт 6.4.1(с)(</w:t>
      </w:r>
      <w:r>
        <w:rPr>
          <w:b/>
        </w:rPr>
        <w:t>iii</w:t>
      </w:r>
      <w:r w:rsidRPr="003D505F">
        <w:rPr>
          <w:b/>
          <w:lang w:val="ru-RU"/>
        </w:rPr>
        <w:t>)), но при этом цель управления риск</w:t>
      </w:r>
      <w:r>
        <w:rPr>
          <w:b/>
          <w:lang w:val="ru-RU"/>
        </w:rPr>
        <w:t>ом</w:t>
      </w:r>
      <w:r w:rsidRPr="003D505F">
        <w:rPr>
          <w:b/>
          <w:lang w:val="ru-RU"/>
        </w:rPr>
        <w:t xml:space="preserve"> </w:t>
      </w:r>
      <w:r>
        <w:rPr>
          <w:b/>
          <w:lang w:val="ru-RU"/>
        </w:rPr>
        <w:t>применительно к</w:t>
      </w:r>
      <w:r w:rsidRPr="003D505F">
        <w:rPr>
          <w:b/>
          <w:lang w:val="ru-RU"/>
        </w:rPr>
        <w:t xml:space="preserve"> данн</w:t>
      </w:r>
      <w:r>
        <w:rPr>
          <w:b/>
          <w:lang w:val="ru-RU"/>
        </w:rPr>
        <w:t>ым</w:t>
      </w:r>
      <w:r w:rsidRPr="003D505F">
        <w:rPr>
          <w:b/>
          <w:lang w:val="ru-RU"/>
        </w:rPr>
        <w:t xml:space="preserve"> </w:t>
      </w:r>
      <w:r>
        <w:rPr>
          <w:b/>
          <w:lang w:val="ru-RU"/>
        </w:rPr>
        <w:t>определенным по усмотрению организации отношениям</w:t>
      </w:r>
      <w:r w:rsidRPr="003D505F">
        <w:rPr>
          <w:b/>
          <w:lang w:val="ru-RU"/>
        </w:rPr>
        <w:t xml:space="preserve"> хеджирования остается неизменной, организация должна скорректировать коэффициент хеджирования по </w:t>
      </w:r>
      <w:r>
        <w:rPr>
          <w:b/>
          <w:lang w:val="ru-RU"/>
        </w:rPr>
        <w:t>указанным</w:t>
      </w:r>
      <w:r w:rsidRPr="003D505F">
        <w:rPr>
          <w:b/>
          <w:lang w:val="ru-RU"/>
        </w:rPr>
        <w:t xml:space="preserve"> отношени</w:t>
      </w:r>
      <w:r>
        <w:rPr>
          <w:b/>
          <w:lang w:val="ru-RU"/>
        </w:rPr>
        <w:t>ям</w:t>
      </w:r>
      <w:r w:rsidRPr="003D505F">
        <w:rPr>
          <w:b/>
          <w:lang w:val="ru-RU"/>
        </w:rPr>
        <w:t xml:space="preserve"> хеджирования таким образом, чтобы он</w:t>
      </w:r>
      <w:r>
        <w:rPr>
          <w:b/>
          <w:lang w:val="ru-RU"/>
        </w:rPr>
        <w:t>и</w:t>
      </w:r>
      <w:r w:rsidRPr="003D505F">
        <w:rPr>
          <w:b/>
          <w:lang w:val="ru-RU"/>
        </w:rPr>
        <w:t xml:space="preserve"> вновь отвечал</w:t>
      </w:r>
      <w:r>
        <w:rPr>
          <w:b/>
          <w:lang w:val="ru-RU"/>
        </w:rPr>
        <w:t>и</w:t>
      </w:r>
      <w:r w:rsidRPr="003D505F">
        <w:rPr>
          <w:b/>
          <w:lang w:val="ru-RU"/>
        </w:rPr>
        <w:t xml:space="preserve"> критериям </w:t>
      </w:r>
      <w:r>
        <w:rPr>
          <w:b/>
          <w:lang w:val="ru-RU"/>
        </w:rPr>
        <w:t xml:space="preserve">применения учета хеджирования </w:t>
      </w:r>
      <w:r w:rsidRPr="003D505F">
        <w:rPr>
          <w:b/>
          <w:lang w:val="ru-RU"/>
        </w:rPr>
        <w:t xml:space="preserve">(в настоящем стандарте данная процедура </w:t>
      </w:r>
      <w:r>
        <w:rPr>
          <w:b/>
          <w:lang w:val="ru-RU"/>
        </w:rPr>
        <w:t>именуется</w:t>
      </w:r>
      <w:r w:rsidRPr="003D505F">
        <w:rPr>
          <w:b/>
          <w:lang w:val="ru-RU"/>
        </w:rPr>
        <w:t xml:space="preserve"> «</w:t>
      </w:r>
      <w:r w:rsidRPr="0095563D">
        <w:rPr>
          <w:b/>
          <w:lang w:val="ru-RU"/>
        </w:rPr>
        <w:t>ребалансировкой</w:t>
      </w:r>
      <w:r w:rsidRPr="003D505F">
        <w:rPr>
          <w:b/>
          <w:lang w:val="ru-RU"/>
        </w:rPr>
        <w:t>» – см. пункты В6.5.7–</w:t>
      </w:r>
      <w:r w:rsidRPr="00ED21C4">
        <w:rPr>
          <w:b/>
        </w:rPr>
        <w:t>B</w:t>
      </w:r>
      <w:r w:rsidRPr="003D505F">
        <w:rPr>
          <w:b/>
          <w:lang w:val="ru-RU"/>
        </w:rPr>
        <w:t xml:space="preserve">6.5.21). </w:t>
      </w:r>
      <w:bookmarkEnd w:id="90"/>
    </w:p>
    <w:p w:rsidR="00A12000" w:rsidRPr="003D505F" w:rsidRDefault="00A12000" w:rsidP="00A12000">
      <w:pPr>
        <w:pStyle w:val="IASBNormalnpara"/>
        <w:rPr>
          <w:b/>
          <w:lang w:val="ru-RU"/>
        </w:rPr>
      </w:pPr>
      <w:r w:rsidRPr="003D505F">
        <w:rPr>
          <w:b/>
          <w:lang w:val="ru-RU"/>
        </w:rPr>
        <w:t>6.5.6</w:t>
      </w:r>
      <w:r w:rsidRPr="003D505F">
        <w:rPr>
          <w:lang w:val="ru-RU"/>
        </w:rPr>
        <w:tab/>
      </w:r>
      <w:bookmarkStart w:id="91" w:name="F27186731"/>
      <w:r w:rsidRPr="003D505F">
        <w:rPr>
          <w:b/>
          <w:lang w:val="ru-RU"/>
        </w:rPr>
        <w:t>Организация должна перспективно прекратить учет хеджирования</w:t>
      </w:r>
      <w:r>
        <w:rPr>
          <w:b/>
          <w:lang w:val="ru-RU"/>
        </w:rPr>
        <w:t>,</w:t>
      </w:r>
      <w:r w:rsidRPr="003D505F">
        <w:rPr>
          <w:b/>
          <w:lang w:val="ru-RU"/>
        </w:rPr>
        <w:t xml:space="preserve"> только </w:t>
      </w:r>
      <w:r>
        <w:rPr>
          <w:b/>
          <w:lang w:val="ru-RU"/>
        </w:rPr>
        <w:t>когда</w:t>
      </w:r>
      <w:r w:rsidRPr="003D505F">
        <w:rPr>
          <w:b/>
          <w:lang w:val="ru-RU"/>
        </w:rPr>
        <w:t xml:space="preserve"> отношени</w:t>
      </w:r>
      <w:r>
        <w:rPr>
          <w:b/>
          <w:lang w:val="ru-RU"/>
        </w:rPr>
        <w:t>я</w:t>
      </w:r>
      <w:r w:rsidRPr="003D505F">
        <w:rPr>
          <w:b/>
          <w:lang w:val="ru-RU"/>
        </w:rPr>
        <w:t xml:space="preserve"> хеджирования (либо часть отношени</w:t>
      </w:r>
      <w:r>
        <w:rPr>
          <w:b/>
          <w:lang w:val="ru-RU"/>
        </w:rPr>
        <w:t>й</w:t>
      </w:r>
      <w:r w:rsidRPr="003D505F">
        <w:rPr>
          <w:b/>
          <w:lang w:val="ru-RU"/>
        </w:rPr>
        <w:t xml:space="preserve"> хеджирования) </w:t>
      </w:r>
      <w:r>
        <w:rPr>
          <w:b/>
          <w:lang w:val="ru-RU"/>
        </w:rPr>
        <w:t>переста</w:t>
      </w:r>
      <w:r w:rsidR="00D948FF">
        <w:rPr>
          <w:b/>
          <w:lang w:val="ru-RU"/>
        </w:rPr>
        <w:t>ю</w:t>
      </w:r>
      <w:r>
        <w:rPr>
          <w:b/>
          <w:lang w:val="ru-RU"/>
        </w:rPr>
        <w:t xml:space="preserve">т </w:t>
      </w:r>
      <w:r w:rsidRPr="003D505F">
        <w:rPr>
          <w:b/>
          <w:lang w:val="ru-RU"/>
        </w:rPr>
        <w:t>отвечат</w:t>
      </w:r>
      <w:r>
        <w:rPr>
          <w:b/>
          <w:lang w:val="ru-RU"/>
        </w:rPr>
        <w:t xml:space="preserve">ь </w:t>
      </w:r>
      <w:r w:rsidRPr="003D505F">
        <w:rPr>
          <w:b/>
          <w:lang w:val="ru-RU"/>
        </w:rPr>
        <w:t xml:space="preserve">критериям </w:t>
      </w:r>
      <w:r>
        <w:rPr>
          <w:b/>
          <w:lang w:val="ru-RU"/>
        </w:rPr>
        <w:t xml:space="preserve">применения учета хеджирования </w:t>
      </w:r>
      <w:r w:rsidRPr="003D505F">
        <w:rPr>
          <w:b/>
          <w:lang w:val="ru-RU"/>
        </w:rPr>
        <w:t xml:space="preserve">(после </w:t>
      </w:r>
      <w:r>
        <w:rPr>
          <w:b/>
          <w:lang w:val="ru-RU"/>
        </w:rPr>
        <w:t xml:space="preserve">принятия в расчет </w:t>
      </w:r>
      <w:r w:rsidRPr="0095563D">
        <w:rPr>
          <w:b/>
          <w:lang w:val="ru-RU"/>
        </w:rPr>
        <w:t>ребалансировки</w:t>
      </w:r>
      <w:r w:rsidRPr="003D505F">
        <w:rPr>
          <w:b/>
          <w:lang w:val="ru-RU"/>
        </w:rPr>
        <w:t xml:space="preserve"> данн</w:t>
      </w:r>
      <w:r>
        <w:rPr>
          <w:b/>
          <w:lang w:val="ru-RU"/>
        </w:rPr>
        <w:t>ых</w:t>
      </w:r>
      <w:r w:rsidRPr="003D505F">
        <w:rPr>
          <w:b/>
          <w:lang w:val="ru-RU"/>
        </w:rPr>
        <w:t xml:space="preserve"> отношени</w:t>
      </w:r>
      <w:r>
        <w:rPr>
          <w:b/>
          <w:lang w:val="ru-RU"/>
        </w:rPr>
        <w:t>й</w:t>
      </w:r>
      <w:r w:rsidRPr="003D505F">
        <w:rPr>
          <w:b/>
          <w:lang w:val="ru-RU"/>
        </w:rPr>
        <w:t xml:space="preserve"> хеджирования, если применимо). </w:t>
      </w:r>
      <w:r>
        <w:rPr>
          <w:b/>
          <w:lang w:val="ru-RU"/>
        </w:rPr>
        <w:t xml:space="preserve">Данное требование применяется, в том числе, в случаях истечения срока действия </w:t>
      </w:r>
      <w:r w:rsidRPr="003D505F">
        <w:rPr>
          <w:b/>
          <w:lang w:val="ru-RU"/>
        </w:rPr>
        <w:t>инструмента хеджирования</w:t>
      </w:r>
      <w:r>
        <w:rPr>
          <w:b/>
          <w:lang w:val="ru-RU"/>
        </w:rPr>
        <w:t xml:space="preserve"> или продажи, прекращения или исполнения этого инструмента</w:t>
      </w:r>
      <w:r w:rsidRPr="003D505F">
        <w:rPr>
          <w:b/>
          <w:lang w:val="ru-RU"/>
        </w:rPr>
        <w:t xml:space="preserve">. </w:t>
      </w:r>
      <w:r>
        <w:rPr>
          <w:b/>
          <w:lang w:val="ru-RU"/>
        </w:rPr>
        <w:t xml:space="preserve">Для целей данного требования </w:t>
      </w:r>
      <w:r w:rsidRPr="003D505F">
        <w:rPr>
          <w:b/>
          <w:lang w:val="ru-RU"/>
        </w:rPr>
        <w:t xml:space="preserve">замена инструмента хеджирования другим </w:t>
      </w:r>
      <w:r>
        <w:rPr>
          <w:b/>
          <w:lang w:val="ru-RU"/>
        </w:rPr>
        <w:t xml:space="preserve">инструментом хеджирования или его пролонгация </w:t>
      </w:r>
      <w:r w:rsidRPr="003D505F">
        <w:rPr>
          <w:b/>
          <w:lang w:val="ru-RU"/>
        </w:rPr>
        <w:t xml:space="preserve">не </w:t>
      </w:r>
      <w:r>
        <w:rPr>
          <w:b/>
          <w:lang w:val="ru-RU"/>
        </w:rPr>
        <w:t xml:space="preserve">считаются </w:t>
      </w:r>
      <w:r w:rsidRPr="003D505F">
        <w:rPr>
          <w:b/>
          <w:lang w:val="ru-RU"/>
        </w:rPr>
        <w:t xml:space="preserve">истечением его срока или прекращением его действия, если такие замена или </w:t>
      </w:r>
      <w:r>
        <w:rPr>
          <w:b/>
          <w:lang w:val="ru-RU"/>
        </w:rPr>
        <w:t xml:space="preserve">пролонгация указаны в составе документально оформленной </w:t>
      </w:r>
      <w:r w:rsidRPr="003D505F">
        <w:rPr>
          <w:b/>
          <w:lang w:val="ru-RU"/>
        </w:rPr>
        <w:t xml:space="preserve">цели </w:t>
      </w:r>
      <w:r>
        <w:rPr>
          <w:b/>
          <w:lang w:val="ru-RU"/>
        </w:rPr>
        <w:t>организации по управлению</w:t>
      </w:r>
      <w:r w:rsidRPr="003D505F">
        <w:rPr>
          <w:b/>
          <w:lang w:val="ru-RU"/>
        </w:rPr>
        <w:t xml:space="preserve"> рисками и соответству</w:t>
      </w:r>
      <w:r>
        <w:rPr>
          <w:b/>
          <w:lang w:val="ru-RU"/>
        </w:rPr>
        <w:t>ю</w:t>
      </w:r>
      <w:r w:rsidRPr="003D505F">
        <w:rPr>
          <w:b/>
          <w:lang w:val="ru-RU"/>
        </w:rPr>
        <w:t xml:space="preserve">т ей. Кроме того, для целей </w:t>
      </w:r>
      <w:r>
        <w:rPr>
          <w:b/>
          <w:lang w:val="ru-RU"/>
        </w:rPr>
        <w:t xml:space="preserve">данного требования </w:t>
      </w:r>
      <w:r w:rsidRPr="003D505F">
        <w:rPr>
          <w:b/>
          <w:lang w:val="ru-RU"/>
        </w:rPr>
        <w:t>инструмент хеджирования не считается истекшим или прекращенным, если:</w:t>
      </w:r>
      <w:bookmarkEnd w:id="91"/>
    </w:p>
    <w:p w:rsidR="00A12000" w:rsidRPr="003D505F" w:rsidRDefault="00A12000" w:rsidP="00A12000">
      <w:pPr>
        <w:pStyle w:val="IASBNormalnparaL1"/>
        <w:rPr>
          <w:b/>
          <w:lang w:val="ru-RU"/>
        </w:rPr>
      </w:pPr>
      <w:r w:rsidRPr="003D505F">
        <w:rPr>
          <w:b/>
          <w:lang w:val="ru-RU"/>
        </w:rPr>
        <w:t>(</w:t>
      </w:r>
      <w:r>
        <w:rPr>
          <w:b/>
        </w:rPr>
        <w:t>a</w:t>
      </w:r>
      <w:r w:rsidRPr="003D505F">
        <w:rPr>
          <w:b/>
          <w:lang w:val="ru-RU"/>
        </w:rPr>
        <w:t>)</w:t>
      </w:r>
      <w:r w:rsidRPr="003D505F">
        <w:rPr>
          <w:lang w:val="ru-RU"/>
        </w:rPr>
        <w:tab/>
      </w:r>
      <w:bookmarkStart w:id="92" w:name="F27186734"/>
      <w:r>
        <w:rPr>
          <w:b/>
          <w:lang w:val="ru-RU"/>
        </w:rPr>
        <w:t>В</w:t>
      </w:r>
      <w:r w:rsidRPr="003D505F">
        <w:rPr>
          <w:b/>
          <w:lang w:val="ru-RU"/>
        </w:rPr>
        <w:t xml:space="preserve">следствие действия либо введения законов или иных нормативных правовых актов стороны инструмента хеджирования договариваются о том, что один или несколько клиринговых контрагентов заменяют первоначального контрагента и становятся новым контрагентом для каждой из сторон. Для этих целей </w:t>
      </w:r>
      <w:r>
        <w:rPr>
          <w:b/>
          <w:lang w:val="ru-RU"/>
        </w:rPr>
        <w:t xml:space="preserve">под </w:t>
      </w:r>
      <w:r w:rsidRPr="003D505F">
        <w:rPr>
          <w:b/>
          <w:lang w:val="ru-RU"/>
        </w:rPr>
        <w:t>клиринговы</w:t>
      </w:r>
      <w:r>
        <w:rPr>
          <w:b/>
          <w:lang w:val="ru-RU"/>
        </w:rPr>
        <w:t>м</w:t>
      </w:r>
      <w:r w:rsidRPr="003D505F">
        <w:rPr>
          <w:b/>
          <w:lang w:val="ru-RU"/>
        </w:rPr>
        <w:t xml:space="preserve"> контрагент</w:t>
      </w:r>
      <w:r>
        <w:rPr>
          <w:b/>
          <w:lang w:val="ru-RU"/>
        </w:rPr>
        <w:t>ом</w:t>
      </w:r>
      <w:r w:rsidRPr="003D505F">
        <w:rPr>
          <w:b/>
          <w:lang w:val="ru-RU"/>
        </w:rPr>
        <w:t xml:space="preserve"> </w:t>
      </w:r>
      <w:r>
        <w:rPr>
          <w:b/>
          <w:lang w:val="ru-RU"/>
        </w:rPr>
        <w:t>понимается</w:t>
      </w:r>
      <w:r w:rsidRPr="003D505F">
        <w:rPr>
          <w:b/>
          <w:lang w:val="ru-RU"/>
        </w:rPr>
        <w:t xml:space="preserve"> центральный контрагент (иногда называемый «клиринговой организацией» или «клиринговым агентством») либо организация или организации, например участник клиринговой организации либо клиент участника клиринговой организации, которые выступают в качестве контрагента с целью осуществления клиринга центральным контрагентом. Однако в случае</w:t>
      </w:r>
      <w:r>
        <w:rPr>
          <w:b/>
          <w:lang w:val="ru-RU"/>
        </w:rPr>
        <w:t>,</w:t>
      </w:r>
      <w:r w:rsidRPr="003D505F">
        <w:rPr>
          <w:b/>
          <w:lang w:val="ru-RU"/>
        </w:rPr>
        <w:t xml:space="preserve"> когда стороны инструмента хеджирования заменяют своих первоначальных контрагентов разными контрагентами, </w:t>
      </w:r>
      <w:r>
        <w:rPr>
          <w:b/>
          <w:lang w:val="ru-RU"/>
        </w:rPr>
        <w:t xml:space="preserve">требования </w:t>
      </w:r>
      <w:r w:rsidRPr="003D505F">
        <w:rPr>
          <w:b/>
          <w:lang w:val="ru-RU"/>
        </w:rPr>
        <w:t>данн</w:t>
      </w:r>
      <w:r>
        <w:rPr>
          <w:b/>
          <w:lang w:val="ru-RU"/>
        </w:rPr>
        <w:t>ого</w:t>
      </w:r>
      <w:r w:rsidRPr="003D505F">
        <w:rPr>
          <w:b/>
          <w:lang w:val="ru-RU"/>
        </w:rPr>
        <w:t xml:space="preserve"> подпункт</w:t>
      </w:r>
      <w:r>
        <w:rPr>
          <w:b/>
          <w:lang w:val="ru-RU"/>
        </w:rPr>
        <w:t>а</w:t>
      </w:r>
      <w:r w:rsidRPr="003D505F">
        <w:rPr>
          <w:b/>
          <w:lang w:val="ru-RU"/>
        </w:rPr>
        <w:t xml:space="preserve"> </w:t>
      </w:r>
      <w:r>
        <w:rPr>
          <w:b/>
          <w:lang w:val="ru-RU"/>
        </w:rPr>
        <w:t>считаются выполненными</w:t>
      </w:r>
      <w:r w:rsidRPr="003D505F">
        <w:rPr>
          <w:b/>
          <w:lang w:val="ru-RU"/>
        </w:rPr>
        <w:t xml:space="preserve"> только </w:t>
      </w:r>
      <w:r>
        <w:rPr>
          <w:b/>
          <w:lang w:val="ru-RU"/>
        </w:rPr>
        <w:t xml:space="preserve">в том случае, </w:t>
      </w:r>
      <w:r w:rsidRPr="003D505F">
        <w:rPr>
          <w:b/>
          <w:lang w:val="ru-RU"/>
        </w:rPr>
        <w:t>если каждый из этих новых контрагентов осуществляет клиринг с одним и тем же центральным контрагентом.</w:t>
      </w:r>
      <w:bookmarkEnd w:id="92"/>
    </w:p>
    <w:p w:rsidR="00A12000" w:rsidRPr="003D505F" w:rsidRDefault="00A12000" w:rsidP="00A12000">
      <w:pPr>
        <w:pStyle w:val="IASBNormalnparaL1"/>
        <w:rPr>
          <w:b/>
          <w:lang w:val="ru-RU"/>
        </w:rPr>
      </w:pPr>
      <w:r w:rsidRPr="003D505F">
        <w:rPr>
          <w:b/>
          <w:lang w:val="ru-RU"/>
        </w:rPr>
        <w:t>(</w:t>
      </w:r>
      <w:r>
        <w:rPr>
          <w:b/>
        </w:rPr>
        <w:t>b</w:t>
      </w:r>
      <w:r w:rsidRPr="003D505F">
        <w:rPr>
          <w:b/>
          <w:lang w:val="ru-RU"/>
        </w:rPr>
        <w:t>)</w:t>
      </w:r>
      <w:r w:rsidRPr="003D505F">
        <w:rPr>
          <w:lang w:val="ru-RU"/>
        </w:rPr>
        <w:tab/>
      </w:r>
      <w:bookmarkStart w:id="93" w:name="F27186736"/>
      <w:r>
        <w:rPr>
          <w:b/>
          <w:lang w:val="ru-RU"/>
        </w:rPr>
        <w:t>П</w:t>
      </w:r>
      <w:r w:rsidRPr="003D505F">
        <w:rPr>
          <w:b/>
          <w:lang w:val="ru-RU"/>
        </w:rPr>
        <w:t xml:space="preserve">рочие изменения инструмента хеджирования, если таковые имеют место, ограничиваются изменениями, необходимыми для осуществления подобной замены контрагента. </w:t>
      </w:r>
      <w:r>
        <w:rPr>
          <w:b/>
          <w:lang w:val="ru-RU"/>
        </w:rPr>
        <w:t xml:space="preserve">Указанные </w:t>
      </w:r>
      <w:r w:rsidRPr="003D505F">
        <w:rPr>
          <w:b/>
          <w:lang w:val="ru-RU"/>
        </w:rPr>
        <w:t xml:space="preserve">изменения ограничиваются </w:t>
      </w:r>
      <w:r>
        <w:rPr>
          <w:b/>
          <w:lang w:val="ru-RU"/>
        </w:rPr>
        <w:t>теми</w:t>
      </w:r>
      <w:r w:rsidRPr="003D505F">
        <w:rPr>
          <w:b/>
          <w:lang w:val="ru-RU"/>
        </w:rPr>
        <w:t xml:space="preserve">, </w:t>
      </w:r>
      <w:r>
        <w:rPr>
          <w:b/>
          <w:lang w:val="ru-RU"/>
        </w:rPr>
        <w:t xml:space="preserve">что </w:t>
      </w:r>
      <w:r w:rsidRPr="003D505F">
        <w:rPr>
          <w:b/>
          <w:lang w:val="ru-RU"/>
        </w:rPr>
        <w:t>соответствую</w:t>
      </w:r>
      <w:r>
        <w:rPr>
          <w:b/>
          <w:lang w:val="ru-RU"/>
        </w:rPr>
        <w:t>т</w:t>
      </w:r>
      <w:r w:rsidRPr="003D505F">
        <w:rPr>
          <w:b/>
          <w:lang w:val="ru-RU"/>
        </w:rPr>
        <w:t xml:space="preserve"> условиям, которые ожидались бы в случае, если </w:t>
      </w:r>
      <w:r>
        <w:rPr>
          <w:b/>
          <w:lang w:val="ru-RU"/>
        </w:rPr>
        <w:t xml:space="preserve">бы </w:t>
      </w:r>
      <w:r w:rsidRPr="003D505F">
        <w:rPr>
          <w:b/>
          <w:lang w:val="ru-RU"/>
        </w:rPr>
        <w:t>инструмент хеджирования изначально был предметом осуществления клиринга клиринговым контрагентом. К таким изменениям относятся изменения требований в отношении обеспечения, прав на взаимозачет остатков дебиторской и кредиторской задолженности и в отношении взимаемой платы.</w:t>
      </w:r>
      <w:bookmarkEnd w:id="93"/>
    </w:p>
    <w:p w:rsidR="00A12000" w:rsidRPr="003D505F" w:rsidRDefault="00A12000" w:rsidP="00A12000">
      <w:pPr>
        <w:pStyle w:val="IASBNormalnparaP"/>
        <w:rPr>
          <w:b/>
          <w:lang w:val="ru-RU"/>
        </w:rPr>
      </w:pPr>
      <w:bookmarkStart w:id="94" w:name="F27186737"/>
      <w:r w:rsidRPr="003D505F">
        <w:rPr>
          <w:b/>
          <w:lang w:val="ru-RU"/>
        </w:rPr>
        <w:t>Прекращение учета хеджирования может повлиять на отношени</w:t>
      </w:r>
      <w:r>
        <w:rPr>
          <w:b/>
          <w:lang w:val="ru-RU"/>
        </w:rPr>
        <w:t>я</w:t>
      </w:r>
      <w:r w:rsidRPr="003D505F">
        <w:rPr>
          <w:b/>
          <w:lang w:val="ru-RU"/>
        </w:rPr>
        <w:t xml:space="preserve"> хеджирования </w:t>
      </w:r>
      <w:r>
        <w:rPr>
          <w:b/>
          <w:lang w:val="ru-RU"/>
        </w:rPr>
        <w:t>целиком</w:t>
      </w:r>
      <w:r w:rsidRPr="003D505F">
        <w:rPr>
          <w:b/>
          <w:lang w:val="ru-RU"/>
        </w:rPr>
        <w:t xml:space="preserve"> либо лишь на какую-то </w:t>
      </w:r>
      <w:r>
        <w:rPr>
          <w:b/>
          <w:lang w:val="ru-RU"/>
        </w:rPr>
        <w:t xml:space="preserve">их </w:t>
      </w:r>
      <w:r w:rsidRPr="003D505F">
        <w:rPr>
          <w:b/>
          <w:lang w:val="ru-RU"/>
        </w:rPr>
        <w:t xml:space="preserve">часть (в </w:t>
      </w:r>
      <w:r>
        <w:rPr>
          <w:b/>
          <w:lang w:val="ru-RU"/>
        </w:rPr>
        <w:t xml:space="preserve">последнем </w:t>
      </w:r>
      <w:r w:rsidRPr="003D505F">
        <w:rPr>
          <w:b/>
          <w:lang w:val="ru-RU"/>
        </w:rPr>
        <w:t xml:space="preserve">случае учет хеджирования </w:t>
      </w:r>
      <w:r>
        <w:rPr>
          <w:b/>
          <w:lang w:val="ru-RU"/>
        </w:rPr>
        <w:t xml:space="preserve">продолжает применяться к </w:t>
      </w:r>
      <w:r w:rsidRPr="003D505F">
        <w:rPr>
          <w:b/>
          <w:lang w:val="ru-RU"/>
        </w:rPr>
        <w:t>оставшейся части отношени</w:t>
      </w:r>
      <w:r>
        <w:rPr>
          <w:b/>
          <w:lang w:val="ru-RU"/>
        </w:rPr>
        <w:t>й</w:t>
      </w:r>
      <w:r w:rsidRPr="003D505F">
        <w:rPr>
          <w:b/>
          <w:lang w:val="ru-RU"/>
        </w:rPr>
        <w:t xml:space="preserve"> хеджирования).</w:t>
      </w:r>
      <w:bookmarkEnd w:id="94"/>
    </w:p>
    <w:p w:rsidR="00A12000" w:rsidRPr="003D505F" w:rsidRDefault="00A12000" w:rsidP="00A12000">
      <w:pPr>
        <w:pStyle w:val="IASBNormalnpara"/>
        <w:rPr>
          <w:lang w:val="ru-RU"/>
        </w:rPr>
      </w:pPr>
      <w:r w:rsidRPr="003D505F">
        <w:rPr>
          <w:lang w:val="ru-RU"/>
        </w:rPr>
        <w:t>6.5.7</w:t>
      </w:r>
      <w:r w:rsidRPr="003D505F">
        <w:rPr>
          <w:lang w:val="ru-RU"/>
        </w:rPr>
        <w:tab/>
      </w:r>
      <w:bookmarkStart w:id="95" w:name="F27186738"/>
      <w:r w:rsidRPr="003D505F">
        <w:rPr>
          <w:lang w:val="ru-RU"/>
        </w:rPr>
        <w:t>Организация должна применять:</w:t>
      </w:r>
      <w:bookmarkEnd w:id="95"/>
    </w:p>
    <w:p w:rsidR="00A12000" w:rsidRPr="003D505F" w:rsidRDefault="00A12000" w:rsidP="00A12000">
      <w:pPr>
        <w:pStyle w:val="IASBNormalnparaL1"/>
        <w:rPr>
          <w:lang w:val="ru-RU"/>
        </w:rPr>
      </w:pPr>
      <w:r w:rsidRPr="003D505F">
        <w:rPr>
          <w:lang w:val="ru-RU"/>
        </w:rPr>
        <w:t>(</w:t>
      </w:r>
      <w:r>
        <w:t>a</w:t>
      </w:r>
      <w:r w:rsidRPr="003D505F">
        <w:rPr>
          <w:lang w:val="ru-RU"/>
        </w:rPr>
        <w:t>)</w:t>
      </w:r>
      <w:r w:rsidRPr="003D505F">
        <w:rPr>
          <w:lang w:val="ru-RU"/>
        </w:rPr>
        <w:tab/>
      </w:r>
      <w:bookmarkStart w:id="96" w:name="F27186741"/>
      <w:r w:rsidRPr="003D505F">
        <w:rPr>
          <w:lang w:val="ru-RU"/>
        </w:rPr>
        <w:t xml:space="preserve">пункт 6.5.10, </w:t>
      </w:r>
      <w:r>
        <w:rPr>
          <w:lang w:val="ru-RU"/>
        </w:rPr>
        <w:t>когда</w:t>
      </w:r>
      <w:r w:rsidRPr="003D505F">
        <w:rPr>
          <w:lang w:val="ru-RU"/>
        </w:rPr>
        <w:t xml:space="preserve"> она прекращает учет хеджирования </w:t>
      </w:r>
      <w:r>
        <w:rPr>
          <w:lang w:val="ru-RU"/>
        </w:rPr>
        <w:t>применительно к</w:t>
      </w:r>
      <w:r w:rsidRPr="003D505F">
        <w:rPr>
          <w:lang w:val="ru-RU"/>
        </w:rPr>
        <w:t xml:space="preserve"> хеджировани</w:t>
      </w:r>
      <w:r>
        <w:rPr>
          <w:lang w:val="ru-RU"/>
        </w:rPr>
        <w:t>ю</w:t>
      </w:r>
      <w:r w:rsidRPr="003D505F">
        <w:rPr>
          <w:lang w:val="ru-RU"/>
        </w:rPr>
        <w:t xml:space="preserve"> справедливой стоимости, в рамках которого объектом хеджирования (или его компонентом) является финансовый инструмент, оцениваемый по амортизированной стоимости; и</w:t>
      </w:r>
      <w:bookmarkEnd w:id="96"/>
    </w:p>
    <w:p w:rsidR="007D4BCC" w:rsidRPr="0049187C" w:rsidRDefault="00A12000" w:rsidP="00A12000">
      <w:pPr>
        <w:pStyle w:val="IASBNormalnparaL1"/>
        <w:rPr>
          <w:lang w:val="ru-RU"/>
        </w:rPr>
      </w:pPr>
      <w:r w:rsidRPr="003D505F">
        <w:rPr>
          <w:lang w:val="ru-RU"/>
        </w:rPr>
        <w:t>(</w:t>
      </w:r>
      <w:r w:rsidRPr="00A12000">
        <w:rPr>
          <w:lang w:val="ru-RU"/>
        </w:rPr>
        <w:t>b</w:t>
      </w:r>
      <w:r w:rsidRPr="003D505F">
        <w:rPr>
          <w:lang w:val="ru-RU"/>
        </w:rPr>
        <w:t>)</w:t>
      </w:r>
      <w:r w:rsidRPr="003D505F">
        <w:rPr>
          <w:lang w:val="ru-RU"/>
        </w:rPr>
        <w:tab/>
        <w:t xml:space="preserve">пункт 6.5.12, </w:t>
      </w:r>
      <w:r>
        <w:rPr>
          <w:lang w:val="ru-RU"/>
        </w:rPr>
        <w:t>когда</w:t>
      </w:r>
      <w:r w:rsidRPr="003D505F">
        <w:rPr>
          <w:lang w:val="ru-RU"/>
        </w:rPr>
        <w:t xml:space="preserve"> она прекращает учет хеджирования </w:t>
      </w:r>
      <w:r>
        <w:rPr>
          <w:lang w:val="ru-RU"/>
        </w:rPr>
        <w:t>применительно к</w:t>
      </w:r>
      <w:r w:rsidRPr="003D505F">
        <w:rPr>
          <w:lang w:val="ru-RU"/>
        </w:rPr>
        <w:t xml:space="preserve"> хеджировани</w:t>
      </w:r>
      <w:r>
        <w:rPr>
          <w:lang w:val="ru-RU"/>
        </w:rPr>
        <w:t>ю</w:t>
      </w:r>
      <w:r w:rsidRPr="003D505F">
        <w:rPr>
          <w:lang w:val="ru-RU"/>
        </w:rPr>
        <w:t xml:space="preserve"> денежных потоков</w:t>
      </w:r>
      <w:r w:rsidR="007D4BCC" w:rsidRPr="0049187C">
        <w:rPr>
          <w:lang w:val="ru-RU"/>
        </w:rPr>
        <w:t>.</w:t>
      </w:r>
      <w:bookmarkEnd w:id="82"/>
    </w:p>
    <w:p w:rsidR="007D4BCC" w:rsidRPr="0049187C" w:rsidRDefault="007D4BCC" w:rsidP="007D4BCC">
      <w:pPr>
        <w:pStyle w:val="IASBSectionTitle2Ind"/>
        <w:rPr>
          <w:lang w:val="ru-RU"/>
        </w:rPr>
      </w:pPr>
      <w:bookmarkStart w:id="97" w:name="F27186745"/>
      <w:r w:rsidRPr="0049187C">
        <w:rPr>
          <w:lang w:val="ru-RU"/>
        </w:rPr>
        <w:t>Хеджирование справедливой стоимости</w:t>
      </w:r>
      <w:bookmarkEnd w:id="97"/>
    </w:p>
    <w:p w:rsidR="00A12000" w:rsidRPr="003D505F" w:rsidRDefault="007D4BCC" w:rsidP="00A12000">
      <w:pPr>
        <w:pStyle w:val="IASBNormalnpara"/>
        <w:rPr>
          <w:b/>
          <w:lang w:val="ru-RU"/>
        </w:rPr>
      </w:pPr>
      <w:r w:rsidRPr="0049187C">
        <w:rPr>
          <w:b/>
          <w:lang w:val="ru-RU"/>
        </w:rPr>
        <w:t>6.5.8</w:t>
      </w:r>
      <w:r w:rsidRPr="0049187C">
        <w:rPr>
          <w:b/>
          <w:lang w:val="ru-RU"/>
        </w:rPr>
        <w:tab/>
      </w:r>
      <w:bookmarkStart w:id="98" w:name="F27186794"/>
      <w:bookmarkStart w:id="99" w:name="F27186787"/>
      <w:r w:rsidR="00A12000">
        <w:rPr>
          <w:b/>
          <w:lang w:val="ru-RU"/>
        </w:rPr>
        <w:t>Если</w:t>
      </w:r>
      <w:r w:rsidR="00A12000" w:rsidRPr="003D505F">
        <w:rPr>
          <w:b/>
          <w:lang w:val="ru-RU"/>
        </w:rPr>
        <w:t xml:space="preserve"> хеджирование справедливой стоимости отвечает критериям</w:t>
      </w:r>
      <w:r w:rsidR="00A12000">
        <w:rPr>
          <w:b/>
          <w:lang w:val="ru-RU"/>
        </w:rPr>
        <w:t xml:space="preserve"> учета хеджирования, предусмотренным</w:t>
      </w:r>
      <w:r w:rsidR="00A12000" w:rsidRPr="003D505F">
        <w:rPr>
          <w:b/>
          <w:lang w:val="ru-RU"/>
        </w:rPr>
        <w:t xml:space="preserve"> пункт</w:t>
      </w:r>
      <w:r w:rsidR="00A12000">
        <w:rPr>
          <w:b/>
          <w:lang w:val="ru-RU"/>
        </w:rPr>
        <w:t>ом</w:t>
      </w:r>
      <w:r w:rsidR="00A12000" w:rsidRPr="003D505F">
        <w:rPr>
          <w:b/>
          <w:lang w:val="ru-RU"/>
        </w:rPr>
        <w:t xml:space="preserve"> 6.4.1, </w:t>
      </w:r>
      <w:r w:rsidR="00A12000">
        <w:rPr>
          <w:b/>
          <w:lang w:val="ru-RU"/>
        </w:rPr>
        <w:t xml:space="preserve">данные </w:t>
      </w:r>
      <w:r w:rsidR="00A12000" w:rsidRPr="003D505F">
        <w:rPr>
          <w:b/>
          <w:lang w:val="ru-RU"/>
        </w:rPr>
        <w:t>отношени</w:t>
      </w:r>
      <w:r w:rsidR="00A12000">
        <w:rPr>
          <w:b/>
          <w:lang w:val="ru-RU"/>
        </w:rPr>
        <w:t>я</w:t>
      </w:r>
      <w:r w:rsidR="00A12000" w:rsidRPr="003D505F">
        <w:rPr>
          <w:b/>
          <w:lang w:val="ru-RU"/>
        </w:rPr>
        <w:t xml:space="preserve"> хеджирования должн</w:t>
      </w:r>
      <w:r w:rsidR="00A12000">
        <w:rPr>
          <w:b/>
          <w:lang w:val="ru-RU"/>
        </w:rPr>
        <w:t>ы</w:t>
      </w:r>
      <w:r w:rsidR="00A12000" w:rsidRPr="003D505F">
        <w:rPr>
          <w:b/>
          <w:lang w:val="ru-RU"/>
        </w:rPr>
        <w:t xml:space="preserve"> учитываться следующим образом:</w:t>
      </w:r>
      <w:bookmarkEnd w:id="99"/>
    </w:p>
    <w:p w:rsidR="00A12000" w:rsidRPr="003D505F" w:rsidRDefault="00A12000" w:rsidP="00A12000">
      <w:pPr>
        <w:pStyle w:val="IASBNormalnparaL1"/>
        <w:rPr>
          <w:b/>
          <w:lang w:val="ru-RU"/>
        </w:rPr>
      </w:pPr>
      <w:r w:rsidRPr="003D505F">
        <w:rPr>
          <w:b/>
          <w:lang w:val="ru-RU"/>
        </w:rPr>
        <w:t>(</w:t>
      </w:r>
      <w:r>
        <w:rPr>
          <w:b/>
        </w:rPr>
        <w:t>a</w:t>
      </w:r>
      <w:r w:rsidRPr="003D505F">
        <w:rPr>
          <w:b/>
          <w:lang w:val="ru-RU"/>
        </w:rPr>
        <w:t>)</w:t>
      </w:r>
      <w:r w:rsidRPr="003D505F">
        <w:rPr>
          <w:lang w:val="ru-RU"/>
        </w:rPr>
        <w:tab/>
      </w:r>
      <w:bookmarkStart w:id="100" w:name="F27186792"/>
      <w:r w:rsidRPr="0095563D">
        <w:rPr>
          <w:b/>
          <w:lang w:val="ru-RU"/>
        </w:rPr>
        <w:t>Прибыль или убыток</w:t>
      </w:r>
      <w:r w:rsidRPr="003D505F">
        <w:rPr>
          <w:b/>
          <w:lang w:val="ru-RU"/>
        </w:rPr>
        <w:t xml:space="preserve"> по инструменту хеджирования должны признаваться в составе </w:t>
      </w:r>
      <w:r w:rsidRPr="0095563D">
        <w:rPr>
          <w:b/>
          <w:lang w:val="ru-RU"/>
        </w:rPr>
        <w:t>прибыли или убытка</w:t>
      </w:r>
      <w:r>
        <w:rPr>
          <w:b/>
          <w:lang w:val="ru-RU"/>
        </w:rPr>
        <w:t xml:space="preserve"> </w:t>
      </w:r>
      <w:r w:rsidRPr="003D505F">
        <w:rPr>
          <w:b/>
          <w:lang w:val="ru-RU"/>
        </w:rPr>
        <w:t>(</w:t>
      </w:r>
      <w:r>
        <w:rPr>
          <w:b/>
          <w:lang w:val="ru-RU"/>
        </w:rPr>
        <w:t>или</w:t>
      </w:r>
      <w:r w:rsidRPr="003D505F">
        <w:rPr>
          <w:b/>
          <w:lang w:val="ru-RU"/>
        </w:rPr>
        <w:t xml:space="preserve"> </w:t>
      </w:r>
      <w:r>
        <w:rPr>
          <w:b/>
          <w:lang w:val="ru-RU"/>
        </w:rPr>
        <w:t xml:space="preserve">в составе </w:t>
      </w:r>
      <w:r w:rsidRPr="003D505F">
        <w:rPr>
          <w:b/>
          <w:lang w:val="ru-RU"/>
        </w:rPr>
        <w:t xml:space="preserve">прочего совокупного дохода, если инструмент хеджирования хеджирует долевой инструмент, </w:t>
      </w:r>
      <w:r>
        <w:rPr>
          <w:b/>
          <w:lang w:val="ru-RU"/>
        </w:rPr>
        <w:t xml:space="preserve">применительно к </w:t>
      </w:r>
      <w:r w:rsidRPr="003D505F">
        <w:rPr>
          <w:b/>
          <w:lang w:val="ru-RU"/>
        </w:rPr>
        <w:t>которо</w:t>
      </w:r>
      <w:r>
        <w:rPr>
          <w:b/>
          <w:lang w:val="ru-RU"/>
        </w:rPr>
        <w:t>му</w:t>
      </w:r>
      <w:r w:rsidRPr="003D505F">
        <w:rPr>
          <w:b/>
          <w:lang w:val="ru-RU"/>
        </w:rPr>
        <w:t xml:space="preserve"> организация </w:t>
      </w:r>
      <w:r>
        <w:rPr>
          <w:b/>
          <w:lang w:val="ru-RU"/>
        </w:rPr>
        <w:t xml:space="preserve">решила </w:t>
      </w:r>
      <w:r w:rsidRPr="003D505F">
        <w:rPr>
          <w:b/>
          <w:lang w:val="ru-RU"/>
        </w:rPr>
        <w:t>представл</w:t>
      </w:r>
      <w:r>
        <w:rPr>
          <w:b/>
          <w:lang w:val="ru-RU"/>
        </w:rPr>
        <w:t>ять</w:t>
      </w:r>
      <w:r w:rsidRPr="003D505F">
        <w:rPr>
          <w:b/>
          <w:lang w:val="ru-RU"/>
        </w:rPr>
        <w:t xml:space="preserve"> изменени</w:t>
      </w:r>
      <w:r>
        <w:rPr>
          <w:b/>
          <w:lang w:val="ru-RU"/>
        </w:rPr>
        <w:t>я</w:t>
      </w:r>
      <w:r w:rsidRPr="003D505F">
        <w:rPr>
          <w:b/>
          <w:lang w:val="ru-RU"/>
        </w:rPr>
        <w:t xml:space="preserve"> справедливой стоимости в составе прочего совокупного дохода согласно пункту 5.7.5).</w:t>
      </w:r>
      <w:bookmarkEnd w:id="100"/>
    </w:p>
    <w:p w:rsidR="007D4BCC" w:rsidRPr="0049187C" w:rsidRDefault="00A12000" w:rsidP="00A12000">
      <w:pPr>
        <w:pStyle w:val="IASBNormalnparaL1"/>
        <w:rPr>
          <w:b/>
          <w:lang w:val="ru-RU"/>
        </w:rPr>
      </w:pPr>
      <w:r w:rsidRPr="003D505F">
        <w:rPr>
          <w:b/>
          <w:lang w:val="ru-RU"/>
        </w:rPr>
        <w:t>(</w:t>
      </w:r>
      <w:r w:rsidRPr="00A12000">
        <w:rPr>
          <w:b/>
          <w:lang w:val="ru-RU"/>
        </w:rPr>
        <w:t>b</w:t>
      </w:r>
      <w:r w:rsidRPr="003D505F">
        <w:rPr>
          <w:b/>
          <w:lang w:val="ru-RU"/>
        </w:rPr>
        <w:t>)</w:t>
      </w:r>
      <w:r w:rsidRPr="00A12000">
        <w:rPr>
          <w:b/>
          <w:lang w:val="ru-RU"/>
        </w:rPr>
        <w:tab/>
      </w:r>
      <w:r w:rsidRPr="0095563D">
        <w:rPr>
          <w:b/>
          <w:lang w:val="ru-RU"/>
        </w:rPr>
        <w:t>Прибыль или убыток</w:t>
      </w:r>
      <w:r w:rsidRPr="003D505F">
        <w:rPr>
          <w:b/>
          <w:lang w:val="ru-RU"/>
        </w:rPr>
        <w:t xml:space="preserve"> от хеджирования по объекту хеджирования должны корректировать балансовую стоимость </w:t>
      </w:r>
      <w:r>
        <w:rPr>
          <w:b/>
          <w:lang w:val="ru-RU"/>
        </w:rPr>
        <w:t xml:space="preserve">этого </w:t>
      </w:r>
      <w:r w:rsidRPr="003D505F">
        <w:rPr>
          <w:b/>
          <w:lang w:val="ru-RU"/>
        </w:rPr>
        <w:t xml:space="preserve">объекта хеджирования (если применимо) и признаваться в составе </w:t>
      </w:r>
      <w:r w:rsidRPr="0095563D">
        <w:rPr>
          <w:b/>
          <w:lang w:val="ru-RU"/>
        </w:rPr>
        <w:t>прибыли или убытка</w:t>
      </w:r>
      <w:r w:rsidRPr="003D505F">
        <w:rPr>
          <w:b/>
          <w:lang w:val="ru-RU"/>
        </w:rPr>
        <w:t>.</w:t>
      </w:r>
      <w:r>
        <w:rPr>
          <w:b/>
          <w:lang w:val="ru-RU"/>
        </w:rPr>
        <w:t xml:space="preserve"> </w:t>
      </w:r>
      <w:r w:rsidRPr="0049187C">
        <w:rPr>
          <w:b/>
          <w:lang w:val="ru-RU"/>
        </w:rPr>
        <w:t>Если объект хеджирования является финансовым активом (или его компонентом), учитываемым по справедливой стоимости через прочий совокупный доход в соответствии с пунктом 4.1.2А, прибыль или убыток от хеджирования по объекту хеджирования должны признаваться в составе прибыли или убытка.</w:t>
      </w:r>
      <w:r w:rsidRPr="003D505F">
        <w:rPr>
          <w:b/>
          <w:lang w:val="ru-RU"/>
        </w:rPr>
        <w:t xml:space="preserve"> Однако если объект</w:t>
      </w:r>
      <w:r>
        <w:rPr>
          <w:b/>
          <w:lang w:val="ru-RU"/>
        </w:rPr>
        <w:t>ом</w:t>
      </w:r>
      <w:r w:rsidRPr="003D505F">
        <w:rPr>
          <w:b/>
          <w:lang w:val="ru-RU"/>
        </w:rPr>
        <w:t xml:space="preserve"> хеджирования </w:t>
      </w:r>
      <w:r>
        <w:rPr>
          <w:b/>
          <w:lang w:val="ru-RU"/>
        </w:rPr>
        <w:t>является</w:t>
      </w:r>
      <w:r w:rsidRPr="003D505F">
        <w:rPr>
          <w:b/>
          <w:lang w:val="ru-RU"/>
        </w:rPr>
        <w:t xml:space="preserve"> долевой инструмент, </w:t>
      </w:r>
      <w:r>
        <w:rPr>
          <w:b/>
          <w:lang w:val="ru-RU"/>
        </w:rPr>
        <w:t>применительно к</w:t>
      </w:r>
      <w:r w:rsidRPr="003D505F">
        <w:rPr>
          <w:b/>
          <w:lang w:val="ru-RU"/>
        </w:rPr>
        <w:t xml:space="preserve"> которо</w:t>
      </w:r>
      <w:r>
        <w:rPr>
          <w:b/>
          <w:lang w:val="ru-RU"/>
        </w:rPr>
        <w:t>му</w:t>
      </w:r>
      <w:r w:rsidRPr="003D505F">
        <w:rPr>
          <w:b/>
          <w:lang w:val="ru-RU"/>
        </w:rPr>
        <w:t xml:space="preserve"> организация </w:t>
      </w:r>
      <w:r>
        <w:rPr>
          <w:b/>
          <w:lang w:val="ru-RU"/>
        </w:rPr>
        <w:t xml:space="preserve">решила </w:t>
      </w:r>
      <w:r w:rsidRPr="003D505F">
        <w:rPr>
          <w:b/>
          <w:lang w:val="ru-RU"/>
        </w:rPr>
        <w:t>представл</w:t>
      </w:r>
      <w:r>
        <w:rPr>
          <w:b/>
          <w:lang w:val="ru-RU"/>
        </w:rPr>
        <w:t>ять</w:t>
      </w:r>
      <w:r w:rsidRPr="003D505F">
        <w:rPr>
          <w:b/>
          <w:lang w:val="ru-RU"/>
        </w:rPr>
        <w:t xml:space="preserve"> изменени</w:t>
      </w:r>
      <w:r>
        <w:rPr>
          <w:b/>
          <w:lang w:val="ru-RU"/>
        </w:rPr>
        <w:t>я</w:t>
      </w:r>
      <w:r w:rsidRPr="003D505F">
        <w:rPr>
          <w:b/>
          <w:lang w:val="ru-RU"/>
        </w:rPr>
        <w:t xml:space="preserve"> справедливой стоимости в составе прочего совокупного дохода в соответствии с пунктом 5.7.5, </w:t>
      </w:r>
      <w:r>
        <w:rPr>
          <w:b/>
          <w:lang w:val="ru-RU"/>
        </w:rPr>
        <w:t xml:space="preserve">то </w:t>
      </w:r>
      <w:r w:rsidRPr="003D505F">
        <w:rPr>
          <w:b/>
          <w:lang w:val="ru-RU"/>
        </w:rPr>
        <w:t xml:space="preserve">организация должна продолжать признание </w:t>
      </w:r>
      <w:r>
        <w:rPr>
          <w:b/>
          <w:lang w:val="ru-RU"/>
        </w:rPr>
        <w:t>указанных</w:t>
      </w:r>
      <w:r w:rsidRPr="003D505F">
        <w:rPr>
          <w:b/>
          <w:lang w:val="ru-RU"/>
        </w:rPr>
        <w:t xml:space="preserve"> сумм в составе прочего совокупного дохода. </w:t>
      </w:r>
      <w:r>
        <w:rPr>
          <w:b/>
          <w:lang w:val="ru-RU"/>
        </w:rPr>
        <w:t>Когда</w:t>
      </w:r>
      <w:r w:rsidRPr="003D505F">
        <w:rPr>
          <w:b/>
          <w:lang w:val="ru-RU"/>
        </w:rPr>
        <w:t xml:space="preserve"> объект</w:t>
      </w:r>
      <w:r>
        <w:rPr>
          <w:b/>
          <w:lang w:val="ru-RU"/>
        </w:rPr>
        <w:t>ом</w:t>
      </w:r>
      <w:r w:rsidRPr="003D505F">
        <w:rPr>
          <w:b/>
          <w:lang w:val="ru-RU"/>
        </w:rPr>
        <w:t xml:space="preserve"> хеджирования </w:t>
      </w:r>
      <w:r>
        <w:rPr>
          <w:b/>
          <w:lang w:val="ru-RU"/>
        </w:rPr>
        <w:t>является</w:t>
      </w:r>
      <w:r w:rsidRPr="003D505F">
        <w:rPr>
          <w:b/>
          <w:lang w:val="ru-RU"/>
        </w:rPr>
        <w:t xml:space="preserve"> непризнанное твердое договорное обязательство (либо его компонент), н</w:t>
      </w:r>
      <w:r>
        <w:rPr>
          <w:b/>
          <w:lang w:val="ru-RU"/>
        </w:rPr>
        <w:t>акопленная величина</w:t>
      </w:r>
      <w:r w:rsidRPr="003D505F">
        <w:rPr>
          <w:b/>
          <w:lang w:val="ru-RU"/>
        </w:rPr>
        <w:t xml:space="preserve"> </w:t>
      </w:r>
      <w:r>
        <w:rPr>
          <w:b/>
          <w:lang w:val="ru-RU"/>
        </w:rPr>
        <w:t>изменения</w:t>
      </w:r>
      <w:r w:rsidRPr="003D505F">
        <w:rPr>
          <w:b/>
          <w:lang w:val="ru-RU"/>
        </w:rPr>
        <w:t xml:space="preserve"> справедливой стоимости </w:t>
      </w:r>
      <w:r>
        <w:rPr>
          <w:b/>
          <w:lang w:val="ru-RU"/>
        </w:rPr>
        <w:t xml:space="preserve">данного </w:t>
      </w:r>
      <w:r w:rsidRPr="003D505F">
        <w:rPr>
          <w:b/>
          <w:lang w:val="ru-RU"/>
        </w:rPr>
        <w:t xml:space="preserve">объекта хеджирования после его </w:t>
      </w:r>
      <w:r>
        <w:rPr>
          <w:b/>
          <w:lang w:val="ru-RU"/>
        </w:rPr>
        <w:t>определения</w:t>
      </w:r>
      <w:r w:rsidRPr="003D505F">
        <w:rPr>
          <w:b/>
          <w:lang w:val="ru-RU"/>
        </w:rPr>
        <w:t xml:space="preserve"> </w:t>
      </w:r>
      <w:r>
        <w:rPr>
          <w:b/>
          <w:lang w:val="ru-RU"/>
        </w:rPr>
        <w:t xml:space="preserve">по усмотрению организации </w:t>
      </w:r>
      <w:r w:rsidRPr="003D505F">
        <w:rPr>
          <w:b/>
          <w:lang w:val="ru-RU"/>
        </w:rPr>
        <w:t>в качестве такового признается как актив или обязательство с признанием соответствующ</w:t>
      </w:r>
      <w:r>
        <w:rPr>
          <w:b/>
          <w:lang w:val="ru-RU"/>
        </w:rPr>
        <w:t>ей суммы</w:t>
      </w:r>
      <w:r w:rsidRPr="003D505F">
        <w:rPr>
          <w:b/>
          <w:lang w:val="ru-RU"/>
        </w:rPr>
        <w:t xml:space="preserve"> </w:t>
      </w:r>
      <w:r w:rsidRPr="0095563D">
        <w:rPr>
          <w:b/>
          <w:lang w:val="ru-RU"/>
        </w:rPr>
        <w:t>прибыли или убытка</w:t>
      </w:r>
      <w:r w:rsidRPr="003D505F">
        <w:rPr>
          <w:b/>
          <w:lang w:val="ru-RU"/>
        </w:rPr>
        <w:t xml:space="preserve"> в составе </w:t>
      </w:r>
      <w:r w:rsidRPr="0095563D">
        <w:rPr>
          <w:b/>
          <w:lang w:val="ru-RU"/>
        </w:rPr>
        <w:t>прибыли или убытка</w:t>
      </w:r>
      <w:r w:rsidR="007D4BCC" w:rsidRPr="0049187C">
        <w:rPr>
          <w:b/>
          <w:lang w:val="ru-RU"/>
        </w:rPr>
        <w:t>.</w:t>
      </w:r>
      <w:bookmarkEnd w:id="98"/>
    </w:p>
    <w:p w:rsidR="00630B1C" w:rsidRPr="003D505F" w:rsidRDefault="007D4BCC" w:rsidP="00630B1C">
      <w:pPr>
        <w:pStyle w:val="IASBNormalnpara"/>
        <w:rPr>
          <w:lang w:val="ru-RU"/>
        </w:rPr>
      </w:pPr>
      <w:r w:rsidRPr="0049187C">
        <w:rPr>
          <w:lang w:val="ru-RU"/>
        </w:rPr>
        <w:t>6.5.9</w:t>
      </w:r>
      <w:r w:rsidRPr="0049187C">
        <w:rPr>
          <w:lang w:val="ru-RU"/>
        </w:rPr>
        <w:tab/>
      </w:r>
      <w:bookmarkStart w:id="101" w:name="F27186796"/>
      <w:bookmarkStart w:id="102" w:name="F27186795"/>
      <w:r w:rsidR="00630B1C">
        <w:rPr>
          <w:lang w:val="ru-RU"/>
        </w:rPr>
        <w:t>Когда</w:t>
      </w:r>
      <w:r w:rsidR="00630B1C" w:rsidRPr="003D505F">
        <w:rPr>
          <w:lang w:val="ru-RU"/>
        </w:rPr>
        <w:t xml:space="preserve"> объект</w:t>
      </w:r>
      <w:r w:rsidR="00630B1C">
        <w:rPr>
          <w:lang w:val="ru-RU"/>
        </w:rPr>
        <w:t>ом</w:t>
      </w:r>
      <w:r w:rsidR="00630B1C" w:rsidRPr="003D505F">
        <w:rPr>
          <w:lang w:val="ru-RU"/>
        </w:rPr>
        <w:t xml:space="preserve"> хеджирования в рамках хеджирования справедливой стоимости </w:t>
      </w:r>
      <w:r w:rsidR="00630B1C">
        <w:rPr>
          <w:lang w:val="ru-RU"/>
        </w:rPr>
        <w:t xml:space="preserve">является </w:t>
      </w:r>
      <w:r w:rsidR="00630B1C" w:rsidRPr="003D505F">
        <w:rPr>
          <w:lang w:val="ru-RU"/>
        </w:rPr>
        <w:t>твердое договорное обязательство (либо его компонент) приобре</w:t>
      </w:r>
      <w:r w:rsidR="00630B1C">
        <w:rPr>
          <w:lang w:val="ru-RU"/>
        </w:rPr>
        <w:t>сти</w:t>
      </w:r>
      <w:r w:rsidR="00630B1C" w:rsidRPr="003D505F">
        <w:rPr>
          <w:lang w:val="ru-RU"/>
        </w:rPr>
        <w:t xml:space="preserve"> актив либо принят</w:t>
      </w:r>
      <w:r w:rsidR="00630B1C">
        <w:rPr>
          <w:lang w:val="ru-RU"/>
        </w:rPr>
        <w:t xml:space="preserve">ь на себя </w:t>
      </w:r>
      <w:r w:rsidR="00630B1C" w:rsidRPr="003D505F">
        <w:rPr>
          <w:lang w:val="ru-RU"/>
        </w:rPr>
        <w:t>обязательств</w:t>
      </w:r>
      <w:r w:rsidR="00630B1C">
        <w:rPr>
          <w:lang w:val="ru-RU"/>
        </w:rPr>
        <w:t>о</w:t>
      </w:r>
      <w:r w:rsidR="00630B1C" w:rsidRPr="003D505F">
        <w:rPr>
          <w:lang w:val="ru-RU"/>
        </w:rPr>
        <w:t xml:space="preserve">, первоначальная балансовая стоимость </w:t>
      </w:r>
      <w:r w:rsidR="00630B1C">
        <w:rPr>
          <w:lang w:val="ru-RU"/>
        </w:rPr>
        <w:t xml:space="preserve">указанного </w:t>
      </w:r>
      <w:r w:rsidR="00630B1C" w:rsidRPr="003D505F">
        <w:rPr>
          <w:lang w:val="ru-RU"/>
        </w:rPr>
        <w:t xml:space="preserve">актива или обязательства, </w:t>
      </w:r>
      <w:r w:rsidR="00630B1C">
        <w:rPr>
          <w:lang w:val="ru-RU"/>
        </w:rPr>
        <w:t>возникшего</w:t>
      </w:r>
      <w:r w:rsidR="00630B1C" w:rsidRPr="003D505F">
        <w:rPr>
          <w:lang w:val="ru-RU"/>
        </w:rPr>
        <w:t xml:space="preserve"> </w:t>
      </w:r>
      <w:r w:rsidR="00630B1C">
        <w:rPr>
          <w:lang w:val="ru-RU"/>
        </w:rPr>
        <w:t>в</w:t>
      </w:r>
      <w:r w:rsidR="00630B1C" w:rsidRPr="003D505F">
        <w:rPr>
          <w:lang w:val="ru-RU"/>
        </w:rPr>
        <w:t>следствие исполнения организацией данного твердого договорного обязательства, корректируется посредством включения в нее накопленно</w:t>
      </w:r>
      <w:r w:rsidR="00630B1C">
        <w:rPr>
          <w:lang w:val="ru-RU"/>
        </w:rPr>
        <w:t>й</w:t>
      </w:r>
      <w:r w:rsidR="00630B1C" w:rsidRPr="003D505F">
        <w:rPr>
          <w:lang w:val="ru-RU"/>
        </w:rPr>
        <w:t xml:space="preserve"> </w:t>
      </w:r>
      <w:r w:rsidR="00630B1C">
        <w:rPr>
          <w:lang w:val="ru-RU"/>
        </w:rPr>
        <w:t xml:space="preserve">величины </w:t>
      </w:r>
      <w:r w:rsidR="00630B1C" w:rsidRPr="003D505F">
        <w:rPr>
          <w:lang w:val="ru-RU"/>
        </w:rPr>
        <w:t xml:space="preserve">изменения справедливой стоимости </w:t>
      </w:r>
      <w:r w:rsidR="00630B1C">
        <w:rPr>
          <w:lang w:val="ru-RU"/>
        </w:rPr>
        <w:t xml:space="preserve">данного </w:t>
      </w:r>
      <w:r w:rsidR="00630B1C" w:rsidRPr="003D505F">
        <w:rPr>
          <w:lang w:val="ru-RU"/>
        </w:rPr>
        <w:t>объекта хеджирования, котор</w:t>
      </w:r>
      <w:r w:rsidR="00630B1C">
        <w:rPr>
          <w:lang w:val="ru-RU"/>
        </w:rPr>
        <w:t>ая</w:t>
      </w:r>
      <w:r w:rsidR="00630B1C" w:rsidRPr="003D505F">
        <w:rPr>
          <w:lang w:val="ru-RU"/>
        </w:rPr>
        <w:t xml:space="preserve"> был</w:t>
      </w:r>
      <w:r w:rsidR="00630B1C">
        <w:rPr>
          <w:lang w:val="ru-RU"/>
        </w:rPr>
        <w:t>а</w:t>
      </w:r>
      <w:r w:rsidR="00630B1C" w:rsidRPr="003D505F">
        <w:rPr>
          <w:lang w:val="ru-RU"/>
        </w:rPr>
        <w:t xml:space="preserve"> признан</w:t>
      </w:r>
      <w:r w:rsidR="00630B1C">
        <w:rPr>
          <w:lang w:val="ru-RU"/>
        </w:rPr>
        <w:t>а</w:t>
      </w:r>
      <w:r w:rsidR="00630B1C" w:rsidRPr="003D505F">
        <w:rPr>
          <w:lang w:val="ru-RU"/>
        </w:rPr>
        <w:t xml:space="preserve"> в отчете о финансовом положении. </w:t>
      </w:r>
      <w:bookmarkEnd w:id="102"/>
    </w:p>
    <w:p w:rsidR="007D4BCC" w:rsidRPr="0049187C" w:rsidRDefault="00630B1C" w:rsidP="00630B1C">
      <w:pPr>
        <w:pStyle w:val="IASBNormalnpara"/>
        <w:rPr>
          <w:lang w:val="ru-RU"/>
        </w:rPr>
      </w:pPr>
      <w:r w:rsidRPr="003D505F">
        <w:rPr>
          <w:lang w:val="ru-RU"/>
        </w:rPr>
        <w:t>6.5.10</w:t>
      </w:r>
      <w:r w:rsidRPr="003D505F">
        <w:rPr>
          <w:lang w:val="ru-RU"/>
        </w:rPr>
        <w:tab/>
        <w:t>Корректировк</w:t>
      </w:r>
      <w:r>
        <w:rPr>
          <w:lang w:val="ru-RU"/>
        </w:rPr>
        <w:t>а</w:t>
      </w:r>
      <w:r w:rsidRPr="003D505F">
        <w:rPr>
          <w:lang w:val="ru-RU"/>
        </w:rPr>
        <w:t xml:space="preserve">, </w:t>
      </w:r>
      <w:r>
        <w:rPr>
          <w:lang w:val="ru-RU"/>
        </w:rPr>
        <w:t xml:space="preserve">осуществленная в соответствии с </w:t>
      </w:r>
      <w:r w:rsidRPr="003D505F">
        <w:rPr>
          <w:lang w:val="ru-RU"/>
        </w:rPr>
        <w:t>пункт</w:t>
      </w:r>
      <w:r>
        <w:rPr>
          <w:lang w:val="ru-RU"/>
        </w:rPr>
        <w:t>ом</w:t>
      </w:r>
      <w:r w:rsidRPr="003D505F">
        <w:rPr>
          <w:lang w:val="ru-RU"/>
        </w:rPr>
        <w:t xml:space="preserve"> 6.5.8(</w:t>
      </w:r>
      <w:r>
        <w:t>b</w:t>
      </w:r>
      <w:r w:rsidRPr="003D505F">
        <w:rPr>
          <w:lang w:val="ru-RU"/>
        </w:rPr>
        <w:t>), подлеж</w:t>
      </w:r>
      <w:r>
        <w:rPr>
          <w:lang w:val="ru-RU"/>
        </w:rPr>
        <w:t>и</w:t>
      </w:r>
      <w:r w:rsidRPr="003D505F">
        <w:rPr>
          <w:lang w:val="ru-RU"/>
        </w:rPr>
        <w:t xml:space="preserve">т амортизации </w:t>
      </w:r>
      <w:r>
        <w:rPr>
          <w:lang w:val="ru-RU"/>
        </w:rPr>
        <w:t xml:space="preserve">с отражением </w:t>
      </w:r>
      <w:r w:rsidRPr="003D505F">
        <w:rPr>
          <w:lang w:val="ru-RU"/>
        </w:rPr>
        <w:t xml:space="preserve">в составе прибыли или убытка, если </w:t>
      </w:r>
      <w:r>
        <w:rPr>
          <w:lang w:val="ru-RU"/>
        </w:rPr>
        <w:t xml:space="preserve">соответствующий </w:t>
      </w:r>
      <w:r w:rsidRPr="003D505F">
        <w:rPr>
          <w:lang w:val="ru-RU"/>
        </w:rPr>
        <w:t xml:space="preserve">объект хеджирования представляет собой финансовый инструмент (либо его компонент), оцениваемый по амортизированной стоимости. Организация вправе начать начисление амортизации с момента возникновения корректировки, </w:t>
      </w:r>
      <w:r>
        <w:rPr>
          <w:lang w:val="ru-RU"/>
        </w:rPr>
        <w:t xml:space="preserve">но обязана начать амортизацию </w:t>
      </w:r>
      <w:r w:rsidRPr="003D505F">
        <w:rPr>
          <w:lang w:val="ru-RU"/>
        </w:rPr>
        <w:t xml:space="preserve">не позднее того момента, когда объект хеджирования прекращает корректироваться </w:t>
      </w:r>
      <w:r>
        <w:rPr>
          <w:lang w:val="ru-RU"/>
        </w:rPr>
        <w:t>на величину</w:t>
      </w:r>
      <w:r w:rsidRPr="003D505F">
        <w:rPr>
          <w:lang w:val="ru-RU"/>
        </w:rPr>
        <w:t xml:space="preserve"> прибылей и убытков от хеджирования. </w:t>
      </w:r>
      <w:r>
        <w:rPr>
          <w:lang w:val="ru-RU"/>
        </w:rPr>
        <w:t>Величина а</w:t>
      </w:r>
      <w:r w:rsidRPr="003D505F">
        <w:rPr>
          <w:lang w:val="ru-RU"/>
        </w:rPr>
        <w:t>мортизаци</w:t>
      </w:r>
      <w:r>
        <w:rPr>
          <w:lang w:val="ru-RU"/>
        </w:rPr>
        <w:t>и</w:t>
      </w:r>
      <w:r w:rsidRPr="003D505F">
        <w:rPr>
          <w:lang w:val="ru-RU"/>
        </w:rPr>
        <w:t xml:space="preserve"> </w:t>
      </w:r>
      <w:r>
        <w:rPr>
          <w:lang w:val="ru-RU"/>
        </w:rPr>
        <w:t xml:space="preserve">определяется на </w:t>
      </w:r>
      <w:r w:rsidRPr="003D505F">
        <w:rPr>
          <w:lang w:val="ru-RU"/>
        </w:rPr>
        <w:t>основ</w:t>
      </w:r>
      <w:r>
        <w:rPr>
          <w:lang w:val="ru-RU"/>
        </w:rPr>
        <w:t>е</w:t>
      </w:r>
      <w:r w:rsidRPr="003D505F">
        <w:rPr>
          <w:lang w:val="ru-RU"/>
        </w:rPr>
        <w:t xml:space="preserve"> пересчитанной эффективной процентной ставк</w:t>
      </w:r>
      <w:r>
        <w:rPr>
          <w:lang w:val="ru-RU"/>
        </w:rPr>
        <w:t>и</w:t>
      </w:r>
      <w:r w:rsidRPr="003D505F">
        <w:rPr>
          <w:lang w:val="ru-RU"/>
        </w:rPr>
        <w:t xml:space="preserve"> на дату начала амортизации</w:t>
      </w:r>
      <w:r w:rsidR="007D4BCC" w:rsidRPr="0049187C">
        <w:rPr>
          <w:lang w:val="ru-RU"/>
        </w:rPr>
        <w:t>.</w:t>
      </w:r>
      <w:bookmarkEnd w:id="101"/>
      <w:r w:rsidR="007D4BCC" w:rsidRPr="0049187C">
        <w:rPr>
          <w:lang w:val="ru-RU"/>
        </w:rPr>
        <w:t xml:space="preserve"> В с</w:t>
      </w:r>
      <w:r>
        <w:rPr>
          <w:lang w:val="ru-RU"/>
        </w:rPr>
        <w:t>лучае финансового актива (либо</w:t>
      </w:r>
      <w:r w:rsidR="007D4BCC" w:rsidRPr="0049187C">
        <w:rPr>
          <w:lang w:val="ru-RU"/>
        </w:rPr>
        <w:t xml:space="preserve"> его компонента), который является объектом хеджирования и оценивается по справедливой стоимости через прочий совокупный доход в соответствии с пунктом 4.1.2А, начисление амортизации происходит таким же образом, но в отношении суммы, которая представляет накопленные прибыль или убыток, ранее признанные в соответствии с пунктом 6.5.8(b), а не путем корректировки балансовой стоимости.</w:t>
      </w:r>
    </w:p>
    <w:p w:rsidR="007D4BCC" w:rsidRPr="0049187C" w:rsidRDefault="007D4BCC" w:rsidP="007D4BCC">
      <w:pPr>
        <w:pStyle w:val="IASBSectionTitle2Ind"/>
        <w:rPr>
          <w:lang w:val="ru-RU"/>
        </w:rPr>
      </w:pPr>
      <w:bookmarkStart w:id="103" w:name="F27186798"/>
      <w:r w:rsidRPr="0049187C">
        <w:rPr>
          <w:lang w:val="ru-RU"/>
        </w:rPr>
        <w:t>Хеджирование денежных потоков</w:t>
      </w:r>
      <w:bookmarkEnd w:id="103"/>
    </w:p>
    <w:p w:rsidR="00630B1C" w:rsidRPr="003D505F" w:rsidRDefault="007D4BCC" w:rsidP="00630B1C">
      <w:pPr>
        <w:pStyle w:val="IASBNormalnpara"/>
        <w:rPr>
          <w:b/>
          <w:lang w:val="ru-RU"/>
        </w:rPr>
      </w:pPr>
      <w:r w:rsidRPr="0049187C">
        <w:rPr>
          <w:b/>
          <w:lang w:val="ru-RU"/>
        </w:rPr>
        <w:t>6.5.11</w:t>
      </w:r>
      <w:r w:rsidRPr="0049187C">
        <w:rPr>
          <w:b/>
          <w:lang w:val="ru-RU"/>
        </w:rPr>
        <w:tab/>
      </w:r>
      <w:bookmarkStart w:id="104" w:name="F27186889"/>
      <w:bookmarkStart w:id="105" w:name="F27186799"/>
      <w:r w:rsidR="00630B1C">
        <w:rPr>
          <w:b/>
          <w:lang w:val="ru-RU"/>
        </w:rPr>
        <w:t xml:space="preserve">Если </w:t>
      </w:r>
      <w:r w:rsidR="00630B1C" w:rsidRPr="003D505F">
        <w:rPr>
          <w:b/>
          <w:lang w:val="ru-RU"/>
        </w:rPr>
        <w:t>хеджирование денежных потоков отвечает критериям</w:t>
      </w:r>
      <w:r w:rsidR="00630B1C">
        <w:rPr>
          <w:b/>
          <w:lang w:val="ru-RU"/>
        </w:rPr>
        <w:t xml:space="preserve"> учета хеджирования, предусмотренным</w:t>
      </w:r>
      <w:r w:rsidR="00630B1C" w:rsidRPr="003D505F">
        <w:rPr>
          <w:b/>
          <w:lang w:val="ru-RU"/>
        </w:rPr>
        <w:t xml:space="preserve"> пункт</w:t>
      </w:r>
      <w:r w:rsidR="00630B1C">
        <w:rPr>
          <w:b/>
          <w:lang w:val="ru-RU"/>
        </w:rPr>
        <w:t>ом 6.4.1, данные отношения хеджирования должны</w:t>
      </w:r>
      <w:r w:rsidR="00630B1C" w:rsidRPr="003D505F">
        <w:rPr>
          <w:b/>
          <w:lang w:val="ru-RU"/>
        </w:rPr>
        <w:t xml:space="preserve"> учитываться следующим образом:</w:t>
      </w:r>
      <w:bookmarkEnd w:id="105"/>
    </w:p>
    <w:p w:rsidR="00630B1C" w:rsidRPr="003D505F" w:rsidRDefault="00630B1C" w:rsidP="00630B1C">
      <w:pPr>
        <w:pStyle w:val="IASBNormalnparaL1"/>
        <w:rPr>
          <w:b/>
          <w:lang w:val="ru-RU"/>
        </w:rPr>
      </w:pPr>
      <w:r w:rsidRPr="003D505F">
        <w:rPr>
          <w:b/>
          <w:lang w:val="ru-RU"/>
        </w:rPr>
        <w:t>(</w:t>
      </w:r>
      <w:r>
        <w:rPr>
          <w:b/>
        </w:rPr>
        <w:t>a</w:t>
      </w:r>
      <w:r w:rsidRPr="003D505F">
        <w:rPr>
          <w:b/>
          <w:lang w:val="ru-RU"/>
        </w:rPr>
        <w:t>)</w:t>
      </w:r>
      <w:r w:rsidRPr="003D505F">
        <w:rPr>
          <w:lang w:val="ru-RU"/>
        </w:rPr>
        <w:tab/>
      </w:r>
      <w:bookmarkStart w:id="106" w:name="F27186802"/>
      <w:r>
        <w:rPr>
          <w:b/>
          <w:lang w:val="ru-RU"/>
        </w:rPr>
        <w:t>О</w:t>
      </w:r>
      <w:r w:rsidRPr="003D505F">
        <w:rPr>
          <w:b/>
          <w:lang w:val="ru-RU"/>
        </w:rPr>
        <w:t>тдельный компонент собственного капитала, связанный с объектом хеджирования (резерв хеджирования денежных потоков), корректируется до наименьшей из следующих величин (в абсолютном выражении):</w:t>
      </w:r>
      <w:bookmarkEnd w:id="106"/>
    </w:p>
    <w:p w:rsidR="00630B1C" w:rsidRPr="003D505F" w:rsidRDefault="00630B1C" w:rsidP="00630B1C">
      <w:pPr>
        <w:pStyle w:val="IASBNormalnparaL2"/>
        <w:rPr>
          <w:b/>
          <w:lang w:val="ru-RU"/>
        </w:rPr>
      </w:pPr>
      <w:r w:rsidRPr="003D505F">
        <w:rPr>
          <w:b/>
          <w:lang w:val="ru-RU"/>
        </w:rPr>
        <w:t>(</w:t>
      </w:r>
      <w:r>
        <w:rPr>
          <w:b/>
        </w:rPr>
        <w:t>i</w:t>
      </w:r>
      <w:r w:rsidRPr="003D505F">
        <w:rPr>
          <w:b/>
          <w:lang w:val="ru-RU"/>
        </w:rPr>
        <w:t>)</w:t>
      </w:r>
      <w:r w:rsidRPr="003D505F">
        <w:rPr>
          <w:lang w:val="ru-RU"/>
        </w:rPr>
        <w:tab/>
      </w:r>
      <w:bookmarkStart w:id="107" w:name="F27186807"/>
      <w:r w:rsidRPr="003D505F">
        <w:rPr>
          <w:b/>
          <w:lang w:val="ru-RU"/>
        </w:rPr>
        <w:t>накопленн</w:t>
      </w:r>
      <w:r>
        <w:rPr>
          <w:b/>
          <w:lang w:val="ru-RU"/>
        </w:rPr>
        <w:t>ой величины</w:t>
      </w:r>
      <w:r w:rsidRPr="003D505F">
        <w:rPr>
          <w:b/>
          <w:lang w:val="ru-RU"/>
        </w:rPr>
        <w:t xml:space="preserve"> прибыл</w:t>
      </w:r>
      <w:r>
        <w:rPr>
          <w:b/>
          <w:lang w:val="ru-RU"/>
        </w:rPr>
        <w:t>и</w:t>
      </w:r>
      <w:r w:rsidRPr="003D505F">
        <w:rPr>
          <w:b/>
          <w:lang w:val="ru-RU"/>
        </w:rPr>
        <w:t xml:space="preserve"> или убытк</w:t>
      </w:r>
      <w:r>
        <w:rPr>
          <w:b/>
          <w:lang w:val="ru-RU"/>
        </w:rPr>
        <w:t>а</w:t>
      </w:r>
      <w:r w:rsidRPr="003D505F">
        <w:rPr>
          <w:b/>
          <w:lang w:val="ru-RU"/>
        </w:rPr>
        <w:t xml:space="preserve"> по инструменту хеджирования с момента начала хеджирования;</w:t>
      </w:r>
      <w:bookmarkEnd w:id="107"/>
    </w:p>
    <w:p w:rsidR="00630B1C" w:rsidRPr="003D505F" w:rsidRDefault="00630B1C" w:rsidP="00630B1C">
      <w:pPr>
        <w:pStyle w:val="IASBNormalnparaL2"/>
        <w:rPr>
          <w:b/>
          <w:lang w:val="ru-RU"/>
        </w:rPr>
      </w:pPr>
      <w:r w:rsidRPr="003D505F">
        <w:rPr>
          <w:b/>
          <w:lang w:val="ru-RU"/>
        </w:rPr>
        <w:t>(</w:t>
      </w:r>
      <w:r>
        <w:rPr>
          <w:b/>
        </w:rPr>
        <w:t>ii</w:t>
      </w:r>
      <w:r w:rsidRPr="003D505F">
        <w:rPr>
          <w:b/>
          <w:lang w:val="ru-RU"/>
        </w:rPr>
        <w:t>)</w:t>
      </w:r>
      <w:r w:rsidRPr="003D505F">
        <w:rPr>
          <w:lang w:val="ru-RU"/>
        </w:rPr>
        <w:tab/>
      </w:r>
      <w:bookmarkStart w:id="108" w:name="F27186809"/>
      <w:r w:rsidRPr="003D505F">
        <w:rPr>
          <w:b/>
          <w:lang w:val="ru-RU"/>
        </w:rPr>
        <w:t>накопленно</w:t>
      </w:r>
      <w:r>
        <w:rPr>
          <w:b/>
          <w:lang w:val="ru-RU"/>
        </w:rPr>
        <w:t>й величины</w:t>
      </w:r>
      <w:r w:rsidRPr="003D505F">
        <w:rPr>
          <w:b/>
          <w:lang w:val="ru-RU"/>
        </w:rPr>
        <w:t xml:space="preserve"> изменени</w:t>
      </w:r>
      <w:r>
        <w:rPr>
          <w:b/>
          <w:lang w:val="ru-RU"/>
        </w:rPr>
        <w:t>я</w:t>
      </w:r>
      <w:r w:rsidRPr="003D505F">
        <w:rPr>
          <w:b/>
          <w:lang w:val="ru-RU"/>
        </w:rPr>
        <w:t xml:space="preserve"> справедливой стоимости (приведенная стоимость) объекта хеджирования (</w:t>
      </w:r>
      <w:r w:rsidR="00BE121A">
        <w:rPr>
          <w:b/>
          <w:lang w:val="ru-RU"/>
        </w:rPr>
        <w:t>т. </w:t>
      </w:r>
      <w:r w:rsidR="00730672">
        <w:rPr>
          <w:b/>
          <w:lang w:val="ru-RU"/>
        </w:rPr>
        <w:t>е.</w:t>
      </w:r>
      <w:r w:rsidRPr="003D505F">
        <w:rPr>
          <w:b/>
          <w:lang w:val="ru-RU"/>
        </w:rPr>
        <w:t xml:space="preserve"> приведенная стоимость </w:t>
      </w:r>
      <w:r>
        <w:rPr>
          <w:b/>
          <w:lang w:val="ru-RU"/>
        </w:rPr>
        <w:t xml:space="preserve">накопленной величины </w:t>
      </w:r>
      <w:r w:rsidRPr="003D505F">
        <w:rPr>
          <w:b/>
          <w:lang w:val="ru-RU"/>
        </w:rPr>
        <w:t>изменения ожидаемых будущих денежных потоков</w:t>
      </w:r>
      <w:r>
        <w:rPr>
          <w:b/>
          <w:lang w:val="ru-RU"/>
        </w:rPr>
        <w:t xml:space="preserve">, являющихся объектом </w:t>
      </w:r>
      <w:r w:rsidRPr="003D505F">
        <w:rPr>
          <w:b/>
          <w:lang w:val="ru-RU"/>
        </w:rPr>
        <w:t>хеджир</w:t>
      </w:r>
      <w:r>
        <w:rPr>
          <w:b/>
          <w:lang w:val="ru-RU"/>
        </w:rPr>
        <w:t>ования</w:t>
      </w:r>
      <w:r w:rsidRPr="003D505F">
        <w:rPr>
          <w:b/>
          <w:lang w:val="ru-RU"/>
        </w:rPr>
        <w:t xml:space="preserve">) с </w:t>
      </w:r>
      <w:r>
        <w:rPr>
          <w:b/>
          <w:lang w:val="ru-RU"/>
        </w:rPr>
        <w:t xml:space="preserve">момента </w:t>
      </w:r>
      <w:r w:rsidRPr="003D505F">
        <w:rPr>
          <w:b/>
          <w:lang w:val="ru-RU"/>
        </w:rPr>
        <w:t>начала хеджирования.</w:t>
      </w:r>
      <w:bookmarkEnd w:id="108"/>
    </w:p>
    <w:p w:rsidR="00630B1C" w:rsidRPr="003D505F" w:rsidRDefault="00630B1C" w:rsidP="00630B1C">
      <w:pPr>
        <w:pStyle w:val="IASBNormalnparaL1"/>
        <w:rPr>
          <w:b/>
          <w:lang w:val="ru-RU"/>
        </w:rPr>
      </w:pPr>
      <w:r w:rsidRPr="003D505F">
        <w:rPr>
          <w:b/>
          <w:lang w:val="ru-RU"/>
        </w:rPr>
        <w:t>(</w:t>
      </w:r>
      <w:r>
        <w:rPr>
          <w:b/>
        </w:rPr>
        <w:t>b</w:t>
      </w:r>
      <w:r w:rsidRPr="003D505F">
        <w:rPr>
          <w:b/>
          <w:lang w:val="ru-RU"/>
        </w:rPr>
        <w:t>)</w:t>
      </w:r>
      <w:r w:rsidRPr="003D505F">
        <w:rPr>
          <w:lang w:val="ru-RU"/>
        </w:rPr>
        <w:tab/>
      </w:r>
      <w:bookmarkStart w:id="109" w:name="F27186811"/>
      <w:r>
        <w:rPr>
          <w:b/>
          <w:lang w:val="ru-RU"/>
        </w:rPr>
        <w:t>Т</w:t>
      </w:r>
      <w:r w:rsidRPr="003D505F">
        <w:rPr>
          <w:b/>
          <w:lang w:val="ru-RU"/>
        </w:rPr>
        <w:t>а часть прибыли или убытка по инструменту хеджирования, которая определяется как эффективное хеджирование (</w:t>
      </w:r>
      <w:r w:rsidR="00BE121A">
        <w:rPr>
          <w:b/>
          <w:lang w:val="ru-RU"/>
        </w:rPr>
        <w:t>т.</w:t>
      </w:r>
      <w:r w:rsidR="00BE121A">
        <w:rPr>
          <w:b/>
        </w:rPr>
        <w:t> </w:t>
      </w:r>
      <w:r w:rsidR="00730672">
        <w:rPr>
          <w:b/>
          <w:lang w:val="ru-RU"/>
        </w:rPr>
        <w:t>е.</w:t>
      </w:r>
      <w:r w:rsidRPr="003D505F">
        <w:rPr>
          <w:b/>
          <w:lang w:val="ru-RU"/>
        </w:rPr>
        <w:t xml:space="preserve"> та часть, которая компенсируется изменением резерва хеджирования денежных потоков, рассчитанного в соответствии с </w:t>
      </w:r>
      <w:r>
        <w:rPr>
          <w:b/>
          <w:lang w:val="ru-RU"/>
        </w:rPr>
        <w:t>под</w:t>
      </w:r>
      <w:r w:rsidRPr="003D505F">
        <w:rPr>
          <w:b/>
          <w:lang w:val="ru-RU"/>
        </w:rPr>
        <w:t>пунктом (а)), должна признаваться в составе прочего совокупного дохода.</w:t>
      </w:r>
      <w:bookmarkEnd w:id="109"/>
    </w:p>
    <w:p w:rsidR="00630B1C" w:rsidRPr="003D505F" w:rsidRDefault="00630B1C" w:rsidP="00630B1C">
      <w:pPr>
        <w:pStyle w:val="IASBNormalnparaL1"/>
        <w:rPr>
          <w:b/>
          <w:lang w:val="ru-RU"/>
        </w:rPr>
      </w:pPr>
      <w:r w:rsidRPr="003D505F">
        <w:rPr>
          <w:b/>
          <w:lang w:val="ru-RU"/>
        </w:rPr>
        <w:t>(</w:t>
      </w:r>
      <w:r>
        <w:rPr>
          <w:b/>
        </w:rPr>
        <w:t>c</w:t>
      </w:r>
      <w:r w:rsidRPr="003D505F">
        <w:rPr>
          <w:b/>
          <w:lang w:val="ru-RU"/>
        </w:rPr>
        <w:t>)</w:t>
      </w:r>
      <w:r w:rsidRPr="003D505F">
        <w:rPr>
          <w:lang w:val="ru-RU"/>
        </w:rPr>
        <w:tab/>
      </w:r>
      <w:bookmarkStart w:id="110" w:name="F27186813"/>
      <w:r w:rsidRPr="00901931">
        <w:rPr>
          <w:b/>
          <w:lang w:val="ru-RU"/>
        </w:rPr>
        <w:t>О</w:t>
      </w:r>
      <w:r w:rsidRPr="003D505F">
        <w:rPr>
          <w:b/>
          <w:lang w:val="ru-RU"/>
        </w:rPr>
        <w:t xml:space="preserve">ставшаяся часть </w:t>
      </w:r>
      <w:r w:rsidRPr="0095563D">
        <w:rPr>
          <w:b/>
          <w:lang w:val="ru-RU"/>
        </w:rPr>
        <w:t>прибыли или убытка</w:t>
      </w:r>
      <w:r w:rsidRPr="009F41F7">
        <w:rPr>
          <w:b/>
          <w:lang w:val="ru-RU"/>
        </w:rPr>
        <w:t xml:space="preserve"> по инструменту хеджирования (или сумма прибыли или убытка, </w:t>
      </w:r>
      <w:r w:rsidRPr="0095563D">
        <w:rPr>
          <w:b/>
          <w:lang w:val="ru-RU"/>
        </w:rPr>
        <w:t>необходимая для приведения изменения резерва хеджирования денежных потоков к величине, рассчитанной в соответствии с подпунктом (а)) представляе</w:t>
      </w:r>
      <w:r w:rsidRPr="009F41F7">
        <w:rPr>
          <w:b/>
          <w:lang w:val="ru-RU"/>
        </w:rPr>
        <w:t>т собой неэффективность хеджирования, которая должна признаваться в составе прибыли или убытка.</w:t>
      </w:r>
      <w:bookmarkEnd w:id="110"/>
    </w:p>
    <w:p w:rsidR="00630B1C" w:rsidRPr="003D505F" w:rsidRDefault="00630B1C" w:rsidP="00630B1C">
      <w:pPr>
        <w:pStyle w:val="IASBNormalnparaL1"/>
        <w:rPr>
          <w:b/>
          <w:lang w:val="ru-RU"/>
        </w:rPr>
      </w:pPr>
      <w:r w:rsidRPr="003D505F">
        <w:rPr>
          <w:b/>
          <w:lang w:val="ru-RU"/>
        </w:rPr>
        <w:t>(</w:t>
      </w:r>
      <w:r>
        <w:rPr>
          <w:b/>
        </w:rPr>
        <w:t>d</w:t>
      </w:r>
      <w:r w:rsidRPr="003D505F">
        <w:rPr>
          <w:b/>
          <w:lang w:val="ru-RU"/>
        </w:rPr>
        <w:t>)</w:t>
      </w:r>
      <w:r w:rsidRPr="003D505F">
        <w:rPr>
          <w:lang w:val="ru-RU"/>
        </w:rPr>
        <w:tab/>
      </w:r>
      <w:bookmarkStart w:id="111" w:name="F27186815"/>
      <w:r>
        <w:rPr>
          <w:b/>
          <w:lang w:val="ru-RU"/>
        </w:rPr>
        <w:t>С</w:t>
      </w:r>
      <w:r w:rsidRPr="003D505F">
        <w:rPr>
          <w:b/>
          <w:lang w:val="ru-RU"/>
        </w:rPr>
        <w:t xml:space="preserve">умма, накопленная в составе резерва хеджирования денежных потоков в соответствии с </w:t>
      </w:r>
      <w:r>
        <w:rPr>
          <w:b/>
          <w:lang w:val="ru-RU"/>
        </w:rPr>
        <w:t>под</w:t>
      </w:r>
      <w:r w:rsidRPr="003D505F">
        <w:rPr>
          <w:b/>
          <w:lang w:val="ru-RU"/>
        </w:rPr>
        <w:t>пунктом (а), должна учитываться следующим образом:</w:t>
      </w:r>
      <w:bookmarkEnd w:id="111"/>
    </w:p>
    <w:p w:rsidR="00630B1C" w:rsidRPr="003D505F" w:rsidRDefault="00630B1C" w:rsidP="00630B1C">
      <w:pPr>
        <w:pStyle w:val="IASBNormalnparaL2"/>
        <w:rPr>
          <w:b/>
          <w:lang w:val="ru-RU"/>
        </w:rPr>
      </w:pPr>
      <w:r w:rsidRPr="003D505F">
        <w:rPr>
          <w:b/>
          <w:lang w:val="ru-RU"/>
        </w:rPr>
        <w:t>(</w:t>
      </w:r>
      <w:r>
        <w:rPr>
          <w:b/>
        </w:rPr>
        <w:t>i</w:t>
      </w:r>
      <w:r w:rsidRPr="003D505F">
        <w:rPr>
          <w:b/>
          <w:lang w:val="ru-RU"/>
        </w:rPr>
        <w:t>)</w:t>
      </w:r>
      <w:r w:rsidRPr="003D505F">
        <w:rPr>
          <w:lang w:val="ru-RU"/>
        </w:rPr>
        <w:tab/>
      </w:r>
      <w:bookmarkStart w:id="112" w:name="F27186884"/>
      <w:r>
        <w:rPr>
          <w:b/>
          <w:lang w:val="ru-RU"/>
        </w:rPr>
        <w:t>Е</w:t>
      </w:r>
      <w:r w:rsidRPr="003D505F">
        <w:rPr>
          <w:b/>
          <w:lang w:val="ru-RU"/>
        </w:rPr>
        <w:t xml:space="preserve">сли хеджируемая прогнозируемая операция впоследствии приводит к признанию нефинансового актива или нефинансового обязательства, либо </w:t>
      </w:r>
      <w:r>
        <w:rPr>
          <w:b/>
          <w:lang w:val="ru-RU"/>
        </w:rPr>
        <w:t xml:space="preserve">если </w:t>
      </w:r>
      <w:r w:rsidRPr="003D505F">
        <w:rPr>
          <w:b/>
          <w:lang w:val="ru-RU"/>
        </w:rPr>
        <w:t xml:space="preserve">хеджируемая прогнозируемая операция </w:t>
      </w:r>
      <w:r>
        <w:rPr>
          <w:b/>
          <w:lang w:val="ru-RU"/>
        </w:rPr>
        <w:t>в отношении</w:t>
      </w:r>
      <w:r w:rsidRPr="003D505F">
        <w:rPr>
          <w:b/>
          <w:lang w:val="ru-RU"/>
        </w:rPr>
        <w:t xml:space="preserve"> нефинансово</w:t>
      </w:r>
      <w:r>
        <w:rPr>
          <w:b/>
          <w:lang w:val="ru-RU"/>
        </w:rPr>
        <w:t>го</w:t>
      </w:r>
      <w:r w:rsidRPr="003D505F">
        <w:rPr>
          <w:b/>
          <w:lang w:val="ru-RU"/>
        </w:rPr>
        <w:t xml:space="preserve"> актив</w:t>
      </w:r>
      <w:r>
        <w:rPr>
          <w:b/>
          <w:lang w:val="ru-RU"/>
        </w:rPr>
        <w:t>а</w:t>
      </w:r>
      <w:r w:rsidRPr="003D505F">
        <w:rPr>
          <w:b/>
          <w:lang w:val="ru-RU"/>
        </w:rPr>
        <w:t xml:space="preserve"> или нефинансово</w:t>
      </w:r>
      <w:r>
        <w:rPr>
          <w:b/>
          <w:lang w:val="ru-RU"/>
        </w:rPr>
        <w:t>го</w:t>
      </w:r>
      <w:r w:rsidRPr="003D505F">
        <w:rPr>
          <w:b/>
          <w:lang w:val="ru-RU"/>
        </w:rPr>
        <w:t xml:space="preserve"> обязательств</w:t>
      </w:r>
      <w:r>
        <w:rPr>
          <w:b/>
          <w:lang w:val="ru-RU"/>
        </w:rPr>
        <w:t>а</w:t>
      </w:r>
      <w:r w:rsidRPr="003D505F">
        <w:rPr>
          <w:b/>
          <w:lang w:val="ru-RU"/>
        </w:rPr>
        <w:t xml:space="preserve"> становится твердым договорным обязательством, </w:t>
      </w:r>
      <w:r>
        <w:rPr>
          <w:b/>
          <w:lang w:val="ru-RU"/>
        </w:rPr>
        <w:t xml:space="preserve">к </w:t>
      </w:r>
      <w:r w:rsidRPr="003D505F">
        <w:rPr>
          <w:b/>
          <w:lang w:val="ru-RU"/>
        </w:rPr>
        <w:t>которо</w:t>
      </w:r>
      <w:r>
        <w:rPr>
          <w:b/>
          <w:lang w:val="ru-RU"/>
        </w:rPr>
        <w:t>му</w:t>
      </w:r>
      <w:r w:rsidRPr="003D505F">
        <w:rPr>
          <w:b/>
          <w:lang w:val="ru-RU"/>
        </w:rPr>
        <w:t xml:space="preserve"> применяется учет хеджирования справедливой стоимости, то организация должна исключить </w:t>
      </w:r>
      <w:r>
        <w:rPr>
          <w:b/>
          <w:lang w:val="ru-RU"/>
        </w:rPr>
        <w:t>указанную</w:t>
      </w:r>
      <w:r w:rsidRPr="003D505F">
        <w:rPr>
          <w:b/>
          <w:lang w:val="ru-RU"/>
        </w:rPr>
        <w:t xml:space="preserve"> сумму из состава резерва хеджирования денежных потоков и включить ее непосредственно в первоначальную стоимость или иную оценку балансовой стоимости </w:t>
      </w:r>
      <w:r>
        <w:rPr>
          <w:b/>
          <w:lang w:val="ru-RU"/>
        </w:rPr>
        <w:t xml:space="preserve">соответствующего </w:t>
      </w:r>
      <w:r w:rsidRPr="003D505F">
        <w:rPr>
          <w:b/>
          <w:lang w:val="ru-RU"/>
        </w:rPr>
        <w:t>актива или обязательства. Данная корректировка не является реклассификационной корректировкой (см. МСФО (</w:t>
      </w:r>
      <w:r w:rsidRPr="00F941A5">
        <w:rPr>
          <w:b/>
        </w:rPr>
        <w:t>IAS</w:t>
      </w:r>
      <w:r w:rsidRPr="003D505F">
        <w:rPr>
          <w:b/>
          <w:lang w:val="ru-RU"/>
        </w:rPr>
        <w:t>) 1</w:t>
      </w:r>
      <w:r>
        <w:rPr>
          <w:b/>
          <w:lang w:val="ru-RU"/>
        </w:rPr>
        <w:t>)</w:t>
      </w:r>
      <w:r w:rsidRPr="003D505F">
        <w:rPr>
          <w:b/>
          <w:lang w:val="ru-RU"/>
        </w:rPr>
        <w:t xml:space="preserve"> и, следовательно, не оказывает влияния на прочий совокупный доход.</w:t>
      </w:r>
      <w:bookmarkEnd w:id="112"/>
    </w:p>
    <w:p w:rsidR="00630B1C" w:rsidRPr="003D505F" w:rsidRDefault="00630B1C" w:rsidP="00630B1C">
      <w:pPr>
        <w:pStyle w:val="IASBNormalnparaL2"/>
        <w:rPr>
          <w:b/>
          <w:lang w:val="ru-RU"/>
        </w:rPr>
      </w:pPr>
      <w:r w:rsidRPr="003D505F">
        <w:rPr>
          <w:b/>
          <w:lang w:val="ru-RU"/>
        </w:rPr>
        <w:t>(</w:t>
      </w:r>
      <w:r>
        <w:rPr>
          <w:b/>
        </w:rPr>
        <w:t>ii</w:t>
      </w:r>
      <w:r w:rsidRPr="003D505F">
        <w:rPr>
          <w:b/>
          <w:lang w:val="ru-RU"/>
        </w:rPr>
        <w:t>)</w:t>
      </w:r>
      <w:r w:rsidRPr="003D505F">
        <w:rPr>
          <w:lang w:val="ru-RU"/>
        </w:rPr>
        <w:tab/>
      </w:r>
      <w:bookmarkStart w:id="113" w:name="F27186887"/>
      <w:r>
        <w:rPr>
          <w:b/>
          <w:lang w:val="ru-RU"/>
        </w:rPr>
        <w:t>Применительно к</w:t>
      </w:r>
      <w:r w:rsidRPr="003D505F">
        <w:rPr>
          <w:b/>
          <w:lang w:val="ru-RU"/>
        </w:rPr>
        <w:t xml:space="preserve"> случа</w:t>
      </w:r>
      <w:r>
        <w:rPr>
          <w:b/>
          <w:lang w:val="ru-RU"/>
        </w:rPr>
        <w:t>ям</w:t>
      </w:r>
      <w:r w:rsidRPr="003D505F">
        <w:rPr>
          <w:b/>
          <w:lang w:val="ru-RU"/>
        </w:rPr>
        <w:t xml:space="preserve"> хеджирования денежных потоков, отличны</w:t>
      </w:r>
      <w:r>
        <w:rPr>
          <w:b/>
          <w:lang w:val="ru-RU"/>
        </w:rPr>
        <w:t>м</w:t>
      </w:r>
      <w:r w:rsidRPr="003D505F">
        <w:rPr>
          <w:b/>
          <w:lang w:val="ru-RU"/>
        </w:rPr>
        <w:t xml:space="preserve"> от рассматриваемых в </w:t>
      </w:r>
      <w:r>
        <w:rPr>
          <w:b/>
          <w:lang w:val="ru-RU"/>
        </w:rPr>
        <w:t>под</w:t>
      </w:r>
      <w:r w:rsidRPr="003D505F">
        <w:rPr>
          <w:b/>
          <w:lang w:val="ru-RU"/>
        </w:rPr>
        <w:t>пункте (</w:t>
      </w:r>
      <w:r>
        <w:rPr>
          <w:b/>
        </w:rPr>
        <w:t>i</w:t>
      </w:r>
      <w:r w:rsidRPr="003D505F">
        <w:rPr>
          <w:b/>
          <w:lang w:val="ru-RU"/>
        </w:rPr>
        <w:t xml:space="preserve">), </w:t>
      </w:r>
      <w:r>
        <w:rPr>
          <w:b/>
          <w:lang w:val="ru-RU"/>
        </w:rPr>
        <w:t>указ</w:t>
      </w:r>
      <w:r w:rsidRPr="003D505F">
        <w:rPr>
          <w:b/>
          <w:lang w:val="ru-RU"/>
        </w:rPr>
        <w:t>анная сумма должна быть реклассифицирована из состава резерва хеджирования денежных потоков в состав прибыли или убытка в качестве реклассификационной корректировки (см. МСФО (</w:t>
      </w:r>
      <w:r>
        <w:rPr>
          <w:b/>
        </w:rPr>
        <w:t>IAS</w:t>
      </w:r>
      <w:r w:rsidRPr="003D505F">
        <w:rPr>
          <w:b/>
          <w:lang w:val="ru-RU"/>
        </w:rPr>
        <w:t xml:space="preserve">) 1) в том же периоде или периодах, в которых хеджируемые ожидаемые будущие денежные потоки </w:t>
      </w:r>
      <w:r>
        <w:rPr>
          <w:b/>
          <w:lang w:val="ru-RU"/>
        </w:rPr>
        <w:t xml:space="preserve">будут </w:t>
      </w:r>
      <w:r w:rsidRPr="003D505F">
        <w:rPr>
          <w:b/>
          <w:lang w:val="ru-RU"/>
        </w:rPr>
        <w:t>оказыва</w:t>
      </w:r>
      <w:r>
        <w:rPr>
          <w:b/>
          <w:lang w:val="ru-RU"/>
        </w:rPr>
        <w:t>ть</w:t>
      </w:r>
      <w:r w:rsidRPr="003D505F">
        <w:rPr>
          <w:b/>
          <w:lang w:val="ru-RU"/>
        </w:rPr>
        <w:t xml:space="preserve"> влияние на прибыль или убыток (например, в периодах, когда признается процентный доход или процентный расход либо когда происходит прогнозир</w:t>
      </w:r>
      <w:r>
        <w:rPr>
          <w:b/>
          <w:lang w:val="ru-RU"/>
        </w:rPr>
        <w:t>овавшаяся</w:t>
      </w:r>
      <w:r w:rsidRPr="003D505F">
        <w:rPr>
          <w:b/>
          <w:lang w:val="ru-RU"/>
        </w:rPr>
        <w:t xml:space="preserve"> продажа).</w:t>
      </w:r>
      <w:bookmarkEnd w:id="113"/>
    </w:p>
    <w:p w:rsidR="007D4BCC" w:rsidRPr="0049187C" w:rsidRDefault="00630B1C" w:rsidP="00630B1C">
      <w:pPr>
        <w:pStyle w:val="IASBNormalnparaL2"/>
        <w:rPr>
          <w:b/>
          <w:lang w:val="ru-RU"/>
        </w:rPr>
      </w:pPr>
      <w:r w:rsidRPr="003D505F">
        <w:rPr>
          <w:b/>
          <w:lang w:val="ru-RU"/>
        </w:rPr>
        <w:t>(</w:t>
      </w:r>
      <w:r w:rsidRPr="00630B1C">
        <w:rPr>
          <w:b/>
          <w:lang w:val="ru-RU"/>
        </w:rPr>
        <w:t>iii</w:t>
      </w:r>
      <w:r w:rsidRPr="003D505F">
        <w:rPr>
          <w:b/>
          <w:lang w:val="ru-RU"/>
        </w:rPr>
        <w:t>)</w:t>
      </w:r>
      <w:r w:rsidRPr="00630B1C">
        <w:rPr>
          <w:b/>
          <w:lang w:val="ru-RU"/>
        </w:rPr>
        <w:tab/>
        <w:t>О</w:t>
      </w:r>
      <w:r w:rsidRPr="003D505F">
        <w:rPr>
          <w:b/>
          <w:lang w:val="ru-RU"/>
        </w:rPr>
        <w:t xml:space="preserve">днако если </w:t>
      </w:r>
      <w:r>
        <w:rPr>
          <w:b/>
          <w:lang w:val="ru-RU"/>
        </w:rPr>
        <w:t>указ</w:t>
      </w:r>
      <w:r w:rsidRPr="003D505F">
        <w:rPr>
          <w:b/>
          <w:lang w:val="ru-RU"/>
        </w:rPr>
        <w:t>анная сумма представляет собой убыток и организация ожидает, что весь</w:t>
      </w:r>
      <w:r>
        <w:rPr>
          <w:b/>
          <w:lang w:val="ru-RU"/>
        </w:rPr>
        <w:t xml:space="preserve"> этот</w:t>
      </w:r>
      <w:r w:rsidRPr="003D505F">
        <w:rPr>
          <w:b/>
          <w:lang w:val="ru-RU"/>
        </w:rPr>
        <w:t xml:space="preserve"> убыт</w:t>
      </w:r>
      <w:r>
        <w:rPr>
          <w:b/>
          <w:lang w:val="ru-RU"/>
        </w:rPr>
        <w:t>о</w:t>
      </w:r>
      <w:r w:rsidRPr="003D505F">
        <w:rPr>
          <w:b/>
          <w:lang w:val="ru-RU"/>
        </w:rPr>
        <w:t>к</w:t>
      </w:r>
      <w:r>
        <w:rPr>
          <w:b/>
          <w:lang w:val="ru-RU"/>
        </w:rPr>
        <w:t xml:space="preserve"> или его часть</w:t>
      </w:r>
      <w:r w:rsidRPr="003D505F">
        <w:rPr>
          <w:b/>
          <w:lang w:val="ru-RU"/>
        </w:rPr>
        <w:t xml:space="preserve"> не будут возмещены в одно</w:t>
      </w:r>
      <w:r>
        <w:rPr>
          <w:b/>
          <w:lang w:val="ru-RU"/>
        </w:rPr>
        <w:t>м</w:t>
      </w:r>
      <w:r w:rsidRPr="003D505F">
        <w:rPr>
          <w:b/>
          <w:lang w:val="ru-RU"/>
        </w:rPr>
        <w:t xml:space="preserve"> или </w:t>
      </w:r>
      <w:r>
        <w:rPr>
          <w:b/>
          <w:lang w:val="ru-RU"/>
        </w:rPr>
        <w:t>нескольких</w:t>
      </w:r>
      <w:r w:rsidRPr="003D505F">
        <w:rPr>
          <w:b/>
          <w:lang w:val="ru-RU"/>
        </w:rPr>
        <w:t xml:space="preserve"> будущих период</w:t>
      </w:r>
      <w:r>
        <w:rPr>
          <w:b/>
          <w:lang w:val="ru-RU"/>
        </w:rPr>
        <w:t>ах</w:t>
      </w:r>
      <w:r w:rsidRPr="003D505F">
        <w:rPr>
          <w:b/>
          <w:lang w:val="ru-RU"/>
        </w:rPr>
        <w:t xml:space="preserve">, организация должна незамедлительно реклассифицировать сумму, возмещение которой не ожидается, в состав прибыли или убытка в качестве реклассификационной корректировки (см. </w:t>
      </w:r>
      <w:r w:rsidRPr="00F437C0">
        <w:rPr>
          <w:b/>
          <w:lang w:val="ru-RU"/>
        </w:rPr>
        <w:t>МСФО (</w:t>
      </w:r>
      <w:r w:rsidRPr="00630B1C">
        <w:rPr>
          <w:b/>
          <w:lang w:val="ru-RU"/>
        </w:rPr>
        <w:t>IAS</w:t>
      </w:r>
      <w:r w:rsidRPr="00F437C0">
        <w:rPr>
          <w:b/>
          <w:lang w:val="ru-RU"/>
        </w:rPr>
        <w:t>) 1)</w:t>
      </w:r>
      <w:r w:rsidR="007D4BCC" w:rsidRPr="0049187C">
        <w:rPr>
          <w:b/>
          <w:lang w:val="ru-RU"/>
        </w:rPr>
        <w:t>.</w:t>
      </w:r>
      <w:bookmarkEnd w:id="104"/>
    </w:p>
    <w:p w:rsidR="00630B1C" w:rsidRPr="003D505F" w:rsidRDefault="007D4BCC" w:rsidP="00630B1C">
      <w:pPr>
        <w:pStyle w:val="IASBNormalnpara"/>
        <w:rPr>
          <w:lang w:val="ru-RU"/>
        </w:rPr>
      </w:pPr>
      <w:r w:rsidRPr="0049187C">
        <w:rPr>
          <w:lang w:val="ru-RU"/>
        </w:rPr>
        <w:t>6.5.12</w:t>
      </w:r>
      <w:r w:rsidRPr="0049187C">
        <w:rPr>
          <w:lang w:val="ru-RU"/>
        </w:rPr>
        <w:tab/>
      </w:r>
      <w:bookmarkStart w:id="114" w:name="F27186925"/>
      <w:bookmarkStart w:id="115" w:name="F27186890"/>
      <w:r w:rsidR="00630B1C">
        <w:rPr>
          <w:lang w:val="ru-RU"/>
        </w:rPr>
        <w:t>Когда</w:t>
      </w:r>
      <w:r w:rsidR="00630B1C" w:rsidRPr="003D505F">
        <w:rPr>
          <w:lang w:val="ru-RU"/>
        </w:rPr>
        <w:t xml:space="preserve"> организация прекращает учет хеджирования </w:t>
      </w:r>
      <w:r w:rsidR="00630B1C">
        <w:rPr>
          <w:lang w:val="ru-RU"/>
        </w:rPr>
        <w:t xml:space="preserve">применительно к </w:t>
      </w:r>
      <w:r w:rsidR="00630B1C" w:rsidRPr="003D505F">
        <w:rPr>
          <w:lang w:val="ru-RU"/>
        </w:rPr>
        <w:t>хеджировани</w:t>
      </w:r>
      <w:r w:rsidR="00630B1C">
        <w:rPr>
          <w:lang w:val="ru-RU"/>
        </w:rPr>
        <w:t>ю</w:t>
      </w:r>
      <w:r w:rsidR="00630B1C" w:rsidRPr="003D505F">
        <w:rPr>
          <w:lang w:val="ru-RU"/>
        </w:rPr>
        <w:t xml:space="preserve"> денежных потоков (см. пункты 6.5.6 и 6.5.7(</w:t>
      </w:r>
      <w:r w:rsidR="00630B1C">
        <w:t>b</w:t>
      </w:r>
      <w:r w:rsidR="00630B1C" w:rsidRPr="003D505F">
        <w:rPr>
          <w:lang w:val="ru-RU"/>
        </w:rPr>
        <w:t>)), она должна учитывать сумму, которая была накоплена в составе резерва хеджирования денежных потоков в соответствии с пунктом 6.5.11(а)</w:t>
      </w:r>
      <w:r w:rsidR="00630B1C">
        <w:rPr>
          <w:lang w:val="ru-RU"/>
        </w:rPr>
        <w:t>,</w:t>
      </w:r>
      <w:r w:rsidR="00630B1C" w:rsidRPr="003D505F">
        <w:rPr>
          <w:lang w:val="ru-RU"/>
        </w:rPr>
        <w:t xml:space="preserve"> следующим образом:</w:t>
      </w:r>
      <w:bookmarkEnd w:id="115"/>
    </w:p>
    <w:p w:rsidR="00630B1C" w:rsidRPr="003D505F" w:rsidRDefault="00630B1C" w:rsidP="00630B1C">
      <w:pPr>
        <w:pStyle w:val="IASBNormalnparaL1"/>
        <w:rPr>
          <w:lang w:val="ru-RU"/>
        </w:rPr>
      </w:pPr>
      <w:r w:rsidRPr="003D505F">
        <w:rPr>
          <w:lang w:val="ru-RU"/>
        </w:rPr>
        <w:t>(</w:t>
      </w:r>
      <w:r>
        <w:t>a</w:t>
      </w:r>
      <w:r w:rsidRPr="003D505F">
        <w:rPr>
          <w:lang w:val="ru-RU"/>
        </w:rPr>
        <w:t>)</w:t>
      </w:r>
      <w:r w:rsidRPr="003D505F">
        <w:rPr>
          <w:lang w:val="ru-RU"/>
        </w:rPr>
        <w:tab/>
      </w:r>
      <w:bookmarkStart w:id="116" w:name="F27186923"/>
      <w:r w:rsidR="00BE121A">
        <w:rPr>
          <w:lang w:val="ru-RU"/>
        </w:rPr>
        <w:t>е</w:t>
      </w:r>
      <w:r w:rsidRPr="003D505F">
        <w:rPr>
          <w:lang w:val="ru-RU"/>
        </w:rPr>
        <w:t>сли возникновение будущих денежных потоков</w:t>
      </w:r>
      <w:r>
        <w:rPr>
          <w:lang w:val="ru-RU"/>
        </w:rPr>
        <w:t>, являющихся объектом хеджирования,</w:t>
      </w:r>
      <w:r w:rsidRPr="003D505F">
        <w:rPr>
          <w:lang w:val="ru-RU"/>
        </w:rPr>
        <w:t xml:space="preserve"> по-прежнему ожидается, то </w:t>
      </w:r>
      <w:r>
        <w:rPr>
          <w:lang w:val="ru-RU"/>
        </w:rPr>
        <w:t>указанная</w:t>
      </w:r>
      <w:r w:rsidRPr="003D505F">
        <w:rPr>
          <w:lang w:val="ru-RU"/>
        </w:rPr>
        <w:t xml:space="preserve"> сумма должна оставаться в составе резерва хеджирования денежных потоков до момента возникновения </w:t>
      </w:r>
      <w:r>
        <w:rPr>
          <w:lang w:val="ru-RU"/>
        </w:rPr>
        <w:t>соответствующих</w:t>
      </w:r>
      <w:r w:rsidRPr="003D505F">
        <w:rPr>
          <w:lang w:val="ru-RU"/>
        </w:rPr>
        <w:t xml:space="preserve"> будущих денежных потоков либо до момента</w:t>
      </w:r>
      <w:r>
        <w:rPr>
          <w:lang w:val="ru-RU"/>
        </w:rPr>
        <w:t>, требующего</w:t>
      </w:r>
      <w:r w:rsidRPr="003D505F">
        <w:rPr>
          <w:lang w:val="ru-RU"/>
        </w:rPr>
        <w:t xml:space="preserve"> применения пункта 6.5.11(</w:t>
      </w:r>
      <w:r>
        <w:t>d</w:t>
      </w:r>
      <w:r w:rsidRPr="003D505F">
        <w:rPr>
          <w:lang w:val="ru-RU"/>
        </w:rPr>
        <w:t>)(</w:t>
      </w:r>
      <w:r>
        <w:t>iii</w:t>
      </w:r>
      <w:r w:rsidRPr="003D505F">
        <w:rPr>
          <w:lang w:val="ru-RU"/>
        </w:rPr>
        <w:t xml:space="preserve">). В </w:t>
      </w:r>
      <w:r>
        <w:rPr>
          <w:lang w:val="ru-RU"/>
        </w:rPr>
        <w:t>момент</w:t>
      </w:r>
      <w:r w:rsidRPr="003D505F">
        <w:rPr>
          <w:lang w:val="ru-RU"/>
        </w:rPr>
        <w:t xml:space="preserve"> возникновения будущих денежных потоков </w:t>
      </w:r>
      <w:r>
        <w:rPr>
          <w:lang w:val="ru-RU"/>
        </w:rPr>
        <w:t xml:space="preserve">подлежит </w:t>
      </w:r>
      <w:r w:rsidRPr="003D505F">
        <w:rPr>
          <w:lang w:val="ru-RU"/>
        </w:rPr>
        <w:t>примен</w:t>
      </w:r>
      <w:r>
        <w:rPr>
          <w:lang w:val="ru-RU"/>
        </w:rPr>
        <w:t>ению</w:t>
      </w:r>
      <w:r w:rsidRPr="003D505F">
        <w:rPr>
          <w:lang w:val="ru-RU"/>
        </w:rPr>
        <w:t xml:space="preserve"> пункт 6.5.11(</w:t>
      </w:r>
      <w:r>
        <w:t>d</w:t>
      </w:r>
      <w:r w:rsidRPr="003D505F">
        <w:rPr>
          <w:lang w:val="ru-RU"/>
        </w:rPr>
        <w:t>)</w:t>
      </w:r>
      <w:bookmarkEnd w:id="116"/>
      <w:r w:rsidR="00BE121A">
        <w:rPr>
          <w:lang w:val="ru-RU"/>
        </w:rPr>
        <w:t>;</w:t>
      </w:r>
    </w:p>
    <w:p w:rsidR="007D4BCC" w:rsidRPr="0049187C" w:rsidRDefault="00630B1C" w:rsidP="00630B1C">
      <w:pPr>
        <w:pStyle w:val="IASBNormalnparaL1"/>
        <w:rPr>
          <w:lang w:val="ru-RU"/>
        </w:rPr>
      </w:pPr>
      <w:r w:rsidRPr="003D505F">
        <w:rPr>
          <w:lang w:val="ru-RU"/>
        </w:rPr>
        <w:t>(</w:t>
      </w:r>
      <w:r w:rsidRPr="00630B1C">
        <w:rPr>
          <w:lang w:val="ru-RU"/>
        </w:rPr>
        <w:t>b</w:t>
      </w:r>
      <w:r w:rsidRPr="003D505F">
        <w:rPr>
          <w:lang w:val="ru-RU"/>
        </w:rPr>
        <w:t>)</w:t>
      </w:r>
      <w:r w:rsidRPr="003D505F">
        <w:rPr>
          <w:lang w:val="ru-RU"/>
        </w:rPr>
        <w:tab/>
      </w:r>
      <w:r w:rsidR="00BE121A">
        <w:rPr>
          <w:lang w:val="ru-RU"/>
        </w:rPr>
        <w:t>е</w:t>
      </w:r>
      <w:r w:rsidRPr="003D505F">
        <w:rPr>
          <w:lang w:val="ru-RU"/>
        </w:rPr>
        <w:t>сли возникновение будущих денежных потоков</w:t>
      </w:r>
      <w:r>
        <w:rPr>
          <w:lang w:val="ru-RU"/>
        </w:rPr>
        <w:t>, являющихся объектом хеджирования,</w:t>
      </w:r>
      <w:r w:rsidRPr="003D505F">
        <w:rPr>
          <w:lang w:val="ru-RU"/>
        </w:rPr>
        <w:t xml:space="preserve"> более не ожидается, то </w:t>
      </w:r>
      <w:r>
        <w:rPr>
          <w:lang w:val="ru-RU"/>
        </w:rPr>
        <w:t>указанная</w:t>
      </w:r>
      <w:r w:rsidRPr="003D505F">
        <w:rPr>
          <w:lang w:val="ru-RU"/>
        </w:rPr>
        <w:t xml:space="preserve"> сумма должна быть немедленно реклассифицирована из состава резерва хеджирования денежных потоков в состав прибыли или убытка в качестве реклассификационной корректировки (см. </w:t>
      </w:r>
      <w:r w:rsidRPr="0041746F">
        <w:rPr>
          <w:lang w:val="ru-RU"/>
        </w:rPr>
        <w:t>МСФО (</w:t>
      </w:r>
      <w:r w:rsidRPr="00630B1C">
        <w:rPr>
          <w:lang w:val="ru-RU"/>
        </w:rPr>
        <w:t>IAS</w:t>
      </w:r>
      <w:r w:rsidRPr="0041746F">
        <w:rPr>
          <w:lang w:val="ru-RU"/>
        </w:rPr>
        <w:t xml:space="preserve">) 1). </w:t>
      </w:r>
      <w:r w:rsidRPr="008C06DE">
        <w:rPr>
          <w:lang w:val="ru-RU"/>
        </w:rPr>
        <w:t>Хеджируемый будущий денежный поток, возникновение которого более не является высоковероятным, может все еще ожидаться</w:t>
      </w:r>
      <w:r w:rsidR="007D4BCC" w:rsidRPr="0049187C">
        <w:rPr>
          <w:lang w:val="ru-RU"/>
        </w:rPr>
        <w:t>.</w:t>
      </w:r>
      <w:bookmarkEnd w:id="114"/>
    </w:p>
    <w:p w:rsidR="007D4BCC" w:rsidRPr="0049187C" w:rsidRDefault="007D4BCC" w:rsidP="007D4BCC">
      <w:pPr>
        <w:pStyle w:val="IASBSectionTitle2Ind"/>
        <w:rPr>
          <w:lang w:val="ru-RU"/>
        </w:rPr>
      </w:pPr>
      <w:bookmarkStart w:id="117" w:name="F27186927"/>
      <w:r w:rsidRPr="0049187C">
        <w:rPr>
          <w:lang w:val="ru-RU"/>
        </w:rPr>
        <w:t>Хеджирование чистой инвестиции в иностранное подразделение</w:t>
      </w:r>
      <w:bookmarkEnd w:id="117"/>
    </w:p>
    <w:p w:rsidR="00630B1C" w:rsidRPr="0041746F" w:rsidRDefault="007D4BCC" w:rsidP="00630B1C">
      <w:pPr>
        <w:pStyle w:val="IASBNormalnpara"/>
        <w:rPr>
          <w:b/>
          <w:lang w:val="ru-RU"/>
        </w:rPr>
      </w:pPr>
      <w:r w:rsidRPr="0049187C">
        <w:rPr>
          <w:b/>
          <w:lang w:val="ru-RU"/>
        </w:rPr>
        <w:t>6.5.13</w:t>
      </w:r>
      <w:r w:rsidRPr="0049187C">
        <w:rPr>
          <w:b/>
          <w:lang w:val="ru-RU"/>
        </w:rPr>
        <w:tab/>
      </w:r>
      <w:bookmarkStart w:id="118" w:name="F27186984"/>
      <w:bookmarkStart w:id="119" w:name="F27186928"/>
      <w:r w:rsidR="00630B1C" w:rsidRPr="003D505F">
        <w:rPr>
          <w:b/>
          <w:lang w:val="ru-RU"/>
        </w:rPr>
        <w:t xml:space="preserve">Хеджирование чистой инвестиции в иностранное подразделение, включая хеджирование монетарной статьи, учитываемой как часть чистой инвестиции (см. </w:t>
      </w:r>
      <w:r w:rsidR="00630B1C" w:rsidRPr="0041746F">
        <w:rPr>
          <w:b/>
          <w:lang w:val="ru-RU"/>
        </w:rPr>
        <w:t>МСФО (</w:t>
      </w:r>
      <w:r w:rsidR="00630B1C">
        <w:rPr>
          <w:b/>
        </w:rPr>
        <w:t>IAS</w:t>
      </w:r>
      <w:r w:rsidR="00630B1C" w:rsidRPr="0041746F">
        <w:rPr>
          <w:b/>
          <w:lang w:val="ru-RU"/>
        </w:rPr>
        <w:t xml:space="preserve">) 21), должно учитываться аналогично хеджированию денежных потоков: </w:t>
      </w:r>
      <w:bookmarkEnd w:id="119"/>
    </w:p>
    <w:p w:rsidR="00630B1C" w:rsidRPr="003D505F" w:rsidRDefault="00630B1C" w:rsidP="00630B1C">
      <w:pPr>
        <w:pStyle w:val="IASBNormalnparaL1"/>
        <w:rPr>
          <w:b/>
          <w:lang w:val="ru-RU"/>
        </w:rPr>
      </w:pPr>
      <w:r w:rsidRPr="003D505F">
        <w:rPr>
          <w:b/>
          <w:lang w:val="ru-RU"/>
        </w:rPr>
        <w:t>(</w:t>
      </w:r>
      <w:r>
        <w:rPr>
          <w:b/>
        </w:rPr>
        <w:t>a</w:t>
      </w:r>
      <w:r w:rsidRPr="003D505F">
        <w:rPr>
          <w:b/>
          <w:lang w:val="ru-RU"/>
        </w:rPr>
        <w:t>)</w:t>
      </w:r>
      <w:r w:rsidRPr="003D505F">
        <w:rPr>
          <w:lang w:val="ru-RU"/>
        </w:rPr>
        <w:tab/>
      </w:r>
      <w:bookmarkStart w:id="120" w:name="F27186931"/>
      <w:r w:rsidRPr="003D505F">
        <w:rPr>
          <w:b/>
          <w:lang w:val="ru-RU"/>
        </w:rPr>
        <w:t>та часть прибыли или убытка по инструменту хеджирования, которая определяется как эффективное хеджирование, должна признаваться в составе прочего совокупного дохода (см. пункт 6.5.11); и</w:t>
      </w:r>
      <w:bookmarkEnd w:id="120"/>
    </w:p>
    <w:p w:rsidR="00630B1C" w:rsidRPr="003D505F" w:rsidRDefault="00630B1C" w:rsidP="00630B1C">
      <w:pPr>
        <w:pStyle w:val="IASBNormalnparaL1"/>
        <w:rPr>
          <w:b/>
          <w:lang w:val="ru-RU"/>
        </w:rPr>
      </w:pPr>
      <w:r w:rsidRPr="003D505F">
        <w:rPr>
          <w:b/>
          <w:lang w:val="ru-RU"/>
        </w:rPr>
        <w:t>(</w:t>
      </w:r>
      <w:r>
        <w:rPr>
          <w:b/>
        </w:rPr>
        <w:t>b</w:t>
      </w:r>
      <w:r w:rsidRPr="003D505F">
        <w:rPr>
          <w:b/>
          <w:lang w:val="ru-RU"/>
        </w:rPr>
        <w:t>)</w:t>
      </w:r>
      <w:r w:rsidRPr="003D505F">
        <w:rPr>
          <w:lang w:val="ru-RU"/>
        </w:rPr>
        <w:tab/>
      </w:r>
      <w:bookmarkStart w:id="121" w:name="F27186983"/>
      <w:r w:rsidRPr="003D505F">
        <w:rPr>
          <w:b/>
          <w:lang w:val="ru-RU"/>
        </w:rPr>
        <w:t>неэффективная часть должна признаваться в составе прибыли или убытка.</w:t>
      </w:r>
      <w:bookmarkEnd w:id="121"/>
    </w:p>
    <w:p w:rsidR="007D4BCC" w:rsidRPr="0049187C" w:rsidRDefault="00630B1C" w:rsidP="00630B1C">
      <w:pPr>
        <w:pStyle w:val="IASBNormalnpara"/>
        <w:rPr>
          <w:b/>
          <w:lang w:val="ru-RU"/>
        </w:rPr>
      </w:pPr>
      <w:r w:rsidRPr="003D505F">
        <w:rPr>
          <w:b/>
          <w:lang w:val="ru-RU"/>
        </w:rPr>
        <w:t>6.5.14</w:t>
      </w:r>
      <w:r w:rsidRPr="003D505F">
        <w:rPr>
          <w:lang w:val="ru-RU"/>
        </w:rPr>
        <w:tab/>
      </w:r>
      <w:r>
        <w:rPr>
          <w:b/>
          <w:lang w:val="ru-RU"/>
        </w:rPr>
        <w:t>Общая величина</w:t>
      </w:r>
      <w:r w:rsidRPr="003D505F">
        <w:rPr>
          <w:b/>
          <w:lang w:val="ru-RU"/>
        </w:rPr>
        <w:t xml:space="preserve"> прибыл</w:t>
      </w:r>
      <w:r>
        <w:rPr>
          <w:b/>
          <w:lang w:val="ru-RU"/>
        </w:rPr>
        <w:t>и</w:t>
      </w:r>
      <w:r w:rsidRPr="003D505F">
        <w:rPr>
          <w:b/>
          <w:lang w:val="ru-RU"/>
        </w:rPr>
        <w:t xml:space="preserve"> или убытк</w:t>
      </w:r>
      <w:r>
        <w:rPr>
          <w:b/>
          <w:lang w:val="ru-RU"/>
        </w:rPr>
        <w:t>а</w:t>
      </w:r>
      <w:r w:rsidRPr="003D505F">
        <w:rPr>
          <w:b/>
          <w:lang w:val="ru-RU"/>
        </w:rPr>
        <w:t xml:space="preserve"> по инструменту хеджирования, относящ</w:t>
      </w:r>
      <w:r>
        <w:rPr>
          <w:b/>
          <w:lang w:val="ru-RU"/>
        </w:rPr>
        <w:t>ая</w:t>
      </w:r>
      <w:r w:rsidRPr="003D505F">
        <w:rPr>
          <w:b/>
          <w:lang w:val="ru-RU"/>
        </w:rPr>
        <w:t xml:space="preserve">ся к эффективной части хеджирования, </w:t>
      </w:r>
      <w:r>
        <w:rPr>
          <w:b/>
          <w:lang w:val="ru-RU"/>
        </w:rPr>
        <w:t>которая была накоплена</w:t>
      </w:r>
      <w:r w:rsidRPr="003D505F">
        <w:rPr>
          <w:b/>
          <w:lang w:val="ru-RU"/>
        </w:rPr>
        <w:t xml:space="preserve"> в составе резерва по пересчету иностранной валюты, должн</w:t>
      </w:r>
      <w:r>
        <w:rPr>
          <w:b/>
          <w:lang w:val="ru-RU"/>
        </w:rPr>
        <w:t>а</w:t>
      </w:r>
      <w:r w:rsidRPr="003D505F">
        <w:rPr>
          <w:b/>
          <w:lang w:val="ru-RU"/>
        </w:rPr>
        <w:t xml:space="preserve"> быть реклассифицирован</w:t>
      </w:r>
      <w:r>
        <w:rPr>
          <w:b/>
          <w:lang w:val="ru-RU"/>
        </w:rPr>
        <w:t>а</w:t>
      </w:r>
      <w:r w:rsidRPr="003D505F">
        <w:rPr>
          <w:b/>
          <w:lang w:val="ru-RU"/>
        </w:rPr>
        <w:t xml:space="preserve"> из </w:t>
      </w:r>
      <w:r>
        <w:rPr>
          <w:b/>
          <w:lang w:val="ru-RU"/>
        </w:rPr>
        <w:t xml:space="preserve">состава </w:t>
      </w:r>
      <w:r w:rsidRPr="003D505F">
        <w:rPr>
          <w:b/>
          <w:lang w:val="ru-RU"/>
        </w:rPr>
        <w:t>собственного капитала в состав прибыли или убытка в качестве реклассифика</w:t>
      </w:r>
      <w:r w:rsidR="00BE121A">
        <w:rPr>
          <w:b/>
          <w:lang w:val="ru-RU"/>
        </w:rPr>
        <w:t>ционной корректировки (см. МСФО </w:t>
      </w:r>
      <w:r w:rsidRPr="003D505F">
        <w:rPr>
          <w:b/>
          <w:lang w:val="ru-RU"/>
        </w:rPr>
        <w:t>(</w:t>
      </w:r>
      <w:r>
        <w:rPr>
          <w:b/>
        </w:rPr>
        <w:t>IAS</w:t>
      </w:r>
      <w:r w:rsidRPr="003D505F">
        <w:rPr>
          <w:b/>
          <w:lang w:val="ru-RU"/>
        </w:rPr>
        <w:t>) 1) в соответствии с пунктами 48–49 МСФО (</w:t>
      </w:r>
      <w:r>
        <w:rPr>
          <w:b/>
        </w:rPr>
        <w:t>IAS</w:t>
      </w:r>
      <w:r w:rsidRPr="003D505F">
        <w:rPr>
          <w:b/>
          <w:lang w:val="ru-RU"/>
        </w:rPr>
        <w:t xml:space="preserve">) 21 при выбытии или частичном выбытии </w:t>
      </w:r>
      <w:r>
        <w:rPr>
          <w:b/>
          <w:lang w:val="ru-RU"/>
        </w:rPr>
        <w:t xml:space="preserve">соответствующего </w:t>
      </w:r>
      <w:r w:rsidRPr="003D505F">
        <w:rPr>
          <w:b/>
          <w:lang w:val="ru-RU"/>
        </w:rPr>
        <w:t>иностранного подразделения</w:t>
      </w:r>
      <w:r w:rsidR="007D4BCC" w:rsidRPr="0049187C">
        <w:rPr>
          <w:b/>
          <w:lang w:val="ru-RU"/>
        </w:rPr>
        <w:t>.</w:t>
      </w:r>
      <w:bookmarkEnd w:id="118"/>
    </w:p>
    <w:p w:rsidR="007D4BCC" w:rsidRPr="0049187C" w:rsidRDefault="00E1095F" w:rsidP="007D4BCC">
      <w:pPr>
        <w:pStyle w:val="IASBSectionTitle2Ind"/>
        <w:rPr>
          <w:lang w:val="ru-RU"/>
        </w:rPr>
      </w:pPr>
      <w:bookmarkStart w:id="122" w:name="F27186986"/>
      <w:r>
        <w:rPr>
          <w:lang w:val="ru-RU"/>
        </w:rPr>
        <w:t>Учет временн</w:t>
      </w:r>
      <w:r w:rsidRPr="00B44571">
        <w:rPr>
          <w:lang w:val="ru-RU"/>
        </w:rPr>
        <w:t>ó</w:t>
      </w:r>
      <w:r w:rsidR="007D4BCC" w:rsidRPr="0049187C">
        <w:rPr>
          <w:lang w:val="ru-RU"/>
        </w:rPr>
        <w:t>й стоимости опционов</w:t>
      </w:r>
      <w:bookmarkEnd w:id="122"/>
    </w:p>
    <w:p w:rsidR="00B87955" w:rsidRPr="003D505F" w:rsidRDefault="007D4BCC" w:rsidP="00B87955">
      <w:pPr>
        <w:pStyle w:val="IASBNormalnpara"/>
        <w:rPr>
          <w:lang w:val="ru-RU"/>
        </w:rPr>
      </w:pPr>
      <w:r w:rsidRPr="0049187C">
        <w:rPr>
          <w:lang w:val="ru-RU"/>
        </w:rPr>
        <w:t>6.5.15</w:t>
      </w:r>
      <w:r w:rsidRPr="0049187C">
        <w:rPr>
          <w:lang w:val="ru-RU"/>
        </w:rPr>
        <w:tab/>
      </w:r>
      <w:bookmarkStart w:id="123" w:name="F27187056"/>
      <w:bookmarkStart w:id="124" w:name="F27186987"/>
      <w:r w:rsidR="00B87955">
        <w:rPr>
          <w:lang w:val="ru-RU"/>
        </w:rPr>
        <w:t>В случаях, когда</w:t>
      </w:r>
      <w:r w:rsidR="00B87955" w:rsidRPr="003D505F">
        <w:rPr>
          <w:lang w:val="ru-RU"/>
        </w:rPr>
        <w:t xml:space="preserve"> организация </w:t>
      </w:r>
      <w:r w:rsidR="00B87955">
        <w:rPr>
          <w:lang w:val="ru-RU"/>
        </w:rPr>
        <w:t>раз</w:t>
      </w:r>
      <w:r w:rsidR="00B87955" w:rsidRPr="003D505F">
        <w:rPr>
          <w:lang w:val="ru-RU"/>
        </w:rPr>
        <w:t>деляет внутреннюю стоимость и временн</w:t>
      </w:r>
      <w:r w:rsidR="00B87955">
        <w:rPr>
          <w:lang w:val="ru-RU"/>
        </w:rPr>
        <w:t>ý</w:t>
      </w:r>
      <w:r w:rsidR="00B87955" w:rsidRPr="003D505F">
        <w:rPr>
          <w:lang w:val="ru-RU"/>
        </w:rPr>
        <w:t xml:space="preserve">ю стоимость </w:t>
      </w:r>
      <w:r w:rsidR="00B87955" w:rsidRPr="0095563D">
        <w:rPr>
          <w:lang w:val="ru-RU"/>
        </w:rPr>
        <w:t>договора опциона</w:t>
      </w:r>
      <w:r w:rsidR="00B87955" w:rsidRPr="003D505F">
        <w:rPr>
          <w:lang w:val="ru-RU"/>
        </w:rPr>
        <w:t xml:space="preserve"> и </w:t>
      </w:r>
      <w:r w:rsidR="00B87955" w:rsidRPr="0005629A">
        <w:rPr>
          <w:lang w:val="ru-RU"/>
        </w:rPr>
        <w:t>по собственному усмотрению определяет</w:t>
      </w:r>
      <w:r w:rsidR="00B87955" w:rsidRPr="003D505F">
        <w:rPr>
          <w:lang w:val="ru-RU"/>
        </w:rPr>
        <w:t xml:space="preserve"> в качестве инструмента хеджирования изменение только внутренней стоимости </w:t>
      </w:r>
      <w:r w:rsidR="00B87955">
        <w:rPr>
          <w:lang w:val="ru-RU"/>
        </w:rPr>
        <w:t xml:space="preserve">данного </w:t>
      </w:r>
      <w:r w:rsidR="00B87955" w:rsidRPr="003D505F">
        <w:rPr>
          <w:lang w:val="ru-RU"/>
        </w:rPr>
        <w:t>опциона (см. пункт 6.2.4(а)), она должна учитывать временн</w:t>
      </w:r>
      <w:r w:rsidR="00B87955" w:rsidRPr="009419FF">
        <w:rPr>
          <w:lang w:val="ru-RU"/>
        </w:rPr>
        <w:t>ý</w:t>
      </w:r>
      <w:r w:rsidR="00B87955" w:rsidRPr="003D505F">
        <w:rPr>
          <w:lang w:val="ru-RU"/>
        </w:rPr>
        <w:t xml:space="preserve">ю стоимость опциона следующим образом (см. пункты </w:t>
      </w:r>
      <w:r w:rsidR="00B87955">
        <w:t>B</w:t>
      </w:r>
      <w:r w:rsidR="00B87955" w:rsidRPr="003D505F">
        <w:rPr>
          <w:lang w:val="ru-RU"/>
        </w:rPr>
        <w:t>6.5.29–</w:t>
      </w:r>
      <w:r w:rsidR="00B87955">
        <w:t>B</w:t>
      </w:r>
      <w:r w:rsidR="00B87955" w:rsidRPr="003D505F">
        <w:rPr>
          <w:lang w:val="ru-RU"/>
        </w:rPr>
        <w:t>6.5.33):</w:t>
      </w:r>
      <w:bookmarkEnd w:id="124"/>
    </w:p>
    <w:p w:rsidR="00B87955" w:rsidRPr="003D505F" w:rsidRDefault="00B87955" w:rsidP="00B87955">
      <w:pPr>
        <w:pStyle w:val="IASBNormalnparaL1"/>
        <w:rPr>
          <w:lang w:val="ru-RU"/>
        </w:rPr>
      </w:pPr>
      <w:r w:rsidRPr="003D505F">
        <w:rPr>
          <w:lang w:val="ru-RU"/>
        </w:rPr>
        <w:t>(</w:t>
      </w:r>
      <w:r>
        <w:t>a</w:t>
      </w:r>
      <w:r w:rsidRPr="003D505F">
        <w:rPr>
          <w:lang w:val="ru-RU"/>
        </w:rPr>
        <w:t>)</w:t>
      </w:r>
      <w:r w:rsidRPr="003D505F">
        <w:rPr>
          <w:lang w:val="ru-RU"/>
        </w:rPr>
        <w:tab/>
      </w:r>
      <w:bookmarkStart w:id="125" w:name="F27186990"/>
      <w:r>
        <w:rPr>
          <w:lang w:val="ru-RU"/>
        </w:rPr>
        <w:t>О</w:t>
      </w:r>
      <w:r w:rsidRPr="003D505F">
        <w:rPr>
          <w:lang w:val="ru-RU"/>
        </w:rPr>
        <w:t>рганизация должна раз</w:t>
      </w:r>
      <w:r>
        <w:rPr>
          <w:lang w:val="ru-RU"/>
        </w:rPr>
        <w:t>личать</w:t>
      </w:r>
      <w:r w:rsidRPr="003D505F">
        <w:rPr>
          <w:lang w:val="ru-RU"/>
        </w:rPr>
        <w:t xml:space="preserve"> временн</w:t>
      </w:r>
      <w:r>
        <w:rPr>
          <w:lang w:val="ru-RU"/>
        </w:rPr>
        <w:t>ý</w:t>
      </w:r>
      <w:r w:rsidRPr="003D505F">
        <w:rPr>
          <w:lang w:val="ru-RU"/>
        </w:rPr>
        <w:t xml:space="preserve">ю стоимость опционов </w:t>
      </w:r>
      <w:r>
        <w:rPr>
          <w:lang w:val="ru-RU"/>
        </w:rPr>
        <w:t>в зависимости от вида</w:t>
      </w:r>
      <w:r w:rsidRPr="003D505F">
        <w:rPr>
          <w:lang w:val="ru-RU"/>
        </w:rPr>
        <w:t xml:space="preserve"> объекта хеджирования, который хеджируется посредс</w:t>
      </w:r>
      <w:r w:rsidR="00BE121A">
        <w:rPr>
          <w:lang w:val="ru-RU"/>
        </w:rPr>
        <w:t>твом данного опциона (см. пункт </w:t>
      </w:r>
      <w:r w:rsidRPr="003D505F">
        <w:rPr>
          <w:lang w:val="ru-RU"/>
        </w:rPr>
        <w:t>В6.5.29):</w:t>
      </w:r>
      <w:bookmarkEnd w:id="125"/>
    </w:p>
    <w:p w:rsidR="00B87955" w:rsidRPr="003D505F" w:rsidRDefault="00B87955" w:rsidP="00B87955">
      <w:pPr>
        <w:pStyle w:val="IASBNormalnparaL2"/>
        <w:rPr>
          <w:lang w:val="ru-RU"/>
        </w:rPr>
      </w:pPr>
      <w:r w:rsidRPr="003D505F">
        <w:rPr>
          <w:lang w:val="ru-RU"/>
        </w:rPr>
        <w:t>(</w:t>
      </w:r>
      <w:r>
        <w:t>i</w:t>
      </w:r>
      <w:r w:rsidRPr="003D505F">
        <w:rPr>
          <w:lang w:val="ru-RU"/>
        </w:rPr>
        <w:t>)</w:t>
      </w:r>
      <w:r w:rsidRPr="003D505F">
        <w:rPr>
          <w:lang w:val="ru-RU"/>
        </w:rPr>
        <w:tab/>
      </w:r>
      <w:bookmarkStart w:id="126" w:name="F27187043"/>
      <w:r w:rsidRPr="003D505F">
        <w:rPr>
          <w:lang w:val="ru-RU"/>
        </w:rPr>
        <w:t xml:space="preserve">объект хеджирования, связанный с </w:t>
      </w:r>
      <w:r>
        <w:rPr>
          <w:lang w:val="ru-RU"/>
        </w:rPr>
        <w:t xml:space="preserve">определенной </w:t>
      </w:r>
      <w:r w:rsidRPr="003D505F">
        <w:rPr>
          <w:lang w:val="ru-RU"/>
        </w:rPr>
        <w:t>операцией; или</w:t>
      </w:r>
      <w:bookmarkEnd w:id="126"/>
    </w:p>
    <w:p w:rsidR="00B87955" w:rsidRPr="003D505F" w:rsidRDefault="00B87955" w:rsidP="00B87955">
      <w:pPr>
        <w:pStyle w:val="IASBNormalnparaL2"/>
        <w:rPr>
          <w:lang w:val="ru-RU"/>
        </w:rPr>
      </w:pPr>
      <w:r w:rsidRPr="003D505F">
        <w:rPr>
          <w:lang w:val="ru-RU"/>
        </w:rPr>
        <w:t>(</w:t>
      </w:r>
      <w:r>
        <w:t>ii</w:t>
      </w:r>
      <w:r w:rsidRPr="003D505F">
        <w:rPr>
          <w:lang w:val="ru-RU"/>
        </w:rPr>
        <w:t>)</w:t>
      </w:r>
      <w:r w:rsidRPr="003D505F">
        <w:rPr>
          <w:lang w:val="ru-RU"/>
        </w:rPr>
        <w:tab/>
      </w:r>
      <w:bookmarkStart w:id="127" w:name="F27187045"/>
      <w:r w:rsidRPr="003D505F">
        <w:rPr>
          <w:lang w:val="ru-RU"/>
        </w:rPr>
        <w:t xml:space="preserve">объект хеджирования, связанный с </w:t>
      </w:r>
      <w:r>
        <w:rPr>
          <w:lang w:val="ru-RU"/>
        </w:rPr>
        <w:t xml:space="preserve">определенным интервалом </w:t>
      </w:r>
      <w:r w:rsidRPr="003D505F">
        <w:rPr>
          <w:lang w:val="ru-RU"/>
        </w:rPr>
        <w:t>времени.</w:t>
      </w:r>
      <w:bookmarkEnd w:id="127"/>
    </w:p>
    <w:p w:rsidR="00B87955" w:rsidRPr="003D505F" w:rsidRDefault="00B87955" w:rsidP="00B87955">
      <w:pPr>
        <w:pStyle w:val="IASBNormalnparaL1"/>
        <w:rPr>
          <w:lang w:val="ru-RU"/>
        </w:rPr>
      </w:pPr>
      <w:r w:rsidRPr="003D505F">
        <w:rPr>
          <w:lang w:val="ru-RU"/>
        </w:rPr>
        <w:t>(</w:t>
      </w:r>
      <w:r>
        <w:t>b</w:t>
      </w:r>
      <w:r w:rsidRPr="003D505F">
        <w:rPr>
          <w:lang w:val="ru-RU"/>
        </w:rPr>
        <w:t>)</w:t>
      </w:r>
      <w:r w:rsidRPr="003D505F">
        <w:rPr>
          <w:lang w:val="ru-RU"/>
        </w:rPr>
        <w:tab/>
      </w:r>
      <w:bookmarkStart w:id="128" w:name="F27187047"/>
      <w:r>
        <w:rPr>
          <w:lang w:val="ru-RU"/>
        </w:rPr>
        <w:t>И</w:t>
      </w:r>
      <w:r w:rsidRPr="003D505F">
        <w:rPr>
          <w:lang w:val="ru-RU"/>
        </w:rPr>
        <w:t xml:space="preserve">зменение справедливой стоимости </w:t>
      </w:r>
      <w:r>
        <w:rPr>
          <w:lang w:val="ru-RU"/>
        </w:rPr>
        <w:t xml:space="preserve">в части </w:t>
      </w:r>
      <w:r w:rsidRPr="003D505F">
        <w:rPr>
          <w:lang w:val="ru-RU"/>
        </w:rPr>
        <w:t>временн</w:t>
      </w:r>
      <w:r w:rsidRPr="00B44571">
        <w:rPr>
          <w:lang w:val="ru-RU"/>
        </w:rPr>
        <w:t>ó</w:t>
      </w:r>
      <w:r w:rsidRPr="003D505F">
        <w:rPr>
          <w:lang w:val="ru-RU"/>
        </w:rPr>
        <w:t xml:space="preserve">й стоимости опциона, посредством которого хеджируется объект хеджирования, связанный с </w:t>
      </w:r>
      <w:r>
        <w:rPr>
          <w:lang w:val="ru-RU"/>
        </w:rPr>
        <w:t xml:space="preserve">определенной </w:t>
      </w:r>
      <w:r w:rsidRPr="003D505F">
        <w:rPr>
          <w:lang w:val="ru-RU"/>
        </w:rPr>
        <w:t xml:space="preserve">операцией, </w:t>
      </w:r>
      <w:r>
        <w:rPr>
          <w:lang w:val="ru-RU"/>
        </w:rPr>
        <w:t xml:space="preserve">следует </w:t>
      </w:r>
      <w:r w:rsidRPr="003D505F">
        <w:rPr>
          <w:lang w:val="ru-RU"/>
        </w:rPr>
        <w:t xml:space="preserve">признавать в составе прочего совокупного дохода в той мере, в которой оно относится к </w:t>
      </w:r>
      <w:r>
        <w:rPr>
          <w:lang w:val="ru-RU"/>
        </w:rPr>
        <w:t xml:space="preserve">данному </w:t>
      </w:r>
      <w:r w:rsidRPr="003D505F">
        <w:rPr>
          <w:lang w:val="ru-RU"/>
        </w:rPr>
        <w:t xml:space="preserve">объекту хеджирования, и </w:t>
      </w:r>
      <w:r>
        <w:rPr>
          <w:lang w:val="ru-RU"/>
        </w:rPr>
        <w:t xml:space="preserve">отражать </w:t>
      </w:r>
      <w:r w:rsidRPr="003D505F">
        <w:rPr>
          <w:lang w:val="ru-RU"/>
        </w:rPr>
        <w:t>нак</w:t>
      </w:r>
      <w:r>
        <w:rPr>
          <w:lang w:val="ru-RU"/>
        </w:rPr>
        <w:t>опительным</w:t>
      </w:r>
      <w:r w:rsidRPr="003D505F">
        <w:rPr>
          <w:lang w:val="ru-RU"/>
        </w:rPr>
        <w:t xml:space="preserve"> </w:t>
      </w:r>
      <w:r>
        <w:rPr>
          <w:lang w:val="ru-RU"/>
        </w:rPr>
        <w:t xml:space="preserve">итогом в </w:t>
      </w:r>
      <w:r w:rsidRPr="003D505F">
        <w:rPr>
          <w:lang w:val="ru-RU"/>
        </w:rPr>
        <w:t>отдельн</w:t>
      </w:r>
      <w:r>
        <w:rPr>
          <w:lang w:val="ru-RU"/>
        </w:rPr>
        <w:t>ом</w:t>
      </w:r>
      <w:r w:rsidRPr="003D505F">
        <w:rPr>
          <w:lang w:val="ru-RU"/>
        </w:rPr>
        <w:t xml:space="preserve"> компонент</w:t>
      </w:r>
      <w:r>
        <w:rPr>
          <w:lang w:val="ru-RU"/>
        </w:rPr>
        <w:t>е</w:t>
      </w:r>
      <w:r w:rsidRPr="003D505F">
        <w:rPr>
          <w:lang w:val="ru-RU"/>
        </w:rPr>
        <w:t xml:space="preserve"> собственного капитала. </w:t>
      </w:r>
      <w:r>
        <w:rPr>
          <w:lang w:val="ru-RU"/>
        </w:rPr>
        <w:t>Общая сумма</w:t>
      </w:r>
      <w:r w:rsidRPr="003D505F">
        <w:rPr>
          <w:lang w:val="ru-RU"/>
        </w:rPr>
        <w:t xml:space="preserve"> изменени</w:t>
      </w:r>
      <w:r>
        <w:rPr>
          <w:lang w:val="ru-RU"/>
        </w:rPr>
        <w:t>й</w:t>
      </w:r>
      <w:r w:rsidRPr="003D505F">
        <w:rPr>
          <w:lang w:val="ru-RU"/>
        </w:rPr>
        <w:t xml:space="preserve"> справедливой стоимости</w:t>
      </w:r>
      <w:r>
        <w:rPr>
          <w:lang w:val="ru-RU"/>
        </w:rPr>
        <w:t xml:space="preserve"> в части </w:t>
      </w:r>
      <w:r w:rsidRPr="003D505F">
        <w:rPr>
          <w:lang w:val="ru-RU"/>
        </w:rPr>
        <w:t>временн</w:t>
      </w:r>
      <w:r w:rsidRPr="00B44571">
        <w:rPr>
          <w:lang w:val="ru-RU"/>
        </w:rPr>
        <w:t>ó</w:t>
      </w:r>
      <w:r w:rsidRPr="003D505F">
        <w:rPr>
          <w:lang w:val="ru-RU"/>
        </w:rPr>
        <w:t xml:space="preserve">й стоимости опциона, </w:t>
      </w:r>
      <w:r>
        <w:rPr>
          <w:lang w:val="ru-RU"/>
        </w:rPr>
        <w:t xml:space="preserve">накопленная </w:t>
      </w:r>
      <w:r w:rsidRPr="003D505F">
        <w:rPr>
          <w:lang w:val="ru-RU"/>
        </w:rPr>
        <w:t>в составе отдельного компонента собственного капитала («</w:t>
      </w:r>
      <w:r>
        <w:rPr>
          <w:lang w:val="ru-RU"/>
        </w:rPr>
        <w:t xml:space="preserve">указанная </w:t>
      </w:r>
      <w:r w:rsidRPr="003D505F">
        <w:rPr>
          <w:lang w:val="ru-RU"/>
        </w:rPr>
        <w:t>сумма»), должн</w:t>
      </w:r>
      <w:r>
        <w:rPr>
          <w:lang w:val="ru-RU"/>
        </w:rPr>
        <w:t>а</w:t>
      </w:r>
      <w:r w:rsidRPr="003D505F">
        <w:rPr>
          <w:lang w:val="ru-RU"/>
        </w:rPr>
        <w:t xml:space="preserve"> учитываться следующим образом:</w:t>
      </w:r>
      <w:bookmarkEnd w:id="128"/>
    </w:p>
    <w:p w:rsidR="00B87955" w:rsidRPr="003D505F" w:rsidRDefault="00B87955" w:rsidP="00B87955">
      <w:pPr>
        <w:pStyle w:val="IASBNormalnparaL2"/>
        <w:rPr>
          <w:lang w:val="ru-RU"/>
        </w:rPr>
      </w:pPr>
      <w:r w:rsidRPr="003D505F">
        <w:rPr>
          <w:lang w:val="ru-RU"/>
        </w:rPr>
        <w:t>(</w:t>
      </w:r>
      <w:r>
        <w:t>i</w:t>
      </w:r>
      <w:r w:rsidRPr="003D505F">
        <w:rPr>
          <w:lang w:val="ru-RU"/>
        </w:rPr>
        <w:t>)</w:t>
      </w:r>
      <w:r w:rsidRPr="003D505F">
        <w:rPr>
          <w:lang w:val="ru-RU"/>
        </w:rPr>
        <w:tab/>
      </w:r>
      <w:bookmarkStart w:id="129" w:name="F27187050"/>
      <w:r w:rsidR="00BE121A">
        <w:rPr>
          <w:lang w:val="ru-RU"/>
        </w:rPr>
        <w:t>е</w:t>
      </w:r>
      <w:r w:rsidRPr="0005629A">
        <w:rPr>
          <w:lang w:val="ru-RU"/>
        </w:rPr>
        <w:t>сли объект хеджирования впоследствии приводит к признанию нефинансового актива или нефинансового обязательства, либо к принятию твердого договорного обязательства в отношении нефинансового актива или нефинансового обязательства</w:t>
      </w:r>
      <w:r>
        <w:rPr>
          <w:lang w:val="ru-RU"/>
        </w:rPr>
        <w:t xml:space="preserve"> и к нему </w:t>
      </w:r>
      <w:r w:rsidRPr="003D505F">
        <w:rPr>
          <w:lang w:val="ru-RU"/>
        </w:rPr>
        <w:t xml:space="preserve">применяется учет хеджирования справедливой стоимости, то организация должна исключить </w:t>
      </w:r>
      <w:r>
        <w:rPr>
          <w:lang w:val="ru-RU"/>
        </w:rPr>
        <w:t>указанную</w:t>
      </w:r>
      <w:r w:rsidRPr="003D505F">
        <w:rPr>
          <w:lang w:val="ru-RU"/>
        </w:rPr>
        <w:t xml:space="preserve"> сумму из состава отдельного компонента собственного капитала и включить ее непосредственно в состав первоначальной стоимости или иной оценки балансовой стоимости </w:t>
      </w:r>
      <w:r>
        <w:rPr>
          <w:lang w:val="ru-RU"/>
        </w:rPr>
        <w:t xml:space="preserve">соответствующего </w:t>
      </w:r>
      <w:r w:rsidRPr="003D505F">
        <w:rPr>
          <w:lang w:val="ru-RU"/>
        </w:rPr>
        <w:t>актива или обязательства. Данная корректировка не является реклассификационной корректировкой (см. МСФО (</w:t>
      </w:r>
      <w:r>
        <w:t>IAS</w:t>
      </w:r>
      <w:r w:rsidRPr="003D505F">
        <w:rPr>
          <w:lang w:val="ru-RU"/>
        </w:rPr>
        <w:t>) 1) и, следовательно, не оказывает влияния на прочий совокупный доход</w:t>
      </w:r>
      <w:bookmarkEnd w:id="129"/>
      <w:r w:rsidR="00BE121A">
        <w:rPr>
          <w:lang w:val="ru-RU"/>
        </w:rPr>
        <w:t>;</w:t>
      </w:r>
    </w:p>
    <w:p w:rsidR="00B87955" w:rsidRPr="003D505F" w:rsidRDefault="00B87955" w:rsidP="00B87955">
      <w:pPr>
        <w:pStyle w:val="IASBNormalnparaL2"/>
        <w:rPr>
          <w:lang w:val="ru-RU"/>
        </w:rPr>
      </w:pPr>
      <w:r w:rsidRPr="003D505F">
        <w:rPr>
          <w:lang w:val="ru-RU"/>
        </w:rPr>
        <w:t>(</w:t>
      </w:r>
      <w:r>
        <w:t>ii</w:t>
      </w:r>
      <w:r w:rsidRPr="003D505F">
        <w:rPr>
          <w:lang w:val="ru-RU"/>
        </w:rPr>
        <w:t>)</w:t>
      </w:r>
      <w:r w:rsidRPr="003D505F">
        <w:rPr>
          <w:lang w:val="ru-RU"/>
        </w:rPr>
        <w:tab/>
      </w:r>
      <w:bookmarkStart w:id="130" w:name="F27187052"/>
      <w:r w:rsidR="00BE121A">
        <w:rPr>
          <w:lang w:val="ru-RU"/>
        </w:rPr>
        <w:t>п</w:t>
      </w:r>
      <w:r>
        <w:rPr>
          <w:lang w:val="ru-RU"/>
        </w:rPr>
        <w:t>рименительно к</w:t>
      </w:r>
      <w:r w:rsidRPr="003D505F">
        <w:rPr>
          <w:lang w:val="ru-RU"/>
        </w:rPr>
        <w:t xml:space="preserve"> отношени</w:t>
      </w:r>
      <w:r>
        <w:rPr>
          <w:lang w:val="ru-RU"/>
        </w:rPr>
        <w:t>ям</w:t>
      </w:r>
      <w:r w:rsidRPr="003D505F">
        <w:rPr>
          <w:lang w:val="ru-RU"/>
        </w:rPr>
        <w:t xml:space="preserve"> хеджирования, отличны</w:t>
      </w:r>
      <w:r>
        <w:rPr>
          <w:lang w:val="ru-RU"/>
        </w:rPr>
        <w:t>м</w:t>
      </w:r>
      <w:r w:rsidRPr="003D505F">
        <w:rPr>
          <w:lang w:val="ru-RU"/>
        </w:rPr>
        <w:t xml:space="preserve"> от </w:t>
      </w:r>
      <w:r>
        <w:rPr>
          <w:lang w:val="ru-RU"/>
        </w:rPr>
        <w:t xml:space="preserve">тех, которые </w:t>
      </w:r>
      <w:r w:rsidRPr="003D505F">
        <w:rPr>
          <w:lang w:val="ru-RU"/>
        </w:rPr>
        <w:t>рассм</w:t>
      </w:r>
      <w:r>
        <w:rPr>
          <w:lang w:val="ru-RU"/>
        </w:rPr>
        <w:t>отрены</w:t>
      </w:r>
      <w:r w:rsidRPr="003D505F">
        <w:rPr>
          <w:lang w:val="ru-RU"/>
        </w:rPr>
        <w:t xml:space="preserve"> в </w:t>
      </w:r>
      <w:r>
        <w:rPr>
          <w:lang w:val="ru-RU"/>
        </w:rPr>
        <w:t>под</w:t>
      </w:r>
      <w:r w:rsidRPr="003D505F">
        <w:rPr>
          <w:lang w:val="ru-RU"/>
        </w:rPr>
        <w:t>пункте (</w:t>
      </w:r>
      <w:r>
        <w:t>i</w:t>
      </w:r>
      <w:r w:rsidRPr="003D505F">
        <w:rPr>
          <w:lang w:val="ru-RU"/>
        </w:rPr>
        <w:t xml:space="preserve">), </w:t>
      </w:r>
      <w:r>
        <w:rPr>
          <w:lang w:val="ru-RU"/>
        </w:rPr>
        <w:t xml:space="preserve">указанная </w:t>
      </w:r>
      <w:r w:rsidRPr="003D505F">
        <w:rPr>
          <w:lang w:val="ru-RU"/>
        </w:rPr>
        <w:t>сумма должна быть реклассифицирована из состава отдельного компонента собственного капитала в состав прибыли или убытка в качестве реклассификационной корректировки (см. МСФО (</w:t>
      </w:r>
      <w:r>
        <w:t>IAS</w:t>
      </w:r>
      <w:r w:rsidRPr="003D505F">
        <w:rPr>
          <w:lang w:val="ru-RU"/>
        </w:rPr>
        <w:t xml:space="preserve">) 1) в том же периоде или периодах, в </w:t>
      </w:r>
      <w:r>
        <w:rPr>
          <w:lang w:val="ru-RU"/>
        </w:rPr>
        <w:t>котором (</w:t>
      </w:r>
      <w:r w:rsidRPr="003D505F">
        <w:rPr>
          <w:lang w:val="ru-RU"/>
        </w:rPr>
        <w:t>которых</w:t>
      </w:r>
      <w:r>
        <w:rPr>
          <w:lang w:val="ru-RU"/>
        </w:rPr>
        <w:t>)</w:t>
      </w:r>
      <w:r w:rsidRPr="003D505F">
        <w:rPr>
          <w:lang w:val="ru-RU"/>
        </w:rPr>
        <w:t xml:space="preserve"> хеджируемые ожидаемые будущие денежные потоки ока</w:t>
      </w:r>
      <w:r>
        <w:rPr>
          <w:lang w:val="ru-RU"/>
        </w:rPr>
        <w:t>жут</w:t>
      </w:r>
      <w:r w:rsidRPr="003D505F">
        <w:rPr>
          <w:lang w:val="ru-RU"/>
        </w:rPr>
        <w:t xml:space="preserve"> влияние на прибыль или убыток (например, </w:t>
      </w:r>
      <w:r>
        <w:rPr>
          <w:lang w:val="ru-RU"/>
        </w:rPr>
        <w:t xml:space="preserve">в тот момент, </w:t>
      </w:r>
      <w:r w:rsidRPr="003D505F">
        <w:rPr>
          <w:lang w:val="ru-RU"/>
        </w:rPr>
        <w:t>когда прогнозируемая продажа</w:t>
      </w:r>
      <w:r>
        <w:rPr>
          <w:lang w:val="ru-RU"/>
        </w:rPr>
        <w:t xml:space="preserve"> будет осуществлена</w:t>
      </w:r>
      <w:r w:rsidRPr="003D505F">
        <w:rPr>
          <w:lang w:val="ru-RU"/>
        </w:rPr>
        <w:t>)</w:t>
      </w:r>
      <w:bookmarkEnd w:id="130"/>
      <w:r w:rsidR="00BE121A">
        <w:rPr>
          <w:lang w:val="ru-RU"/>
        </w:rPr>
        <w:t>;</w:t>
      </w:r>
    </w:p>
    <w:p w:rsidR="00B87955" w:rsidRPr="00D60C76" w:rsidRDefault="00B87955" w:rsidP="00B87955">
      <w:pPr>
        <w:pStyle w:val="IASBNormalnparaL2"/>
        <w:rPr>
          <w:lang w:val="ru-RU"/>
        </w:rPr>
      </w:pPr>
      <w:r w:rsidRPr="003D505F">
        <w:rPr>
          <w:lang w:val="ru-RU"/>
        </w:rPr>
        <w:t>(</w:t>
      </w:r>
      <w:r>
        <w:t>iii</w:t>
      </w:r>
      <w:r w:rsidRPr="003D505F">
        <w:rPr>
          <w:lang w:val="ru-RU"/>
        </w:rPr>
        <w:t>)</w:t>
      </w:r>
      <w:r w:rsidRPr="003D505F">
        <w:rPr>
          <w:lang w:val="ru-RU"/>
        </w:rPr>
        <w:tab/>
      </w:r>
      <w:bookmarkStart w:id="131" w:name="F27187054"/>
      <w:r w:rsidRPr="003D505F">
        <w:rPr>
          <w:lang w:val="ru-RU"/>
        </w:rPr>
        <w:t>однако если не ожидается</w:t>
      </w:r>
      <w:r>
        <w:rPr>
          <w:lang w:val="ru-RU"/>
        </w:rPr>
        <w:t xml:space="preserve">, что </w:t>
      </w:r>
      <w:r w:rsidRPr="003D505F">
        <w:rPr>
          <w:lang w:val="ru-RU"/>
        </w:rPr>
        <w:t>в одно</w:t>
      </w:r>
      <w:r>
        <w:rPr>
          <w:lang w:val="ru-RU"/>
        </w:rPr>
        <w:t>м</w:t>
      </w:r>
      <w:r w:rsidRPr="003D505F">
        <w:rPr>
          <w:lang w:val="ru-RU"/>
        </w:rPr>
        <w:t xml:space="preserve"> или </w:t>
      </w:r>
      <w:r>
        <w:rPr>
          <w:lang w:val="ru-RU"/>
        </w:rPr>
        <w:t>нескольких</w:t>
      </w:r>
      <w:r w:rsidRPr="003D505F">
        <w:rPr>
          <w:lang w:val="ru-RU"/>
        </w:rPr>
        <w:t xml:space="preserve"> будущих период</w:t>
      </w:r>
      <w:r>
        <w:rPr>
          <w:lang w:val="ru-RU"/>
        </w:rPr>
        <w:t>ах будет возмещена вся указанная</w:t>
      </w:r>
      <w:r w:rsidRPr="003D505F">
        <w:rPr>
          <w:lang w:val="ru-RU"/>
        </w:rPr>
        <w:t xml:space="preserve"> сумм</w:t>
      </w:r>
      <w:r>
        <w:rPr>
          <w:lang w:val="ru-RU"/>
        </w:rPr>
        <w:t>а</w:t>
      </w:r>
      <w:r w:rsidRPr="003D505F">
        <w:rPr>
          <w:lang w:val="ru-RU"/>
        </w:rPr>
        <w:t xml:space="preserve"> или ее част</w:t>
      </w:r>
      <w:r>
        <w:rPr>
          <w:lang w:val="ru-RU"/>
        </w:rPr>
        <w:t>ь</w:t>
      </w:r>
      <w:r w:rsidRPr="003D505F">
        <w:rPr>
          <w:lang w:val="ru-RU"/>
        </w:rPr>
        <w:t xml:space="preserve">, то </w:t>
      </w:r>
      <w:r>
        <w:rPr>
          <w:lang w:val="ru-RU"/>
        </w:rPr>
        <w:t xml:space="preserve">та </w:t>
      </w:r>
      <w:r w:rsidRPr="003D505F">
        <w:rPr>
          <w:lang w:val="ru-RU"/>
        </w:rPr>
        <w:t xml:space="preserve">сумма, возмещение которой не ожидается, должна быть незамедлительно реклассифицирована в состав прибыли или убытка в качестве реклассификационной корректировки (см. </w:t>
      </w:r>
      <w:r w:rsidRPr="00D60C76">
        <w:rPr>
          <w:lang w:val="ru-RU"/>
        </w:rPr>
        <w:t>МСФО (</w:t>
      </w:r>
      <w:r>
        <w:t>IAS</w:t>
      </w:r>
      <w:r w:rsidRPr="00D60C76">
        <w:rPr>
          <w:lang w:val="ru-RU"/>
        </w:rPr>
        <w:t>) 1).</w:t>
      </w:r>
      <w:bookmarkEnd w:id="131"/>
    </w:p>
    <w:p w:rsidR="007D4BCC" w:rsidRPr="0049187C" w:rsidRDefault="00B87955" w:rsidP="00B87955">
      <w:pPr>
        <w:pStyle w:val="IASBNormalnpara"/>
        <w:ind w:left="1560"/>
        <w:rPr>
          <w:lang w:val="ru-RU"/>
        </w:rPr>
      </w:pPr>
      <w:r w:rsidRPr="003D505F">
        <w:rPr>
          <w:lang w:val="ru-RU"/>
        </w:rPr>
        <w:t>(</w:t>
      </w:r>
      <w:r w:rsidRPr="00B87955">
        <w:rPr>
          <w:lang w:val="ru-RU"/>
        </w:rPr>
        <w:t>c</w:t>
      </w:r>
      <w:r w:rsidRPr="003D505F">
        <w:rPr>
          <w:lang w:val="ru-RU"/>
        </w:rPr>
        <w:t>)</w:t>
      </w:r>
      <w:r w:rsidRPr="003D505F">
        <w:rPr>
          <w:lang w:val="ru-RU"/>
        </w:rPr>
        <w:tab/>
      </w:r>
      <w:r>
        <w:rPr>
          <w:lang w:val="ru-RU"/>
        </w:rPr>
        <w:t>И</w:t>
      </w:r>
      <w:r w:rsidRPr="003D505F">
        <w:rPr>
          <w:lang w:val="ru-RU"/>
        </w:rPr>
        <w:t xml:space="preserve">зменение справедливой стоимости </w:t>
      </w:r>
      <w:r>
        <w:rPr>
          <w:lang w:val="ru-RU"/>
        </w:rPr>
        <w:t xml:space="preserve">в части </w:t>
      </w:r>
      <w:r w:rsidRPr="003D505F">
        <w:rPr>
          <w:lang w:val="ru-RU"/>
        </w:rPr>
        <w:t>временн</w:t>
      </w:r>
      <w:r w:rsidRPr="00B44571">
        <w:rPr>
          <w:lang w:val="ru-RU"/>
        </w:rPr>
        <w:t>ó</w:t>
      </w:r>
      <w:r w:rsidRPr="003D505F">
        <w:rPr>
          <w:lang w:val="ru-RU"/>
        </w:rPr>
        <w:t xml:space="preserve">й стоимости опциона, посредством которого хеджируется объект хеджирования, связанный с </w:t>
      </w:r>
      <w:r>
        <w:rPr>
          <w:lang w:val="ru-RU"/>
        </w:rPr>
        <w:t>определенным интервалом</w:t>
      </w:r>
      <w:r w:rsidRPr="003D505F">
        <w:rPr>
          <w:lang w:val="ru-RU"/>
        </w:rPr>
        <w:t xml:space="preserve"> времени, </w:t>
      </w:r>
      <w:r>
        <w:rPr>
          <w:lang w:val="ru-RU"/>
        </w:rPr>
        <w:t>следует</w:t>
      </w:r>
      <w:r w:rsidRPr="003D505F">
        <w:rPr>
          <w:lang w:val="ru-RU"/>
        </w:rPr>
        <w:t xml:space="preserve"> признавать в составе прочего совокупного дохода в той мере, в которой оно относится к объекту хеджирования, и накапливать в отдельно</w:t>
      </w:r>
      <w:r>
        <w:rPr>
          <w:lang w:val="ru-RU"/>
        </w:rPr>
        <w:t>м</w:t>
      </w:r>
      <w:r w:rsidRPr="003D505F">
        <w:rPr>
          <w:lang w:val="ru-RU"/>
        </w:rPr>
        <w:t xml:space="preserve"> компонент</w:t>
      </w:r>
      <w:r>
        <w:rPr>
          <w:lang w:val="ru-RU"/>
        </w:rPr>
        <w:t>е</w:t>
      </w:r>
      <w:r w:rsidRPr="003D505F">
        <w:rPr>
          <w:lang w:val="ru-RU"/>
        </w:rPr>
        <w:t xml:space="preserve"> собственного капитала. Временн</w:t>
      </w:r>
      <w:r>
        <w:rPr>
          <w:lang w:val="ru-RU"/>
        </w:rPr>
        <w:t>ýю</w:t>
      </w:r>
      <w:r w:rsidRPr="003D505F">
        <w:rPr>
          <w:lang w:val="ru-RU"/>
        </w:rPr>
        <w:t xml:space="preserve"> стоимость </w:t>
      </w:r>
      <w:r>
        <w:rPr>
          <w:lang w:val="ru-RU"/>
        </w:rPr>
        <w:t xml:space="preserve">указанного </w:t>
      </w:r>
      <w:r w:rsidRPr="003D505F">
        <w:rPr>
          <w:lang w:val="ru-RU"/>
        </w:rPr>
        <w:t xml:space="preserve">опциона </w:t>
      </w:r>
      <w:r>
        <w:rPr>
          <w:lang w:val="ru-RU"/>
        </w:rPr>
        <w:t xml:space="preserve">на дату его </w:t>
      </w:r>
      <w:r w:rsidRPr="0005629A">
        <w:rPr>
          <w:lang w:val="ru-RU"/>
        </w:rPr>
        <w:t>определения по усмотрению организации</w:t>
      </w:r>
      <w:r>
        <w:rPr>
          <w:lang w:val="ru-RU"/>
        </w:rPr>
        <w:t xml:space="preserve"> </w:t>
      </w:r>
      <w:r w:rsidRPr="003D505F">
        <w:rPr>
          <w:lang w:val="ru-RU"/>
        </w:rPr>
        <w:t xml:space="preserve">в качестве инструмента хеджирования в </w:t>
      </w:r>
      <w:r>
        <w:rPr>
          <w:lang w:val="ru-RU"/>
        </w:rPr>
        <w:t>части</w:t>
      </w:r>
      <w:r w:rsidRPr="003D505F">
        <w:rPr>
          <w:lang w:val="ru-RU"/>
        </w:rPr>
        <w:t>, относ</w:t>
      </w:r>
      <w:r>
        <w:rPr>
          <w:lang w:val="ru-RU"/>
        </w:rPr>
        <w:t>ящейся</w:t>
      </w:r>
      <w:r w:rsidRPr="003D505F">
        <w:rPr>
          <w:lang w:val="ru-RU"/>
        </w:rPr>
        <w:t xml:space="preserve"> к объекту хеджирования, </w:t>
      </w:r>
      <w:r>
        <w:rPr>
          <w:lang w:val="ru-RU"/>
        </w:rPr>
        <w:t xml:space="preserve">следует </w:t>
      </w:r>
      <w:r w:rsidRPr="003D505F">
        <w:rPr>
          <w:lang w:val="ru-RU"/>
        </w:rPr>
        <w:t xml:space="preserve">амортизировать на систематической и рациональной основе на протяжении </w:t>
      </w:r>
      <w:r>
        <w:rPr>
          <w:lang w:val="ru-RU"/>
        </w:rPr>
        <w:t xml:space="preserve">времени, в течение </w:t>
      </w:r>
      <w:r w:rsidRPr="003D505F">
        <w:rPr>
          <w:lang w:val="ru-RU"/>
        </w:rPr>
        <w:t xml:space="preserve">которого корректировка, обусловленная хеджированием, </w:t>
      </w:r>
      <w:r>
        <w:rPr>
          <w:lang w:val="ru-RU"/>
        </w:rPr>
        <w:t>связанная с</w:t>
      </w:r>
      <w:r w:rsidRPr="003D505F">
        <w:rPr>
          <w:lang w:val="ru-RU"/>
        </w:rPr>
        <w:t xml:space="preserve"> внутренней стоимост</w:t>
      </w:r>
      <w:r>
        <w:rPr>
          <w:lang w:val="ru-RU"/>
        </w:rPr>
        <w:t>ью</w:t>
      </w:r>
      <w:r w:rsidRPr="003D505F">
        <w:rPr>
          <w:lang w:val="ru-RU"/>
        </w:rPr>
        <w:t xml:space="preserve"> опциона, могла бы влиять на прибыль или убыток (или прочий совокупный доход, если </w:t>
      </w:r>
      <w:r>
        <w:rPr>
          <w:lang w:val="ru-RU"/>
        </w:rPr>
        <w:t xml:space="preserve">соответствующий </w:t>
      </w:r>
      <w:r w:rsidRPr="003D505F">
        <w:rPr>
          <w:lang w:val="ru-RU"/>
        </w:rPr>
        <w:t>объект хеджирования является долевым инструментом, изменени</w:t>
      </w:r>
      <w:r>
        <w:rPr>
          <w:lang w:val="ru-RU"/>
        </w:rPr>
        <w:t>я</w:t>
      </w:r>
      <w:r w:rsidRPr="003D505F">
        <w:rPr>
          <w:lang w:val="ru-RU"/>
        </w:rPr>
        <w:t xml:space="preserve"> справедливой стоимости</w:t>
      </w:r>
      <w:r>
        <w:rPr>
          <w:lang w:val="ru-RU"/>
        </w:rPr>
        <w:t xml:space="preserve"> которого организация решила представлять</w:t>
      </w:r>
      <w:r w:rsidRPr="003D505F">
        <w:rPr>
          <w:lang w:val="ru-RU"/>
        </w:rPr>
        <w:t xml:space="preserve"> в составе прочего совокупного дохода в соответствии с пунктом 5.7.5). </w:t>
      </w:r>
      <w:r>
        <w:rPr>
          <w:lang w:val="ru-RU"/>
        </w:rPr>
        <w:t>Соответственно</w:t>
      </w:r>
      <w:r w:rsidRPr="003D505F">
        <w:rPr>
          <w:lang w:val="ru-RU"/>
        </w:rPr>
        <w:t>, в каждом отчетном периоде сумма амортизации должна реклассифицироваться из состава отдельного компонента собственного капитала в состав прибыли или убытка в качестве реклассификационной корректировки (см. МСФО (</w:t>
      </w:r>
      <w:r w:rsidRPr="00B87955">
        <w:rPr>
          <w:lang w:val="ru-RU"/>
        </w:rPr>
        <w:t>IAS</w:t>
      </w:r>
      <w:r w:rsidRPr="003D505F">
        <w:rPr>
          <w:lang w:val="ru-RU"/>
        </w:rPr>
        <w:t xml:space="preserve">) 1). Однако если учет хеджирования </w:t>
      </w:r>
      <w:r>
        <w:rPr>
          <w:lang w:val="ru-RU"/>
        </w:rPr>
        <w:t xml:space="preserve">перестанет применяться к </w:t>
      </w:r>
      <w:r w:rsidRPr="003D505F">
        <w:rPr>
          <w:lang w:val="ru-RU"/>
        </w:rPr>
        <w:t>отношения</w:t>
      </w:r>
      <w:r>
        <w:rPr>
          <w:lang w:val="ru-RU"/>
        </w:rPr>
        <w:t>м</w:t>
      </w:r>
      <w:r w:rsidRPr="003D505F">
        <w:rPr>
          <w:lang w:val="ru-RU"/>
        </w:rPr>
        <w:t xml:space="preserve"> хеджирования, </w:t>
      </w:r>
      <w:r>
        <w:rPr>
          <w:lang w:val="ru-RU"/>
        </w:rPr>
        <w:t xml:space="preserve">в рамках </w:t>
      </w:r>
      <w:r w:rsidRPr="003D505F">
        <w:rPr>
          <w:lang w:val="ru-RU"/>
        </w:rPr>
        <w:t>котор</w:t>
      </w:r>
      <w:r>
        <w:rPr>
          <w:lang w:val="ru-RU"/>
        </w:rPr>
        <w:t>ых</w:t>
      </w:r>
      <w:r w:rsidRPr="003D505F">
        <w:rPr>
          <w:lang w:val="ru-RU"/>
        </w:rPr>
        <w:t xml:space="preserve"> </w:t>
      </w:r>
      <w:r>
        <w:rPr>
          <w:lang w:val="ru-RU"/>
        </w:rPr>
        <w:t xml:space="preserve">инструментом хеджирования является </w:t>
      </w:r>
      <w:r w:rsidRPr="003D505F">
        <w:rPr>
          <w:lang w:val="ru-RU"/>
        </w:rPr>
        <w:t>изменение внутренней стоимости опциона, то нетто-</w:t>
      </w:r>
      <w:r>
        <w:rPr>
          <w:lang w:val="ru-RU"/>
        </w:rPr>
        <w:t xml:space="preserve">величина </w:t>
      </w:r>
      <w:r w:rsidRPr="003D505F">
        <w:rPr>
          <w:lang w:val="ru-RU"/>
        </w:rPr>
        <w:t>(</w:t>
      </w:r>
      <w:r w:rsidR="00730672">
        <w:rPr>
          <w:lang w:val="ru-RU"/>
        </w:rPr>
        <w:t>т. е.</w:t>
      </w:r>
      <w:r w:rsidRPr="003D505F">
        <w:rPr>
          <w:lang w:val="ru-RU"/>
        </w:rPr>
        <w:t xml:space="preserve"> </w:t>
      </w:r>
      <w:r>
        <w:rPr>
          <w:lang w:val="ru-RU"/>
        </w:rPr>
        <w:t>за вычетом накопленной амортизации</w:t>
      </w:r>
      <w:r w:rsidRPr="003D505F">
        <w:rPr>
          <w:lang w:val="ru-RU"/>
        </w:rPr>
        <w:t xml:space="preserve">), </w:t>
      </w:r>
      <w:r>
        <w:rPr>
          <w:lang w:val="ru-RU"/>
        </w:rPr>
        <w:t xml:space="preserve">которая была </w:t>
      </w:r>
      <w:r w:rsidRPr="003D505F">
        <w:rPr>
          <w:lang w:val="ru-RU"/>
        </w:rPr>
        <w:t>накоплен</w:t>
      </w:r>
      <w:r>
        <w:rPr>
          <w:lang w:val="ru-RU"/>
        </w:rPr>
        <w:t>а</w:t>
      </w:r>
      <w:r w:rsidRPr="003D505F">
        <w:rPr>
          <w:lang w:val="ru-RU"/>
        </w:rPr>
        <w:t xml:space="preserve"> в составе отдельного компонента собственного капитала, должна быть незамедлительно реклассифицирована в состав прибыли или убытка в качестве реклассификационной корректировки (см. МСФО (</w:t>
      </w:r>
      <w:r w:rsidRPr="00B87955">
        <w:rPr>
          <w:lang w:val="ru-RU"/>
        </w:rPr>
        <w:t>IAS</w:t>
      </w:r>
      <w:r w:rsidRPr="003D505F">
        <w:rPr>
          <w:lang w:val="ru-RU"/>
        </w:rPr>
        <w:t>) 1)</w:t>
      </w:r>
      <w:r w:rsidR="007D4BCC" w:rsidRPr="0049187C">
        <w:rPr>
          <w:lang w:val="ru-RU"/>
        </w:rPr>
        <w:t>.</w:t>
      </w:r>
      <w:bookmarkEnd w:id="123"/>
    </w:p>
    <w:p w:rsidR="007D4BCC" w:rsidRPr="0049187C" w:rsidRDefault="007D4BCC" w:rsidP="007D4BCC">
      <w:pPr>
        <w:pStyle w:val="IASBSectionTitle2Ind"/>
        <w:rPr>
          <w:lang w:val="ru-RU"/>
        </w:rPr>
      </w:pPr>
      <w:bookmarkStart w:id="132" w:name="SL32570374"/>
      <w:bookmarkStart w:id="133" w:name="F27187058"/>
      <w:r w:rsidRPr="0049187C">
        <w:rPr>
          <w:lang w:val="ru-RU"/>
        </w:rPr>
        <w:t xml:space="preserve">Учет форвардного элемента форвардных </w:t>
      </w:r>
      <w:r w:rsidR="00B87955">
        <w:rPr>
          <w:lang w:val="ru-RU"/>
        </w:rPr>
        <w:t>договоров и валютных базисных спрэ</w:t>
      </w:r>
      <w:r w:rsidRPr="0049187C">
        <w:rPr>
          <w:lang w:val="ru-RU"/>
        </w:rPr>
        <w:t>дов финансовых инструментов</w:t>
      </w:r>
      <w:bookmarkEnd w:id="132"/>
      <w:bookmarkEnd w:id="133"/>
    </w:p>
    <w:p w:rsidR="007D4BCC" w:rsidRPr="0049187C" w:rsidRDefault="007D4BCC" w:rsidP="007D4BCC">
      <w:pPr>
        <w:pStyle w:val="IASBNormalnpara"/>
        <w:rPr>
          <w:lang w:val="ru-RU"/>
        </w:rPr>
      </w:pPr>
      <w:r w:rsidRPr="0049187C">
        <w:rPr>
          <w:lang w:val="ru-RU"/>
        </w:rPr>
        <w:t>6.5.16</w:t>
      </w:r>
      <w:r w:rsidRPr="0049187C">
        <w:rPr>
          <w:lang w:val="ru-RU"/>
        </w:rPr>
        <w:tab/>
      </w:r>
      <w:bookmarkStart w:id="134" w:name="F27187059"/>
      <w:r w:rsidR="00B87955">
        <w:rPr>
          <w:lang w:val="ru-RU"/>
        </w:rPr>
        <w:t>В случаях, когда</w:t>
      </w:r>
      <w:r w:rsidR="00B87955" w:rsidRPr="003D505F">
        <w:rPr>
          <w:lang w:val="ru-RU"/>
        </w:rPr>
        <w:t xml:space="preserve"> организация разделяет форвардный элемент и </w:t>
      </w:r>
      <w:r w:rsidR="00B87955" w:rsidRPr="007451C9">
        <w:rPr>
          <w:lang w:val="ru-RU"/>
        </w:rPr>
        <w:t xml:space="preserve">спот-элемент форвардного договора и </w:t>
      </w:r>
      <w:r w:rsidR="00B87955">
        <w:rPr>
          <w:lang w:val="ru-RU"/>
        </w:rPr>
        <w:t>определяет по собственному усмотрению</w:t>
      </w:r>
      <w:r w:rsidR="00B87955" w:rsidRPr="007451C9">
        <w:rPr>
          <w:lang w:val="ru-RU"/>
        </w:rPr>
        <w:t xml:space="preserve"> в качестве инструмента хеджирования только изменение стоимости спот-элемента данного форвардного договора, либо когда организация отделяет валютный базисный спрэд от финансового инструмента и исключает его из рассмотрения при </w:t>
      </w:r>
      <w:r w:rsidR="00B87955">
        <w:rPr>
          <w:lang w:val="ru-RU"/>
        </w:rPr>
        <w:t xml:space="preserve">определении по собственному усмотрению </w:t>
      </w:r>
      <w:r w:rsidR="00B87955" w:rsidRPr="007451C9">
        <w:rPr>
          <w:lang w:val="ru-RU"/>
        </w:rPr>
        <w:t>данного финансового инструмента в качестве инструмента хеджирования (см.</w:t>
      </w:r>
      <w:r w:rsidR="00B87955" w:rsidRPr="003D505F">
        <w:rPr>
          <w:lang w:val="ru-RU"/>
        </w:rPr>
        <w:t xml:space="preserve"> пункт 6.2.4(</w:t>
      </w:r>
      <w:r w:rsidR="00B87955">
        <w:t>b</w:t>
      </w:r>
      <w:r w:rsidR="00B87955" w:rsidRPr="003D505F">
        <w:rPr>
          <w:lang w:val="ru-RU"/>
        </w:rPr>
        <w:t xml:space="preserve">)), организация может применить пункт 6.5.15 </w:t>
      </w:r>
      <w:r w:rsidR="00B87955">
        <w:rPr>
          <w:lang w:val="ru-RU"/>
        </w:rPr>
        <w:t>к</w:t>
      </w:r>
      <w:r w:rsidR="00B87955" w:rsidRPr="003D505F">
        <w:rPr>
          <w:lang w:val="ru-RU"/>
        </w:rPr>
        <w:t xml:space="preserve"> форвардно</w:t>
      </w:r>
      <w:r w:rsidR="00B87955">
        <w:rPr>
          <w:lang w:val="ru-RU"/>
        </w:rPr>
        <w:t>му</w:t>
      </w:r>
      <w:r w:rsidR="00B87955" w:rsidRPr="003D505F">
        <w:rPr>
          <w:lang w:val="ru-RU"/>
        </w:rPr>
        <w:t xml:space="preserve"> элемент</w:t>
      </w:r>
      <w:r w:rsidR="00B87955">
        <w:rPr>
          <w:lang w:val="ru-RU"/>
        </w:rPr>
        <w:t>у</w:t>
      </w:r>
      <w:r w:rsidR="00B87955" w:rsidRPr="003D505F">
        <w:rPr>
          <w:lang w:val="ru-RU"/>
        </w:rPr>
        <w:t xml:space="preserve"> </w:t>
      </w:r>
      <w:r w:rsidR="00B87955">
        <w:rPr>
          <w:lang w:val="ru-RU"/>
        </w:rPr>
        <w:t xml:space="preserve">соответствующего </w:t>
      </w:r>
      <w:r w:rsidR="00B87955" w:rsidRPr="003D505F">
        <w:rPr>
          <w:lang w:val="ru-RU"/>
        </w:rPr>
        <w:t xml:space="preserve">форвардного </w:t>
      </w:r>
      <w:r w:rsidR="00B87955">
        <w:rPr>
          <w:lang w:val="ru-RU"/>
        </w:rPr>
        <w:t>договора</w:t>
      </w:r>
      <w:r w:rsidR="00B87955" w:rsidRPr="003D505F">
        <w:rPr>
          <w:lang w:val="ru-RU"/>
        </w:rPr>
        <w:t xml:space="preserve"> или </w:t>
      </w:r>
      <w:r w:rsidR="00B87955">
        <w:rPr>
          <w:lang w:val="ru-RU"/>
        </w:rPr>
        <w:t>к</w:t>
      </w:r>
      <w:r w:rsidR="00B87955" w:rsidRPr="003D505F">
        <w:rPr>
          <w:lang w:val="ru-RU"/>
        </w:rPr>
        <w:t xml:space="preserve"> </w:t>
      </w:r>
      <w:r w:rsidR="00B87955">
        <w:rPr>
          <w:lang w:val="ru-RU"/>
        </w:rPr>
        <w:t xml:space="preserve">соответствующему </w:t>
      </w:r>
      <w:r w:rsidR="00B87955" w:rsidRPr="003D505F">
        <w:rPr>
          <w:lang w:val="ru-RU"/>
        </w:rPr>
        <w:t>валютно</w:t>
      </w:r>
      <w:r w:rsidR="00B87955">
        <w:rPr>
          <w:lang w:val="ru-RU"/>
        </w:rPr>
        <w:t>му</w:t>
      </w:r>
      <w:r w:rsidR="00B87955" w:rsidRPr="003D505F">
        <w:rPr>
          <w:lang w:val="ru-RU"/>
        </w:rPr>
        <w:t xml:space="preserve"> базисно</w:t>
      </w:r>
      <w:r w:rsidR="00B87955">
        <w:rPr>
          <w:lang w:val="ru-RU"/>
        </w:rPr>
        <w:t>му</w:t>
      </w:r>
      <w:r w:rsidR="00B87955" w:rsidRPr="003D505F">
        <w:rPr>
          <w:lang w:val="ru-RU"/>
        </w:rPr>
        <w:t xml:space="preserve"> спр</w:t>
      </w:r>
      <w:r w:rsidR="00B87955">
        <w:rPr>
          <w:lang w:val="ru-RU"/>
        </w:rPr>
        <w:t>э</w:t>
      </w:r>
      <w:r w:rsidR="00B87955" w:rsidRPr="003D505F">
        <w:rPr>
          <w:lang w:val="ru-RU"/>
        </w:rPr>
        <w:t>д</w:t>
      </w:r>
      <w:r w:rsidR="00B87955">
        <w:rPr>
          <w:lang w:val="ru-RU"/>
        </w:rPr>
        <w:t>у</w:t>
      </w:r>
      <w:r w:rsidR="00B87955" w:rsidRPr="003D505F">
        <w:rPr>
          <w:lang w:val="ru-RU"/>
        </w:rPr>
        <w:t xml:space="preserve"> таким же образом, как он применяется </w:t>
      </w:r>
      <w:r w:rsidR="00B87955">
        <w:rPr>
          <w:lang w:val="ru-RU"/>
        </w:rPr>
        <w:t>к</w:t>
      </w:r>
      <w:r w:rsidR="00B87955" w:rsidRPr="003D505F">
        <w:rPr>
          <w:lang w:val="ru-RU"/>
        </w:rPr>
        <w:t xml:space="preserve"> временн</w:t>
      </w:r>
      <w:r w:rsidR="00B87955" w:rsidRPr="00B44571">
        <w:rPr>
          <w:lang w:val="ru-RU"/>
        </w:rPr>
        <w:t>ó</w:t>
      </w:r>
      <w:r w:rsidR="00B87955" w:rsidRPr="003D505F">
        <w:rPr>
          <w:lang w:val="ru-RU"/>
        </w:rPr>
        <w:t>й стоимости опциона. В этом случае организация должна использовать</w:t>
      </w:r>
      <w:r w:rsidR="00B87955">
        <w:rPr>
          <w:lang w:val="ru-RU"/>
        </w:rPr>
        <w:t xml:space="preserve"> те положения </w:t>
      </w:r>
      <w:r w:rsidR="00B87955" w:rsidRPr="003D505F">
        <w:rPr>
          <w:lang w:val="ru-RU"/>
        </w:rPr>
        <w:t>руководств</w:t>
      </w:r>
      <w:r w:rsidR="00B87955">
        <w:rPr>
          <w:lang w:val="ru-RU"/>
        </w:rPr>
        <w:t>а</w:t>
      </w:r>
      <w:r w:rsidR="00B87955" w:rsidRPr="003D505F">
        <w:rPr>
          <w:lang w:val="ru-RU"/>
        </w:rPr>
        <w:t xml:space="preserve"> по применению, </w:t>
      </w:r>
      <w:r w:rsidR="00B87955">
        <w:rPr>
          <w:lang w:val="ru-RU"/>
        </w:rPr>
        <w:t xml:space="preserve">которые </w:t>
      </w:r>
      <w:r w:rsidR="00B87955" w:rsidRPr="003D505F">
        <w:rPr>
          <w:lang w:val="ru-RU"/>
        </w:rPr>
        <w:t>изложен</w:t>
      </w:r>
      <w:r w:rsidR="00B87955">
        <w:rPr>
          <w:lang w:val="ru-RU"/>
        </w:rPr>
        <w:t>ы</w:t>
      </w:r>
      <w:r w:rsidR="00B87955" w:rsidRPr="003D505F">
        <w:rPr>
          <w:lang w:val="ru-RU"/>
        </w:rPr>
        <w:t xml:space="preserve"> в пунктах В6.5.34–</w:t>
      </w:r>
      <w:r w:rsidR="00B87955">
        <w:t>B</w:t>
      </w:r>
      <w:r w:rsidR="00B87955" w:rsidRPr="003D505F">
        <w:rPr>
          <w:lang w:val="ru-RU"/>
        </w:rPr>
        <w:t>6.5.39</w:t>
      </w:r>
      <w:r w:rsidRPr="0049187C">
        <w:rPr>
          <w:lang w:val="ru-RU"/>
        </w:rPr>
        <w:t>.</w:t>
      </w:r>
      <w:bookmarkEnd w:id="134"/>
    </w:p>
    <w:p w:rsidR="007D4BCC" w:rsidRPr="0049187C" w:rsidRDefault="007D4BCC" w:rsidP="007D4BCC">
      <w:pPr>
        <w:pStyle w:val="IASBSectionTitle1NonInd"/>
        <w:rPr>
          <w:lang w:val="ru-RU"/>
        </w:rPr>
      </w:pPr>
      <w:bookmarkStart w:id="135" w:name="SL32570377"/>
      <w:r w:rsidRPr="0049187C">
        <w:rPr>
          <w:lang w:val="ru-RU"/>
        </w:rPr>
        <w:t xml:space="preserve">6.6 </w:t>
      </w:r>
      <w:bookmarkEnd w:id="135"/>
      <w:r w:rsidRPr="0049187C">
        <w:rPr>
          <w:lang w:val="ru-RU"/>
        </w:rPr>
        <w:t>Хеджирование групп объектов</w:t>
      </w:r>
    </w:p>
    <w:p w:rsidR="007D4BCC" w:rsidRPr="0049187C" w:rsidRDefault="00B87955" w:rsidP="007D4BCC">
      <w:pPr>
        <w:pStyle w:val="IASBSectionTitle2Ind"/>
        <w:rPr>
          <w:lang w:val="ru-RU"/>
        </w:rPr>
      </w:pPr>
      <w:bookmarkStart w:id="136" w:name="F27187073"/>
      <w:r>
        <w:rPr>
          <w:lang w:val="ru-RU"/>
        </w:rPr>
        <w:t>Возможность определения г</w:t>
      </w:r>
      <w:r w:rsidR="007D4BCC" w:rsidRPr="0049187C">
        <w:rPr>
          <w:lang w:val="ru-RU"/>
        </w:rPr>
        <w:t>руппы объектов</w:t>
      </w:r>
      <w:r>
        <w:rPr>
          <w:lang w:val="ru-RU"/>
        </w:rPr>
        <w:t xml:space="preserve"> по усмотрению организации</w:t>
      </w:r>
      <w:r w:rsidR="007D4BCC" w:rsidRPr="0049187C">
        <w:rPr>
          <w:lang w:val="ru-RU"/>
        </w:rPr>
        <w:t xml:space="preserve"> в качестве объекта хеджирования</w:t>
      </w:r>
      <w:bookmarkEnd w:id="136"/>
    </w:p>
    <w:p w:rsidR="00886575" w:rsidRPr="003D505F" w:rsidRDefault="007D4BCC" w:rsidP="00886575">
      <w:pPr>
        <w:pStyle w:val="IASBNormalnpara"/>
        <w:rPr>
          <w:b/>
          <w:lang w:val="ru-RU"/>
        </w:rPr>
      </w:pPr>
      <w:r w:rsidRPr="0049187C">
        <w:rPr>
          <w:b/>
          <w:lang w:val="ru-RU"/>
        </w:rPr>
        <w:t>6.6.1</w:t>
      </w:r>
      <w:r w:rsidRPr="0049187C">
        <w:rPr>
          <w:b/>
          <w:lang w:val="ru-RU"/>
        </w:rPr>
        <w:tab/>
      </w:r>
      <w:bookmarkStart w:id="137" w:name="F27187126"/>
      <w:bookmarkStart w:id="138" w:name="F27187074"/>
      <w:r w:rsidR="00886575" w:rsidRPr="003D505F">
        <w:rPr>
          <w:b/>
          <w:lang w:val="ru-RU"/>
        </w:rPr>
        <w:t>Групп</w:t>
      </w:r>
      <w:r w:rsidR="00886575">
        <w:rPr>
          <w:b/>
          <w:lang w:val="ru-RU"/>
        </w:rPr>
        <w:t>а</w:t>
      </w:r>
      <w:r w:rsidR="00886575" w:rsidRPr="003D505F">
        <w:rPr>
          <w:b/>
          <w:lang w:val="ru-RU"/>
        </w:rPr>
        <w:t xml:space="preserve"> объектов (включая групп</w:t>
      </w:r>
      <w:r w:rsidR="00886575">
        <w:rPr>
          <w:b/>
          <w:lang w:val="ru-RU"/>
        </w:rPr>
        <w:t>у</w:t>
      </w:r>
      <w:r w:rsidR="00886575" w:rsidRPr="003D505F">
        <w:rPr>
          <w:b/>
          <w:lang w:val="ru-RU"/>
        </w:rPr>
        <w:t xml:space="preserve"> объектов, представляющих собой нетто-позицию; см. пункты В6.6.1–</w:t>
      </w:r>
      <w:r w:rsidR="00886575">
        <w:rPr>
          <w:b/>
        </w:rPr>
        <w:t>B</w:t>
      </w:r>
      <w:r w:rsidR="00886575" w:rsidRPr="003D505F">
        <w:rPr>
          <w:b/>
          <w:lang w:val="ru-RU"/>
        </w:rPr>
        <w:t xml:space="preserve">6.6.8) </w:t>
      </w:r>
      <w:r w:rsidR="00886575">
        <w:rPr>
          <w:b/>
          <w:lang w:val="ru-RU"/>
        </w:rPr>
        <w:t xml:space="preserve">является квалифицируемым объектом </w:t>
      </w:r>
      <w:r w:rsidR="00886575" w:rsidRPr="003D505F">
        <w:rPr>
          <w:b/>
          <w:lang w:val="ru-RU"/>
        </w:rPr>
        <w:t>хеджирования, только если:</w:t>
      </w:r>
      <w:bookmarkEnd w:id="138"/>
    </w:p>
    <w:p w:rsidR="00886575" w:rsidRPr="003D505F" w:rsidRDefault="00886575" w:rsidP="00886575">
      <w:pPr>
        <w:pStyle w:val="IASBNormalnparaL1"/>
        <w:rPr>
          <w:b/>
          <w:lang w:val="ru-RU"/>
        </w:rPr>
      </w:pPr>
      <w:r w:rsidRPr="003D505F">
        <w:rPr>
          <w:b/>
          <w:lang w:val="ru-RU"/>
        </w:rPr>
        <w:t>(</w:t>
      </w:r>
      <w:r>
        <w:rPr>
          <w:b/>
        </w:rPr>
        <w:t>a</w:t>
      </w:r>
      <w:r w:rsidRPr="003D505F">
        <w:rPr>
          <w:b/>
          <w:lang w:val="ru-RU"/>
        </w:rPr>
        <w:t>)</w:t>
      </w:r>
      <w:r w:rsidRPr="003D505F">
        <w:rPr>
          <w:lang w:val="ru-RU"/>
        </w:rPr>
        <w:tab/>
      </w:r>
      <w:bookmarkStart w:id="139" w:name="F27187077"/>
      <w:r w:rsidRPr="003D505F">
        <w:rPr>
          <w:b/>
          <w:lang w:val="ru-RU"/>
        </w:rPr>
        <w:t xml:space="preserve">она состоит из объектов (включая компоненты объектов), которые по отдельности представляют собой </w:t>
      </w:r>
      <w:r w:rsidRPr="00194DA4">
        <w:rPr>
          <w:b/>
          <w:lang w:val="ru-RU"/>
        </w:rPr>
        <w:t>квалифицируемые</w:t>
      </w:r>
      <w:r>
        <w:rPr>
          <w:b/>
          <w:lang w:val="ru-RU"/>
        </w:rPr>
        <w:t xml:space="preserve"> </w:t>
      </w:r>
      <w:r w:rsidRPr="003D505F">
        <w:rPr>
          <w:b/>
          <w:lang w:val="ru-RU"/>
        </w:rPr>
        <w:t>объекты</w:t>
      </w:r>
      <w:r>
        <w:rPr>
          <w:b/>
          <w:lang w:val="ru-RU"/>
        </w:rPr>
        <w:t xml:space="preserve"> </w:t>
      </w:r>
      <w:r w:rsidRPr="003D505F">
        <w:rPr>
          <w:b/>
          <w:lang w:val="ru-RU"/>
        </w:rPr>
        <w:t>хеджирования;</w:t>
      </w:r>
      <w:bookmarkEnd w:id="139"/>
    </w:p>
    <w:p w:rsidR="00886575" w:rsidRPr="003D505F" w:rsidRDefault="00886575" w:rsidP="00886575">
      <w:pPr>
        <w:pStyle w:val="IASBNormalnparaL1"/>
        <w:rPr>
          <w:b/>
          <w:lang w:val="ru-RU"/>
        </w:rPr>
      </w:pPr>
      <w:r w:rsidRPr="003D505F">
        <w:rPr>
          <w:b/>
          <w:lang w:val="ru-RU"/>
        </w:rPr>
        <w:t>(</w:t>
      </w:r>
      <w:r>
        <w:rPr>
          <w:b/>
        </w:rPr>
        <w:t>b</w:t>
      </w:r>
      <w:r w:rsidRPr="003D505F">
        <w:rPr>
          <w:b/>
          <w:lang w:val="ru-RU"/>
        </w:rPr>
        <w:t>)</w:t>
      </w:r>
      <w:r w:rsidRPr="003D505F">
        <w:rPr>
          <w:lang w:val="ru-RU"/>
        </w:rPr>
        <w:tab/>
      </w:r>
      <w:bookmarkStart w:id="140" w:name="F27187079"/>
      <w:r w:rsidRPr="003D505F">
        <w:rPr>
          <w:b/>
          <w:lang w:val="ru-RU"/>
        </w:rPr>
        <w:t>управление объектами в составе группы для целей управления рисками осуществляется на групповой основе; и</w:t>
      </w:r>
      <w:bookmarkEnd w:id="140"/>
    </w:p>
    <w:p w:rsidR="00886575" w:rsidRPr="003D505F" w:rsidRDefault="00886575" w:rsidP="00886575">
      <w:pPr>
        <w:pStyle w:val="IASBNormalnparaL1"/>
        <w:rPr>
          <w:b/>
          <w:lang w:val="ru-RU"/>
        </w:rPr>
      </w:pPr>
      <w:r w:rsidRPr="003D505F">
        <w:rPr>
          <w:b/>
          <w:lang w:val="ru-RU"/>
        </w:rPr>
        <w:t>(</w:t>
      </w:r>
      <w:r>
        <w:rPr>
          <w:b/>
        </w:rPr>
        <w:t>c</w:t>
      </w:r>
      <w:r w:rsidRPr="003D505F">
        <w:rPr>
          <w:b/>
          <w:lang w:val="ru-RU"/>
        </w:rPr>
        <w:t>)</w:t>
      </w:r>
      <w:r w:rsidRPr="003D505F">
        <w:rPr>
          <w:lang w:val="ru-RU"/>
        </w:rPr>
        <w:tab/>
      </w:r>
      <w:bookmarkStart w:id="141" w:name="F27187081"/>
      <w:r w:rsidRPr="003D505F">
        <w:rPr>
          <w:b/>
          <w:lang w:val="ru-RU"/>
        </w:rPr>
        <w:t xml:space="preserve">в случае хеджирования денежных потоков по группе объектов, </w:t>
      </w:r>
      <w:r>
        <w:rPr>
          <w:b/>
          <w:lang w:val="ru-RU"/>
        </w:rPr>
        <w:t>применительно к</w:t>
      </w:r>
      <w:r w:rsidRPr="003D505F">
        <w:rPr>
          <w:b/>
          <w:lang w:val="ru-RU"/>
        </w:rPr>
        <w:t xml:space="preserve"> которы</w:t>
      </w:r>
      <w:r>
        <w:rPr>
          <w:b/>
          <w:lang w:val="ru-RU"/>
        </w:rPr>
        <w:t>м</w:t>
      </w:r>
      <w:r w:rsidRPr="003D505F">
        <w:rPr>
          <w:b/>
          <w:lang w:val="ru-RU"/>
        </w:rPr>
        <w:t xml:space="preserve"> не ожидается, что изменчивость </w:t>
      </w:r>
      <w:r>
        <w:rPr>
          <w:b/>
          <w:lang w:val="ru-RU"/>
        </w:rPr>
        <w:t xml:space="preserve">соответствующих </w:t>
      </w:r>
      <w:r w:rsidRPr="003D505F">
        <w:rPr>
          <w:b/>
          <w:lang w:val="ru-RU"/>
        </w:rPr>
        <w:t>и</w:t>
      </w:r>
      <w:r>
        <w:rPr>
          <w:b/>
          <w:lang w:val="ru-RU"/>
        </w:rPr>
        <w:t>м</w:t>
      </w:r>
      <w:r w:rsidRPr="003D505F">
        <w:rPr>
          <w:b/>
          <w:lang w:val="ru-RU"/>
        </w:rPr>
        <w:t xml:space="preserve"> денежных потоков будет приблизительно пропорциональна изменчивости денежных потоков по группе в целом, вследствие </w:t>
      </w:r>
      <w:r>
        <w:rPr>
          <w:b/>
          <w:lang w:val="ru-RU"/>
        </w:rPr>
        <w:t>чего</w:t>
      </w:r>
      <w:r w:rsidRPr="003D505F">
        <w:rPr>
          <w:b/>
          <w:lang w:val="ru-RU"/>
        </w:rPr>
        <w:t xml:space="preserve"> возникают компенсирующие позиции </w:t>
      </w:r>
      <w:r>
        <w:rPr>
          <w:b/>
          <w:lang w:val="ru-RU"/>
        </w:rPr>
        <w:t xml:space="preserve">в части </w:t>
      </w:r>
      <w:r w:rsidRPr="003D505F">
        <w:rPr>
          <w:b/>
          <w:lang w:val="ru-RU"/>
        </w:rPr>
        <w:t>риск</w:t>
      </w:r>
      <w:r>
        <w:rPr>
          <w:b/>
          <w:lang w:val="ru-RU"/>
        </w:rPr>
        <w:t>ов</w:t>
      </w:r>
      <w:r w:rsidRPr="003D505F">
        <w:rPr>
          <w:b/>
          <w:lang w:val="ru-RU"/>
        </w:rPr>
        <w:t>:</w:t>
      </w:r>
      <w:bookmarkEnd w:id="141"/>
    </w:p>
    <w:p w:rsidR="00886575" w:rsidRPr="003D505F" w:rsidRDefault="00886575" w:rsidP="00886575">
      <w:pPr>
        <w:pStyle w:val="IASBNormalnparaL2"/>
        <w:rPr>
          <w:b/>
          <w:lang w:val="ru-RU"/>
        </w:rPr>
      </w:pPr>
      <w:r w:rsidRPr="003D505F">
        <w:rPr>
          <w:b/>
          <w:lang w:val="ru-RU"/>
        </w:rPr>
        <w:t>(</w:t>
      </w:r>
      <w:r>
        <w:rPr>
          <w:b/>
        </w:rPr>
        <w:t>i</w:t>
      </w:r>
      <w:r w:rsidRPr="003D505F">
        <w:rPr>
          <w:b/>
          <w:lang w:val="ru-RU"/>
        </w:rPr>
        <w:t>)</w:t>
      </w:r>
      <w:r w:rsidRPr="003D505F">
        <w:rPr>
          <w:lang w:val="ru-RU"/>
        </w:rPr>
        <w:tab/>
      </w:r>
      <w:bookmarkStart w:id="142" w:name="F27187124"/>
      <w:r w:rsidRPr="003D505F">
        <w:rPr>
          <w:b/>
          <w:lang w:val="ru-RU"/>
        </w:rPr>
        <w:t>хеджир</w:t>
      </w:r>
      <w:r>
        <w:rPr>
          <w:b/>
          <w:lang w:val="ru-RU"/>
        </w:rPr>
        <w:t>уемым риском является</w:t>
      </w:r>
      <w:r w:rsidRPr="003D505F">
        <w:rPr>
          <w:b/>
          <w:lang w:val="ru-RU"/>
        </w:rPr>
        <w:t xml:space="preserve"> валютн</w:t>
      </w:r>
      <w:r>
        <w:rPr>
          <w:b/>
          <w:lang w:val="ru-RU"/>
        </w:rPr>
        <w:t>ый</w:t>
      </w:r>
      <w:r w:rsidRPr="003D505F">
        <w:rPr>
          <w:b/>
          <w:lang w:val="ru-RU"/>
        </w:rPr>
        <w:t xml:space="preserve"> риск; и</w:t>
      </w:r>
      <w:bookmarkEnd w:id="142"/>
    </w:p>
    <w:p w:rsidR="007D4BCC" w:rsidRPr="0049187C" w:rsidRDefault="00886575" w:rsidP="00886575">
      <w:pPr>
        <w:pStyle w:val="IASBNormalnparaL2"/>
        <w:rPr>
          <w:b/>
          <w:lang w:val="ru-RU"/>
        </w:rPr>
      </w:pPr>
      <w:r w:rsidRPr="003D505F">
        <w:rPr>
          <w:b/>
          <w:lang w:val="ru-RU"/>
        </w:rPr>
        <w:t>(</w:t>
      </w:r>
      <w:r w:rsidRPr="00886575">
        <w:rPr>
          <w:b/>
          <w:lang w:val="ru-RU"/>
        </w:rPr>
        <w:t>ii</w:t>
      </w:r>
      <w:r w:rsidRPr="003D505F">
        <w:rPr>
          <w:b/>
          <w:lang w:val="ru-RU"/>
        </w:rPr>
        <w:t>)</w:t>
      </w:r>
      <w:r w:rsidRPr="00886575">
        <w:rPr>
          <w:b/>
          <w:lang w:val="ru-RU"/>
        </w:rPr>
        <w:tab/>
      </w:r>
      <w:r>
        <w:rPr>
          <w:b/>
          <w:lang w:val="ru-RU"/>
        </w:rPr>
        <w:t xml:space="preserve">при определении по усмотрению организации </w:t>
      </w:r>
      <w:r w:rsidRPr="003D505F">
        <w:rPr>
          <w:b/>
          <w:lang w:val="ru-RU"/>
        </w:rPr>
        <w:t xml:space="preserve">данной нетто-позиции </w:t>
      </w:r>
      <w:r>
        <w:rPr>
          <w:b/>
          <w:lang w:val="ru-RU"/>
        </w:rPr>
        <w:t>указывается</w:t>
      </w:r>
      <w:r w:rsidRPr="003D505F">
        <w:rPr>
          <w:b/>
          <w:lang w:val="ru-RU"/>
        </w:rPr>
        <w:t xml:space="preserve"> отчетный период, в котором прогнозируемые операции, как ожидается, окажут влияние на прибыль или убыток, а также их характер и объем (см. пункты </w:t>
      </w:r>
      <w:r w:rsidRPr="00886575">
        <w:rPr>
          <w:b/>
          <w:lang w:val="ru-RU"/>
        </w:rPr>
        <w:t>B</w:t>
      </w:r>
      <w:r w:rsidRPr="003D505F">
        <w:rPr>
          <w:b/>
          <w:lang w:val="ru-RU"/>
        </w:rPr>
        <w:t>6.6.7–</w:t>
      </w:r>
      <w:r w:rsidRPr="00886575">
        <w:rPr>
          <w:b/>
          <w:lang w:val="ru-RU"/>
        </w:rPr>
        <w:t>B</w:t>
      </w:r>
      <w:r w:rsidRPr="003D505F">
        <w:rPr>
          <w:b/>
          <w:lang w:val="ru-RU"/>
        </w:rPr>
        <w:t>6.6.8)</w:t>
      </w:r>
      <w:r w:rsidR="007D4BCC" w:rsidRPr="0049187C">
        <w:rPr>
          <w:b/>
          <w:lang w:val="ru-RU"/>
        </w:rPr>
        <w:t>.</w:t>
      </w:r>
      <w:bookmarkEnd w:id="137"/>
    </w:p>
    <w:p w:rsidR="007D4BCC" w:rsidRPr="0049187C" w:rsidRDefault="007D4BCC" w:rsidP="007D4BCC">
      <w:pPr>
        <w:pStyle w:val="IASBSectionTitle2Ind"/>
        <w:rPr>
          <w:lang w:val="ru-RU"/>
        </w:rPr>
      </w:pPr>
      <w:bookmarkStart w:id="143" w:name="F27187128"/>
      <w:r w:rsidRPr="0049187C">
        <w:rPr>
          <w:lang w:val="ru-RU"/>
        </w:rPr>
        <w:t>О</w:t>
      </w:r>
      <w:r w:rsidR="00AC0555">
        <w:rPr>
          <w:lang w:val="ru-RU"/>
        </w:rPr>
        <w:t>пределение по усмотрению организации</w:t>
      </w:r>
      <w:r w:rsidRPr="0049187C">
        <w:rPr>
          <w:lang w:val="ru-RU"/>
        </w:rPr>
        <w:t xml:space="preserve"> компонента номинальной стоимости в качестве объекта хеджирования</w:t>
      </w:r>
      <w:bookmarkEnd w:id="143"/>
    </w:p>
    <w:p w:rsidR="00AC0555" w:rsidRPr="003D505F" w:rsidRDefault="007D4BCC" w:rsidP="00AC0555">
      <w:pPr>
        <w:pStyle w:val="IASBNormalnpara"/>
        <w:rPr>
          <w:lang w:val="ru-RU"/>
        </w:rPr>
      </w:pPr>
      <w:r w:rsidRPr="0049187C">
        <w:rPr>
          <w:lang w:val="ru-RU"/>
        </w:rPr>
        <w:t>6.6.2</w:t>
      </w:r>
      <w:r w:rsidRPr="0049187C">
        <w:rPr>
          <w:lang w:val="ru-RU"/>
        </w:rPr>
        <w:tab/>
      </w:r>
      <w:bookmarkStart w:id="144" w:name="F27187171"/>
      <w:bookmarkStart w:id="145" w:name="F27187129"/>
      <w:r w:rsidR="00AC0555" w:rsidRPr="003D505F">
        <w:rPr>
          <w:lang w:val="ru-RU"/>
        </w:rPr>
        <w:t xml:space="preserve">Компонент, представляющий собой пропорциональную </w:t>
      </w:r>
      <w:r w:rsidR="00AC0555">
        <w:rPr>
          <w:lang w:val="ru-RU"/>
        </w:rPr>
        <w:t xml:space="preserve">долю </w:t>
      </w:r>
      <w:r w:rsidR="00AC0555" w:rsidRPr="00194DA4">
        <w:rPr>
          <w:lang w:val="ru-RU"/>
        </w:rPr>
        <w:t>квалифицируемой</w:t>
      </w:r>
      <w:r w:rsidR="00AC0555">
        <w:rPr>
          <w:lang w:val="ru-RU"/>
        </w:rPr>
        <w:t xml:space="preserve"> </w:t>
      </w:r>
      <w:r w:rsidR="00AC0555" w:rsidRPr="003D505F">
        <w:rPr>
          <w:lang w:val="ru-RU"/>
        </w:rPr>
        <w:t>группы объектов, разреш</w:t>
      </w:r>
      <w:r w:rsidR="00AC0555">
        <w:rPr>
          <w:lang w:val="ru-RU"/>
        </w:rPr>
        <w:t xml:space="preserve">ается по усмотрению организации определять </w:t>
      </w:r>
      <w:r w:rsidR="00AC0555" w:rsidRPr="003D505F">
        <w:rPr>
          <w:lang w:val="ru-RU"/>
        </w:rPr>
        <w:t>в качестве объекта хеджирования</w:t>
      </w:r>
      <w:r w:rsidR="00AC0555">
        <w:rPr>
          <w:lang w:val="ru-RU"/>
        </w:rPr>
        <w:t xml:space="preserve"> </w:t>
      </w:r>
      <w:r w:rsidR="00AC0555" w:rsidRPr="003D505F">
        <w:rPr>
          <w:lang w:val="ru-RU"/>
        </w:rPr>
        <w:t xml:space="preserve">при условии, что </w:t>
      </w:r>
      <w:r w:rsidR="00AC0555">
        <w:rPr>
          <w:lang w:val="ru-RU"/>
        </w:rPr>
        <w:t xml:space="preserve">это </w:t>
      </w:r>
      <w:r w:rsidR="00AC0555" w:rsidRPr="003D505F">
        <w:rPr>
          <w:lang w:val="ru-RU"/>
        </w:rPr>
        <w:t xml:space="preserve">согласуется с </w:t>
      </w:r>
      <w:r w:rsidR="00AC0555">
        <w:rPr>
          <w:lang w:val="ru-RU"/>
        </w:rPr>
        <w:t>документально оформленной целью организации</w:t>
      </w:r>
      <w:r w:rsidR="00AC0555" w:rsidRPr="003D505F">
        <w:rPr>
          <w:lang w:val="ru-RU"/>
        </w:rPr>
        <w:t xml:space="preserve"> </w:t>
      </w:r>
      <w:r w:rsidR="00AC0555">
        <w:rPr>
          <w:lang w:val="ru-RU"/>
        </w:rPr>
        <w:t xml:space="preserve">по </w:t>
      </w:r>
      <w:r w:rsidR="00AC0555" w:rsidRPr="003D505F">
        <w:rPr>
          <w:lang w:val="ru-RU"/>
        </w:rPr>
        <w:t>управлени</w:t>
      </w:r>
      <w:r w:rsidR="00AC0555">
        <w:rPr>
          <w:lang w:val="ru-RU"/>
        </w:rPr>
        <w:t xml:space="preserve">ю </w:t>
      </w:r>
      <w:r w:rsidR="00AC0555" w:rsidRPr="003D505F">
        <w:rPr>
          <w:lang w:val="ru-RU"/>
        </w:rPr>
        <w:t>риск</w:t>
      </w:r>
      <w:r w:rsidR="00AC0555">
        <w:rPr>
          <w:lang w:val="ru-RU"/>
        </w:rPr>
        <w:t>ами</w:t>
      </w:r>
      <w:r w:rsidR="00AC0555" w:rsidRPr="003D505F">
        <w:rPr>
          <w:lang w:val="ru-RU"/>
        </w:rPr>
        <w:t>.</w:t>
      </w:r>
      <w:bookmarkEnd w:id="145"/>
    </w:p>
    <w:p w:rsidR="00AC0555" w:rsidRPr="003D505F" w:rsidRDefault="00AC0555" w:rsidP="00AC0555">
      <w:pPr>
        <w:pStyle w:val="IASBNormalnpara"/>
        <w:rPr>
          <w:lang w:val="ru-RU"/>
        </w:rPr>
      </w:pPr>
      <w:r w:rsidRPr="003D505F">
        <w:rPr>
          <w:lang w:val="ru-RU"/>
        </w:rPr>
        <w:t>6.6.3</w:t>
      </w:r>
      <w:r w:rsidRPr="003D505F">
        <w:rPr>
          <w:lang w:val="ru-RU"/>
        </w:rPr>
        <w:tab/>
      </w:r>
      <w:bookmarkStart w:id="146" w:name="F27187130"/>
      <w:r w:rsidRPr="0065003D">
        <w:rPr>
          <w:lang w:val="ru-RU"/>
        </w:rPr>
        <w:t>Компонент-слой, выделенный из общей группы объектов (например, нижний слой), является разрешенным объ</w:t>
      </w:r>
      <w:r>
        <w:rPr>
          <w:lang w:val="ru-RU"/>
        </w:rPr>
        <w:t>ектом хеджирования, только если</w:t>
      </w:r>
      <w:r w:rsidRPr="003D505F">
        <w:rPr>
          <w:lang w:val="ru-RU"/>
        </w:rPr>
        <w:t>:</w:t>
      </w:r>
      <w:bookmarkEnd w:id="146"/>
    </w:p>
    <w:p w:rsidR="00AC0555" w:rsidRPr="003D505F" w:rsidRDefault="00AC0555" w:rsidP="00AC0555">
      <w:pPr>
        <w:pStyle w:val="IASBNormalnparaL1"/>
        <w:rPr>
          <w:lang w:val="ru-RU"/>
        </w:rPr>
      </w:pPr>
      <w:r w:rsidRPr="003D505F">
        <w:rPr>
          <w:lang w:val="ru-RU"/>
        </w:rPr>
        <w:t>(</w:t>
      </w:r>
      <w:r>
        <w:t>a</w:t>
      </w:r>
      <w:r w:rsidRPr="003D505F">
        <w:rPr>
          <w:lang w:val="ru-RU"/>
        </w:rPr>
        <w:t>)</w:t>
      </w:r>
      <w:r w:rsidRPr="003D505F">
        <w:rPr>
          <w:lang w:val="ru-RU"/>
        </w:rPr>
        <w:tab/>
      </w:r>
      <w:bookmarkStart w:id="147" w:name="F27187163"/>
      <w:r>
        <w:rPr>
          <w:lang w:val="ru-RU"/>
        </w:rPr>
        <w:t>этот компонент возможно</w:t>
      </w:r>
      <w:r w:rsidRPr="003D505F">
        <w:rPr>
          <w:lang w:val="ru-RU"/>
        </w:rPr>
        <w:t xml:space="preserve"> отдельно идентифицир</w:t>
      </w:r>
      <w:r>
        <w:rPr>
          <w:lang w:val="ru-RU"/>
        </w:rPr>
        <w:t>овать и</w:t>
      </w:r>
      <w:r w:rsidRPr="003D505F">
        <w:rPr>
          <w:lang w:val="ru-RU"/>
        </w:rPr>
        <w:t xml:space="preserve"> надежно оцен</w:t>
      </w:r>
      <w:r>
        <w:rPr>
          <w:lang w:val="ru-RU"/>
        </w:rPr>
        <w:t>ить</w:t>
      </w:r>
      <w:r w:rsidRPr="003D505F">
        <w:rPr>
          <w:lang w:val="ru-RU"/>
        </w:rPr>
        <w:t>;</w:t>
      </w:r>
      <w:bookmarkEnd w:id="147"/>
    </w:p>
    <w:p w:rsidR="00AC0555" w:rsidRPr="003D505F" w:rsidRDefault="00AC0555" w:rsidP="00AC0555">
      <w:pPr>
        <w:pStyle w:val="IASBNormalnparaL1"/>
        <w:rPr>
          <w:lang w:val="ru-RU"/>
        </w:rPr>
      </w:pPr>
      <w:r w:rsidRPr="003D505F">
        <w:rPr>
          <w:lang w:val="ru-RU"/>
        </w:rPr>
        <w:t>(</w:t>
      </w:r>
      <w:r>
        <w:t>b</w:t>
      </w:r>
      <w:r w:rsidRPr="003D505F">
        <w:rPr>
          <w:lang w:val="ru-RU"/>
        </w:rPr>
        <w:t>)</w:t>
      </w:r>
      <w:r w:rsidRPr="003D505F">
        <w:rPr>
          <w:lang w:val="ru-RU"/>
        </w:rPr>
        <w:tab/>
      </w:r>
      <w:bookmarkStart w:id="148" w:name="F27187165"/>
      <w:r w:rsidRPr="003D505F">
        <w:rPr>
          <w:lang w:val="ru-RU"/>
        </w:rPr>
        <w:t>целью управления риском является хеджирование компонента</w:t>
      </w:r>
      <w:r>
        <w:rPr>
          <w:lang w:val="ru-RU"/>
        </w:rPr>
        <w:t>-слоя</w:t>
      </w:r>
      <w:r w:rsidRPr="003D505F">
        <w:rPr>
          <w:lang w:val="ru-RU"/>
        </w:rPr>
        <w:t>;</w:t>
      </w:r>
      <w:bookmarkEnd w:id="148"/>
    </w:p>
    <w:p w:rsidR="00AC0555" w:rsidRPr="003D505F" w:rsidRDefault="00AC0555" w:rsidP="00AC0555">
      <w:pPr>
        <w:pStyle w:val="IASBNormalnparaL1"/>
        <w:rPr>
          <w:lang w:val="ru-RU"/>
        </w:rPr>
      </w:pPr>
      <w:r w:rsidRPr="003D505F">
        <w:rPr>
          <w:lang w:val="ru-RU"/>
        </w:rPr>
        <w:t>(</w:t>
      </w:r>
      <w:r>
        <w:t>c</w:t>
      </w:r>
      <w:r w:rsidRPr="003D505F">
        <w:rPr>
          <w:lang w:val="ru-RU"/>
        </w:rPr>
        <w:t>)</w:t>
      </w:r>
      <w:r w:rsidRPr="003D505F">
        <w:rPr>
          <w:lang w:val="ru-RU"/>
        </w:rPr>
        <w:tab/>
      </w:r>
      <w:bookmarkStart w:id="149" w:name="F27187167"/>
      <w:r w:rsidRPr="003D505F">
        <w:rPr>
          <w:lang w:val="ru-RU"/>
        </w:rPr>
        <w:t xml:space="preserve">объекты </w:t>
      </w:r>
      <w:r>
        <w:rPr>
          <w:lang w:val="ru-RU"/>
        </w:rPr>
        <w:t xml:space="preserve">общей </w:t>
      </w:r>
      <w:r w:rsidRPr="003D505F">
        <w:rPr>
          <w:lang w:val="ru-RU"/>
        </w:rPr>
        <w:t xml:space="preserve">группы, в которой идентифицируется данный </w:t>
      </w:r>
      <w:r>
        <w:rPr>
          <w:lang w:val="ru-RU"/>
        </w:rPr>
        <w:t>слой</w:t>
      </w:r>
      <w:r w:rsidRPr="003D505F">
        <w:rPr>
          <w:lang w:val="ru-RU"/>
        </w:rPr>
        <w:t xml:space="preserve">, подвержены одному и тому же хеджируемому риску (вследствие чего на оценку хеджируемого </w:t>
      </w:r>
      <w:r>
        <w:rPr>
          <w:lang w:val="ru-RU"/>
        </w:rPr>
        <w:t xml:space="preserve">слоя </w:t>
      </w:r>
      <w:r w:rsidRPr="003D505F">
        <w:rPr>
          <w:lang w:val="ru-RU"/>
        </w:rPr>
        <w:t xml:space="preserve">не оказывает значительного влияния то, какие именно объекты из состава </w:t>
      </w:r>
      <w:r>
        <w:rPr>
          <w:lang w:val="ru-RU"/>
        </w:rPr>
        <w:t xml:space="preserve">общей </w:t>
      </w:r>
      <w:r w:rsidRPr="003D505F">
        <w:rPr>
          <w:lang w:val="ru-RU"/>
        </w:rPr>
        <w:t xml:space="preserve">группы </w:t>
      </w:r>
      <w:r>
        <w:rPr>
          <w:lang w:val="ru-RU"/>
        </w:rPr>
        <w:t>попадают в хеджируемый</w:t>
      </w:r>
      <w:r w:rsidRPr="003D505F">
        <w:rPr>
          <w:lang w:val="ru-RU"/>
        </w:rPr>
        <w:t xml:space="preserve"> </w:t>
      </w:r>
      <w:r>
        <w:rPr>
          <w:lang w:val="ru-RU"/>
        </w:rPr>
        <w:t>слой</w:t>
      </w:r>
      <w:r w:rsidRPr="003D505F">
        <w:rPr>
          <w:lang w:val="ru-RU"/>
        </w:rPr>
        <w:t>);</w:t>
      </w:r>
      <w:bookmarkEnd w:id="149"/>
    </w:p>
    <w:p w:rsidR="00AC0555" w:rsidRPr="003D505F" w:rsidRDefault="00AC0555" w:rsidP="00AC0555">
      <w:pPr>
        <w:pStyle w:val="IASBNormalnparaL1"/>
        <w:rPr>
          <w:lang w:val="ru-RU"/>
        </w:rPr>
      </w:pPr>
      <w:r w:rsidRPr="003D505F">
        <w:rPr>
          <w:lang w:val="ru-RU"/>
        </w:rPr>
        <w:t>(</w:t>
      </w:r>
      <w:r>
        <w:t>d</w:t>
      </w:r>
      <w:r w:rsidRPr="003D505F">
        <w:rPr>
          <w:lang w:val="ru-RU"/>
        </w:rPr>
        <w:t>)</w:t>
      </w:r>
      <w:r w:rsidRPr="003D505F">
        <w:rPr>
          <w:lang w:val="ru-RU"/>
        </w:rPr>
        <w:tab/>
      </w:r>
      <w:bookmarkStart w:id="150" w:name="F27187169"/>
      <w:r w:rsidRPr="003D505F">
        <w:rPr>
          <w:lang w:val="ru-RU"/>
        </w:rPr>
        <w:t>организация может</w:t>
      </w:r>
      <w:r>
        <w:rPr>
          <w:lang w:val="ru-RU"/>
        </w:rPr>
        <w:t>,</w:t>
      </w:r>
      <w:r w:rsidRPr="003D505F">
        <w:rPr>
          <w:lang w:val="ru-RU"/>
        </w:rPr>
        <w:t xml:space="preserve"> </w:t>
      </w:r>
      <w:r>
        <w:rPr>
          <w:lang w:val="ru-RU"/>
        </w:rPr>
        <w:t>применительно к</w:t>
      </w:r>
      <w:r w:rsidRPr="003D505F">
        <w:rPr>
          <w:lang w:val="ru-RU"/>
        </w:rPr>
        <w:t xml:space="preserve"> хеджировани</w:t>
      </w:r>
      <w:r>
        <w:rPr>
          <w:lang w:val="ru-RU"/>
        </w:rPr>
        <w:t>ю</w:t>
      </w:r>
      <w:r w:rsidRPr="003D505F">
        <w:rPr>
          <w:lang w:val="ru-RU"/>
        </w:rPr>
        <w:t xml:space="preserve"> существующих объектов (например, непризнанно</w:t>
      </w:r>
      <w:r>
        <w:rPr>
          <w:lang w:val="ru-RU"/>
        </w:rPr>
        <w:t>го</w:t>
      </w:r>
      <w:r w:rsidRPr="003D505F">
        <w:rPr>
          <w:lang w:val="ru-RU"/>
        </w:rPr>
        <w:t xml:space="preserve"> твердо</w:t>
      </w:r>
      <w:r>
        <w:rPr>
          <w:lang w:val="ru-RU"/>
        </w:rPr>
        <w:t>го</w:t>
      </w:r>
      <w:r w:rsidRPr="003D505F">
        <w:rPr>
          <w:lang w:val="ru-RU"/>
        </w:rPr>
        <w:t xml:space="preserve"> договорно</w:t>
      </w:r>
      <w:r>
        <w:rPr>
          <w:lang w:val="ru-RU"/>
        </w:rPr>
        <w:t>го</w:t>
      </w:r>
      <w:r w:rsidRPr="003D505F">
        <w:rPr>
          <w:lang w:val="ru-RU"/>
        </w:rPr>
        <w:t xml:space="preserve"> обязательств</w:t>
      </w:r>
      <w:r>
        <w:rPr>
          <w:lang w:val="ru-RU"/>
        </w:rPr>
        <w:t>а</w:t>
      </w:r>
      <w:r w:rsidRPr="003D505F">
        <w:rPr>
          <w:lang w:val="ru-RU"/>
        </w:rPr>
        <w:t xml:space="preserve"> или признанн</w:t>
      </w:r>
      <w:r>
        <w:rPr>
          <w:lang w:val="ru-RU"/>
        </w:rPr>
        <w:t>ого</w:t>
      </w:r>
      <w:r w:rsidRPr="003D505F">
        <w:rPr>
          <w:lang w:val="ru-RU"/>
        </w:rPr>
        <w:t xml:space="preserve"> актив</w:t>
      </w:r>
      <w:r>
        <w:rPr>
          <w:lang w:val="ru-RU"/>
        </w:rPr>
        <w:t>а</w:t>
      </w:r>
      <w:r w:rsidRPr="003D505F">
        <w:rPr>
          <w:lang w:val="ru-RU"/>
        </w:rPr>
        <w:t>)</w:t>
      </w:r>
      <w:r>
        <w:rPr>
          <w:lang w:val="ru-RU"/>
        </w:rPr>
        <w:t>,</w:t>
      </w:r>
      <w:r w:rsidRPr="003D505F">
        <w:rPr>
          <w:lang w:val="ru-RU"/>
        </w:rPr>
        <w:t xml:space="preserve"> идентифицировать и отслеживать </w:t>
      </w:r>
      <w:r>
        <w:rPr>
          <w:lang w:val="ru-RU"/>
        </w:rPr>
        <w:t xml:space="preserve">общую </w:t>
      </w:r>
      <w:r w:rsidRPr="003D505F">
        <w:rPr>
          <w:lang w:val="ru-RU"/>
        </w:rPr>
        <w:t xml:space="preserve">группу объектов, </w:t>
      </w:r>
      <w:r>
        <w:rPr>
          <w:lang w:val="ru-RU"/>
        </w:rPr>
        <w:t xml:space="preserve">в </w:t>
      </w:r>
      <w:r w:rsidRPr="003D505F">
        <w:rPr>
          <w:lang w:val="ru-RU"/>
        </w:rPr>
        <w:t xml:space="preserve">которой определяется хеджируемый </w:t>
      </w:r>
      <w:r>
        <w:rPr>
          <w:lang w:val="ru-RU"/>
        </w:rPr>
        <w:t>слой</w:t>
      </w:r>
      <w:r w:rsidRPr="003D505F">
        <w:rPr>
          <w:lang w:val="ru-RU"/>
        </w:rPr>
        <w:t xml:space="preserve"> (</w:t>
      </w:r>
      <w:r>
        <w:rPr>
          <w:lang w:val="ru-RU"/>
        </w:rPr>
        <w:t xml:space="preserve">чтобы </w:t>
      </w:r>
      <w:r w:rsidRPr="003D505F">
        <w:rPr>
          <w:lang w:val="ru-RU"/>
        </w:rPr>
        <w:t xml:space="preserve">организация </w:t>
      </w:r>
      <w:r>
        <w:rPr>
          <w:lang w:val="ru-RU"/>
        </w:rPr>
        <w:t>имела возможность выполнять</w:t>
      </w:r>
      <w:r w:rsidRPr="003D505F">
        <w:rPr>
          <w:lang w:val="ru-RU"/>
        </w:rPr>
        <w:t xml:space="preserve"> требования</w:t>
      </w:r>
      <w:r>
        <w:rPr>
          <w:lang w:val="ru-RU"/>
        </w:rPr>
        <w:t>, предъявляемые к</w:t>
      </w:r>
      <w:r w:rsidRPr="003D505F">
        <w:rPr>
          <w:lang w:val="ru-RU"/>
        </w:rPr>
        <w:t xml:space="preserve"> учету </w:t>
      </w:r>
      <w:r w:rsidRPr="0065003D">
        <w:rPr>
          <w:lang w:val="ru-RU"/>
        </w:rPr>
        <w:t>квалифицируемых</w:t>
      </w:r>
      <w:r>
        <w:rPr>
          <w:lang w:val="ru-RU"/>
        </w:rPr>
        <w:t xml:space="preserve"> </w:t>
      </w:r>
      <w:r w:rsidRPr="003D505F">
        <w:rPr>
          <w:lang w:val="ru-RU"/>
        </w:rPr>
        <w:t>отношений хеджирования); и</w:t>
      </w:r>
      <w:bookmarkEnd w:id="150"/>
    </w:p>
    <w:p w:rsidR="007D4BCC" w:rsidRPr="0049187C" w:rsidRDefault="00AC0555" w:rsidP="00AC0555">
      <w:pPr>
        <w:pStyle w:val="IASBNormalnparaL1"/>
        <w:rPr>
          <w:lang w:val="ru-RU"/>
        </w:rPr>
      </w:pPr>
      <w:r w:rsidRPr="003D505F">
        <w:rPr>
          <w:lang w:val="ru-RU"/>
        </w:rPr>
        <w:t>(</w:t>
      </w:r>
      <w:r w:rsidRPr="00AC0555">
        <w:rPr>
          <w:lang w:val="ru-RU"/>
        </w:rPr>
        <w:t>e</w:t>
      </w:r>
      <w:r w:rsidRPr="003D505F">
        <w:rPr>
          <w:lang w:val="ru-RU"/>
        </w:rPr>
        <w:t>)</w:t>
      </w:r>
      <w:r w:rsidRPr="003D505F">
        <w:rPr>
          <w:lang w:val="ru-RU"/>
        </w:rPr>
        <w:tab/>
      </w:r>
      <w:r w:rsidRPr="0065003D">
        <w:rPr>
          <w:lang w:val="ru-RU"/>
        </w:rPr>
        <w:t>все объекты в составе данной группы, которые предусматривают возможность досрочного погашения, отвечают требованиям, предъявляемым к компонентам номинальной стоимости (см. пункт В6.3.20)</w:t>
      </w:r>
      <w:r w:rsidR="007D4BCC" w:rsidRPr="0049187C">
        <w:rPr>
          <w:lang w:val="ru-RU"/>
        </w:rPr>
        <w:t>.</w:t>
      </w:r>
      <w:bookmarkEnd w:id="144"/>
    </w:p>
    <w:p w:rsidR="007D4BCC" w:rsidRPr="0049187C" w:rsidRDefault="007D4BCC" w:rsidP="007D4BCC">
      <w:pPr>
        <w:pStyle w:val="IASBSectionTitle2Ind"/>
        <w:rPr>
          <w:lang w:val="ru-RU"/>
        </w:rPr>
      </w:pPr>
      <w:bookmarkStart w:id="151" w:name="F27187173"/>
      <w:r w:rsidRPr="0049187C">
        <w:rPr>
          <w:lang w:val="ru-RU"/>
        </w:rPr>
        <w:t>Представление</w:t>
      </w:r>
      <w:bookmarkEnd w:id="151"/>
    </w:p>
    <w:p w:rsidR="00AC0555" w:rsidRPr="003D505F" w:rsidRDefault="007D4BCC" w:rsidP="00AC0555">
      <w:pPr>
        <w:pStyle w:val="IASBNormalnpara"/>
        <w:rPr>
          <w:lang w:val="ru-RU"/>
        </w:rPr>
      </w:pPr>
      <w:r w:rsidRPr="0049187C">
        <w:rPr>
          <w:lang w:val="ru-RU"/>
        </w:rPr>
        <w:t>6.6.4</w:t>
      </w:r>
      <w:r w:rsidRPr="0049187C">
        <w:rPr>
          <w:lang w:val="ru-RU"/>
        </w:rPr>
        <w:tab/>
      </w:r>
      <w:bookmarkStart w:id="152" w:name="F27187175"/>
      <w:bookmarkStart w:id="153" w:name="F27187174"/>
      <w:r w:rsidR="00AC0555" w:rsidRPr="003D505F">
        <w:rPr>
          <w:lang w:val="ru-RU"/>
        </w:rPr>
        <w:t xml:space="preserve">В случае хеджирования группы объектов с компенсирующими позициями </w:t>
      </w:r>
      <w:r w:rsidR="00AC0555">
        <w:rPr>
          <w:lang w:val="ru-RU"/>
        </w:rPr>
        <w:t>в части риска</w:t>
      </w:r>
      <w:r w:rsidR="00AC0555" w:rsidRPr="003D505F">
        <w:rPr>
          <w:lang w:val="ru-RU"/>
        </w:rPr>
        <w:t xml:space="preserve"> (</w:t>
      </w:r>
      <w:r w:rsidR="00AA6905">
        <w:rPr>
          <w:lang w:val="ru-RU"/>
        </w:rPr>
        <w:t>т. </w:t>
      </w:r>
      <w:r w:rsidR="00730672">
        <w:rPr>
          <w:lang w:val="ru-RU"/>
        </w:rPr>
        <w:t>е.</w:t>
      </w:r>
      <w:r w:rsidR="00AC0555" w:rsidRPr="003D505F">
        <w:rPr>
          <w:lang w:val="ru-RU"/>
        </w:rPr>
        <w:t xml:space="preserve"> при хеджировании нетто-позиции), </w:t>
      </w:r>
      <w:r w:rsidR="00AC0555">
        <w:rPr>
          <w:lang w:val="ru-RU"/>
        </w:rPr>
        <w:t xml:space="preserve">при том, что </w:t>
      </w:r>
      <w:r w:rsidR="00AC0555" w:rsidRPr="003D505F">
        <w:rPr>
          <w:lang w:val="ru-RU"/>
        </w:rPr>
        <w:t xml:space="preserve">хеджируемый риск </w:t>
      </w:r>
      <w:r w:rsidR="00AC0555">
        <w:rPr>
          <w:lang w:val="ru-RU"/>
        </w:rPr>
        <w:t xml:space="preserve">по этим объектам </w:t>
      </w:r>
      <w:r w:rsidR="00AC0555" w:rsidRPr="003D505F">
        <w:rPr>
          <w:lang w:val="ru-RU"/>
        </w:rPr>
        <w:t>оказывает влияние на раз</w:t>
      </w:r>
      <w:r w:rsidR="00AC0555">
        <w:rPr>
          <w:lang w:val="ru-RU"/>
        </w:rPr>
        <w:t>ные</w:t>
      </w:r>
      <w:r w:rsidR="00AC0555" w:rsidRPr="003D505F">
        <w:rPr>
          <w:lang w:val="ru-RU"/>
        </w:rPr>
        <w:t xml:space="preserve"> статьи отчета о прибыл</w:t>
      </w:r>
      <w:r w:rsidR="00AC0555">
        <w:rPr>
          <w:lang w:val="ru-RU"/>
        </w:rPr>
        <w:t>и</w:t>
      </w:r>
      <w:r w:rsidR="00AC0555" w:rsidRPr="003D505F">
        <w:rPr>
          <w:lang w:val="ru-RU"/>
        </w:rPr>
        <w:t xml:space="preserve"> или убытк</w:t>
      </w:r>
      <w:r w:rsidR="00AC0555">
        <w:rPr>
          <w:lang w:val="ru-RU"/>
        </w:rPr>
        <w:t>е</w:t>
      </w:r>
      <w:r w:rsidR="00AC0555" w:rsidRPr="003D505F">
        <w:rPr>
          <w:lang w:val="ru-RU"/>
        </w:rPr>
        <w:t xml:space="preserve"> и прочем совокупном доходе, </w:t>
      </w:r>
      <w:r w:rsidR="00AC0555">
        <w:rPr>
          <w:lang w:val="ru-RU"/>
        </w:rPr>
        <w:t xml:space="preserve">любые </w:t>
      </w:r>
      <w:r w:rsidR="00AC0555" w:rsidRPr="003D505F">
        <w:rPr>
          <w:lang w:val="ru-RU"/>
        </w:rPr>
        <w:t xml:space="preserve">прибыли или убытки от хеджирования должны быть представлены в </w:t>
      </w:r>
      <w:r w:rsidR="00AC0555">
        <w:rPr>
          <w:lang w:val="ru-RU"/>
        </w:rPr>
        <w:t xml:space="preserve">данном </w:t>
      </w:r>
      <w:r w:rsidR="00AC0555" w:rsidRPr="003D505F">
        <w:rPr>
          <w:lang w:val="ru-RU"/>
        </w:rPr>
        <w:t xml:space="preserve">отчете отдельно от тех статей, на которые оказывают влияние объекты хеджирования. </w:t>
      </w:r>
      <w:r w:rsidR="00AC0555" w:rsidRPr="000A0034">
        <w:rPr>
          <w:lang w:val="ru-RU"/>
        </w:rPr>
        <w:t>Соотве</w:t>
      </w:r>
      <w:r w:rsidR="00AC0555">
        <w:rPr>
          <w:lang w:val="ru-RU"/>
        </w:rPr>
        <w:t>тственно</w:t>
      </w:r>
      <w:r w:rsidR="00AC0555" w:rsidRPr="003D505F">
        <w:rPr>
          <w:lang w:val="ru-RU"/>
        </w:rPr>
        <w:t xml:space="preserve">, </w:t>
      </w:r>
      <w:r w:rsidR="00AC0555">
        <w:rPr>
          <w:lang w:val="ru-RU"/>
        </w:rPr>
        <w:t xml:space="preserve">сумма, отраженная </w:t>
      </w:r>
      <w:r w:rsidR="00AC0555" w:rsidRPr="003D505F">
        <w:rPr>
          <w:lang w:val="ru-RU"/>
        </w:rPr>
        <w:t xml:space="preserve">в </w:t>
      </w:r>
      <w:r w:rsidR="00AC0555">
        <w:rPr>
          <w:lang w:val="ru-RU"/>
        </w:rPr>
        <w:t xml:space="preserve">таком </w:t>
      </w:r>
      <w:r w:rsidR="00AC0555" w:rsidRPr="003D505F">
        <w:rPr>
          <w:lang w:val="ru-RU"/>
        </w:rPr>
        <w:t xml:space="preserve">отчете </w:t>
      </w:r>
      <w:r w:rsidR="00AC0555">
        <w:rPr>
          <w:lang w:val="ru-RU"/>
        </w:rPr>
        <w:t xml:space="preserve">по </w:t>
      </w:r>
      <w:r w:rsidR="00AC0555" w:rsidRPr="003D505F">
        <w:rPr>
          <w:lang w:val="ru-RU"/>
        </w:rPr>
        <w:t>стать</w:t>
      </w:r>
      <w:r w:rsidR="00AC0555">
        <w:rPr>
          <w:lang w:val="ru-RU"/>
        </w:rPr>
        <w:t>е</w:t>
      </w:r>
      <w:r w:rsidR="00AC0555" w:rsidRPr="003D505F">
        <w:rPr>
          <w:lang w:val="ru-RU"/>
        </w:rPr>
        <w:t>, относ</w:t>
      </w:r>
      <w:r w:rsidR="00AC0555">
        <w:rPr>
          <w:lang w:val="ru-RU"/>
        </w:rPr>
        <w:t>ящейся</w:t>
      </w:r>
      <w:r w:rsidR="00AC0555" w:rsidRPr="003D505F">
        <w:rPr>
          <w:lang w:val="ru-RU"/>
        </w:rPr>
        <w:t xml:space="preserve"> к </w:t>
      </w:r>
      <w:r w:rsidR="00AC0555">
        <w:rPr>
          <w:lang w:val="ru-RU"/>
        </w:rPr>
        <w:t xml:space="preserve">самому </w:t>
      </w:r>
      <w:r w:rsidR="00AC0555" w:rsidRPr="003D505F">
        <w:rPr>
          <w:lang w:val="ru-RU"/>
        </w:rPr>
        <w:t>объекту хеджирования (например, выручка или себестоимость продаж)</w:t>
      </w:r>
      <w:r w:rsidR="00AC0555">
        <w:rPr>
          <w:lang w:val="ru-RU"/>
        </w:rPr>
        <w:t>,</w:t>
      </w:r>
      <w:r w:rsidR="00AC0555" w:rsidRPr="003D505F">
        <w:rPr>
          <w:lang w:val="ru-RU"/>
        </w:rPr>
        <w:t xml:space="preserve"> остается </w:t>
      </w:r>
      <w:r w:rsidR="00AC0555">
        <w:rPr>
          <w:lang w:val="ru-RU"/>
        </w:rPr>
        <w:t xml:space="preserve">без </w:t>
      </w:r>
      <w:r w:rsidR="00AC0555" w:rsidRPr="003D505F">
        <w:rPr>
          <w:lang w:val="ru-RU"/>
        </w:rPr>
        <w:t>измен</w:t>
      </w:r>
      <w:r w:rsidR="00AC0555">
        <w:rPr>
          <w:lang w:val="ru-RU"/>
        </w:rPr>
        <w:t>ений</w:t>
      </w:r>
      <w:r w:rsidR="00AC0555" w:rsidRPr="003D505F">
        <w:rPr>
          <w:lang w:val="ru-RU"/>
        </w:rPr>
        <w:t>.</w:t>
      </w:r>
      <w:bookmarkEnd w:id="153"/>
    </w:p>
    <w:p w:rsidR="007D4BCC" w:rsidRPr="0049187C" w:rsidRDefault="00AC0555" w:rsidP="00AC0555">
      <w:pPr>
        <w:pStyle w:val="IASBNormalnpara"/>
        <w:rPr>
          <w:lang w:val="ru-RU"/>
        </w:rPr>
      </w:pPr>
      <w:r w:rsidRPr="003D505F">
        <w:rPr>
          <w:lang w:val="ru-RU"/>
        </w:rPr>
        <w:t>6.6.5</w:t>
      </w:r>
      <w:r w:rsidRPr="003D505F">
        <w:rPr>
          <w:lang w:val="ru-RU"/>
        </w:rPr>
        <w:tab/>
      </w:r>
      <w:r>
        <w:rPr>
          <w:lang w:val="ru-RU"/>
        </w:rPr>
        <w:t>Применительно к</w:t>
      </w:r>
      <w:r w:rsidRPr="003D505F">
        <w:rPr>
          <w:lang w:val="ru-RU"/>
        </w:rPr>
        <w:t xml:space="preserve"> актив</w:t>
      </w:r>
      <w:r>
        <w:rPr>
          <w:lang w:val="ru-RU"/>
        </w:rPr>
        <w:t>ам</w:t>
      </w:r>
      <w:r w:rsidRPr="003D505F">
        <w:rPr>
          <w:lang w:val="ru-RU"/>
        </w:rPr>
        <w:t xml:space="preserve"> и обязательств</w:t>
      </w:r>
      <w:r>
        <w:rPr>
          <w:lang w:val="ru-RU"/>
        </w:rPr>
        <w:t>ам</w:t>
      </w:r>
      <w:r w:rsidRPr="003D505F">
        <w:rPr>
          <w:lang w:val="ru-RU"/>
        </w:rPr>
        <w:t>, которые вместе как группа</w:t>
      </w:r>
      <w:r>
        <w:rPr>
          <w:lang w:val="ru-RU"/>
        </w:rPr>
        <w:t xml:space="preserve"> составляют объект</w:t>
      </w:r>
      <w:r w:rsidRPr="003D505F">
        <w:rPr>
          <w:lang w:val="ru-RU"/>
        </w:rPr>
        <w:t xml:space="preserve"> </w:t>
      </w:r>
      <w:r>
        <w:rPr>
          <w:lang w:val="ru-RU"/>
        </w:rPr>
        <w:t xml:space="preserve">хеджирования </w:t>
      </w:r>
      <w:r w:rsidRPr="003D505F">
        <w:rPr>
          <w:lang w:val="ru-RU"/>
        </w:rPr>
        <w:t xml:space="preserve">в рамках хеджирования справедливой стоимости, прибыль или убыток в отчете о финансовом положении по отдельным активам и обязательствам должны признаваться как корректировка балансовой стоимости соответствующих отдельных статей, образующих </w:t>
      </w:r>
      <w:r>
        <w:rPr>
          <w:lang w:val="ru-RU"/>
        </w:rPr>
        <w:t xml:space="preserve">данную </w:t>
      </w:r>
      <w:r w:rsidRPr="003D505F">
        <w:rPr>
          <w:lang w:val="ru-RU"/>
        </w:rPr>
        <w:t>группу, в соответствии с пунктом 6.5.8(</w:t>
      </w:r>
      <w:r>
        <w:t>b</w:t>
      </w:r>
      <w:r w:rsidRPr="003D505F">
        <w:rPr>
          <w:lang w:val="ru-RU"/>
        </w:rPr>
        <w:t>)</w:t>
      </w:r>
      <w:r w:rsidR="007D4BCC" w:rsidRPr="0049187C">
        <w:rPr>
          <w:lang w:val="ru-RU"/>
        </w:rPr>
        <w:t>.</w:t>
      </w:r>
      <w:bookmarkEnd w:id="152"/>
    </w:p>
    <w:p w:rsidR="007D4BCC" w:rsidRPr="0049187C" w:rsidRDefault="007D4BCC" w:rsidP="007D4BCC">
      <w:pPr>
        <w:pStyle w:val="IASBSectionTitle2Ind"/>
        <w:rPr>
          <w:lang w:val="ru-RU"/>
        </w:rPr>
      </w:pPr>
      <w:bookmarkStart w:id="154" w:name="F27187177"/>
      <w:r w:rsidRPr="0049187C">
        <w:rPr>
          <w:lang w:val="ru-RU"/>
        </w:rPr>
        <w:t>Нулевые нетто-позиции</w:t>
      </w:r>
      <w:bookmarkEnd w:id="154"/>
    </w:p>
    <w:p w:rsidR="00AC0555" w:rsidRPr="003D505F" w:rsidRDefault="007D4BCC" w:rsidP="00AC0555">
      <w:pPr>
        <w:pStyle w:val="IASBNormalnpara"/>
        <w:rPr>
          <w:lang w:val="ru-RU"/>
        </w:rPr>
      </w:pPr>
      <w:r w:rsidRPr="0049187C">
        <w:rPr>
          <w:lang w:val="ru-RU"/>
        </w:rPr>
        <w:t>6.6.6</w:t>
      </w:r>
      <w:r w:rsidRPr="0049187C">
        <w:rPr>
          <w:lang w:val="ru-RU"/>
        </w:rPr>
        <w:tab/>
      </w:r>
      <w:bookmarkStart w:id="155" w:name="F27187207"/>
      <w:bookmarkStart w:id="156" w:name="F27187178"/>
      <w:r w:rsidR="00AC0555">
        <w:rPr>
          <w:lang w:val="ru-RU"/>
        </w:rPr>
        <w:t>Когда</w:t>
      </w:r>
      <w:r w:rsidR="00AC0555" w:rsidRPr="003D505F">
        <w:rPr>
          <w:lang w:val="ru-RU"/>
        </w:rPr>
        <w:t xml:space="preserve"> объект</w:t>
      </w:r>
      <w:r w:rsidR="00AC0555">
        <w:rPr>
          <w:lang w:val="ru-RU"/>
        </w:rPr>
        <w:t>ом</w:t>
      </w:r>
      <w:r w:rsidR="00AC0555" w:rsidRPr="003D505F">
        <w:rPr>
          <w:lang w:val="ru-RU"/>
        </w:rPr>
        <w:t xml:space="preserve"> хеджирования </w:t>
      </w:r>
      <w:r w:rsidR="00AC0555">
        <w:rPr>
          <w:lang w:val="ru-RU"/>
        </w:rPr>
        <w:t>является</w:t>
      </w:r>
      <w:r w:rsidR="00AC0555" w:rsidRPr="003D505F">
        <w:rPr>
          <w:lang w:val="ru-RU"/>
        </w:rPr>
        <w:t xml:space="preserve"> групп</w:t>
      </w:r>
      <w:r w:rsidR="00AC0555">
        <w:rPr>
          <w:lang w:val="ru-RU"/>
        </w:rPr>
        <w:t>а</w:t>
      </w:r>
      <w:r w:rsidR="00AC0555" w:rsidRPr="003D505F">
        <w:rPr>
          <w:lang w:val="ru-RU"/>
        </w:rPr>
        <w:t xml:space="preserve">, </w:t>
      </w:r>
      <w:r w:rsidR="00AC0555">
        <w:rPr>
          <w:lang w:val="ru-RU"/>
        </w:rPr>
        <w:t xml:space="preserve">нетто-позиция по </w:t>
      </w:r>
      <w:r w:rsidR="00AC0555" w:rsidRPr="003D505F">
        <w:rPr>
          <w:lang w:val="ru-RU"/>
        </w:rPr>
        <w:t>котор</w:t>
      </w:r>
      <w:r w:rsidR="00AC0555">
        <w:rPr>
          <w:lang w:val="ru-RU"/>
        </w:rPr>
        <w:t>ой</w:t>
      </w:r>
      <w:r w:rsidR="00AC0555" w:rsidRPr="003D505F">
        <w:rPr>
          <w:lang w:val="ru-RU"/>
        </w:rPr>
        <w:t xml:space="preserve"> </w:t>
      </w:r>
      <w:r w:rsidR="00AC0555">
        <w:rPr>
          <w:lang w:val="ru-RU"/>
        </w:rPr>
        <w:t xml:space="preserve">равна </w:t>
      </w:r>
      <w:r w:rsidR="00AC0555" w:rsidRPr="003D505F">
        <w:rPr>
          <w:lang w:val="ru-RU"/>
        </w:rPr>
        <w:t>нул</w:t>
      </w:r>
      <w:r w:rsidR="00AC0555">
        <w:rPr>
          <w:lang w:val="ru-RU"/>
        </w:rPr>
        <w:t>ю</w:t>
      </w:r>
      <w:r w:rsidR="00AC0555" w:rsidRPr="003D505F">
        <w:rPr>
          <w:lang w:val="ru-RU"/>
        </w:rPr>
        <w:t xml:space="preserve"> (</w:t>
      </w:r>
      <w:r w:rsidR="00AA6905">
        <w:rPr>
          <w:lang w:val="ru-RU"/>
        </w:rPr>
        <w:t>т. </w:t>
      </w:r>
      <w:r w:rsidR="00730672">
        <w:rPr>
          <w:lang w:val="ru-RU"/>
        </w:rPr>
        <w:t>е.</w:t>
      </w:r>
      <w:r w:rsidR="00AC0555" w:rsidRPr="003D505F">
        <w:rPr>
          <w:lang w:val="ru-RU"/>
        </w:rPr>
        <w:t xml:space="preserve"> объекты хеджирования полностью взаимно компенсируют риск, управление которым осуществляется на групповой основе), организаци</w:t>
      </w:r>
      <w:r w:rsidR="00AC0555">
        <w:rPr>
          <w:lang w:val="ru-RU"/>
        </w:rPr>
        <w:t xml:space="preserve">и разрешается включить ее </w:t>
      </w:r>
      <w:r w:rsidR="00AC0555" w:rsidRPr="003D505F">
        <w:rPr>
          <w:lang w:val="ru-RU"/>
        </w:rPr>
        <w:t>в</w:t>
      </w:r>
      <w:r w:rsidR="00AC0555">
        <w:rPr>
          <w:lang w:val="ru-RU"/>
        </w:rPr>
        <w:t xml:space="preserve"> </w:t>
      </w:r>
      <w:r w:rsidR="00AC0555" w:rsidRPr="006A78D3">
        <w:rPr>
          <w:lang w:val="ru-RU"/>
        </w:rPr>
        <w:t>отношения</w:t>
      </w:r>
      <w:r w:rsidR="00AC0555">
        <w:rPr>
          <w:lang w:val="ru-RU"/>
        </w:rPr>
        <w:t xml:space="preserve"> </w:t>
      </w:r>
      <w:r w:rsidR="00AC0555" w:rsidRPr="003D505F">
        <w:rPr>
          <w:lang w:val="ru-RU"/>
        </w:rPr>
        <w:t xml:space="preserve">хеджирования, не </w:t>
      </w:r>
      <w:r w:rsidR="00AC0555">
        <w:rPr>
          <w:lang w:val="ru-RU"/>
        </w:rPr>
        <w:t>содержащие</w:t>
      </w:r>
      <w:r w:rsidR="00AC0555" w:rsidRPr="003D505F">
        <w:rPr>
          <w:lang w:val="ru-RU"/>
        </w:rPr>
        <w:t xml:space="preserve"> инструмент</w:t>
      </w:r>
      <w:r w:rsidR="00AC0555">
        <w:rPr>
          <w:lang w:val="ru-RU"/>
        </w:rPr>
        <w:t>а</w:t>
      </w:r>
      <w:r w:rsidR="00AC0555" w:rsidRPr="003D505F">
        <w:rPr>
          <w:lang w:val="ru-RU"/>
        </w:rPr>
        <w:t xml:space="preserve"> хеджирования, при условии, что:</w:t>
      </w:r>
      <w:bookmarkEnd w:id="156"/>
    </w:p>
    <w:p w:rsidR="00AC0555" w:rsidRPr="003D505F" w:rsidRDefault="00AC0555" w:rsidP="00AC0555">
      <w:pPr>
        <w:pStyle w:val="IASBNormalnparaL1"/>
        <w:rPr>
          <w:lang w:val="ru-RU"/>
        </w:rPr>
      </w:pPr>
      <w:r w:rsidRPr="003D505F">
        <w:rPr>
          <w:lang w:val="ru-RU"/>
        </w:rPr>
        <w:t>(</w:t>
      </w:r>
      <w:r>
        <w:t>a</w:t>
      </w:r>
      <w:r w:rsidRPr="003D505F">
        <w:rPr>
          <w:lang w:val="ru-RU"/>
        </w:rPr>
        <w:t>)</w:t>
      </w:r>
      <w:r w:rsidRPr="003D505F">
        <w:rPr>
          <w:lang w:val="ru-RU"/>
        </w:rPr>
        <w:tab/>
      </w:r>
      <w:bookmarkStart w:id="157" w:name="F27187181"/>
      <w:r w:rsidRPr="003D505F">
        <w:rPr>
          <w:lang w:val="ru-RU"/>
        </w:rPr>
        <w:t xml:space="preserve">данное хеджирование </w:t>
      </w:r>
      <w:r>
        <w:rPr>
          <w:lang w:val="ru-RU"/>
        </w:rPr>
        <w:t>осуществляется в рамках</w:t>
      </w:r>
      <w:r w:rsidRPr="003D505F">
        <w:rPr>
          <w:lang w:val="ru-RU"/>
        </w:rPr>
        <w:t xml:space="preserve"> стратегии </w:t>
      </w:r>
      <w:r>
        <w:rPr>
          <w:lang w:val="ru-RU"/>
        </w:rPr>
        <w:t>скользящего</w:t>
      </w:r>
      <w:r w:rsidRPr="003D505F">
        <w:rPr>
          <w:lang w:val="ru-RU"/>
        </w:rPr>
        <w:t xml:space="preserve"> хеджирования </w:t>
      </w:r>
      <w:r>
        <w:rPr>
          <w:lang w:val="ru-RU"/>
        </w:rPr>
        <w:t>нетто-</w:t>
      </w:r>
      <w:r w:rsidRPr="003D505F">
        <w:rPr>
          <w:lang w:val="ru-RU"/>
        </w:rPr>
        <w:t xml:space="preserve">риска, в </w:t>
      </w:r>
      <w:r>
        <w:rPr>
          <w:lang w:val="ru-RU"/>
        </w:rPr>
        <w:t>соответствии с</w:t>
      </w:r>
      <w:r w:rsidRPr="003D505F">
        <w:rPr>
          <w:lang w:val="ru-RU"/>
        </w:rPr>
        <w:t xml:space="preserve"> которой организация </w:t>
      </w:r>
      <w:r>
        <w:rPr>
          <w:lang w:val="ru-RU"/>
        </w:rPr>
        <w:t>регулярно</w:t>
      </w:r>
      <w:r w:rsidRPr="003D505F">
        <w:rPr>
          <w:lang w:val="ru-RU"/>
        </w:rPr>
        <w:t xml:space="preserve"> хеджирует новые позиции </w:t>
      </w:r>
      <w:r>
        <w:rPr>
          <w:lang w:val="ru-RU"/>
        </w:rPr>
        <w:t>того же</w:t>
      </w:r>
      <w:r w:rsidRPr="003D505F">
        <w:rPr>
          <w:lang w:val="ru-RU"/>
        </w:rPr>
        <w:t xml:space="preserve"> типа </w:t>
      </w:r>
      <w:r>
        <w:rPr>
          <w:lang w:val="ru-RU"/>
        </w:rPr>
        <w:t xml:space="preserve">по мере </w:t>
      </w:r>
      <w:r w:rsidR="00A34BF4">
        <w:rPr>
          <w:lang w:val="ru-RU"/>
        </w:rPr>
        <w:t>ис</w:t>
      </w:r>
      <w:r w:rsidR="00A34BF4" w:rsidRPr="003D505F">
        <w:rPr>
          <w:lang w:val="ru-RU"/>
        </w:rPr>
        <w:t>течения</w:t>
      </w:r>
      <w:r w:rsidRPr="003D505F">
        <w:rPr>
          <w:lang w:val="ru-RU"/>
        </w:rPr>
        <w:t xml:space="preserve"> времени (например, когда операции </w:t>
      </w:r>
      <w:r>
        <w:rPr>
          <w:lang w:val="ru-RU"/>
        </w:rPr>
        <w:t>достигают предела того</w:t>
      </w:r>
      <w:r w:rsidRPr="003D505F">
        <w:rPr>
          <w:lang w:val="ru-RU"/>
        </w:rPr>
        <w:t xml:space="preserve"> </w:t>
      </w:r>
      <w:r>
        <w:rPr>
          <w:lang w:val="ru-RU"/>
        </w:rPr>
        <w:t xml:space="preserve">отрезка </w:t>
      </w:r>
      <w:r w:rsidRPr="003D505F">
        <w:rPr>
          <w:lang w:val="ru-RU"/>
        </w:rPr>
        <w:t>времен</w:t>
      </w:r>
      <w:r>
        <w:rPr>
          <w:lang w:val="ru-RU"/>
        </w:rPr>
        <w:t>и</w:t>
      </w:r>
      <w:r w:rsidRPr="003D505F">
        <w:rPr>
          <w:lang w:val="ru-RU"/>
        </w:rPr>
        <w:t xml:space="preserve">, </w:t>
      </w:r>
      <w:r>
        <w:rPr>
          <w:lang w:val="ru-RU"/>
        </w:rPr>
        <w:t xml:space="preserve">на </w:t>
      </w:r>
      <w:r w:rsidRPr="003D505F">
        <w:rPr>
          <w:lang w:val="ru-RU"/>
        </w:rPr>
        <w:t>котор</w:t>
      </w:r>
      <w:r>
        <w:rPr>
          <w:lang w:val="ru-RU"/>
        </w:rPr>
        <w:t>ый</w:t>
      </w:r>
      <w:r w:rsidRPr="003D505F">
        <w:rPr>
          <w:lang w:val="ru-RU"/>
        </w:rPr>
        <w:t xml:space="preserve"> организация осуществляет хеджирование);</w:t>
      </w:r>
      <w:bookmarkEnd w:id="157"/>
    </w:p>
    <w:p w:rsidR="00AC0555" w:rsidRPr="003D505F" w:rsidRDefault="00AC0555" w:rsidP="00AC0555">
      <w:pPr>
        <w:pStyle w:val="IASBNormalnparaL1"/>
        <w:rPr>
          <w:lang w:val="ru-RU"/>
        </w:rPr>
      </w:pPr>
      <w:r w:rsidRPr="003D505F">
        <w:rPr>
          <w:lang w:val="ru-RU"/>
        </w:rPr>
        <w:t>(</w:t>
      </w:r>
      <w:r>
        <w:t>b</w:t>
      </w:r>
      <w:r w:rsidRPr="003D505F">
        <w:rPr>
          <w:lang w:val="ru-RU"/>
        </w:rPr>
        <w:t>)</w:t>
      </w:r>
      <w:r w:rsidRPr="003D505F">
        <w:rPr>
          <w:lang w:val="ru-RU"/>
        </w:rPr>
        <w:tab/>
      </w:r>
      <w:bookmarkStart w:id="158" w:name="F27187203"/>
      <w:r w:rsidRPr="003D505F">
        <w:rPr>
          <w:lang w:val="ru-RU"/>
        </w:rPr>
        <w:t>хеджируем</w:t>
      </w:r>
      <w:r>
        <w:rPr>
          <w:lang w:val="ru-RU"/>
        </w:rPr>
        <w:t>ая</w:t>
      </w:r>
      <w:r w:rsidRPr="003D505F">
        <w:rPr>
          <w:lang w:val="ru-RU"/>
        </w:rPr>
        <w:t xml:space="preserve"> нетто-позиции меняется </w:t>
      </w:r>
      <w:r>
        <w:rPr>
          <w:lang w:val="ru-RU"/>
        </w:rPr>
        <w:t>в размере на протяжении срока действия</w:t>
      </w:r>
      <w:r w:rsidRPr="003D505F">
        <w:rPr>
          <w:lang w:val="ru-RU"/>
        </w:rPr>
        <w:t xml:space="preserve"> стратегии </w:t>
      </w:r>
      <w:r>
        <w:rPr>
          <w:lang w:val="ru-RU"/>
        </w:rPr>
        <w:t>скользящего</w:t>
      </w:r>
      <w:r w:rsidRPr="003D505F">
        <w:rPr>
          <w:lang w:val="ru-RU"/>
        </w:rPr>
        <w:t xml:space="preserve"> хеджирования </w:t>
      </w:r>
      <w:r>
        <w:rPr>
          <w:lang w:val="ru-RU"/>
        </w:rPr>
        <w:t>нетто-</w:t>
      </w:r>
      <w:r w:rsidRPr="003D505F">
        <w:rPr>
          <w:lang w:val="ru-RU"/>
        </w:rPr>
        <w:t xml:space="preserve">риска, и при этом для хеджирования </w:t>
      </w:r>
      <w:r>
        <w:rPr>
          <w:lang w:val="ru-RU"/>
        </w:rPr>
        <w:t>нетто-</w:t>
      </w:r>
      <w:r w:rsidRPr="003D505F">
        <w:rPr>
          <w:lang w:val="ru-RU"/>
        </w:rPr>
        <w:t>риска (</w:t>
      </w:r>
      <w:r w:rsidR="00730672">
        <w:rPr>
          <w:lang w:val="ru-RU"/>
        </w:rPr>
        <w:t>т. е.</w:t>
      </w:r>
      <w:r w:rsidRPr="003D505F">
        <w:rPr>
          <w:lang w:val="ru-RU"/>
        </w:rPr>
        <w:t xml:space="preserve"> в тех случаях, когда нетто-позиция не равна нулю)</w:t>
      </w:r>
      <w:r>
        <w:rPr>
          <w:lang w:val="ru-RU"/>
        </w:rPr>
        <w:t xml:space="preserve"> </w:t>
      </w:r>
      <w:r w:rsidRPr="003D505F">
        <w:rPr>
          <w:lang w:val="ru-RU"/>
        </w:rPr>
        <w:t xml:space="preserve">организация использует </w:t>
      </w:r>
      <w:r w:rsidRPr="006A78D3">
        <w:rPr>
          <w:lang w:val="ru-RU"/>
        </w:rPr>
        <w:t>квалифицируемые</w:t>
      </w:r>
      <w:r w:rsidRPr="003D505F">
        <w:rPr>
          <w:lang w:val="ru-RU"/>
        </w:rPr>
        <w:t xml:space="preserve"> инструменты хеджирования</w:t>
      </w:r>
      <w:r w:rsidRPr="006A78D3">
        <w:rPr>
          <w:lang w:val="ru-RU"/>
        </w:rPr>
        <w:t>;</w:t>
      </w:r>
      <w:bookmarkEnd w:id="158"/>
    </w:p>
    <w:p w:rsidR="00AC0555" w:rsidRPr="003D505F" w:rsidRDefault="00AC0555" w:rsidP="00AC0555">
      <w:pPr>
        <w:pStyle w:val="IASBNormalnparaL1"/>
        <w:rPr>
          <w:lang w:val="ru-RU"/>
        </w:rPr>
      </w:pPr>
      <w:r w:rsidRPr="003D505F">
        <w:rPr>
          <w:lang w:val="ru-RU"/>
        </w:rPr>
        <w:t>(</w:t>
      </w:r>
      <w:r>
        <w:t>c</w:t>
      </w:r>
      <w:r w:rsidRPr="003D505F">
        <w:rPr>
          <w:lang w:val="ru-RU"/>
        </w:rPr>
        <w:t>)</w:t>
      </w:r>
      <w:r w:rsidRPr="003D505F">
        <w:rPr>
          <w:lang w:val="ru-RU"/>
        </w:rPr>
        <w:tab/>
      </w:r>
      <w:bookmarkStart w:id="159" w:name="F27187205"/>
      <w:r w:rsidRPr="003D505F">
        <w:rPr>
          <w:lang w:val="ru-RU"/>
        </w:rPr>
        <w:t xml:space="preserve">в отношении таких нетто-позиций, </w:t>
      </w:r>
      <w:r>
        <w:rPr>
          <w:lang w:val="ru-RU"/>
        </w:rPr>
        <w:t>когда</w:t>
      </w:r>
      <w:r w:rsidRPr="003D505F">
        <w:rPr>
          <w:lang w:val="ru-RU"/>
        </w:rPr>
        <w:t xml:space="preserve"> нетто-позиция не равна нулю и она хеджируется посредством </w:t>
      </w:r>
      <w:r w:rsidRPr="006A78D3">
        <w:rPr>
          <w:lang w:val="ru-RU"/>
        </w:rPr>
        <w:t>квалифицируемых</w:t>
      </w:r>
      <w:r w:rsidRPr="003D505F">
        <w:rPr>
          <w:lang w:val="ru-RU"/>
        </w:rPr>
        <w:t xml:space="preserve"> инструментов хеджирования</w:t>
      </w:r>
      <w:r>
        <w:rPr>
          <w:lang w:val="ru-RU"/>
        </w:rPr>
        <w:t xml:space="preserve">, </w:t>
      </w:r>
      <w:r w:rsidRPr="003D505F">
        <w:rPr>
          <w:lang w:val="ru-RU"/>
        </w:rPr>
        <w:t>обычно применяется учет хеджирования; и</w:t>
      </w:r>
      <w:bookmarkEnd w:id="159"/>
    </w:p>
    <w:p w:rsidR="007D4BCC" w:rsidRPr="0049187C" w:rsidRDefault="00AC0555" w:rsidP="00AC0555">
      <w:pPr>
        <w:pStyle w:val="IASBNormalnparaL1"/>
        <w:rPr>
          <w:lang w:val="ru-RU"/>
        </w:rPr>
      </w:pPr>
      <w:r w:rsidRPr="003D505F">
        <w:rPr>
          <w:lang w:val="ru-RU"/>
        </w:rPr>
        <w:t>(</w:t>
      </w:r>
      <w:r w:rsidRPr="00AC0555">
        <w:rPr>
          <w:lang w:val="ru-RU"/>
        </w:rPr>
        <w:t>d</w:t>
      </w:r>
      <w:r w:rsidRPr="003D505F">
        <w:rPr>
          <w:lang w:val="ru-RU"/>
        </w:rPr>
        <w:t>)</w:t>
      </w:r>
      <w:r w:rsidRPr="003D505F">
        <w:rPr>
          <w:lang w:val="ru-RU"/>
        </w:rPr>
        <w:tab/>
      </w:r>
      <w:r>
        <w:rPr>
          <w:lang w:val="ru-RU"/>
        </w:rPr>
        <w:t xml:space="preserve">результатом </w:t>
      </w:r>
      <w:r w:rsidRPr="003D505F">
        <w:rPr>
          <w:lang w:val="ru-RU"/>
        </w:rPr>
        <w:t>неприменени</w:t>
      </w:r>
      <w:r>
        <w:rPr>
          <w:lang w:val="ru-RU"/>
        </w:rPr>
        <w:t>я</w:t>
      </w:r>
      <w:r w:rsidRPr="003D505F">
        <w:rPr>
          <w:lang w:val="ru-RU"/>
        </w:rPr>
        <w:t xml:space="preserve"> учета хеджирования в отношении нулевой нетто-позиции </w:t>
      </w:r>
      <w:r>
        <w:rPr>
          <w:lang w:val="ru-RU"/>
        </w:rPr>
        <w:t>стало бы</w:t>
      </w:r>
      <w:r w:rsidRPr="003D505F">
        <w:rPr>
          <w:lang w:val="ru-RU"/>
        </w:rPr>
        <w:t xml:space="preserve"> </w:t>
      </w:r>
      <w:r>
        <w:rPr>
          <w:lang w:val="ru-RU"/>
        </w:rPr>
        <w:t>возникновение рассогласованности в результатах учета</w:t>
      </w:r>
      <w:r w:rsidRPr="003D505F">
        <w:rPr>
          <w:lang w:val="ru-RU"/>
        </w:rPr>
        <w:t xml:space="preserve">, поскольку в </w:t>
      </w:r>
      <w:r>
        <w:rPr>
          <w:lang w:val="ru-RU"/>
        </w:rPr>
        <w:t xml:space="preserve">отчетности </w:t>
      </w:r>
      <w:r w:rsidRPr="003D505F">
        <w:rPr>
          <w:lang w:val="ru-RU"/>
        </w:rPr>
        <w:t>не призна</w:t>
      </w:r>
      <w:r>
        <w:rPr>
          <w:lang w:val="ru-RU"/>
        </w:rPr>
        <w:t xml:space="preserve">вались бы </w:t>
      </w:r>
      <w:r w:rsidRPr="003D505F">
        <w:rPr>
          <w:lang w:val="ru-RU"/>
        </w:rPr>
        <w:t xml:space="preserve">взаимно компенсирующие позиции риска, которые в противном случае признавались бы </w:t>
      </w:r>
      <w:r>
        <w:rPr>
          <w:lang w:val="ru-RU"/>
        </w:rPr>
        <w:t>в рамках</w:t>
      </w:r>
      <w:r w:rsidRPr="003D505F">
        <w:rPr>
          <w:lang w:val="ru-RU"/>
        </w:rPr>
        <w:t xml:space="preserve"> хеджировани</w:t>
      </w:r>
      <w:r>
        <w:rPr>
          <w:lang w:val="ru-RU"/>
        </w:rPr>
        <w:t>я</w:t>
      </w:r>
      <w:r w:rsidRPr="003D505F">
        <w:rPr>
          <w:lang w:val="ru-RU"/>
        </w:rPr>
        <w:t xml:space="preserve"> нетто-позиции</w:t>
      </w:r>
      <w:r w:rsidR="007D4BCC" w:rsidRPr="0049187C">
        <w:rPr>
          <w:lang w:val="ru-RU"/>
        </w:rPr>
        <w:t>.</w:t>
      </w:r>
      <w:bookmarkEnd w:id="155"/>
    </w:p>
    <w:p w:rsidR="007D4BCC" w:rsidRPr="0049187C" w:rsidRDefault="007D4BCC" w:rsidP="007D4BCC">
      <w:pPr>
        <w:pStyle w:val="IASBSectionTitle1NonInd"/>
        <w:rPr>
          <w:lang w:val="ru-RU"/>
        </w:rPr>
      </w:pPr>
      <w:bookmarkStart w:id="160" w:name="SL32570425"/>
      <w:r w:rsidRPr="0049187C">
        <w:rPr>
          <w:lang w:val="ru-RU"/>
        </w:rPr>
        <w:t xml:space="preserve">6.7 </w:t>
      </w:r>
      <w:bookmarkEnd w:id="160"/>
      <w:r w:rsidRPr="0049187C">
        <w:rPr>
          <w:lang w:val="ru-RU"/>
        </w:rPr>
        <w:t xml:space="preserve">Возможность </w:t>
      </w:r>
      <w:r w:rsidR="00AC0555">
        <w:rPr>
          <w:lang w:val="ru-RU"/>
        </w:rPr>
        <w:t>по собственному усмотрению классифицировать позицию, подверженную</w:t>
      </w:r>
      <w:r w:rsidRPr="0049187C">
        <w:rPr>
          <w:lang w:val="ru-RU"/>
        </w:rPr>
        <w:t xml:space="preserve"> кредитному риску</w:t>
      </w:r>
      <w:r w:rsidR="00AC0555">
        <w:rPr>
          <w:lang w:val="ru-RU"/>
        </w:rPr>
        <w:t>, как оцениваемую</w:t>
      </w:r>
      <w:r w:rsidRPr="0049187C">
        <w:rPr>
          <w:lang w:val="ru-RU"/>
        </w:rPr>
        <w:t xml:space="preserve"> по справедливой стоимости через прибыль или убыток</w:t>
      </w:r>
    </w:p>
    <w:p w:rsidR="007D4BCC" w:rsidRPr="0049187C" w:rsidRDefault="00AC0555" w:rsidP="007D4BCC">
      <w:pPr>
        <w:pStyle w:val="IASBSectionTitle2Ind"/>
        <w:rPr>
          <w:lang w:val="ru-RU"/>
        </w:rPr>
      </w:pPr>
      <w:bookmarkStart w:id="161" w:name="F27187490"/>
      <w:r>
        <w:rPr>
          <w:lang w:val="ru-RU"/>
        </w:rPr>
        <w:t>Условия, при которых позиции, подверженные</w:t>
      </w:r>
      <w:r w:rsidR="007D4BCC" w:rsidRPr="0049187C">
        <w:rPr>
          <w:lang w:val="ru-RU"/>
        </w:rPr>
        <w:t xml:space="preserve"> кредитному риску, </w:t>
      </w:r>
      <w:r>
        <w:rPr>
          <w:lang w:val="ru-RU"/>
        </w:rPr>
        <w:t>организация может по собственному усмотрению классифицировать</w:t>
      </w:r>
      <w:r w:rsidR="007D4BCC" w:rsidRPr="0049187C">
        <w:rPr>
          <w:lang w:val="ru-RU"/>
        </w:rPr>
        <w:t xml:space="preserve"> как оцениваемые по справедливой стоимости через прибыль или убыток</w:t>
      </w:r>
      <w:bookmarkEnd w:id="161"/>
    </w:p>
    <w:p w:rsidR="006D6769" w:rsidRPr="003D505F" w:rsidRDefault="007D4BCC" w:rsidP="006D6769">
      <w:pPr>
        <w:pStyle w:val="IASBNormalnpara"/>
        <w:rPr>
          <w:b/>
          <w:lang w:val="ru-RU"/>
        </w:rPr>
      </w:pPr>
      <w:r w:rsidRPr="004D2F3F">
        <w:rPr>
          <w:b/>
          <w:lang w:val="ru-RU"/>
        </w:rPr>
        <w:t>6.7.1</w:t>
      </w:r>
      <w:r w:rsidRPr="004D2F3F">
        <w:rPr>
          <w:b/>
          <w:lang w:val="ru-RU"/>
        </w:rPr>
        <w:tab/>
      </w:r>
      <w:bookmarkStart w:id="162" w:name="F27187508"/>
      <w:bookmarkStart w:id="163" w:name="F27187491"/>
      <w:r w:rsidR="006D6769" w:rsidRPr="003D505F">
        <w:rPr>
          <w:b/>
          <w:lang w:val="ru-RU"/>
        </w:rPr>
        <w:t>Если организация использует кредитный производный инструмент, который оценивается по справедливой стоимости через прибыль или убыток, для управления кредитным риском</w:t>
      </w:r>
      <w:r w:rsidR="006D6769">
        <w:rPr>
          <w:b/>
          <w:lang w:val="ru-RU"/>
        </w:rPr>
        <w:t>, связанным</w:t>
      </w:r>
      <w:r w:rsidR="006D6769" w:rsidRPr="003D505F">
        <w:rPr>
          <w:b/>
          <w:lang w:val="ru-RU"/>
        </w:rPr>
        <w:t xml:space="preserve"> </w:t>
      </w:r>
      <w:r w:rsidR="006D6769">
        <w:rPr>
          <w:b/>
          <w:lang w:val="ru-RU"/>
        </w:rPr>
        <w:t>с</w:t>
      </w:r>
      <w:r w:rsidR="006D6769" w:rsidRPr="003D505F">
        <w:rPr>
          <w:b/>
          <w:lang w:val="ru-RU"/>
        </w:rPr>
        <w:t xml:space="preserve"> финансов</w:t>
      </w:r>
      <w:r w:rsidR="006D6769">
        <w:rPr>
          <w:b/>
          <w:lang w:val="ru-RU"/>
        </w:rPr>
        <w:t>ым</w:t>
      </w:r>
      <w:r w:rsidR="006D6769" w:rsidRPr="003D505F">
        <w:rPr>
          <w:b/>
          <w:lang w:val="ru-RU"/>
        </w:rPr>
        <w:t xml:space="preserve"> инструмент</w:t>
      </w:r>
      <w:r w:rsidR="006D6769">
        <w:rPr>
          <w:b/>
          <w:lang w:val="ru-RU"/>
        </w:rPr>
        <w:t>ом</w:t>
      </w:r>
      <w:r w:rsidR="006D6769" w:rsidRPr="003D505F">
        <w:rPr>
          <w:b/>
          <w:lang w:val="ru-RU"/>
        </w:rPr>
        <w:t xml:space="preserve"> </w:t>
      </w:r>
      <w:r w:rsidR="006D6769">
        <w:rPr>
          <w:b/>
          <w:lang w:val="ru-RU"/>
        </w:rPr>
        <w:t>в целом или с какой-</w:t>
      </w:r>
      <w:r w:rsidR="006D6769" w:rsidRPr="003D505F">
        <w:rPr>
          <w:b/>
          <w:lang w:val="ru-RU"/>
        </w:rPr>
        <w:t>либо его част</w:t>
      </w:r>
      <w:r w:rsidR="006D6769">
        <w:rPr>
          <w:b/>
          <w:lang w:val="ru-RU"/>
        </w:rPr>
        <w:t>ью</w:t>
      </w:r>
      <w:r w:rsidR="006D6769" w:rsidRPr="003D505F">
        <w:rPr>
          <w:b/>
          <w:lang w:val="ru-RU"/>
        </w:rPr>
        <w:t xml:space="preserve"> (</w:t>
      </w:r>
      <w:r w:rsidR="006D6769">
        <w:rPr>
          <w:b/>
          <w:lang w:val="ru-RU"/>
        </w:rPr>
        <w:t xml:space="preserve">позиция, подверженная </w:t>
      </w:r>
      <w:r w:rsidR="006D6769" w:rsidRPr="003D505F">
        <w:rPr>
          <w:b/>
          <w:lang w:val="ru-RU"/>
        </w:rPr>
        <w:t xml:space="preserve">кредитному риску), то она вправе </w:t>
      </w:r>
      <w:r w:rsidR="006D6769">
        <w:rPr>
          <w:b/>
          <w:lang w:val="ru-RU"/>
        </w:rPr>
        <w:t xml:space="preserve">по собственному усмотрению классифицировать такой финансовый </w:t>
      </w:r>
      <w:r w:rsidR="006D6769" w:rsidRPr="003D505F">
        <w:rPr>
          <w:b/>
          <w:lang w:val="ru-RU"/>
        </w:rPr>
        <w:t xml:space="preserve">инструмент в той мере, в которой управление им осуществляется </w:t>
      </w:r>
      <w:r w:rsidR="006D6769">
        <w:rPr>
          <w:b/>
          <w:lang w:val="ru-RU"/>
        </w:rPr>
        <w:t>указанным</w:t>
      </w:r>
      <w:r w:rsidR="006D6769" w:rsidRPr="003D505F">
        <w:rPr>
          <w:b/>
          <w:lang w:val="ru-RU"/>
        </w:rPr>
        <w:t xml:space="preserve"> образом (</w:t>
      </w:r>
      <w:r w:rsidR="00730672">
        <w:rPr>
          <w:b/>
          <w:lang w:val="ru-RU"/>
        </w:rPr>
        <w:t>т. е.</w:t>
      </w:r>
      <w:r w:rsidR="006D6769" w:rsidRPr="003D505F">
        <w:rPr>
          <w:b/>
          <w:lang w:val="ru-RU"/>
        </w:rPr>
        <w:t xml:space="preserve"> весь инструмент либо его часть), как оцениваемый по справедливой стоимости через прибыль или убыток, если:</w:t>
      </w:r>
      <w:bookmarkEnd w:id="163"/>
    </w:p>
    <w:p w:rsidR="006D6769" w:rsidRPr="003D505F" w:rsidRDefault="006D6769" w:rsidP="006D6769">
      <w:pPr>
        <w:pStyle w:val="IASBNormalnparaL1"/>
        <w:rPr>
          <w:b/>
          <w:lang w:val="ru-RU"/>
        </w:rPr>
      </w:pPr>
      <w:r w:rsidRPr="003D505F">
        <w:rPr>
          <w:b/>
          <w:lang w:val="ru-RU"/>
        </w:rPr>
        <w:t>(</w:t>
      </w:r>
      <w:r>
        <w:rPr>
          <w:b/>
        </w:rPr>
        <w:t>a</w:t>
      </w:r>
      <w:r w:rsidRPr="003D505F">
        <w:rPr>
          <w:b/>
          <w:lang w:val="ru-RU"/>
        </w:rPr>
        <w:t>)</w:t>
      </w:r>
      <w:r w:rsidRPr="003D505F">
        <w:rPr>
          <w:lang w:val="ru-RU"/>
        </w:rPr>
        <w:tab/>
      </w:r>
      <w:bookmarkStart w:id="164" w:name="F27187495"/>
      <w:r w:rsidRPr="00F964E0">
        <w:rPr>
          <w:b/>
          <w:lang w:val="ru-RU"/>
        </w:rPr>
        <w:t>должник, в отношении которого организация подвержена кредитному риску (например, заемщик или лицо, которому организация обязалась предоставить заем) совпадает с должником, указанным в данном кредитном производном инструменте («совпадение по наименованию»); и</w:t>
      </w:r>
      <w:bookmarkEnd w:id="164"/>
    </w:p>
    <w:p w:rsidR="006D6769" w:rsidRPr="003D505F" w:rsidRDefault="006D6769" w:rsidP="006D6769">
      <w:pPr>
        <w:pStyle w:val="IASBNormalnparaL1"/>
        <w:rPr>
          <w:b/>
          <w:lang w:val="ru-RU"/>
        </w:rPr>
      </w:pPr>
      <w:r w:rsidRPr="003D505F">
        <w:rPr>
          <w:b/>
          <w:lang w:val="ru-RU"/>
        </w:rPr>
        <w:t>(</w:t>
      </w:r>
      <w:r>
        <w:rPr>
          <w:b/>
        </w:rPr>
        <w:t>b</w:t>
      </w:r>
      <w:r w:rsidRPr="003D505F">
        <w:rPr>
          <w:b/>
          <w:lang w:val="ru-RU"/>
        </w:rPr>
        <w:t>)</w:t>
      </w:r>
      <w:r w:rsidRPr="003D505F">
        <w:rPr>
          <w:lang w:val="ru-RU"/>
        </w:rPr>
        <w:tab/>
      </w:r>
      <w:bookmarkStart w:id="165" w:name="F27187507"/>
      <w:r w:rsidRPr="00C74033">
        <w:rPr>
          <w:b/>
          <w:lang w:val="ru-RU"/>
        </w:rPr>
        <w:t xml:space="preserve">степень </w:t>
      </w:r>
      <w:r w:rsidRPr="003D505F">
        <w:rPr>
          <w:b/>
          <w:lang w:val="ru-RU"/>
        </w:rPr>
        <w:t>старшинств</w:t>
      </w:r>
      <w:r>
        <w:rPr>
          <w:b/>
          <w:lang w:val="ru-RU"/>
        </w:rPr>
        <w:t>а данного</w:t>
      </w:r>
      <w:r w:rsidRPr="003D505F">
        <w:rPr>
          <w:b/>
          <w:lang w:val="ru-RU"/>
        </w:rPr>
        <w:t xml:space="preserve"> финансового инструмента совпадает с</w:t>
      </w:r>
      <w:r>
        <w:rPr>
          <w:b/>
          <w:lang w:val="ru-RU"/>
        </w:rPr>
        <w:t xml:space="preserve"> таковой по</w:t>
      </w:r>
      <w:r w:rsidRPr="003D505F">
        <w:rPr>
          <w:b/>
          <w:lang w:val="ru-RU"/>
        </w:rPr>
        <w:t xml:space="preserve"> инструмент</w:t>
      </w:r>
      <w:r>
        <w:rPr>
          <w:b/>
          <w:lang w:val="ru-RU"/>
        </w:rPr>
        <w:t>ам</w:t>
      </w:r>
      <w:r w:rsidRPr="003D505F">
        <w:rPr>
          <w:b/>
          <w:lang w:val="ru-RU"/>
        </w:rPr>
        <w:t>, которые могут быть</w:t>
      </w:r>
      <w:r>
        <w:rPr>
          <w:b/>
          <w:lang w:val="ru-RU"/>
        </w:rPr>
        <w:t xml:space="preserve"> переданы</w:t>
      </w:r>
      <w:r w:rsidRPr="003D505F">
        <w:rPr>
          <w:b/>
          <w:lang w:val="ru-RU"/>
        </w:rPr>
        <w:t xml:space="preserve"> в соответствии с</w:t>
      </w:r>
      <w:r>
        <w:rPr>
          <w:b/>
          <w:lang w:val="ru-RU"/>
        </w:rPr>
        <w:t xml:space="preserve"> указанным</w:t>
      </w:r>
      <w:r w:rsidRPr="003D505F">
        <w:rPr>
          <w:b/>
          <w:lang w:val="ru-RU"/>
        </w:rPr>
        <w:t xml:space="preserve"> кредитным производным инструментом.</w:t>
      </w:r>
      <w:bookmarkEnd w:id="165"/>
    </w:p>
    <w:p w:rsidR="007D4BCC" w:rsidRPr="004D2F3F" w:rsidRDefault="006D6769" w:rsidP="006D6769">
      <w:pPr>
        <w:pStyle w:val="IASBNormalnpara"/>
        <w:ind w:hanging="62"/>
        <w:rPr>
          <w:b/>
          <w:lang w:val="ru-RU"/>
        </w:rPr>
      </w:pPr>
      <w:r>
        <w:rPr>
          <w:b/>
          <w:lang w:val="ru-RU"/>
        </w:rPr>
        <w:t xml:space="preserve"> </w:t>
      </w:r>
      <w:r w:rsidRPr="003D505F">
        <w:rPr>
          <w:b/>
          <w:lang w:val="ru-RU"/>
        </w:rPr>
        <w:t xml:space="preserve">Организация может </w:t>
      </w:r>
      <w:r>
        <w:rPr>
          <w:b/>
          <w:lang w:val="ru-RU"/>
        </w:rPr>
        <w:t>осуществить такую классификацию</w:t>
      </w:r>
      <w:r w:rsidRPr="003D505F">
        <w:rPr>
          <w:b/>
          <w:lang w:val="ru-RU"/>
        </w:rPr>
        <w:t xml:space="preserve"> вне зависимости от того, входит ли финансовый инструмент, </w:t>
      </w:r>
      <w:r>
        <w:rPr>
          <w:b/>
          <w:lang w:val="ru-RU"/>
        </w:rPr>
        <w:t xml:space="preserve">кредитным риском которого организация </w:t>
      </w:r>
      <w:r w:rsidRPr="003D505F">
        <w:rPr>
          <w:b/>
          <w:lang w:val="ru-RU"/>
        </w:rPr>
        <w:t>управл</w:t>
      </w:r>
      <w:r>
        <w:rPr>
          <w:b/>
          <w:lang w:val="ru-RU"/>
        </w:rPr>
        <w:t>яет</w:t>
      </w:r>
      <w:r w:rsidRPr="003D505F">
        <w:rPr>
          <w:b/>
          <w:lang w:val="ru-RU"/>
        </w:rPr>
        <w:t xml:space="preserve">, в сферу применения настоящего стандарта (например, организация вправе </w:t>
      </w:r>
      <w:r>
        <w:rPr>
          <w:b/>
          <w:lang w:val="ru-RU"/>
        </w:rPr>
        <w:t xml:space="preserve">классифицировать таким образом </w:t>
      </w:r>
      <w:r w:rsidRPr="003D505F">
        <w:rPr>
          <w:b/>
          <w:lang w:val="ru-RU"/>
        </w:rPr>
        <w:t>обязательства по предоставлению займов, не относящи</w:t>
      </w:r>
      <w:r>
        <w:rPr>
          <w:b/>
          <w:lang w:val="ru-RU"/>
        </w:rPr>
        <w:t>е</w:t>
      </w:r>
      <w:r w:rsidRPr="003D505F">
        <w:rPr>
          <w:b/>
          <w:lang w:val="ru-RU"/>
        </w:rPr>
        <w:t xml:space="preserve">ся к сфере применения настоящего стандарта). Организация вправе </w:t>
      </w:r>
      <w:r>
        <w:rPr>
          <w:b/>
          <w:lang w:val="ru-RU"/>
        </w:rPr>
        <w:t xml:space="preserve">по собственному усмотрению классифицировать </w:t>
      </w:r>
      <w:r w:rsidRPr="003D505F">
        <w:rPr>
          <w:b/>
          <w:lang w:val="ru-RU"/>
        </w:rPr>
        <w:t>финансов</w:t>
      </w:r>
      <w:r>
        <w:rPr>
          <w:b/>
          <w:lang w:val="ru-RU"/>
        </w:rPr>
        <w:t>ый</w:t>
      </w:r>
      <w:r w:rsidRPr="003D505F">
        <w:rPr>
          <w:b/>
          <w:lang w:val="ru-RU"/>
        </w:rPr>
        <w:t xml:space="preserve"> инструмент </w:t>
      </w:r>
      <w:r>
        <w:rPr>
          <w:b/>
          <w:lang w:val="ru-RU"/>
        </w:rPr>
        <w:t xml:space="preserve">в указанную категорию </w:t>
      </w:r>
      <w:r w:rsidRPr="003D505F">
        <w:rPr>
          <w:b/>
          <w:lang w:val="ru-RU"/>
        </w:rPr>
        <w:t xml:space="preserve">при его первоначальном признании либо </w:t>
      </w:r>
      <w:r>
        <w:rPr>
          <w:b/>
          <w:lang w:val="ru-RU"/>
        </w:rPr>
        <w:t>в</w:t>
      </w:r>
      <w:r w:rsidRPr="003D505F">
        <w:rPr>
          <w:b/>
          <w:lang w:val="ru-RU"/>
        </w:rPr>
        <w:t>после</w:t>
      </w:r>
      <w:r>
        <w:rPr>
          <w:b/>
          <w:lang w:val="ru-RU"/>
        </w:rPr>
        <w:t>дствии</w:t>
      </w:r>
      <w:r w:rsidRPr="003D505F">
        <w:rPr>
          <w:b/>
          <w:lang w:val="ru-RU"/>
        </w:rPr>
        <w:t xml:space="preserve">, </w:t>
      </w:r>
      <w:r>
        <w:rPr>
          <w:b/>
          <w:lang w:val="ru-RU"/>
        </w:rPr>
        <w:t>или</w:t>
      </w:r>
      <w:r w:rsidRPr="003D505F">
        <w:rPr>
          <w:b/>
          <w:lang w:val="ru-RU"/>
        </w:rPr>
        <w:t xml:space="preserve"> </w:t>
      </w:r>
      <w:r>
        <w:rPr>
          <w:b/>
          <w:lang w:val="ru-RU"/>
        </w:rPr>
        <w:t xml:space="preserve">когда </w:t>
      </w:r>
      <w:r w:rsidRPr="003D505F">
        <w:rPr>
          <w:b/>
          <w:lang w:val="ru-RU"/>
        </w:rPr>
        <w:t xml:space="preserve">он не </w:t>
      </w:r>
      <w:r>
        <w:rPr>
          <w:b/>
          <w:lang w:val="ru-RU"/>
        </w:rPr>
        <w:t xml:space="preserve">подлежит </w:t>
      </w:r>
      <w:r w:rsidRPr="003D505F">
        <w:rPr>
          <w:b/>
          <w:lang w:val="ru-RU"/>
        </w:rPr>
        <w:t>признан</w:t>
      </w:r>
      <w:r>
        <w:rPr>
          <w:b/>
          <w:lang w:val="ru-RU"/>
        </w:rPr>
        <w:t>ию</w:t>
      </w:r>
      <w:r w:rsidRPr="003D505F">
        <w:rPr>
          <w:b/>
          <w:lang w:val="ru-RU"/>
        </w:rPr>
        <w:t xml:space="preserve">. </w:t>
      </w:r>
      <w:r>
        <w:rPr>
          <w:b/>
          <w:lang w:val="ru-RU"/>
        </w:rPr>
        <w:t>О</w:t>
      </w:r>
      <w:r w:rsidRPr="003D505F">
        <w:rPr>
          <w:b/>
          <w:lang w:val="ru-RU"/>
        </w:rPr>
        <w:t>рганизация должна документ</w:t>
      </w:r>
      <w:r>
        <w:rPr>
          <w:b/>
          <w:lang w:val="ru-RU"/>
        </w:rPr>
        <w:t xml:space="preserve">ально оформить </w:t>
      </w:r>
      <w:r w:rsidRPr="003D505F">
        <w:rPr>
          <w:b/>
          <w:lang w:val="ru-RU"/>
        </w:rPr>
        <w:t>данн</w:t>
      </w:r>
      <w:r>
        <w:rPr>
          <w:b/>
          <w:lang w:val="ru-RU"/>
        </w:rPr>
        <w:t>ую классификацию в тот же момент времени</w:t>
      </w:r>
      <w:r w:rsidR="007D4BCC" w:rsidRPr="004D2F3F">
        <w:rPr>
          <w:b/>
          <w:lang w:val="ru-RU"/>
        </w:rPr>
        <w:t>.</w:t>
      </w:r>
      <w:bookmarkEnd w:id="162"/>
    </w:p>
    <w:p w:rsidR="007D4BCC" w:rsidRPr="0049187C" w:rsidRDefault="007D4BCC" w:rsidP="007D4BCC">
      <w:pPr>
        <w:pStyle w:val="IASBSectionTitle2Ind"/>
        <w:rPr>
          <w:lang w:val="ru-RU"/>
        </w:rPr>
      </w:pPr>
      <w:bookmarkStart w:id="166" w:name="F27187510"/>
      <w:r w:rsidRPr="0049187C">
        <w:rPr>
          <w:lang w:val="ru-RU"/>
        </w:rPr>
        <w:t xml:space="preserve">Учет </w:t>
      </w:r>
      <w:r w:rsidR="006D6769">
        <w:rPr>
          <w:lang w:val="ru-RU"/>
        </w:rPr>
        <w:t>объектов,</w:t>
      </w:r>
      <w:r w:rsidRPr="0049187C">
        <w:rPr>
          <w:lang w:val="ru-RU"/>
        </w:rPr>
        <w:t xml:space="preserve"> подверж</w:t>
      </w:r>
      <w:r w:rsidR="006D6769">
        <w:rPr>
          <w:lang w:val="ru-RU"/>
        </w:rPr>
        <w:t>енных</w:t>
      </w:r>
      <w:r w:rsidRPr="0049187C">
        <w:rPr>
          <w:lang w:val="ru-RU"/>
        </w:rPr>
        <w:t xml:space="preserve"> кредитному риску,</w:t>
      </w:r>
      <w:r w:rsidR="006D6769">
        <w:rPr>
          <w:lang w:val="ru-RU"/>
        </w:rPr>
        <w:t xml:space="preserve"> которые по усмотрению организации были</w:t>
      </w:r>
      <w:r w:rsidRPr="0049187C">
        <w:rPr>
          <w:lang w:val="ru-RU"/>
        </w:rPr>
        <w:t xml:space="preserve"> </w:t>
      </w:r>
      <w:r w:rsidR="006D6769">
        <w:rPr>
          <w:lang w:val="ru-RU"/>
        </w:rPr>
        <w:t>классифицированы</w:t>
      </w:r>
      <w:r w:rsidRPr="0049187C">
        <w:rPr>
          <w:lang w:val="ru-RU"/>
        </w:rPr>
        <w:t xml:space="preserve"> как оцениваемые по справедливой стоимости через прибыль или убыток</w:t>
      </w:r>
      <w:bookmarkEnd w:id="166"/>
    </w:p>
    <w:p w:rsidR="007D4BCC" w:rsidRPr="0049187C" w:rsidRDefault="007D4BCC" w:rsidP="007D4BCC">
      <w:pPr>
        <w:pStyle w:val="IASBNormalnpara"/>
        <w:rPr>
          <w:lang w:val="ru-RU"/>
        </w:rPr>
      </w:pPr>
      <w:r w:rsidRPr="0049187C">
        <w:rPr>
          <w:lang w:val="ru-RU"/>
        </w:rPr>
        <w:t>6.7.2</w:t>
      </w:r>
      <w:r w:rsidRPr="0049187C">
        <w:rPr>
          <w:lang w:val="ru-RU"/>
        </w:rPr>
        <w:tab/>
      </w:r>
      <w:bookmarkStart w:id="167" w:name="F27187511"/>
      <w:r w:rsidR="006D6769" w:rsidRPr="003D505F">
        <w:rPr>
          <w:lang w:val="ru-RU"/>
        </w:rPr>
        <w:t xml:space="preserve">Если </w:t>
      </w:r>
      <w:r w:rsidR="006D6769">
        <w:rPr>
          <w:lang w:val="ru-RU"/>
        </w:rPr>
        <w:t xml:space="preserve">организация по собственному усмотрению классифицирует </w:t>
      </w:r>
      <w:r w:rsidR="006D6769" w:rsidRPr="003D505F">
        <w:rPr>
          <w:lang w:val="ru-RU"/>
        </w:rPr>
        <w:t xml:space="preserve">финансовый инструмент в соответствии с пунктом 6.7.1 как оцениваемый по справедливой стоимости через прибыль или убыток после его первоначального признания </w:t>
      </w:r>
      <w:r w:rsidR="006D6769">
        <w:rPr>
          <w:lang w:val="ru-RU"/>
        </w:rPr>
        <w:t xml:space="preserve">или </w:t>
      </w:r>
      <w:r w:rsidR="006D6769" w:rsidRPr="003D505F">
        <w:rPr>
          <w:lang w:val="ru-RU"/>
        </w:rPr>
        <w:t xml:space="preserve">если ранее </w:t>
      </w:r>
      <w:r w:rsidR="006D6769">
        <w:rPr>
          <w:lang w:val="ru-RU"/>
        </w:rPr>
        <w:t>финансовый инструмент</w:t>
      </w:r>
      <w:r w:rsidR="006D6769" w:rsidRPr="003D505F">
        <w:rPr>
          <w:lang w:val="ru-RU"/>
        </w:rPr>
        <w:t xml:space="preserve"> не признавался, то разница на момент </w:t>
      </w:r>
      <w:r w:rsidR="006D6769">
        <w:rPr>
          <w:lang w:val="ru-RU"/>
        </w:rPr>
        <w:t>классификации, возникшая</w:t>
      </w:r>
      <w:r w:rsidR="006D6769" w:rsidRPr="003D505F">
        <w:rPr>
          <w:lang w:val="ru-RU"/>
        </w:rPr>
        <w:t xml:space="preserve"> между балансовой стоимостью</w:t>
      </w:r>
      <w:r w:rsidR="006D6769">
        <w:rPr>
          <w:lang w:val="ru-RU"/>
        </w:rPr>
        <w:t xml:space="preserve"> этого инструмента</w:t>
      </w:r>
      <w:r w:rsidR="006D6769" w:rsidRPr="003D505F">
        <w:rPr>
          <w:lang w:val="ru-RU"/>
        </w:rPr>
        <w:t>, если таковая имеется, и его справедливой стоимостью</w:t>
      </w:r>
      <w:r w:rsidR="001D1E2F">
        <w:rPr>
          <w:lang w:val="ru-RU"/>
        </w:rPr>
        <w:t>,</w:t>
      </w:r>
      <w:r w:rsidR="006D6769" w:rsidRPr="003D505F">
        <w:rPr>
          <w:lang w:val="ru-RU"/>
        </w:rPr>
        <w:t xml:space="preserve"> должна быть незамедлительно признана в составе прибыли или убытка</w:t>
      </w:r>
      <w:r w:rsidRPr="0049187C">
        <w:rPr>
          <w:lang w:val="ru-RU"/>
        </w:rPr>
        <w:t>.</w:t>
      </w:r>
      <w:bookmarkEnd w:id="167"/>
      <w:r w:rsidRPr="0049187C">
        <w:rPr>
          <w:lang w:val="ru-RU"/>
        </w:rPr>
        <w:t xml:space="preserve"> В случае финансов</w:t>
      </w:r>
      <w:r w:rsidR="008955D6" w:rsidRPr="0049187C">
        <w:rPr>
          <w:lang w:val="ru-RU"/>
        </w:rPr>
        <w:t>ых</w:t>
      </w:r>
      <w:r w:rsidRPr="0049187C">
        <w:rPr>
          <w:lang w:val="ru-RU"/>
        </w:rPr>
        <w:t xml:space="preserve"> актив</w:t>
      </w:r>
      <w:r w:rsidR="008955D6" w:rsidRPr="0049187C">
        <w:rPr>
          <w:lang w:val="ru-RU"/>
        </w:rPr>
        <w:t>ов</w:t>
      </w:r>
      <w:r w:rsidRPr="0049187C">
        <w:rPr>
          <w:lang w:val="ru-RU"/>
        </w:rPr>
        <w:t>, оцениваем</w:t>
      </w:r>
      <w:r w:rsidR="008955D6" w:rsidRPr="0049187C">
        <w:rPr>
          <w:lang w:val="ru-RU"/>
        </w:rPr>
        <w:t>ых</w:t>
      </w:r>
      <w:r w:rsidRPr="0049187C">
        <w:rPr>
          <w:lang w:val="ru-RU"/>
        </w:rPr>
        <w:t xml:space="preserve"> по справедливой стоимости через прочий совокупный доход в соответствии с пунктом 4.1.2A, накопленные прибыль или убыток, ранее признанные в </w:t>
      </w:r>
      <w:r w:rsidR="00E8265F">
        <w:rPr>
          <w:lang w:val="ru-RU"/>
        </w:rPr>
        <w:t>составе прочего совокупного дохода</w:t>
      </w:r>
      <w:r w:rsidRPr="0049187C">
        <w:rPr>
          <w:lang w:val="ru-RU"/>
        </w:rPr>
        <w:t>, должны быть незамедлительно реклассифицированы из состава собственного капитала в состав прибыли или убытка в качестве реклассификационной корректировки (см. МСФО (IAS) 1).</w:t>
      </w:r>
    </w:p>
    <w:p w:rsidR="00D47F5A" w:rsidRPr="003D505F" w:rsidRDefault="007D4BCC" w:rsidP="00D47F5A">
      <w:pPr>
        <w:pStyle w:val="IASBNormalnpara"/>
        <w:rPr>
          <w:lang w:val="ru-RU"/>
        </w:rPr>
      </w:pPr>
      <w:r w:rsidRPr="0049187C">
        <w:rPr>
          <w:lang w:val="ru-RU"/>
        </w:rPr>
        <w:t>6.7.3</w:t>
      </w:r>
      <w:r w:rsidRPr="0049187C">
        <w:rPr>
          <w:lang w:val="ru-RU"/>
        </w:rPr>
        <w:tab/>
      </w:r>
      <w:bookmarkStart w:id="168" w:name="F27187512"/>
      <w:r w:rsidR="00D47F5A" w:rsidRPr="003D505F">
        <w:rPr>
          <w:lang w:val="ru-RU"/>
        </w:rPr>
        <w:t>Организация должна прекратить оцен</w:t>
      </w:r>
      <w:r w:rsidR="00D47F5A">
        <w:rPr>
          <w:lang w:val="ru-RU"/>
        </w:rPr>
        <w:t>ивать</w:t>
      </w:r>
      <w:r w:rsidR="00D47F5A" w:rsidRPr="003D505F">
        <w:rPr>
          <w:lang w:val="ru-RU"/>
        </w:rPr>
        <w:t xml:space="preserve"> по справедливой стоимости через прибыль или убыток финансов</w:t>
      </w:r>
      <w:r w:rsidR="00D47F5A">
        <w:rPr>
          <w:lang w:val="ru-RU"/>
        </w:rPr>
        <w:t>ый</w:t>
      </w:r>
      <w:r w:rsidR="00D47F5A" w:rsidRPr="003D505F">
        <w:rPr>
          <w:lang w:val="ru-RU"/>
        </w:rPr>
        <w:t xml:space="preserve"> инструмент, который привел к возникновению кредитного риска, либо его пропорциональн</w:t>
      </w:r>
      <w:r w:rsidR="00D47F5A">
        <w:rPr>
          <w:lang w:val="ru-RU"/>
        </w:rPr>
        <w:t>ую</w:t>
      </w:r>
      <w:r w:rsidR="00D47F5A" w:rsidRPr="003D505F">
        <w:rPr>
          <w:lang w:val="ru-RU"/>
        </w:rPr>
        <w:t xml:space="preserve"> </w:t>
      </w:r>
      <w:r w:rsidR="00D47F5A">
        <w:rPr>
          <w:lang w:val="ru-RU"/>
        </w:rPr>
        <w:t>долю</w:t>
      </w:r>
      <w:r w:rsidR="00D47F5A" w:rsidRPr="003D505F">
        <w:rPr>
          <w:lang w:val="ru-RU"/>
        </w:rPr>
        <w:t>, если:</w:t>
      </w:r>
      <w:bookmarkEnd w:id="168"/>
    </w:p>
    <w:p w:rsidR="00D47F5A" w:rsidRPr="003D505F" w:rsidRDefault="00D47F5A" w:rsidP="00D47F5A">
      <w:pPr>
        <w:pStyle w:val="IASBNormalnparaL1"/>
        <w:rPr>
          <w:lang w:val="ru-RU"/>
        </w:rPr>
      </w:pPr>
      <w:r w:rsidRPr="003D505F">
        <w:rPr>
          <w:lang w:val="ru-RU"/>
        </w:rPr>
        <w:t>(</w:t>
      </w:r>
      <w:r>
        <w:t>a</w:t>
      </w:r>
      <w:r w:rsidRPr="003D505F">
        <w:rPr>
          <w:lang w:val="ru-RU"/>
        </w:rPr>
        <w:t>)</w:t>
      </w:r>
      <w:r w:rsidRPr="003D505F">
        <w:rPr>
          <w:lang w:val="ru-RU"/>
        </w:rPr>
        <w:tab/>
      </w:r>
      <w:bookmarkStart w:id="169" w:name="F27187515"/>
      <w:r w:rsidRPr="003D505F">
        <w:rPr>
          <w:lang w:val="ru-RU"/>
        </w:rPr>
        <w:t>критерии</w:t>
      </w:r>
      <w:r>
        <w:rPr>
          <w:lang w:val="ru-RU"/>
        </w:rPr>
        <w:t>, предусмотренные</w:t>
      </w:r>
      <w:r w:rsidRPr="003D505F">
        <w:rPr>
          <w:lang w:val="ru-RU"/>
        </w:rPr>
        <w:t xml:space="preserve"> пункт</w:t>
      </w:r>
      <w:r>
        <w:rPr>
          <w:lang w:val="ru-RU"/>
        </w:rPr>
        <w:t>ом</w:t>
      </w:r>
      <w:r w:rsidRPr="003D505F">
        <w:rPr>
          <w:lang w:val="ru-RU"/>
        </w:rPr>
        <w:t xml:space="preserve"> 6.7.1</w:t>
      </w:r>
      <w:r>
        <w:rPr>
          <w:lang w:val="ru-RU"/>
        </w:rPr>
        <w:t>,</w:t>
      </w:r>
      <w:r w:rsidRPr="003D505F">
        <w:rPr>
          <w:lang w:val="ru-RU"/>
        </w:rPr>
        <w:t xml:space="preserve"> </w:t>
      </w:r>
      <w:r>
        <w:rPr>
          <w:lang w:val="ru-RU"/>
        </w:rPr>
        <w:t>перестают выполняться</w:t>
      </w:r>
      <w:r w:rsidRPr="003D505F">
        <w:rPr>
          <w:lang w:val="ru-RU"/>
        </w:rPr>
        <w:t>, например:</w:t>
      </w:r>
      <w:bookmarkEnd w:id="169"/>
    </w:p>
    <w:p w:rsidR="00D47F5A" w:rsidRPr="003D505F" w:rsidRDefault="00D47F5A" w:rsidP="00D47F5A">
      <w:pPr>
        <w:pStyle w:val="IASBNormalnparaL2"/>
        <w:rPr>
          <w:lang w:val="ru-RU"/>
        </w:rPr>
      </w:pPr>
      <w:r w:rsidRPr="003D505F">
        <w:rPr>
          <w:lang w:val="ru-RU"/>
        </w:rPr>
        <w:t>(</w:t>
      </w:r>
      <w:r>
        <w:t>i</w:t>
      </w:r>
      <w:r w:rsidRPr="003D505F">
        <w:rPr>
          <w:lang w:val="ru-RU"/>
        </w:rPr>
        <w:t>)</w:t>
      </w:r>
      <w:r w:rsidRPr="003D505F">
        <w:rPr>
          <w:lang w:val="ru-RU"/>
        </w:rPr>
        <w:tab/>
      </w:r>
      <w:bookmarkStart w:id="170" w:name="F27187518"/>
      <w:r w:rsidRPr="003D505F">
        <w:rPr>
          <w:lang w:val="ru-RU"/>
        </w:rPr>
        <w:t xml:space="preserve">истекает срок действия, происходит продажа, прекращение или погашение кредитного производного инструмента или связанного с ним финансового инструмента, </w:t>
      </w:r>
      <w:r>
        <w:rPr>
          <w:lang w:val="ru-RU"/>
        </w:rPr>
        <w:t xml:space="preserve">который </w:t>
      </w:r>
      <w:r w:rsidRPr="003D505F">
        <w:rPr>
          <w:lang w:val="ru-RU"/>
        </w:rPr>
        <w:t>прив</w:t>
      </w:r>
      <w:r>
        <w:rPr>
          <w:lang w:val="ru-RU"/>
        </w:rPr>
        <w:t>ел</w:t>
      </w:r>
      <w:r w:rsidRPr="003D505F">
        <w:rPr>
          <w:lang w:val="ru-RU"/>
        </w:rPr>
        <w:t xml:space="preserve"> к возникновению кредитного риска; либо</w:t>
      </w:r>
      <w:bookmarkEnd w:id="170"/>
    </w:p>
    <w:p w:rsidR="00D47F5A" w:rsidRPr="003D505F" w:rsidRDefault="00D47F5A" w:rsidP="00D47F5A">
      <w:pPr>
        <w:pStyle w:val="IASBNormalnparaL2"/>
        <w:rPr>
          <w:lang w:val="ru-RU"/>
        </w:rPr>
      </w:pPr>
      <w:r w:rsidRPr="003D505F">
        <w:rPr>
          <w:lang w:val="ru-RU"/>
        </w:rPr>
        <w:t>(</w:t>
      </w:r>
      <w:r>
        <w:t>ii</w:t>
      </w:r>
      <w:r w:rsidRPr="003D505F">
        <w:rPr>
          <w:lang w:val="ru-RU"/>
        </w:rPr>
        <w:t>)</w:t>
      </w:r>
      <w:r w:rsidRPr="003D505F">
        <w:rPr>
          <w:lang w:val="ru-RU"/>
        </w:rPr>
        <w:tab/>
      </w:r>
      <w:bookmarkStart w:id="171" w:name="F27187520"/>
      <w:r w:rsidRPr="003D505F">
        <w:rPr>
          <w:lang w:val="ru-RU"/>
        </w:rPr>
        <w:t xml:space="preserve">управление кредитным риском по </w:t>
      </w:r>
      <w:r>
        <w:rPr>
          <w:lang w:val="ru-RU"/>
        </w:rPr>
        <w:t xml:space="preserve">данному </w:t>
      </w:r>
      <w:r w:rsidRPr="003D505F">
        <w:rPr>
          <w:lang w:val="ru-RU"/>
        </w:rPr>
        <w:t>финансовому инструменту с использованием кредитных производных инструментов</w:t>
      </w:r>
      <w:r>
        <w:rPr>
          <w:lang w:val="ru-RU"/>
        </w:rPr>
        <w:t xml:space="preserve"> </w:t>
      </w:r>
      <w:r w:rsidRPr="003D505F">
        <w:rPr>
          <w:lang w:val="ru-RU"/>
        </w:rPr>
        <w:t xml:space="preserve">более не осуществляется. Например, это может произойти </w:t>
      </w:r>
      <w:r>
        <w:rPr>
          <w:lang w:val="ru-RU"/>
        </w:rPr>
        <w:t>вследствие</w:t>
      </w:r>
      <w:r w:rsidRPr="003D505F">
        <w:rPr>
          <w:lang w:val="ru-RU"/>
        </w:rPr>
        <w:t xml:space="preserve"> </w:t>
      </w:r>
      <w:r>
        <w:rPr>
          <w:lang w:val="ru-RU"/>
        </w:rPr>
        <w:t>повышения</w:t>
      </w:r>
      <w:r w:rsidRPr="003D505F">
        <w:rPr>
          <w:lang w:val="ru-RU"/>
        </w:rPr>
        <w:t xml:space="preserve"> кредитоспособности заемщика или </w:t>
      </w:r>
      <w:r>
        <w:rPr>
          <w:lang w:val="ru-RU"/>
        </w:rPr>
        <w:t xml:space="preserve">лица, которому организация </w:t>
      </w:r>
      <w:r w:rsidRPr="003D505F">
        <w:rPr>
          <w:lang w:val="ru-RU"/>
        </w:rPr>
        <w:t>обяза</w:t>
      </w:r>
      <w:r>
        <w:rPr>
          <w:lang w:val="ru-RU"/>
        </w:rPr>
        <w:t>лась</w:t>
      </w:r>
      <w:r w:rsidRPr="003D505F">
        <w:rPr>
          <w:lang w:val="ru-RU"/>
        </w:rPr>
        <w:t xml:space="preserve"> предостав</w:t>
      </w:r>
      <w:r>
        <w:rPr>
          <w:lang w:val="ru-RU"/>
        </w:rPr>
        <w:t>ить</w:t>
      </w:r>
      <w:r w:rsidRPr="003D505F">
        <w:rPr>
          <w:lang w:val="ru-RU"/>
        </w:rPr>
        <w:t xml:space="preserve"> за</w:t>
      </w:r>
      <w:r>
        <w:rPr>
          <w:lang w:val="ru-RU"/>
        </w:rPr>
        <w:t>ем,</w:t>
      </w:r>
      <w:r w:rsidRPr="003D505F">
        <w:rPr>
          <w:lang w:val="ru-RU"/>
        </w:rPr>
        <w:t xml:space="preserve"> либо в</w:t>
      </w:r>
      <w:r>
        <w:rPr>
          <w:lang w:val="ru-RU"/>
        </w:rPr>
        <w:t>следствие</w:t>
      </w:r>
      <w:r w:rsidRPr="003D505F">
        <w:rPr>
          <w:lang w:val="ru-RU"/>
        </w:rPr>
        <w:t xml:space="preserve"> изменени</w:t>
      </w:r>
      <w:r>
        <w:rPr>
          <w:lang w:val="ru-RU"/>
        </w:rPr>
        <w:t>я</w:t>
      </w:r>
      <w:r w:rsidRPr="003D505F">
        <w:rPr>
          <w:lang w:val="ru-RU"/>
        </w:rPr>
        <w:t xml:space="preserve"> требований</w:t>
      </w:r>
      <w:r>
        <w:rPr>
          <w:lang w:val="ru-RU"/>
        </w:rPr>
        <w:t>,</w:t>
      </w:r>
      <w:r w:rsidRPr="003D505F">
        <w:rPr>
          <w:lang w:val="ru-RU"/>
        </w:rPr>
        <w:t xml:space="preserve"> предъявляемых к организации</w:t>
      </w:r>
      <w:r>
        <w:rPr>
          <w:lang w:val="ru-RU"/>
        </w:rPr>
        <w:t xml:space="preserve"> в отношении ее капитала</w:t>
      </w:r>
      <w:r w:rsidRPr="003D505F">
        <w:rPr>
          <w:lang w:val="ru-RU"/>
        </w:rPr>
        <w:t>; и</w:t>
      </w:r>
      <w:bookmarkEnd w:id="171"/>
    </w:p>
    <w:p w:rsidR="00D47F5A" w:rsidRPr="003D505F" w:rsidRDefault="00D47F5A" w:rsidP="00D47F5A">
      <w:pPr>
        <w:pStyle w:val="IASBNormalnparaL1"/>
        <w:rPr>
          <w:lang w:val="ru-RU"/>
        </w:rPr>
      </w:pPr>
      <w:r w:rsidRPr="003D505F">
        <w:rPr>
          <w:lang w:val="ru-RU"/>
        </w:rPr>
        <w:t>(</w:t>
      </w:r>
      <w:r>
        <w:t>b</w:t>
      </w:r>
      <w:r w:rsidRPr="003D505F">
        <w:rPr>
          <w:lang w:val="ru-RU"/>
        </w:rPr>
        <w:t>)</w:t>
      </w:r>
      <w:r w:rsidRPr="003D505F">
        <w:rPr>
          <w:lang w:val="ru-RU"/>
        </w:rPr>
        <w:tab/>
      </w:r>
      <w:bookmarkStart w:id="172" w:name="F27187522"/>
      <w:r w:rsidRPr="003D505F">
        <w:rPr>
          <w:lang w:val="ru-RU"/>
        </w:rPr>
        <w:t xml:space="preserve">финансовый инструмент, </w:t>
      </w:r>
      <w:r>
        <w:rPr>
          <w:lang w:val="ru-RU"/>
        </w:rPr>
        <w:t xml:space="preserve">который </w:t>
      </w:r>
      <w:r w:rsidRPr="003D505F">
        <w:rPr>
          <w:lang w:val="ru-RU"/>
        </w:rPr>
        <w:t>прив</w:t>
      </w:r>
      <w:r>
        <w:rPr>
          <w:lang w:val="ru-RU"/>
        </w:rPr>
        <w:t>одит</w:t>
      </w:r>
      <w:r w:rsidRPr="003D505F">
        <w:rPr>
          <w:lang w:val="ru-RU"/>
        </w:rPr>
        <w:t xml:space="preserve"> к возникновению кредитного риска, </w:t>
      </w:r>
      <w:r>
        <w:rPr>
          <w:lang w:val="ru-RU"/>
        </w:rPr>
        <w:t xml:space="preserve">не требуется оценивать </w:t>
      </w:r>
      <w:r w:rsidRPr="003D505F">
        <w:rPr>
          <w:lang w:val="ru-RU"/>
        </w:rPr>
        <w:t xml:space="preserve">по справедливой стоимости через прибыль или убыток по каким-либо иным </w:t>
      </w:r>
      <w:r>
        <w:rPr>
          <w:lang w:val="ru-RU"/>
        </w:rPr>
        <w:t>основаниям</w:t>
      </w:r>
      <w:r w:rsidRPr="003D505F">
        <w:rPr>
          <w:lang w:val="ru-RU"/>
        </w:rPr>
        <w:t xml:space="preserve"> (</w:t>
      </w:r>
      <w:r w:rsidR="00730672">
        <w:rPr>
          <w:lang w:val="ru-RU"/>
        </w:rPr>
        <w:t>т. е.</w:t>
      </w:r>
      <w:r w:rsidRPr="003D505F">
        <w:rPr>
          <w:lang w:val="ru-RU"/>
        </w:rPr>
        <w:t xml:space="preserve"> </w:t>
      </w:r>
      <w:r>
        <w:rPr>
          <w:lang w:val="ru-RU"/>
        </w:rPr>
        <w:t xml:space="preserve">за это время </w:t>
      </w:r>
      <w:r w:rsidRPr="003D505F">
        <w:rPr>
          <w:lang w:val="ru-RU"/>
        </w:rPr>
        <w:t xml:space="preserve">бизнес-модель организации не претерпела никаких изменений, </w:t>
      </w:r>
      <w:r>
        <w:rPr>
          <w:lang w:val="ru-RU"/>
        </w:rPr>
        <w:t xml:space="preserve">в связи с </w:t>
      </w:r>
      <w:r w:rsidRPr="003D505F">
        <w:rPr>
          <w:lang w:val="ru-RU"/>
        </w:rPr>
        <w:t>которы</w:t>
      </w:r>
      <w:r>
        <w:rPr>
          <w:lang w:val="ru-RU"/>
        </w:rPr>
        <w:t>ми</w:t>
      </w:r>
      <w:r w:rsidRPr="003D505F">
        <w:rPr>
          <w:lang w:val="ru-RU"/>
        </w:rPr>
        <w:t xml:space="preserve"> потребовал</w:t>
      </w:r>
      <w:r>
        <w:rPr>
          <w:lang w:val="ru-RU"/>
        </w:rPr>
        <w:t>ась бы</w:t>
      </w:r>
      <w:r w:rsidRPr="003D505F">
        <w:rPr>
          <w:lang w:val="ru-RU"/>
        </w:rPr>
        <w:t xml:space="preserve"> реклассификаци</w:t>
      </w:r>
      <w:r>
        <w:rPr>
          <w:lang w:val="ru-RU"/>
        </w:rPr>
        <w:t>я</w:t>
      </w:r>
      <w:r w:rsidRPr="003D505F">
        <w:rPr>
          <w:lang w:val="ru-RU"/>
        </w:rPr>
        <w:t xml:space="preserve"> в соответствии с пунктом 4.4.1).</w:t>
      </w:r>
      <w:bookmarkEnd w:id="172"/>
    </w:p>
    <w:p w:rsidR="00D47F5A" w:rsidRPr="0049187C" w:rsidRDefault="00D47F5A" w:rsidP="00D47F5A">
      <w:pPr>
        <w:pStyle w:val="IASBNormalnpara"/>
        <w:rPr>
          <w:lang w:val="ru-RU"/>
        </w:rPr>
      </w:pPr>
      <w:r w:rsidRPr="003D505F">
        <w:rPr>
          <w:lang w:val="ru-RU"/>
        </w:rPr>
        <w:t>6.7.4</w:t>
      </w:r>
      <w:r w:rsidRPr="003D505F">
        <w:rPr>
          <w:lang w:val="ru-RU"/>
        </w:rPr>
        <w:tab/>
      </w:r>
      <w:bookmarkStart w:id="173" w:name="F27187523"/>
      <w:r>
        <w:rPr>
          <w:lang w:val="ru-RU"/>
        </w:rPr>
        <w:t>Когда</w:t>
      </w:r>
      <w:r w:rsidRPr="003D505F">
        <w:rPr>
          <w:lang w:val="ru-RU"/>
        </w:rPr>
        <w:t xml:space="preserve"> организация прекращает оценивать финансовый инструмент, </w:t>
      </w:r>
      <w:r>
        <w:rPr>
          <w:lang w:val="ru-RU"/>
        </w:rPr>
        <w:t xml:space="preserve">который </w:t>
      </w:r>
      <w:r w:rsidRPr="003D505F">
        <w:rPr>
          <w:lang w:val="ru-RU"/>
        </w:rPr>
        <w:t>привод</w:t>
      </w:r>
      <w:r>
        <w:rPr>
          <w:lang w:val="ru-RU"/>
        </w:rPr>
        <w:t>ит</w:t>
      </w:r>
      <w:r w:rsidRPr="003D505F">
        <w:rPr>
          <w:lang w:val="ru-RU"/>
        </w:rPr>
        <w:t xml:space="preserve"> к возникновению кредитного риска, либо пропорциональную </w:t>
      </w:r>
      <w:r>
        <w:rPr>
          <w:lang w:val="ru-RU"/>
        </w:rPr>
        <w:t>долю данного финансового инструмента</w:t>
      </w:r>
      <w:r w:rsidRPr="003D505F">
        <w:rPr>
          <w:lang w:val="ru-RU"/>
        </w:rPr>
        <w:t xml:space="preserve"> по справедливой стоимости через прибыль или убыток</w:t>
      </w:r>
      <w:r>
        <w:rPr>
          <w:lang w:val="ru-RU"/>
        </w:rPr>
        <w:t xml:space="preserve">, </w:t>
      </w:r>
      <w:r w:rsidRPr="003D505F">
        <w:rPr>
          <w:lang w:val="ru-RU"/>
        </w:rPr>
        <w:t xml:space="preserve">справедливая стоимость </w:t>
      </w:r>
      <w:r>
        <w:rPr>
          <w:lang w:val="ru-RU"/>
        </w:rPr>
        <w:t>указ</w:t>
      </w:r>
      <w:r w:rsidRPr="003D505F">
        <w:rPr>
          <w:lang w:val="ru-RU"/>
        </w:rPr>
        <w:t>анного финансового инструмента на дату прекращения такой оценки становится его балансовой стоимостью</w:t>
      </w:r>
      <w:r>
        <w:rPr>
          <w:lang w:val="ru-RU"/>
        </w:rPr>
        <w:t xml:space="preserve"> в новой категории</w:t>
      </w:r>
      <w:r w:rsidRPr="003D505F">
        <w:rPr>
          <w:lang w:val="ru-RU"/>
        </w:rPr>
        <w:t xml:space="preserve">. Впоследствии </w:t>
      </w:r>
      <w:r>
        <w:rPr>
          <w:lang w:val="ru-RU"/>
        </w:rPr>
        <w:t xml:space="preserve">данный финансовый инструмент </w:t>
      </w:r>
      <w:r w:rsidRPr="003D505F">
        <w:rPr>
          <w:lang w:val="ru-RU"/>
        </w:rPr>
        <w:t xml:space="preserve">должен </w:t>
      </w:r>
      <w:r>
        <w:rPr>
          <w:lang w:val="ru-RU"/>
        </w:rPr>
        <w:t>оцениваться в том же порядке</w:t>
      </w:r>
      <w:r w:rsidRPr="003D505F">
        <w:rPr>
          <w:lang w:val="ru-RU"/>
        </w:rPr>
        <w:t xml:space="preserve">, </w:t>
      </w:r>
      <w:r>
        <w:rPr>
          <w:lang w:val="ru-RU"/>
        </w:rPr>
        <w:t xml:space="preserve">в </w:t>
      </w:r>
      <w:r w:rsidRPr="003D505F">
        <w:rPr>
          <w:lang w:val="ru-RU"/>
        </w:rPr>
        <w:t>котор</w:t>
      </w:r>
      <w:r>
        <w:rPr>
          <w:lang w:val="ru-RU"/>
        </w:rPr>
        <w:t xml:space="preserve">ом он оценивался до его классификации по усмотрению организации </w:t>
      </w:r>
      <w:r w:rsidRPr="003D505F">
        <w:rPr>
          <w:lang w:val="ru-RU"/>
        </w:rPr>
        <w:t>как оцениваемого по справедливой стоимости через прибыль или убыток (включая амортизацию, обусловленную балансовой стоимост</w:t>
      </w:r>
      <w:r>
        <w:rPr>
          <w:lang w:val="ru-RU"/>
        </w:rPr>
        <w:t>ью в новой категории</w:t>
      </w:r>
      <w:r w:rsidRPr="003D505F">
        <w:rPr>
          <w:lang w:val="ru-RU"/>
        </w:rPr>
        <w:t xml:space="preserve">). Например, финансовый актив, который первоначально был классифицирован как оцениваемый по амортизированной стоимости, снова </w:t>
      </w:r>
      <w:r>
        <w:rPr>
          <w:lang w:val="ru-RU"/>
        </w:rPr>
        <w:t xml:space="preserve">стал бы </w:t>
      </w:r>
      <w:r w:rsidRPr="003D505F">
        <w:rPr>
          <w:lang w:val="ru-RU"/>
        </w:rPr>
        <w:t xml:space="preserve">оцениваться </w:t>
      </w:r>
      <w:r>
        <w:rPr>
          <w:lang w:val="ru-RU"/>
        </w:rPr>
        <w:t>по амортизированной стоимости</w:t>
      </w:r>
      <w:r w:rsidRPr="003D505F">
        <w:rPr>
          <w:lang w:val="ru-RU"/>
        </w:rPr>
        <w:t xml:space="preserve">, а эффективная процентная ставка по нему </w:t>
      </w:r>
      <w:r>
        <w:rPr>
          <w:lang w:val="ru-RU"/>
        </w:rPr>
        <w:t>была бы</w:t>
      </w:r>
      <w:r w:rsidRPr="003D505F">
        <w:rPr>
          <w:lang w:val="ru-RU"/>
        </w:rPr>
        <w:t xml:space="preserve"> пересчитана </w:t>
      </w:r>
      <w:r>
        <w:rPr>
          <w:lang w:val="ru-RU"/>
        </w:rPr>
        <w:t xml:space="preserve">исходя из </w:t>
      </w:r>
      <w:r w:rsidRPr="003D505F">
        <w:rPr>
          <w:lang w:val="ru-RU"/>
        </w:rPr>
        <w:t>его</w:t>
      </w:r>
      <w:r>
        <w:rPr>
          <w:lang w:val="ru-RU"/>
        </w:rPr>
        <w:t xml:space="preserve"> валовой</w:t>
      </w:r>
      <w:r w:rsidRPr="003D505F">
        <w:rPr>
          <w:lang w:val="ru-RU"/>
        </w:rPr>
        <w:t xml:space="preserve"> балансовой стоимости</w:t>
      </w:r>
      <w:r>
        <w:rPr>
          <w:lang w:val="ru-RU"/>
        </w:rPr>
        <w:t xml:space="preserve"> в новой категории</w:t>
      </w:r>
      <w:r w:rsidRPr="003D505F">
        <w:rPr>
          <w:lang w:val="ru-RU"/>
        </w:rPr>
        <w:t xml:space="preserve"> на дату прекращения его оценки по справедливой стоимости через прибыль или убыток. </w:t>
      </w:r>
      <w:bookmarkEnd w:id="173"/>
    </w:p>
    <w:p w:rsidR="003678E0" w:rsidRPr="003678E0" w:rsidRDefault="003678E0" w:rsidP="003678E0">
      <w:pPr>
        <w:keepNext/>
        <w:keepLines/>
        <w:pBdr>
          <w:bottom w:val="single" w:sz="4" w:space="0" w:color="auto"/>
        </w:pBdr>
        <w:spacing w:before="400"/>
        <w:rPr>
          <w:rFonts w:ascii="Arial" w:hAnsi="Arial" w:cs="Arial"/>
          <w:b/>
          <w:sz w:val="26"/>
          <w:szCs w:val="20"/>
          <w:lang w:val="ru-RU"/>
        </w:rPr>
      </w:pPr>
      <w:r w:rsidRPr="003678E0">
        <w:rPr>
          <w:rFonts w:ascii="Arial" w:hAnsi="Arial" w:cs="Arial"/>
          <w:b/>
          <w:sz w:val="26"/>
          <w:szCs w:val="20"/>
          <w:lang w:val="ru-RU"/>
        </w:rPr>
        <w:t>6.8 Временные исключения из применения отдельных требований в части учета хеджирования</w:t>
      </w:r>
    </w:p>
    <w:p w:rsidR="003678E0" w:rsidRPr="003678E0" w:rsidRDefault="003678E0" w:rsidP="003678E0">
      <w:pPr>
        <w:spacing w:before="100"/>
        <w:ind w:left="782" w:hanging="782"/>
        <w:jc w:val="both"/>
        <w:rPr>
          <w:sz w:val="19"/>
          <w:szCs w:val="20"/>
          <w:lang w:val="ru-RU"/>
        </w:rPr>
      </w:pPr>
      <w:r w:rsidRPr="003678E0">
        <w:rPr>
          <w:sz w:val="19"/>
          <w:szCs w:val="20"/>
          <w:lang w:val="ru-RU"/>
        </w:rPr>
        <w:t>6.8.1</w:t>
      </w:r>
      <w:r w:rsidRPr="003678E0">
        <w:rPr>
          <w:sz w:val="19"/>
          <w:szCs w:val="20"/>
          <w:lang w:val="ru-RU"/>
        </w:rPr>
        <w:tab/>
        <w:t>Организация должна применять пункты 6.8.4–6.8.12 и пункты 7.1.8 и 7.2.26(d) ко всем отношениям хеджирования, на которые реформа базовой процентной ставки оказывает непосредственное влияние. Данные пункты применяются только к таким отношениям хеджирования. Реформа базовой процентной ставки оказывает непосредственное влияние на отношения хеджирования только тогда, когда в результате реформы возникают неопределенности в отношении следующего: </w:t>
      </w:r>
    </w:p>
    <w:p w:rsidR="003678E0" w:rsidRPr="003678E0" w:rsidRDefault="003678E0" w:rsidP="003678E0">
      <w:pPr>
        <w:spacing w:before="100"/>
        <w:ind w:left="1564" w:hanging="782"/>
        <w:jc w:val="both"/>
        <w:rPr>
          <w:sz w:val="19"/>
          <w:szCs w:val="20"/>
          <w:lang w:val="ru-RU"/>
        </w:rPr>
      </w:pPr>
      <w:r w:rsidRPr="003678E0">
        <w:rPr>
          <w:sz w:val="19"/>
          <w:szCs w:val="20"/>
          <w:lang w:val="ru-RU"/>
        </w:rPr>
        <w:t>(a)</w:t>
      </w:r>
      <w:r w:rsidRPr="003678E0">
        <w:rPr>
          <w:sz w:val="19"/>
          <w:szCs w:val="20"/>
          <w:lang w:val="ru-RU"/>
        </w:rPr>
        <w:tab/>
        <w:t>определенной по усмотрению организации в качестве хеджируемого риска базовой процентной ставки (определенной договором или определенной не договором); и/или</w:t>
      </w:r>
    </w:p>
    <w:p w:rsidR="003678E0" w:rsidRPr="003678E0" w:rsidRDefault="003678E0" w:rsidP="003678E0">
      <w:pPr>
        <w:spacing w:before="100"/>
        <w:ind w:left="1564" w:hanging="782"/>
        <w:jc w:val="both"/>
        <w:rPr>
          <w:sz w:val="19"/>
          <w:szCs w:val="20"/>
          <w:lang w:val="ru-RU"/>
        </w:rPr>
      </w:pPr>
      <w:r w:rsidRPr="003678E0">
        <w:rPr>
          <w:sz w:val="19"/>
          <w:szCs w:val="20"/>
          <w:lang w:val="ru-RU"/>
        </w:rPr>
        <w:t>(b)</w:t>
      </w:r>
      <w:r w:rsidRPr="003678E0">
        <w:rPr>
          <w:sz w:val="19"/>
          <w:szCs w:val="20"/>
          <w:lang w:val="ru-RU"/>
        </w:rPr>
        <w:tab/>
        <w:t>сроков возникновения или величины денежных потоков, основанных на базовой процентной ставке, по объекту хеджирования или инструменту хеджирования.</w:t>
      </w:r>
    </w:p>
    <w:p w:rsidR="003678E0" w:rsidRPr="003678E0" w:rsidRDefault="003678E0" w:rsidP="003678E0">
      <w:pPr>
        <w:spacing w:before="100"/>
        <w:ind w:left="782" w:hanging="782"/>
        <w:jc w:val="both"/>
        <w:rPr>
          <w:sz w:val="19"/>
          <w:szCs w:val="20"/>
          <w:lang w:val="ru-RU"/>
        </w:rPr>
      </w:pPr>
      <w:r w:rsidRPr="003678E0">
        <w:rPr>
          <w:sz w:val="19"/>
          <w:szCs w:val="20"/>
          <w:lang w:val="ru-RU"/>
        </w:rPr>
        <w:t>6.8.2</w:t>
      </w:r>
      <w:r w:rsidRPr="003678E0">
        <w:rPr>
          <w:sz w:val="19"/>
          <w:szCs w:val="20"/>
          <w:lang w:val="ru-RU"/>
        </w:rPr>
        <w:tab/>
        <w:t xml:space="preserve">Для целей применения пунктов 6.8.4–6.8.12 термин «реформа базовой процентной ставки» означает общерыночную реформу базовой процентной ставки, в том числе замену базовой процентной ставки альтернативной базовой ставкой, например ставкой, основанной на рекомендациях, изложенных в отчете </w:t>
      </w:r>
      <w:r w:rsidRPr="003678E0">
        <w:rPr>
          <w:i/>
          <w:iCs/>
          <w:sz w:val="19"/>
          <w:szCs w:val="20"/>
          <w:lang w:val="ru-RU"/>
        </w:rPr>
        <w:t>«Реформирование основных базовых процентных ставок»</w:t>
      </w:r>
      <w:r w:rsidRPr="003678E0">
        <w:rPr>
          <w:sz w:val="19"/>
          <w:szCs w:val="20"/>
          <w:lang w:val="ru-RU"/>
        </w:rPr>
        <w:t>, выпущенном Советом по финансовой стабильности в июле 2014 года</w:t>
      </w:r>
      <w:r w:rsidRPr="003678E0">
        <w:rPr>
          <w:sz w:val="19"/>
          <w:szCs w:val="20"/>
          <w:vertAlign w:val="superscript"/>
          <w:lang w:val="ru-RU"/>
        </w:rPr>
        <w:footnoteReference w:id="2"/>
      </w:r>
      <w:r w:rsidRPr="003678E0">
        <w:rPr>
          <w:sz w:val="19"/>
          <w:szCs w:val="20"/>
          <w:lang w:val="ru-RU"/>
        </w:rPr>
        <w:t>.</w:t>
      </w:r>
    </w:p>
    <w:p w:rsidR="003678E0" w:rsidRPr="003678E0" w:rsidRDefault="003678E0" w:rsidP="003678E0">
      <w:pPr>
        <w:spacing w:before="100"/>
        <w:ind w:left="782" w:hanging="782"/>
        <w:jc w:val="both"/>
        <w:rPr>
          <w:sz w:val="19"/>
          <w:szCs w:val="20"/>
          <w:lang w:val="ru-RU"/>
        </w:rPr>
      </w:pPr>
      <w:r w:rsidRPr="003678E0">
        <w:rPr>
          <w:sz w:val="19"/>
          <w:szCs w:val="20"/>
          <w:lang w:val="ru-RU"/>
        </w:rPr>
        <w:t>6.8.3</w:t>
      </w:r>
      <w:r w:rsidRPr="003678E0">
        <w:rPr>
          <w:sz w:val="19"/>
          <w:szCs w:val="20"/>
          <w:lang w:val="ru-RU"/>
        </w:rPr>
        <w:tab/>
        <w:t>Пункты 6.8.4–6.8.12 предусматривают исключения только в отношении требований, указанных в данных пунктах. Организация должна продолжать применять все остальные требования в части учета хеджирования к отношениям хеджирования, на которые реформа базовой процентной ставки оказывает непосредственное влияние.</w:t>
      </w:r>
    </w:p>
    <w:p w:rsidR="003678E0" w:rsidRPr="003678E0" w:rsidRDefault="003678E0" w:rsidP="003678E0">
      <w:pPr>
        <w:keepNext/>
        <w:keepLines/>
        <w:spacing w:before="240"/>
        <w:ind w:left="782"/>
        <w:rPr>
          <w:rFonts w:ascii="Arial" w:hAnsi="Arial" w:cs="Arial"/>
          <w:b/>
          <w:sz w:val="26"/>
          <w:szCs w:val="20"/>
          <w:lang w:val="ru-RU"/>
        </w:rPr>
      </w:pPr>
      <w:r w:rsidRPr="003678E0">
        <w:rPr>
          <w:rFonts w:ascii="Arial" w:hAnsi="Arial" w:cs="Arial"/>
          <w:b/>
          <w:sz w:val="26"/>
          <w:szCs w:val="20"/>
          <w:lang w:val="ru-RU"/>
        </w:rPr>
        <w:t>Требование о наличии высокой вероятности для хеджирования денежных потоков</w:t>
      </w:r>
    </w:p>
    <w:p w:rsidR="003678E0" w:rsidRPr="003678E0" w:rsidRDefault="003678E0" w:rsidP="003678E0">
      <w:pPr>
        <w:spacing w:before="100"/>
        <w:ind w:left="782" w:hanging="782"/>
        <w:jc w:val="both"/>
        <w:rPr>
          <w:sz w:val="19"/>
          <w:szCs w:val="20"/>
          <w:lang w:val="ru-RU"/>
        </w:rPr>
      </w:pPr>
      <w:r w:rsidRPr="003678E0">
        <w:rPr>
          <w:sz w:val="19"/>
          <w:szCs w:val="20"/>
          <w:lang w:val="ru-RU"/>
        </w:rPr>
        <w:t>6.8.4</w:t>
      </w:r>
      <w:r w:rsidRPr="003678E0">
        <w:rPr>
          <w:sz w:val="19"/>
          <w:szCs w:val="20"/>
          <w:lang w:val="ru-RU"/>
        </w:rPr>
        <w:tab/>
        <w:t>Для целей определения того, является ли прогнозируемая операция (или ее компонент) высоковероятной, как того требует пункт 6.3.3, организация должна исходить из допущения, что базовая процентная ставка, на которой основаны хеджируемые денежные потоки (определенные договором или определенные не договором), не меняется в результате реформы базовой процентной ставки.</w:t>
      </w:r>
    </w:p>
    <w:p w:rsidR="003678E0" w:rsidRPr="003678E0" w:rsidRDefault="003678E0" w:rsidP="003678E0">
      <w:pPr>
        <w:keepNext/>
        <w:keepLines/>
        <w:spacing w:before="240"/>
        <w:ind w:left="782"/>
        <w:rPr>
          <w:rFonts w:ascii="Arial" w:hAnsi="Arial" w:cs="Arial"/>
          <w:b/>
          <w:sz w:val="26"/>
          <w:szCs w:val="20"/>
          <w:lang w:val="ru-RU"/>
        </w:rPr>
      </w:pPr>
      <w:r w:rsidRPr="003678E0">
        <w:rPr>
          <w:rFonts w:ascii="Arial" w:hAnsi="Arial" w:cs="Arial"/>
          <w:b/>
          <w:sz w:val="26"/>
          <w:szCs w:val="20"/>
          <w:lang w:val="ru-RU"/>
        </w:rPr>
        <w:t>Реклассификация суммы, накопленной в составе резерва хеджирования денежных потоков</w:t>
      </w:r>
    </w:p>
    <w:p w:rsidR="003678E0" w:rsidRPr="003678E0" w:rsidRDefault="003678E0" w:rsidP="003678E0">
      <w:pPr>
        <w:spacing w:before="100"/>
        <w:ind w:left="782" w:hanging="782"/>
        <w:jc w:val="both"/>
        <w:rPr>
          <w:sz w:val="19"/>
          <w:szCs w:val="20"/>
          <w:lang w:val="ru-RU"/>
        </w:rPr>
      </w:pPr>
      <w:r w:rsidRPr="003678E0">
        <w:rPr>
          <w:sz w:val="19"/>
          <w:szCs w:val="20"/>
          <w:lang w:val="ru-RU"/>
        </w:rPr>
        <w:t>6.8.5</w:t>
      </w:r>
      <w:r w:rsidRPr="003678E0">
        <w:rPr>
          <w:sz w:val="19"/>
          <w:szCs w:val="20"/>
          <w:lang w:val="ru-RU"/>
        </w:rPr>
        <w:tab/>
        <w:t>Для целей применения требования пункта 6.5.12, чтобы определить, ожидается ли возникновение будущих денежных потоков, являющихся объектом хеджирования, организация должна исходить из допущения, что базовая процентная ставка, на которой основаны хеджируемые денежные потоки (определенные договором или определенные не договором), не меняется в результате реформы базовой процентной ставки.</w:t>
      </w:r>
    </w:p>
    <w:p w:rsidR="003678E0" w:rsidRPr="003678E0" w:rsidRDefault="003678E0" w:rsidP="003678E0">
      <w:pPr>
        <w:keepNext/>
        <w:keepLines/>
        <w:spacing w:before="240"/>
        <w:ind w:left="782"/>
        <w:rPr>
          <w:rFonts w:ascii="Arial" w:hAnsi="Arial" w:cs="Arial"/>
          <w:b/>
          <w:sz w:val="26"/>
          <w:szCs w:val="20"/>
          <w:lang w:val="ru-RU"/>
        </w:rPr>
      </w:pPr>
      <w:r w:rsidRPr="003678E0">
        <w:rPr>
          <w:rFonts w:ascii="Arial" w:hAnsi="Arial" w:cs="Arial"/>
          <w:b/>
          <w:sz w:val="26"/>
          <w:szCs w:val="20"/>
          <w:lang w:val="ru-RU"/>
        </w:rPr>
        <w:t>Оценка экономической взаимосвязи между объектом хеджирования и инструментом хеджирования</w:t>
      </w:r>
    </w:p>
    <w:p w:rsidR="003678E0" w:rsidRPr="003678E0" w:rsidRDefault="003678E0" w:rsidP="003678E0">
      <w:pPr>
        <w:spacing w:before="100"/>
        <w:ind w:left="782" w:hanging="782"/>
        <w:jc w:val="both"/>
        <w:rPr>
          <w:sz w:val="19"/>
          <w:szCs w:val="20"/>
          <w:lang w:val="ru-RU"/>
        </w:rPr>
      </w:pPr>
      <w:r w:rsidRPr="003678E0">
        <w:rPr>
          <w:sz w:val="19"/>
          <w:szCs w:val="20"/>
          <w:lang w:val="ru-RU"/>
        </w:rPr>
        <w:t>6.8.6</w:t>
      </w:r>
      <w:r w:rsidRPr="003678E0">
        <w:rPr>
          <w:sz w:val="19"/>
          <w:szCs w:val="20"/>
          <w:lang w:val="ru-RU"/>
        </w:rPr>
        <w:tab/>
        <w:t>В целях применения требований пунктов 6.4.1(c)(i) и B6.4.4–B6.4.6 организация должна исходить из допущения, что базовая процентная ставка, на которой основаны хеджируемые денежные потоки и/или хеджируемый риск (определенные договором или определенные не договором), либо базовая процентная ставка, на которой основаны денежные потоки по инструменту хеджирования, не меняются в результате реформы базовой процентной ставки.</w:t>
      </w:r>
    </w:p>
    <w:p w:rsidR="003678E0" w:rsidRPr="003678E0" w:rsidRDefault="003678E0" w:rsidP="003678E0">
      <w:pPr>
        <w:keepNext/>
        <w:keepLines/>
        <w:spacing w:before="240"/>
        <w:ind w:left="782"/>
        <w:rPr>
          <w:rFonts w:ascii="Arial" w:hAnsi="Arial" w:cs="Arial"/>
          <w:b/>
          <w:sz w:val="26"/>
          <w:szCs w:val="20"/>
          <w:lang w:val="ru-RU"/>
        </w:rPr>
      </w:pPr>
      <w:r w:rsidRPr="003678E0">
        <w:rPr>
          <w:rFonts w:ascii="Arial" w:hAnsi="Arial" w:cs="Arial"/>
          <w:b/>
          <w:sz w:val="26"/>
          <w:szCs w:val="20"/>
          <w:lang w:val="ru-RU"/>
        </w:rPr>
        <w:t>Определение по усмотрению организации компонента объекта в качестве объекта хеджирования</w:t>
      </w:r>
    </w:p>
    <w:p w:rsidR="003678E0" w:rsidRPr="003678E0" w:rsidRDefault="003678E0" w:rsidP="003678E0">
      <w:pPr>
        <w:spacing w:before="100"/>
        <w:ind w:left="782" w:hanging="782"/>
        <w:jc w:val="both"/>
        <w:rPr>
          <w:sz w:val="19"/>
          <w:szCs w:val="20"/>
          <w:lang w:val="ru-RU"/>
        </w:rPr>
      </w:pPr>
      <w:r w:rsidRPr="003678E0">
        <w:rPr>
          <w:sz w:val="19"/>
          <w:szCs w:val="20"/>
          <w:lang w:val="ru-RU"/>
        </w:rPr>
        <w:t>6.8.7</w:t>
      </w:r>
      <w:r w:rsidRPr="003678E0">
        <w:rPr>
          <w:sz w:val="19"/>
          <w:szCs w:val="20"/>
          <w:lang w:val="ru-RU"/>
        </w:rPr>
        <w:tab/>
        <w:t>За исключением случаев, когда применяется пункт 6.8.8, в целях хеджирования компонента процентного риска, относящегося к базовой процентной ставке, определенной не договором, организация должна применять требование пунктов 6.3.7(a) и B6.3.8 (о том, что рисковый компонент должен быть отдельно идентифицируемым) только на дату начала отношений хеджирования.</w:t>
      </w:r>
    </w:p>
    <w:p w:rsidR="003678E0" w:rsidRPr="003678E0" w:rsidRDefault="003678E0" w:rsidP="003678E0">
      <w:pPr>
        <w:spacing w:before="100"/>
        <w:ind w:left="782" w:hanging="782"/>
        <w:jc w:val="both"/>
        <w:rPr>
          <w:sz w:val="19"/>
          <w:szCs w:val="20"/>
          <w:lang w:val="ru-RU"/>
        </w:rPr>
      </w:pPr>
      <w:r w:rsidRPr="003678E0">
        <w:rPr>
          <w:sz w:val="19"/>
          <w:szCs w:val="20"/>
          <w:lang w:val="ru-RU"/>
        </w:rPr>
        <w:t>6.8.8</w:t>
      </w:r>
      <w:r w:rsidRPr="003678E0">
        <w:rPr>
          <w:sz w:val="19"/>
          <w:szCs w:val="20"/>
          <w:lang w:val="ru-RU"/>
        </w:rPr>
        <w:tab/>
        <w:t>Если организация в соответствии со своей документацией по хеджированию часто пересматривает (то есть прекращает и возобновляет) отношения хеджирования из-за того, что часто изменяются как инструмент хеджирования, так и объект хеджирования (то есть организация использует динамический процесс, в рамках которого как объекты хеджирования, так и инструменты хеджирования, используемые для управления рисками, недолго остаются теми же), организация должна применять требование пунктов 6.3.7(a) и B6.3.8 (о том, что рисковый компонент должен быть отдельно идентифицируемым) только в тот момент, когда она по собственному усмотрению  первоначально определяет объект хеджирования в состав данных отношений хеджирования. Объект хеджирования, в отношении которого уже был проведен анализ при его первоначальном определении по усмотрению организации в состав данных отношений хеджирования ― будь то на дату начала отношений хеджирования или после этой даты, ― не подлежит повторному анализу при его последующем повторном определении по усмотрению организации в состав тех же отношений хеджирования.</w:t>
      </w:r>
    </w:p>
    <w:p w:rsidR="003678E0" w:rsidRPr="003678E0" w:rsidRDefault="003678E0" w:rsidP="003678E0">
      <w:pPr>
        <w:keepNext/>
        <w:keepLines/>
        <w:spacing w:before="240"/>
        <w:ind w:left="782"/>
        <w:rPr>
          <w:rFonts w:ascii="Arial" w:hAnsi="Arial" w:cs="Arial"/>
          <w:b/>
          <w:sz w:val="26"/>
          <w:szCs w:val="20"/>
          <w:lang w:val="ru-RU"/>
        </w:rPr>
      </w:pPr>
      <w:r w:rsidRPr="003678E0">
        <w:rPr>
          <w:rFonts w:ascii="Arial" w:hAnsi="Arial" w:cs="Arial"/>
          <w:b/>
          <w:sz w:val="26"/>
          <w:szCs w:val="20"/>
          <w:lang w:val="ru-RU"/>
        </w:rPr>
        <w:t>Окончание применения</w:t>
      </w:r>
    </w:p>
    <w:p w:rsidR="003678E0" w:rsidRPr="003678E0" w:rsidRDefault="003678E0" w:rsidP="003678E0">
      <w:pPr>
        <w:spacing w:before="100"/>
        <w:ind w:left="782" w:hanging="782"/>
        <w:jc w:val="both"/>
        <w:rPr>
          <w:sz w:val="19"/>
          <w:szCs w:val="20"/>
          <w:lang w:val="ru-RU"/>
        </w:rPr>
      </w:pPr>
      <w:r w:rsidRPr="003678E0">
        <w:rPr>
          <w:sz w:val="19"/>
          <w:szCs w:val="20"/>
          <w:lang w:val="ru-RU"/>
        </w:rPr>
        <w:t>6.8.9</w:t>
      </w:r>
      <w:r w:rsidRPr="003678E0">
        <w:rPr>
          <w:sz w:val="19"/>
          <w:szCs w:val="20"/>
          <w:lang w:val="ru-RU"/>
        </w:rPr>
        <w:tab/>
        <w:t>Организация должна перспективно прекратить применение пункта 6.8.4 к объекту хеджирования при наступлении более раннего из следующих событий:</w:t>
      </w:r>
    </w:p>
    <w:p w:rsidR="003678E0" w:rsidRPr="003678E0" w:rsidRDefault="003678E0" w:rsidP="003678E0">
      <w:pPr>
        <w:spacing w:before="100"/>
        <w:ind w:left="1564" w:hanging="782"/>
        <w:jc w:val="both"/>
        <w:rPr>
          <w:sz w:val="19"/>
          <w:szCs w:val="20"/>
          <w:lang w:val="ru-RU"/>
        </w:rPr>
      </w:pPr>
      <w:r w:rsidRPr="003678E0">
        <w:rPr>
          <w:sz w:val="19"/>
          <w:szCs w:val="20"/>
          <w:lang w:val="ru-RU"/>
        </w:rPr>
        <w:t>(a)</w:t>
      </w:r>
      <w:r w:rsidRPr="003678E0">
        <w:rPr>
          <w:sz w:val="19"/>
          <w:szCs w:val="20"/>
          <w:lang w:val="ru-RU"/>
        </w:rPr>
        <w:tab/>
        <w:t>перестает существовать неопределенность, возникающая в результате реформы базовой процентной ставки, в отношении сроков возникновения и величины денежных потоков, основанных на базовой процентной ставке, по объекту хеджирования; и</w:t>
      </w:r>
    </w:p>
    <w:p w:rsidR="003678E0" w:rsidRPr="003678E0" w:rsidRDefault="003678E0" w:rsidP="003678E0">
      <w:pPr>
        <w:spacing w:before="100"/>
        <w:ind w:left="1564" w:hanging="782"/>
        <w:jc w:val="both"/>
        <w:rPr>
          <w:sz w:val="19"/>
          <w:szCs w:val="20"/>
          <w:lang w:val="ru-RU"/>
        </w:rPr>
      </w:pPr>
      <w:r w:rsidRPr="003678E0">
        <w:rPr>
          <w:sz w:val="19"/>
          <w:szCs w:val="20"/>
          <w:lang w:val="ru-RU"/>
        </w:rPr>
        <w:t>(b)</w:t>
      </w:r>
      <w:r w:rsidRPr="003678E0">
        <w:rPr>
          <w:sz w:val="19"/>
          <w:szCs w:val="20"/>
          <w:lang w:val="ru-RU"/>
        </w:rPr>
        <w:tab/>
        <w:t>прекращаются отношения хеджирования, частью которых является данный объект хеджирования.</w:t>
      </w:r>
    </w:p>
    <w:p w:rsidR="003678E0" w:rsidRPr="003678E0" w:rsidRDefault="003678E0" w:rsidP="003678E0">
      <w:pPr>
        <w:spacing w:before="100"/>
        <w:ind w:left="782" w:hanging="782"/>
        <w:jc w:val="both"/>
        <w:rPr>
          <w:sz w:val="19"/>
          <w:szCs w:val="20"/>
          <w:lang w:val="ru-RU"/>
        </w:rPr>
      </w:pPr>
      <w:r w:rsidRPr="003678E0">
        <w:rPr>
          <w:sz w:val="19"/>
          <w:szCs w:val="20"/>
          <w:lang w:val="ru-RU"/>
        </w:rPr>
        <w:t>6.8.10</w:t>
      </w:r>
      <w:r w:rsidRPr="003678E0">
        <w:rPr>
          <w:sz w:val="19"/>
          <w:szCs w:val="20"/>
          <w:lang w:val="ru-RU"/>
        </w:rPr>
        <w:tab/>
        <w:t>Организация должна перспективно прекратить применение пункта 6.8.5 при наступлении более раннего из следующих событий:</w:t>
      </w:r>
    </w:p>
    <w:p w:rsidR="003678E0" w:rsidRPr="003678E0" w:rsidRDefault="003678E0" w:rsidP="003678E0">
      <w:pPr>
        <w:spacing w:before="100"/>
        <w:ind w:left="1564" w:hanging="782"/>
        <w:jc w:val="both"/>
        <w:rPr>
          <w:sz w:val="19"/>
          <w:szCs w:val="20"/>
          <w:lang w:val="ru-RU"/>
        </w:rPr>
      </w:pPr>
      <w:r w:rsidRPr="003678E0">
        <w:rPr>
          <w:sz w:val="19"/>
          <w:szCs w:val="20"/>
          <w:lang w:val="ru-RU"/>
        </w:rPr>
        <w:t>(a)</w:t>
      </w:r>
      <w:r w:rsidRPr="003678E0">
        <w:rPr>
          <w:sz w:val="19"/>
          <w:szCs w:val="20"/>
          <w:lang w:val="ru-RU"/>
        </w:rPr>
        <w:tab/>
        <w:t>перестает существовать неопределенность, возникающая в результате реформы базовой процентной ставки, в отношении сроков возникновения и величины будущих денежных потоков, основанных на базовой процентной ставке, по объекту хеджирования; и</w:t>
      </w:r>
    </w:p>
    <w:p w:rsidR="003678E0" w:rsidRPr="003678E0" w:rsidRDefault="003678E0" w:rsidP="003678E0">
      <w:pPr>
        <w:spacing w:before="100"/>
        <w:ind w:left="1564" w:hanging="782"/>
        <w:jc w:val="both"/>
        <w:rPr>
          <w:sz w:val="19"/>
          <w:szCs w:val="20"/>
          <w:lang w:val="ru-RU"/>
        </w:rPr>
      </w:pPr>
      <w:r w:rsidRPr="003678E0">
        <w:rPr>
          <w:sz w:val="19"/>
          <w:szCs w:val="20"/>
          <w:lang w:val="ru-RU"/>
        </w:rPr>
        <w:t>(b)</w:t>
      </w:r>
      <w:r w:rsidRPr="003678E0">
        <w:rPr>
          <w:sz w:val="19"/>
          <w:szCs w:val="20"/>
          <w:lang w:val="ru-RU"/>
        </w:rPr>
        <w:tab/>
        <w:t>вся сумма, накопленная в составе резерва хеджирования денежных потоков в отношении данных прекращенных отношений хеджирования, была реклассифицирована в состав прибыли или убытка.</w:t>
      </w:r>
    </w:p>
    <w:p w:rsidR="003678E0" w:rsidRPr="003678E0" w:rsidRDefault="003678E0" w:rsidP="003678E0">
      <w:pPr>
        <w:spacing w:before="100"/>
        <w:ind w:left="782" w:hanging="782"/>
        <w:jc w:val="both"/>
        <w:rPr>
          <w:sz w:val="19"/>
          <w:szCs w:val="20"/>
          <w:lang w:val="ru-RU"/>
        </w:rPr>
      </w:pPr>
      <w:r w:rsidRPr="003678E0">
        <w:rPr>
          <w:sz w:val="19"/>
          <w:szCs w:val="20"/>
          <w:lang w:val="ru-RU"/>
        </w:rPr>
        <w:t>6.8.11</w:t>
      </w:r>
      <w:r w:rsidRPr="003678E0">
        <w:rPr>
          <w:sz w:val="19"/>
          <w:szCs w:val="20"/>
          <w:lang w:val="ru-RU"/>
        </w:rPr>
        <w:tab/>
        <w:t>Организация должна перспективно прекратить применение пункта 6.8.6:</w:t>
      </w:r>
    </w:p>
    <w:p w:rsidR="003678E0" w:rsidRPr="003678E0" w:rsidRDefault="003678E0" w:rsidP="003678E0">
      <w:pPr>
        <w:spacing w:before="100"/>
        <w:ind w:left="1564" w:hanging="782"/>
        <w:jc w:val="both"/>
        <w:rPr>
          <w:sz w:val="19"/>
          <w:szCs w:val="20"/>
          <w:lang w:val="ru-RU"/>
        </w:rPr>
      </w:pPr>
      <w:r w:rsidRPr="003678E0">
        <w:rPr>
          <w:sz w:val="19"/>
          <w:szCs w:val="20"/>
          <w:lang w:val="ru-RU"/>
        </w:rPr>
        <w:t>(a)</w:t>
      </w:r>
      <w:r w:rsidRPr="003678E0">
        <w:rPr>
          <w:sz w:val="19"/>
          <w:szCs w:val="20"/>
          <w:lang w:val="ru-RU"/>
        </w:rPr>
        <w:tab/>
        <w:t>к объекту хеджирования, когда больше не существует неопределенности, возникающей в результате реформы базовой процентной ставки, в отношении хеджируемого риска или сроков возникновения и величины денежных потоков, основанных на базовой процентной ставке, по объекту хеджирования; и</w:t>
      </w:r>
    </w:p>
    <w:p w:rsidR="003678E0" w:rsidRPr="003678E0" w:rsidRDefault="003678E0" w:rsidP="003678E0">
      <w:pPr>
        <w:spacing w:before="100"/>
        <w:ind w:left="1564" w:hanging="782"/>
        <w:jc w:val="both"/>
        <w:rPr>
          <w:sz w:val="19"/>
          <w:szCs w:val="20"/>
          <w:lang w:val="ru-RU"/>
        </w:rPr>
      </w:pPr>
      <w:r w:rsidRPr="003678E0">
        <w:rPr>
          <w:sz w:val="19"/>
          <w:szCs w:val="20"/>
          <w:lang w:val="ru-RU"/>
        </w:rPr>
        <w:t>(b)</w:t>
      </w:r>
      <w:r w:rsidRPr="003678E0">
        <w:rPr>
          <w:sz w:val="19"/>
          <w:szCs w:val="20"/>
          <w:lang w:val="ru-RU"/>
        </w:rPr>
        <w:tab/>
        <w:t xml:space="preserve">к инструменту хеджирования, когда больше не существует неопределенности, возникающей в результате реформы базовой процентной ставки, в отношении сроков возникновения и величины денежных потоков, основанных на базовой процентной ставке, по инструменту хеджирования. </w:t>
      </w:r>
    </w:p>
    <w:p w:rsidR="003678E0" w:rsidRPr="003678E0" w:rsidRDefault="003678E0" w:rsidP="003678E0">
      <w:pPr>
        <w:spacing w:before="100"/>
        <w:ind w:left="851"/>
        <w:jc w:val="both"/>
        <w:rPr>
          <w:sz w:val="19"/>
          <w:szCs w:val="20"/>
          <w:lang w:val="ru-RU"/>
        </w:rPr>
      </w:pPr>
      <w:r w:rsidRPr="003678E0">
        <w:rPr>
          <w:sz w:val="19"/>
          <w:szCs w:val="20"/>
          <w:lang w:val="ru-RU"/>
        </w:rPr>
        <w:t>Если отношения хеджирования, частью которых являются объект хеджирования и инструмент хеджирования, прекращаются раньше момента, когда удовлетворяются условия, указанные в пункте 6.8.11(a), или момента, когда удовлетворяются условия, указанные в пункте 6.8.11(b), организация должна перспективно прекратить применение пункта 6.8.6 к этим отношениям хеджирования на дату их прекращения.</w:t>
      </w:r>
    </w:p>
    <w:p w:rsidR="003678E0" w:rsidRPr="003678E0" w:rsidRDefault="003678E0" w:rsidP="003678E0">
      <w:pPr>
        <w:spacing w:before="100"/>
        <w:ind w:left="782" w:hanging="782"/>
        <w:jc w:val="both"/>
        <w:rPr>
          <w:sz w:val="19"/>
          <w:szCs w:val="20"/>
          <w:lang w:val="ru-RU"/>
        </w:rPr>
      </w:pPr>
      <w:r w:rsidRPr="003678E0">
        <w:rPr>
          <w:sz w:val="19"/>
          <w:szCs w:val="20"/>
          <w:lang w:val="ru-RU"/>
        </w:rPr>
        <w:t>6.8.12</w:t>
      </w:r>
      <w:r w:rsidRPr="003678E0">
        <w:rPr>
          <w:sz w:val="19"/>
          <w:szCs w:val="20"/>
          <w:lang w:val="ru-RU"/>
        </w:rPr>
        <w:tab/>
        <w:t xml:space="preserve">В случае определения организацией по собственному усмотрению группы объектов в качестве объекта хеджирования или сочетания финансовых инструментов в качестве инструмента хеджирования в зависимости от обстоятельств организация должна перспективно прекратить применение пунктов 6.8.4–6.8.6 к каждому отдельному объекту или финансовому инструменту в соответствии с пунктами 6.8.9, 6.8.10 или 6.8.11, когда больше не существует неопределенности, возникающей в результате реформы базовой процентной ставки, в отношении хеджируемого риска и/или сроков возникновения и величины денежных потоков, основанных на базовой процентной ставке, по данному объекту или финансовому инструменту. </w:t>
      </w:r>
    </w:p>
    <w:p w:rsidR="0032224C" w:rsidRPr="0032224C" w:rsidRDefault="0032224C" w:rsidP="0032224C">
      <w:pPr>
        <w:spacing w:before="100"/>
        <w:ind w:left="782" w:hanging="782"/>
        <w:jc w:val="both"/>
        <w:rPr>
          <w:sz w:val="19"/>
          <w:szCs w:val="20"/>
          <w:lang w:val="ru-RU"/>
        </w:rPr>
      </w:pPr>
      <w:r w:rsidRPr="0032224C">
        <w:rPr>
          <w:sz w:val="19"/>
          <w:szCs w:val="20"/>
          <w:lang w:val="ru-RU"/>
        </w:rPr>
        <w:t>6.8.13</w:t>
      </w:r>
      <w:r w:rsidRPr="0032224C">
        <w:rPr>
          <w:sz w:val="19"/>
          <w:szCs w:val="20"/>
          <w:lang w:val="ru-RU"/>
        </w:rPr>
        <w:tab/>
        <w:t>Организация должна перспективно прекратить применение пунктов 6.8.7 и 6.8.8 при наступлении более раннего из следующих событий:</w:t>
      </w:r>
    </w:p>
    <w:p w:rsidR="0032224C" w:rsidRPr="0032224C" w:rsidRDefault="0032224C" w:rsidP="0032224C">
      <w:pPr>
        <w:spacing w:before="100"/>
        <w:ind w:left="1564" w:hanging="782"/>
        <w:jc w:val="both"/>
        <w:rPr>
          <w:sz w:val="19"/>
          <w:szCs w:val="20"/>
          <w:lang w:val="ru-RU"/>
        </w:rPr>
      </w:pPr>
      <w:r w:rsidRPr="0032224C">
        <w:rPr>
          <w:sz w:val="19"/>
          <w:szCs w:val="20"/>
          <w:lang w:val="ru-RU"/>
        </w:rPr>
        <w:t>(a)</w:t>
      </w:r>
      <w:r w:rsidRPr="0032224C">
        <w:rPr>
          <w:sz w:val="19"/>
          <w:szCs w:val="20"/>
          <w:lang w:val="ru-RU"/>
        </w:rPr>
        <w:tab/>
        <w:t>когда изменения, требуемые реформой базовой процентной ставки, вносятся в соответствии с пунктом 6.9.1 в рисковый компонент, определенный не договором; или</w:t>
      </w:r>
    </w:p>
    <w:p w:rsidR="0032224C" w:rsidRPr="0032224C" w:rsidRDefault="0032224C" w:rsidP="0032224C">
      <w:pPr>
        <w:spacing w:before="100"/>
        <w:ind w:left="1564" w:hanging="782"/>
        <w:jc w:val="both"/>
        <w:rPr>
          <w:sz w:val="19"/>
          <w:szCs w:val="20"/>
          <w:lang w:val="ru-RU"/>
        </w:rPr>
      </w:pPr>
      <w:r w:rsidRPr="0032224C">
        <w:rPr>
          <w:sz w:val="19"/>
          <w:szCs w:val="20"/>
          <w:lang w:val="ru-RU"/>
        </w:rPr>
        <w:t>(b)</w:t>
      </w:r>
      <w:r w:rsidRPr="0032224C">
        <w:rPr>
          <w:sz w:val="19"/>
          <w:szCs w:val="20"/>
          <w:lang w:val="ru-RU"/>
        </w:rPr>
        <w:tab/>
        <w:t>когда прекращаются отношения хеджирования, в которые по усмотрению организации был включен рисковый компонент, определенный не договором.</w:t>
      </w:r>
    </w:p>
    <w:p w:rsidR="0032224C" w:rsidRPr="0032224C" w:rsidRDefault="0032224C" w:rsidP="0032224C">
      <w:pPr>
        <w:keepNext/>
        <w:keepLines/>
        <w:pBdr>
          <w:bottom w:val="single" w:sz="4" w:space="0" w:color="auto"/>
        </w:pBdr>
        <w:spacing w:before="240" w:after="200"/>
        <w:rPr>
          <w:rFonts w:ascii="Arial" w:hAnsi="Arial" w:cs="Arial"/>
          <w:b/>
          <w:sz w:val="26"/>
          <w:szCs w:val="20"/>
          <w:lang w:val="ru-RU"/>
        </w:rPr>
      </w:pPr>
      <w:r w:rsidRPr="0032224C">
        <w:rPr>
          <w:rFonts w:ascii="Arial" w:hAnsi="Arial" w:cs="Arial"/>
          <w:b/>
          <w:sz w:val="26"/>
          <w:szCs w:val="20"/>
          <w:lang w:val="ru-RU"/>
        </w:rPr>
        <w:t>6.9 Дополнительные временные исключения, обусловленные реформой базовой процентной ставки</w:t>
      </w:r>
    </w:p>
    <w:p w:rsidR="0032224C" w:rsidRPr="0032224C" w:rsidRDefault="0032224C" w:rsidP="0032224C">
      <w:pPr>
        <w:spacing w:before="100"/>
        <w:ind w:left="782" w:hanging="782"/>
        <w:jc w:val="both"/>
        <w:rPr>
          <w:sz w:val="19"/>
          <w:szCs w:val="20"/>
          <w:lang w:val="ru-RU"/>
        </w:rPr>
      </w:pPr>
      <w:r w:rsidRPr="0032224C">
        <w:rPr>
          <w:sz w:val="19"/>
          <w:szCs w:val="20"/>
          <w:lang w:val="ru-RU"/>
        </w:rPr>
        <w:t>6.9.1</w:t>
      </w:r>
      <w:r w:rsidRPr="0032224C">
        <w:rPr>
          <w:sz w:val="19"/>
          <w:szCs w:val="20"/>
          <w:lang w:val="ru-RU"/>
        </w:rPr>
        <w:tab/>
        <w:t>По мере того как и в тот момент когда к отношениям хеджирования прекращается применение требований, предусмотренных пунктами 6.8.4–6.8.8 (см. пункты 6.8.9–6.8.13), организация должна скорректировать свое формализованное решение об определении этих отношений хеджирования, чтобы отразить изменения, требуемые реформой базовой процентной ставки, то есть изменения, соответствующие требованиям пунктов 5.4.6–5.4.8. В данном случае решение организации об определении отношений хеджирования должно корректироваться только для внесения одного или нескольких из следующих изменений:</w:t>
      </w:r>
    </w:p>
    <w:p w:rsidR="0032224C" w:rsidRPr="0032224C" w:rsidRDefault="0032224C" w:rsidP="0032224C">
      <w:pPr>
        <w:spacing w:before="100"/>
        <w:ind w:left="1564" w:hanging="782"/>
        <w:jc w:val="both"/>
        <w:rPr>
          <w:sz w:val="19"/>
          <w:szCs w:val="20"/>
          <w:lang w:val="ru-RU"/>
        </w:rPr>
      </w:pPr>
      <w:r w:rsidRPr="0032224C">
        <w:rPr>
          <w:sz w:val="19"/>
          <w:szCs w:val="20"/>
          <w:lang w:val="ru-RU"/>
        </w:rPr>
        <w:t>(a)</w:t>
      </w:r>
      <w:r w:rsidRPr="0032224C">
        <w:rPr>
          <w:sz w:val="19"/>
          <w:szCs w:val="20"/>
          <w:lang w:val="ru-RU"/>
        </w:rPr>
        <w:tab/>
        <w:t>определение по усмотрению организации альтернативной базовой ставки (определенной договором или определенной не договором) в качестве хеджируемого риска;</w:t>
      </w:r>
    </w:p>
    <w:p w:rsidR="0032224C" w:rsidRPr="0032224C" w:rsidRDefault="0032224C" w:rsidP="0032224C">
      <w:pPr>
        <w:spacing w:before="100"/>
        <w:ind w:left="1564" w:hanging="782"/>
        <w:jc w:val="both"/>
        <w:rPr>
          <w:sz w:val="19"/>
          <w:szCs w:val="20"/>
          <w:lang w:val="ru-RU"/>
        </w:rPr>
      </w:pPr>
      <w:r w:rsidRPr="0032224C">
        <w:rPr>
          <w:sz w:val="19"/>
          <w:szCs w:val="20"/>
          <w:lang w:val="ru-RU"/>
        </w:rPr>
        <w:t>(b)</w:t>
      </w:r>
      <w:r w:rsidRPr="0032224C">
        <w:rPr>
          <w:sz w:val="19"/>
          <w:szCs w:val="20"/>
          <w:lang w:val="ru-RU"/>
        </w:rPr>
        <w:tab/>
        <w:t>изменение описания объекта хеджирования, включая описание определенной по усмотрению организации части хеджируемых денежных потоков или справедливой стоимости; или</w:t>
      </w:r>
    </w:p>
    <w:p w:rsidR="0032224C" w:rsidRPr="0032224C" w:rsidRDefault="0032224C" w:rsidP="0032224C">
      <w:pPr>
        <w:spacing w:before="100"/>
        <w:ind w:left="1564" w:hanging="782"/>
        <w:jc w:val="both"/>
        <w:rPr>
          <w:sz w:val="19"/>
          <w:szCs w:val="20"/>
          <w:lang w:val="ru-RU"/>
        </w:rPr>
      </w:pPr>
      <w:r w:rsidRPr="0032224C">
        <w:rPr>
          <w:sz w:val="19"/>
          <w:szCs w:val="20"/>
          <w:lang w:val="ru-RU"/>
        </w:rPr>
        <w:t>(c)</w:t>
      </w:r>
      <w:r w:rsidRPr="0032224C">
        <w:rPr>
          <w:sz w:val="19"/>
          <w:szCs w:val="20"/>
          <w:lang w:val="ru-RU"/>
        </w:rPr>
        <w:tab/>
        <w:t>изменение описания инструмента хеджирования.</w:t>
      </w:r>
    </w:p>
    <w:p w:rsidR="0032224C" w:rsidRPr="0032224C" w:rsidRDefault="0032224C" w:rsidP="0032224C">
      <w:pPr>
        <w:spacing w:before="100"/>
        <w:ind w:left="782" w:hanging="782"/>
        <w:jc w:val="both"/>
        <w:rPr>
          <w:sz w:val="19"/>
          <w:szCs w:val="20"/>
          <w:lang w:val="ru-RU"/>
        </w:rPr>
      </w:pPr>
      <w:r w:rsidRPr="0032224C">
        <w:rPr>
          <w:sz w:val="19"/>
          <w:szCs w:val="20"/>
          <w:lang w:val="ru-RU"/>
        </w:rPr>
        <w:t>6.9.2</w:t>
      </w:r>
      <w:r w:rsidRPr="0032224C">
        <w:rPr>
          <w:sz w:val="19"/>
          <w:szCs w:val="20"/>
          <w:lang w:val="ru-RU"/>
        </w:rPr>
        <w:tab/>
        <w:t>Организация также должна применять предусмотренное пунктом 6.9.1(c) требование, если выполняются три приведенных ниже условия:</w:t>
      </w:r>
    </w:p>
    <w:p w:rsidR="0032224C" w:rsidRPr="0032224C" w:rsidRDefault="0032224C" w:rsidP="0032224C">
      <w:pPr>
        <w:spacing w:before="100"/>
        <w:ind w:left="1564" w:hanging="782"/>
        <w:jc w:val="both"/>
        <w:rPr>
          <w:sz w:val="19"/>
          <w:szCs w:val="20"/>
          <w:lang w:val="ru-RU"/>
        </w:rPr>
      </w:pPr>
      <w:r w:rsidRPr="0032224C">
        <w:rPr>
          <w:sz w:val="19"/>
          <w:szCs w:val="20"/>
          <w:lang w:val="ru-RU"/>
        </w:rPr>
        <w:t>(a)</w:t>
      </w:r>
      <w:r w:rsidRPr="0032224C">
        <w:rPr>
          <w:sz w:val="19"/>
          <w:szCs w:val="20"/>
          <w:lang w:val="ru-RU"/>
        </w:rPr>
        <w:tab/>
        <w:t>организация вносит изменение, требуемое реформой базовой процентной ставки, применяя подход, отличный от изменения основы для определения предусмотренных договором денежных потоков по инструменту хеджирования (как описано в пункте 5.4.6);</w:t>
      </w:r>
    </w:p>
    <w:p w:rsidR="0032224C" w:rsidRPr="0032224C" w:rsidRDefault="0032224C" w:rsidP="0032224C">
      <w:pPr>
        <w:spacing w:before="100"/>
        <w:ind w:left="1564" w:hanging="782"/>
        <w:jc w:val="both"/>
        <w:rPr>
          <w:sz w:val="19"/>
          <w:szCs w:val="20"/>
          <w:lang w:val="ru-RU"/>
        </w:rPr>
      </w:pPr>
      <w:r w:rsidRPr="0032224C">
        <w:rPr>
          <w:sz w:val="19"/>
          <w:szCs w:val="20"/>
          <w:lang w:val="ru-RU"/>
        </w:rPr>
        <w:t>(b)</w:t>
      </w:r>
      <w:r w:rsidRPr="0032224C">
        <w:rPr>
          <w:sz w:val="19"/>
          <w:szCs w:val="20"/>
          <w:lang w:val="ru-RU"/>
        </w:rPr>
        <w:tab/>
        <w:t>признание первоначального инструмента хеджирования не прекращается; и</w:t>
      </w:r>
    </w:p>
    <w:p w:rsidR="0032224C" w:rsidRPr="0032224C" w:rsidRDefault="0032224C" w:rsidP="0032224C">
      <w:pPr>
        <w:spacing w:before="100"/>
        <w:ind w:left="1560" w:hanging="851"/>
        <w:jc w:val="both"/>
        <w:rPr>
          <w:sz w:val="19"/>
          <w:szCs w:val="20"/>
          <w:lang w:val="ru-RU"/>
        </w:rPr>
      </w:pPr>
      <w:r w:rsidRPr="0032224C">
        <w:rPr>
          <w:sz w:val="19"/>
          <w:szCs w:val="20"/>
          <w:lang w:val="ru-RU"/>
        </w:rPr>
        <w:t xml:space="preserve"> (c)</w:t>
      </w:r>
      <w:r w:rsidRPr="0032224C">
        <w:rPr>
          <w:sz w:val="19"/>
          <w:szCs w:val="20"/>
          <w:lang w:val="ru-RU"/>
        </w:rPr>
        <w:tab/>
        <w:t>выбранный подход является экономически эквивалентным изменению основы для определения предусмотренных договором денежных потоков по первоначальному инструменту хеджирования (как описано в пунктах 5.4.7 и 5.4.8).</w:t>
      </w:r>
    </w:p>
    <w:p w:rsidR="0032224C" w:rsidRPr="0032224C" w:rsidRDefault="0032224C" w:rsidP="0032224C">
      <w:pPr>
        <w:spacing w:before="100"/>
        <w:ind w:left="782" w:hanging="782"/>
        <w:jc w:val="both"/>
        <w:rPr>
          <w:sz w:val="19"/>
          <w:szCs w:val="20"/>
          <w:lang w:val="ru-RU"/>
        </w:rPr>
      </w:pPr>
      <w:r w:rsidRPr="0032224C">
        <w:rPr>
          <w:sz w:val="19"/>
          <w:szCs w:val="20"/>
          <w:lang w:val="ru-RU"/>
        </w:rPr>
        <w:t>6.9.3</w:t>
      </w:r>
      <w:r w:rsidRPr="0032224C">
        <w:rPr>
          <w:sz w:val="19"/>
          <w:szCs w:val="20"/>
          <w:lang w:val="ru-RU"/>
        </w:rPr>
        <w:tab/>
        <w:t>Прекращение применения требований пунктов 6.8.4–6.8.8 может произойти в разное время. Следовательно, при применении пункта 6.9.1 организации, возможно, придется корректировать формализованное решение по определению отношений хеджирования в разное время либо придется корректировать формализованное решение по определению отношений хеджирования не один раз. Тогда и только тогда, когда вносится такое изменение в определенные по усмотрению организации отношения хеджирования, организация должна применять в зависимости от обстоятельств пункты 6.9.7–6.9.12. Организация также должна применить пункт 6.5.8 (в случае хеджирования справедливой стоимости) или пункт 6.5.11 (в случае хеджирования денежных потоков), чтобы учесть любые изменения справедливой стоимости объекта хеджирования или инструмента хеджирования.</w:t>
      </w:r>
      <w:r w:rsidRPr="0032224C" w:rsidDel="002D3C6E">
        <w:rPr>
          <w:sz w:val="19"/>
          <w:szCs w:val="20"/>
          <w:lang w:val="ru-RU"/>
        </w:rPr>
        <w:t xml:space="preserve"> </w:t>
      </w:r>
    </w:p>
    <w:p w:rsidR="0032224C" w:rsidRPr="0032224C" w:rsidRDefault="0032224C" w:rsidP="0032224C">
      <w:pPr>
        <w:spacing w:before="100"/>
        <w:ind w:left="782" w:hanging="782"/>
        <w:jc w:val="both"/>
        <w:rPr>
          <w:sz w:val="19"/>
          <w:szCs w:val="20"/>
          <w:lang w:val="ru-RU"/>
        </w:rPr>
      </w:pPr>
      <w:r w:rsidRPr="0032224C">
        <w:rPr>
          <w:sz w:val="19"/>
          <w:szCs w:val="20"/>
          <w:lang w:val="ru-RU"/>
        </w:rPr>
        <w:t>6.9.4</w:t>
      </w:r>
      <w:r w:rsidRPr="0032224C">
        <w:rPr>
          <w:sz w:val="19"/>
          <w:szCs w:val="20"/>
          <w:lang w:val="ru-RU"/>
        </w:rPr>
        <w:tab/>
        <w:t>Организация должна скорректировать отношения хеджирования, как того требует пункт 6.9.1, до конца отчетного периода, в течение которого было внесено требуемое реформой базовой процентной ставки изменение в хеджируемый риск, объект хеджирования или инструмент хеджирования. Во избежание сомнений такая корректировка формализованного решения по определению отношений хеджирования не является ни прекращением отношений хеджирования, ни определением новых отношений хеджирования.</w:t>
      </w:r>
      <w:r w:rsidRPr="0032224C" w:rsidDel="002D3C6E">
        <w:rPr>
          <w:sz w:val="19"/>
          <w:szCs w:val="20"/>
          <w:lang w:val="ru-RU"/>
        </w:rPr>
        <w:t xml:space="preserve"> </w:t>
      </w:r>
    </w:p>
    <w:p w:rsidR="0032224C" w:rsidRPr="0032224C" w:rsidRDefault="0032224C" w:rsidP="0032224C">
      <w:pPr>
        <w:spacing w:before="100"/>
        <w:ind w:left="782" w:hanging="782"/>
        <w:jc w:val="both"/>
        <w:rPr>
          <w:sz w:val="19"/>
          <w:szCs w:val="20"/>
          <w:lang w:val="ru-RU"/>
        </w:rPr>
      </w:pPr>
      <w:r w:rsidRPr="0032224C">
        <w:rPr>
          <w:sz w:val="19"/>
          <w:szCs w:val="20"/>
          <w:lang w:val="ru-RU"/>
        </w:rPr>
        <w:t>6.9.5</w:t>
      </w:r>
      <w:r w:rsidRPr="0032224C">
        <w:rPr>
          <w:sz w:val="19"/>
          <w:szCs w:val="20"/>
          <w:lang w:val="ru-RU"/>
        </w:rPr>
        <w:tab/>
        <w:t>Если (как описано в пунктах 5.4.6–5.4.8) в дополнение к изменениям, требуемым реформой базовой процентной ставки, вносятся изменения в финансовый актив или финансовое обязательство, определенные по усмотрению организации в отношения хеджирования, или (согласно требованию пункта 6.9.1) в решение об определении отношений хеджирования, организация должна сначала применить соответствующие требования настоящего стандарта, чтобы определить, приводят ли эти дополнительные изменения к прекращению учета хеджирования. Если такие дополнительные изменения не приводят к прекращению учета хеджирования, организация должна скорректировать формализованное решение по определению отношений хеджирования, как указано в пункте 6.9.1.</w:t>
      </w:r>
    </w:p>
    <w:p w:rsidR="0032224C" w:rsidRPr="0032224C" w:rsidRDefault="0032224C" w:rsidP="0032224C">
      <w:pPr>
        <w:spacing w:before="100"/>
        <w:ind w:left="782" w:hanging="782"/>
        <w:jc w:val="both"/>
        <w:rPr>
          <w:sz w:val="19"/>
          <w:szCs w:val="20"/>
          <w:lang w:val="ru-RU"/>
        </w:rPr>
      </w:pPr>
      <w:r w:rsidRPr="0032224C">
        <w:rPr>
          <w:sz w:val="19"/>
          <w:szCs w:val="20"/>
          <w:lang w:val="ru-RU"/>
        </w:rPr>
        <w:t>6.9.6</w:t>
      </w:r>
      <w:r w:rsidRPr="0032224C">
        <w:rPr>
          <w:sz w:val="19"/>
          <w:szCs w:val="20"/>
          <w:lang w:val="ru-RU"/>
        </w:rPr>
        <w:tab/>
        <w:t>Пункты 6.9.7–6.9.13 предусматривают исключения в отношении только тех требований, которые указаны в данных пунктах. Организация должна применять все остальные требования настоящего стандарта в части учета хеджирования, включая квалификационные критерии в пункте 6.4.1, к отношениям хеджирования, на которые реформа базовой процентной ставки оказала непосредственное влияние.</w:t>
      </w:r>
    </w:p>
    <w:p w:rsidR="0032224C" w:rsidRPr="0032224C" w:rsidRDefault="0032224C" w:rsidP="0032224C">
      <w:pPr>
        <w:keepNext/>
        <w:keepLines/>
        <w:spacing w:before="240" w:after="200"/>
        <w:ind w:left="782"/>
        <w:rPr>
          <w:rFonts w:ascii="Arial" w:hAnsi="Arial" w:cs="Arial"/>
          <w:b/>
          <w:sz w:val="26"/>
          <w:szCs w:val="20"/>
          <w:lang w:val="ru-RU"/>
        </w:rPr>
      </w:pPr>
      <w:r w:rsidRPr="0032224C">
        <w:rPr>
          <w:rFonts w:ascii="Arial" w:hAnsi="Arial" w:cs="Arial"/>
          <w:b/>
          <w:sz w:val="26"/>
          <w:szCs w:val="20"/>
          <w:lang w:val="ru-RU"/>
        </w:rPr>
        <w:t>Порядок учета квалифицируемых отношений хеджирования</w:t>
      </w:r>
    </w:p>
    <w:p w:rsidR="0032224C" w:rsidRPr="0032224C" w:rsidRDefault="0032224C" w:rsidP="0032224C">
      <w:pPr>
        <w:keepNext/>
        <w:keepLines/>
        <w:spacing w:before="240" w:after="200"/>
        <w:ind w:left="782"/>
        <w:rPr>
          <w:rFonts w:ascii="Arial" w:hAnsi="Arial" w:cs="Arial"/>
          <w:b/>
          <w:sz w:val="22"/>
          <w:szCs w:val="22"/>
          <w:lang w:val="ru-RU"/>
        </w:rPr>
      </w:pPr>
      <w:r w:rsidRPr="0032224C">
        <w:rPr>
          <w:rFonts w:ascii="Arial" w:hAnsi="Arial" w:cs="Arial"/>
          <w:b/>
          <w:sz w:val="22"/>
          <w:szCs w:val="22"/>
          <w:lang w:val="ru-RU"/>
        </w:rPr>
        <w:t>Хеджирование денежных потоков</w:t>
      </w:r>
    </w:p>
    <w:p w:rsidR="0032224C" w:rsidRPr="0032224C" w:rsidRDefault="0032224C" w:rsidP="0032224C">
      <w:pPr>
        <w:spacing w:before="100"/>
        <w:ind w:left="782" w:hanging="782"/>
        <w:jc w:val="both"/>
        <w:rPr>
          <w:sz w:val="19"/>
          <w:szCs w:val="20"/>
          <w:lang w:val="ru-RU"/>
        </w:rPr>
      </w:pPr>
      <w:r w:rsidRPr="0032224C">
        <w:rPr>
          <w:sz w:val="19"/>
          <w:szCs w:val="20"/>
          <w:lang w:val="ru-RU"/>
        </w:rPr>
        <w:t>6.9.7</w:t>
      </w:r>
      <w:r w:rsidRPr="0032224C">
        <w:rPr>
          <w:sz w:val="19"/>
          <w:szCs w:val="20"/>
          <w:lang w:val="ru-RU"/>
        </w:rPr>
        <w:tab/>
        <w:t>В целях применения пункта 6.5.11 следует считать, что в момент, когда организация вносит изменения в описание объекта хеджирования в соответствии с требованием пункта 6.9.1(b), сумма, накопленная в резерве хеджирования денежных потоков, основана на альтернативной базовой ставке, исходя из которой определяются хеджируемые будущие денежные потоки.</w:t>
      </w:r>
    </w:p>
    <w:p w:rsidR="0032224C" w:rsidRPr="0032224C" w:rsidRDefault="0032224C" w:rsidP="0032224C">
      <w:pPr>
        <w:spacing w:before="100"/>
        <w:ind w:left="782" w:hanging="782"/>
        <w:jc w:val="both"/>
        <w:rPr>
          <w:sz w:val="19"/>
          <w:szCs w:val="20"/>
          <w:lang w:val="ru-RU"/>
        </w:rPr>
      </w:pPr>
      <w:r w:rsidRPr="0032224C">
        <w:rPr>
          <w:sz w:val="19"/>
          <w:szCs w:val="20"/>
          <w:lang w:val="ru-RU"/>
        </w:rPr>
        <w:t>6.9.8</w:t>
      </w:r>
      <w:r w:rsidRPr="0032224C">
        <w:rPr>
          <w:sz w:val="19"/>
          <w:szCs w:val="20"/>
          <w:lang w:val="ru-RU"/>
        </w:rPr>
        <w:tab/>
        <w:t>Применительно к прекращенным отношениям хеджирования, когда в соответствии с требованиями реформы базовой процентной ставки меняется базовая процентная ставка, на основе которой были определены хеджируемые будущие денежные потоки, в целях применения пункта 6.5.12, чтобы определить, ожидается ли возникновение хеджируемых будущих денежных потоков, сумму, накопленную в резерве хеджирования денежных потоков по этим отношениям хеджирования, следует считать основанной на альтернативной базовой ставке, исходя из которой будут определяться хеджируемые будущие денежные потоки.</w:t>
      </w:r>
    </w:p>
    <w:p w:rsidR="0032224C" w:rsidRPr="0032224C" w:rsidRDefault="0032224C" w:rsidP="0032224C">
      <w:pPr>
        <w:keepNext/>
        <w:keepLines/>
        <w:spacing w:before="240" w:after="200"/>
        <w:ind w:left="782"/>
        <w:rPr>
          <w:rFonts w:ascii="Arial" w:hAnsi="Arial" w:cs="Arial"/>
          <w:b/>
          <w:sz w:val="26"/>
          <w:szCs w:val="20"/>
          <w:lang w:val="ru-RU"/>
        </w:rPr>
      </w:pPr>
      <w:r w:rsidRPr="0032224C">
        <w:rPr>
          <w:rFonts w:ascii="Arial" w:hAnsi="Arial" w:cs="Arial"/>
          <w:b/>
          <w:sz w:val="26"/>
          <w:szCs w:val="20"/>
          <w:lang w:val="ru-RU"/>
        </w:rPr>
        <w:t>Группы объектов</w:t>
      </w:r>
    </w:p>
    <w:p w:rsidR="0032224C" w:rsidRPr="0032224C" w:rsidRDefault="0032224C" w:rsidP="0032224C">
      <w:pPr>
        <w:spacing w:before="100"/>
        <w:ind w:left="782" w:hanging="782"/>
        <w:jc w:val="both"/>
        <w:rPr>
          <w:sz w:val="19"/>
          <w:szCs w:val="20"/>
          <w:lang w:val="ru-RU"/>
        </w:rPr>
      </w:pPr>
      <w:r w:rsidRPr="0032224C">
        <w:rPr>
          <w:sz w:val="19"/>
          <w:szCs w:val="20"/>
          <w:lang w:val="ru-RU"/>
        </w:rPr>
        <w:t>6.9.9</w:t>
      </w:r>
      <w:r w:rsidRPr="0032224C">
        <w:rPr>
          <w:sz w:val="19"/>
          <w:szCs w:val="20"/>
          <w:lang w:val="ru-RU"/>
        </w:rPr>
        <w:tab/>
        <w:t>Когда организация применяет пункт 6.9.1 к группам объектов, которые были определены по усмотрению организации в качестве объектов хеджирования в рамках хеджирования справедливой стоимости или хеджирования денежных потоков, организация должна распределить объекты хеджирования по подгруппам, исходя из хеджируемой базовой ставки, и определить эту базовую ставку в качестве хеджируемого риска для каждой подгруппы. Например, в тех отношениях хеджирования, где группа объектов хеджируется на случай изменения базовой процентной ставки и эта ставка затрагивается реформой базовой процентной ставки, возможно, что хеджируемые денежные потоки или справедливая стоимость некоторых объектов в группе будут изменены в целях соотнесения с альтернативной базовой ставкой ранее, чем будут изменены другие объекты в данной группе. В данном примере при применении пункта 6.9.1 организация определила бы альтернативную базовую ставку в качестве хеджируемого риска для указанной подгруппы объектов хеджирования. Применительно к другой подгруппе объектов хеджирования организация продолжила бы по собственному усмотрению определять в качестве хеджируемого риска существующую базовую процентную ставку до тех пор, пока хеджируемые денежные потоки или справедливая стоимость этих объектов не будут изменены в целях соотнесения с альтернативой базовой ставкой или пока не истечет срок действия этих объектов и они не будут заменены объектами хеджирования, основанными на альтернативной базовой ставке.</w:t>
      </w:r>
    </w:p>
    <w:p w:rsidR="0032224C" w:rsidRPr="0032224C" w:rsidRDefault="0032224C" w:rsidP="0032224C">
      <w:pPr>
        <w:spacing w:before="100"/>
        <w:ind w:left="782" w:hanging="782"/>
        <w:jc w:val="both"/>
        <w:rPr>
          <w:sz w:val="19"/>
          <w:szCs w:val="20"/>
          <w:lang w:val="ru-RU"/>
        </w:rPr>
      </w:pPr>
      <w:r w:rsidRPr="0032224C">
        <w:rPr>
          <w:sz w:val="19"/>
          <w:szCs w:val="20"/>
          <w:lang w:val="ru-RU"/>
        </w:rPr>
        <w:t>6.9.10</w:t>
      </w:r>
      <w:r w:rsidRPr="0032224C">
        <w:rPr>
          <w:sz w:val="19"/>
          <w:szCs w:val="20"/>
          <w:lang w:val="ru-RU"/>
        </w:rPr>
        <w:tab/>
        <w:t>Организация должна отдельно оценивать каждую подгруппу на предмет того, отвечает ли она требованиям пункта 6.6.1, чтобы быть квалифицируемым объектом хеджирования. Если какая-либо подгруппа не отвечает требованиям пункта 6.6.1, организация должна перспективно прекратить учет хеджирования данных отношений хеджирования целиком. Организация также должна применять требования пунктов 6.5.8 и 6.5.11 для учета неэффективности, связанной с этими отношениями хеджирования как единого целого.</w:t>
      </w:r>
    </w:p>
    <w:p w:rsidR="0032224C" w:rsidRPr="0032224C" w:rsidRDefault="0032224C" w:rsidP="0032224C">
      <w:pPr>
        <w:keepNext/>
        <w:keepLines/>
        <w:spacing w:before="240" w:after="200"/>
        <w:ind w:left="782"/>
        <w:rPr>
          <w:rFonts w:ascii="Arial" w:hAnsi="Arial" w:cs="Arial"/>
          <w:b/>
          <w:sz w:val="26"/>
          <w:szCs w:val="20"/>
          <w:lang w:val="ru-RU"/>
        </w:rPr>
      </w:pPr>
      <w:r w:rsidRPr="0032224C">
        <w:rPr>
          <w:rFonts w:ascii="Arial" w:hAnsi="Arial" w:cs="Arial"/>
          <w:b/>
          <w:sz w:val="26"/>
          <w:szCs w:val="20"/>
          <w:lang w:val="ru-RU"/>
        </w:rPr>
        <w:t>Определение по усмотрению организации рисковых компонентов</w:t>
      </w:r>
    </w:p>
    <w:p w:rsidR="0032224C" w:rsidRPr="0032224C" w:rsidRDefault="0032224C" w:rsidP="0032224C">
      <w:pPr>
        <w:spacing w:before="100"/>
        <w:ind w:left="782" w:hanging="782"/>
        <w:jc w:val="both"/>
        <w:rPr>
          <w:sz w:val="19"/>
          <w:szCs w:val="20"/>
          <w:lang w:val="ru-RU"/>
        </w:rPr>
      </w:pPr>
      <w:r w:rsidRPr="0032224C">
        <w:rPr>
          <w:sz w:val="19"/>
          <w:szCs w:val="20"/>
          <w:lang w:val="ru-RU"/>
        </w:rPr>
        <w:t>6.9.11</w:t>
      </w:r>
      <w:r w:rsidRPr="0032224C">
        <w:rPr>
          <w:sz w:val="19"/>
          <w:szCs w:val="20"/>
          <w:lang w:val="ru-RU"/>
        </w:rPr>
        <w:tab/>
        <w:t>Альтернативную базовую ставку, определенную по усмотрению организации в качестве определенного не договором рискового компонента, который не является отдельно идентифицируемым (см. пункты 6.3.7(a) и B6.3.8) на дату его определения по усмотрению организации, следует считать отвечающей данному требованию на указанную дату в том и только в том случае, если у организации имеются обоснованные ожидания, что эта альтернативная базовая ставка станет отдельно идентифицируемой в течение 24 месяцев. Период 24 месяца применяется к каждой альтернативной базовой ставке в отдельности и начинается с даты, когда организация впервые по своему усмотрению определяет эту альтернативную базовую ставку в качестве рискового компонента, определенного не договором (то есть период 24 месяца применяется к каждой отдельной ставке).</w:t>
      </w:r>
    </w:p>
    <w:p w:rsidR="0032224C" w:rsidRPr="0032224C" w:rsidRDefault="0032224C" w:rsidP="0032224C">
      <w:pPr>
        <w:spacing w:before="100"/>
        <w:ind w:left="782" w:hanging="782"/>
        <w:jc w:val="both"/>
        <w:rPr>
          <w:sz w:val="19"/>
          <w:szCs w:val="20"/>
          <w:lang w:val="ru-RU"/>
        </w:rPr>
      </w:pPr>
      <w:r w:rsidRPr="0032224C">
        <w:rPr>
          <w:sz w:val="19"/>
          <w:szCs w:val="20"/>
          <w:lang w:val="ru-RU"/>
        </w:rPr>
        <w:t>6.9.12</w:t>
      </w:r>
      <w:r w:rsidRPr="0032224C">
        <w:rPr>
          <w:sz w:val="19"/>
          <w:szCs w:val="20"/>
          <w:lang w:val="ru-RU"/>
        </w:rPr>
        <w:tab/>
        <w:t>Если впоследствии у организации появятся обоснованные ожидания, что эта альтернативная базовая ставка не станет отдельно идентифицируемой в течение 24 месяцев с даты, когда организация впервые по собственному усмотрению определила ее в качестве рискового компонента, определенного не договором, организация должна прекратить применение требования пункта 6.9.11 к указанной альтернативной базовой ставке и прекратить учет хеджирования с даты такой переоценки перспективно для всех отношений хеджирования, в которых эта альтернативная базовая ставка была определена по усмотрению организации в качестве рискового компонента, определенного не договором.</w:t>
      </w:r>
    </w:p>
    <w:p w:rsidR="0032224C" w:rsidRPr="0032224C" w:rsidRDefault="0032224C" w:rsidP="0032224C">
      <w:pPr>
        <w:spacing w:before="100"/>
        <w:ind w:left="782" w:hanging="782"/>
        <w:jc w:val="both"/>
        <w:rPr>
          <w:sz w:val="19"/>
          <w:szCs w:val="20"/>
          <w:lang w:val="ru-RU"/>
        </w:rPr>
      </w:pPr>
      <w:r w:rsidRPr="0032224C">
        <w:rPr>
          <w:sz w:val="19"/>
          <w:szCs w:val="20"/>
          <w:lang w:val="ru-RU"/>
        </w:rPr>
        <w:t>6.9.13</w:t>
      </w:r>
      <w:r w:rsidRPr="0032224C">
        <w:rPr>
          <w:sz w:val="19"/>
          <w:szCs w:val="20"/>
          <w:lang w:val="ru-RU"/>
        </w:rPr>
        <w:tab/>
        <w:t>Помимо отношений хеджирования, указанных в пункте 6.9.1, организация должна применять требования пунктов 6.9.11 и 6.9.12 к новым отношениям хеджирования, в которых альтернативная базовая ставка по усмотрению организации определяется в качестве рискового компонента, определенного не договором (см. пункты 6.3.7(a) и B6.3.8), когда вследствие реформы базовой процентной ставки данный рисковый компонент не является отдельно идентифицируемым на дату его определения по усмотрению организации.</w:t>
      </w:r>
    </w:p>
    <w:p w:rsidR="00B643A3" w:rsidRPr="00170D8F" w:rsidRDefault="00B643A3" w:rsidP="00B643A3">
      <w:pPr>
        <w:pStyle w:val="IASBSectionTitle1NonInd"/>
        <w:pBdr>
          <w:bottom w:val="none" w:sz="0" w:space="0" w:color="auto"/>
        </w:pBdr>
        <w:rPr>
          <w:lang w:val="ru-RU"/>
        </w:rPr>
      </w:pPr>
      <w:bookmarkStart w:id="174" w:name="F32570456"/>
      <w:r w:rsidRPr="00170D8F">
        <w:rPr>
          <w:lang w:val="ru-RU"/>
        </w:rPr>
        <w:t>Глава 7 Дата вступления в силу и переходные положения</w:t>
      </w:r>
    </w:p>
    <w:p w:rsidR="00B643A3" w:rsidRPr="00170D8F" w:rsidRDefault="00B643A3" w:rsidP="00B643A3">
      <w:pPr>
        <w:pStyle w:val="IASBSectionTitle1NonInd"/>
        <w:rPr>
          <w:lang w:val="ru-RU"/>
        </w:rPr>
      </w:pPr>
      <w:r w:rsidRPr="00170D8F">
        <w:rPr>
          <w:lang w:val="ru-RU"/>
        </w:rPr>
        <w:t>7.1 Дата вступления в силу</w:t>
      </w:r>
    </w:p>
    <w:p w:rsidR="00B643A3" w:rsidRPr="00170D8F" w:rsidRDefault="00B643A3" w:rsidP="00B643A3">
      <w:pPr>
        <w:pStyle w:val="IASBNormalnpara"/>
        <w:rPr>
          <w:lang w:val="ru-RU"/>
        </w:rPr>
      </w:pPr>
      <w:r w:rsidRPr="00170D8F">
        <w:rPr>
          <w:lang w:val="ru-RU"/>
        </w:rPr>
        <w:t>7.1.1</w:t>
      </w:r>
      <w:r w:rsidRPr="00170D8F">
        <w:rPr>
          <w:lang w:val="ru-RU"/>
        </w:rPr>
        <w:tab/>
        <w:t xml:space="preserve">Организация должна применять настоящий стандарт в отношении годовых периодов, начинающихся 1 января 2018 года или после этой даты. </w:t>
      </w:r>
      <w:r w:rsidR="00730672">
        <w:rPr>
          <w:lang w:val="ru-RU"/>
        </w:rPr>
        <w:t>Допускается досрочное применение</w:t>
      </w:r>
      <w:r w:rsidRPr="00170D8F">
        <w:rPr>
          <w:lang w:val="ru-RU"/>
        </w:rPr>
        <w:t>. Если организация принимает решение о досрочном применении настоящего стандарта, она должна раскрыть этот факт и применить все требования настоящего стандарта одновременно (однако см. также пункты 7.1.2, 7.2.21 и 7.3.2). Вместе с тем она также должна применить поправки, изложенные в Приложении С.</w:t>
      </w:r>
    </w:p>
    <w:p w:rsidR="00B643A3" w:rsidRPr="00170D8F" w:rsidRDefault="00B643A3" w:rsidP="00B643A3">
      <w:pPr>
        <w:pStyle w:val="IASBNormalnpara"/>
        <w:rPr>
          <w:lang w:val="ru-RU"/>
        </w:rPr>
      </w:pPr>
      <w:r w:rsidRPr="00170D8F">
        <w:rPr>
          <w:lang w:val="ru-RU"/>
        </w:rPr>
        <w:t>7.1.2</w:t>
      </w:r>
      <w:r w:rsidRPr="00170D8F">
        <w:rPr>
          <w:lang w:val="ru-RU"/>
        </w:rPr>
        <w:tab/>
        <w:t>Несмотря на требования пун</w:t>
      </w:r>
      <w:r w:rsidR="003D5001">
        <w:rPr>
          <w:lang w:val="ru-RU"/>
        </w:rPr>
        <w:t>кта 7.1.1, организация вправе </w:t>
      </w:r>
      <w:r w:rsidRPr="00170D8F">
        <w:rPr>
          <w:lang w:val="ru-RU"/>
        </w:rPr>
        <w:t>для годовых периодов, нач</w:t>
      </w:r>
      <w:r w:rsidR="003D5001">
        <w:rPr>
          <w:lang w:val="ru-RU"/>
        </w:rPr>
        <w:t>инающихся до 1 января 2018 года</w:t>
      </w:r>
      <w:r w:rsidR="003D5001" w:rsidRPr="003D5001">
        <w:rPr>
          <w:lang w:val="ru-RU"/>
        </w:rPr>
        <w:t xml:space="preserve"> </w:t>
      </w:r>
      <w:r w:rsidRPr="00170D8F">
        <w:rPr>
          <w:lang w:val="ru-RU"/>
        </w:rPr>
        <w:t xml:space="preserve">принять решение о досрочном применении только требований, предусмотренных пунктами 5.7.1(c), 5.7.7–5.7.9, 7.2.14 и B5.7.5–B5.7.20 в отношении представления прибылей или убытков по тем финансовым обязательствам, </w:t>
      </w:r>
      <w:r w:rsidRPr="00E00C40">
        <w:rPr>
          <w:lang w:val="ru-RU"/>
        </w:rPr>
        <w:t>которые она по собственному усмотрению классифицировала</w:t>
      </w:r>
      <w:r w:rsidRPr="00170D8F">
        <w:rPr>
          <w:lang w:val="ru-RU"/>
        </w:rPr>
        <w:t xml:space="preserve"> как оцениваемые по справедливой стоимости через прибыль или убыток, не применяя при этом остальные требования настоящего стандарта. Если организация принимает решение о применении только указанных пунктов, она должна раскрыть этот факт и на постоянной основе раскрывать соответствующую информацию согласно требованиям пунктов 10–11 МС</w:t>
      </w:r>
      <w:r w:rsidR="003D5001">
        <w:rPr>
          <w:lang w:val="ru-RU"/>
        </w:rPr>
        <w:t>ФО</w:t>
      </w:r>
      <w:r w:rsidR="003D5001">
        <w:t> </w:t>
      </w:r>
      <w:r w:rsidRPr="00170D8F">
        <w:rPr>
          <w:lang w:val="ru-RU"/>
        </w:rPr>
        <w:t>(IFRS) 7</w:t>
      </w:r>
      <w:r w:rsidR="00D4388B">
        <w:rPr>
          <w:lang w:val="ru-RU"/>
        </w:rPr>
        <w:t xml:space="preserve"> </w:t>
      </w:r>
      <w:r w:rsidR="00D4388B" w:rsidRPr="00D4388B">
        <w:rPr>
          <w:i/>
          <w:lang w:val="ru-RU"/>
        </w:rPr>
        <w:t>«Финансовые инструменты: раскрытие информации»</w:t>
      </w:r>
      <w:r w:rsidRPr="00170D8F">
        <w:rPr>
          <w:lang w:val="ru-RU"/>
        </w:rPr>
        <w:t xml:space="preserve"> (с учетом поправок, внесенных МСФО (IFRS) 9 (</w:t>
      </w:r>
      <w:r w:rsidR="00CE0707">
        <w:rPr>
          <w:lang w:val="ru-RU"/>
        </w:rPr>
        <w:t xml:space="preserve">в </w:t>
      </w:r>
      <w:r w:rsidRPr="00170D8F">
        <w:rPr>
          <w:lang w:val="ru-RU"/>
        </w:rPr>
        <w:t>ред</w:t>
      </w:r>
      <w:r w:rsidR="00CE0707">
        <w:rPr>
          <w:lang w:val="ru-RU"/>
        </w:rPr>
        <w:t>акции</w:t>
      </w:r>
      <w:r w:rsidRPr="00170D8F">
        <w:rPr>
          <w:lang w:val="ru-RU"/>
        </w:rPr>
        <w:t xml:space="preserve"> 2010 г</w:t>
      </w:r>
      <w:r w:rsidR="00CE0707">
        <w:rPr>
          <w:lang w:val="ru-RU"/>
        </w:rPr>
        <w:t>ода</w:t>
      </w:r>
      <w:r w:rsidRPr="00170D8F">
        <w:rPr>
          <w:lang w:val="ru-RU"/>
        </w:rPr>
        <w:t>)). (См. также пункты 7.2.2 и 7.2.15.)</w:t>
      </w:r>
    </w:p>
    <w:p w:rsidR="00B643A3" w:rsidRPr="00170D8F" w:rsidRDefault="00B643A3" w:rsidP="00B643A3">
      <w:pPr>
        <w:pStyle w:val="IASBNormalnpara"/>
        <w:rPr>
          <w:lang w:val="ru-RU"/>
        </w:rPr>
      </w:pPr>
      <w:r w:rsidRPr="00170D8F">
        <w:rPr>
          <w:lang w:val="ru-RU"/>
        </w:rPr>
        <w:t>7.1.3</w:t>
      </w:r>
      <w:r w:rsidRPr="00170D8F">
        <w:rPr>
          <w:lang w:val="ru-RU"/>
        </w:rPr>
        <w:tab/>
        <w:t>Документ</w:t>
      </w:r>
      <w:r w:rsidR="003D5001">
        <w:rPr>
          <w:lang w:val="ru-RU"/>
        </w:rPr>
        <w:t>ом</w:t>
      </w:r>
      <w:r w:rsidRPr="00170D8F">
        <w:rPr>
          <w:lang w:val="ru-RU"/>
        </w:rPr>
        <w:t xml:space="preserve"> </w:t>
      </w:r>
      <w:r w:rsidRPr="00170D8F">
        <w:rPr>
          <w:i/>
          <w:lang w:val="ru-RU"/>
        </w:rPr>
        <w:t>«Ежегодные усове</w:t>
      </w:r>
      <w:r w:rsidR="006D0F61">
        <w:rPr>
          <w:i/>
          <w:lang w:val="ru-RU"/>
        </w:rPr>
        <w:t>ршенствования МСФО, период 2010</w:t>
      </w:r>
      <w:r w:rsidR="006D0F61">
        <w:rPr>
          <w:b/>
          <w:lang w:val="ru-RU"/>
        </w:rPr>
        <w:t>–</w:t>
      </w:r>
      <w:r w:rsidRPr="00170D8F">
        <w:rPr>
          <w:i/>
          <w:lang w:val="ru-RU"/>
        </w:rPr>
        <w:t>2012 гг.»</w:t>
      </w:r>
      <w:r w:rsidR="003D5001">
        <w:rPr>
          <w:lang w:val="ru-RU"/>
        </w:rPr>
        <w:t>, выпущенным</w:t>
      </w:r>
      <w:r w:rsidRPr="00170D8F">
        <w:rPr>
          <w:lang w:val="ru-RU"/>
        </w:rPr>
        <w:t xml:space="preserve"> в декабре 2013 года, внес</w:t>
      </w:r>
      <w:r w:rsidR="003D5001">
        <w:rPr>
          <w:lang w:val="ru-RU"/>
        </w:rPr>
        <w:t>ены</w:t>
      </w:r>
      <w:r w:rsidRPr="00170D8F">
        <w:rPr>
          <w:lang w:val="ru-RU"/>
        </w:rPr>
        <w:t xml:space="preserve"> изменения в пункты 4.2.1 и 5.7.5 в качестве сопутствующих поправок, обусловленных поправкой к МСФО (IFRS) 3. Организация должна применять данные изменения перспективно д</w:t>
      </w:r>
      <w:r w:rsidR="00A35DF0">
        <w:rPr>
          <w:lang w:val="ru-RU"/>
        </w:rPr>
        <w:t>ля сделок по объединению бизнесов</w:t>
      </w:r>
      <w:r w:rsidRPr="00170D8F">
        <w:rPr>
          <w:lang w:val="ru-RU"/>
        </w:rPr>
        <w:t>, на которые распространяется поправка к МСФО (IFRS) 3.</w:t>
      </w:r>
    </w:p>
    <w:p w:rsidR="00B643A3" w:rsidRDefault="003D5001" w:rsidP="00B643A3">
      <w:pPr>
        <w:pStyle w:val="IASBNormalnpara"/>
        <w:rPr>
          <w:lang w:val="ru-RU"/>
        </w:rPr>
      </w:pPr>
      <w:r>
        <w:rPr>
          <w:lang w:val="ru-RU"/>
        </w:rPr>
        <w:t>7.1.4</w:t>
      </w:r>
      <w:r>
        <w:rPr>
          <w:lang w:val="ru-RU"/>
        </w:rPr>
        <w:tab/>
        <w:t>МСФО (IFRS) 15, выпущенным</w:t>
      </w:r>
      <w:r w:rsidR="00B643A3" w:rsidRPr="00170D8F">
        <w:rPr>
          <w:lang w:val="ru-RU"/>
        </w:rPr>
        <w:t xml:space="preserve"> в мае 2014 года, внес</w:t>
      </w:r>
      <w:r>
        <w:rPr>
          <w:lang w:val="ru-RU"/>
        </w:rPr>
        <w:t>ены</w:t>
      </w:r>
      <w:r w:rsidR="00B643A3" w:rsidRPr="00170D8F">
        <w:rPr>
          <w:lang w:val="ru-RU"/>
        </w:rPr>
        <w:t xml:space="preserve"> изменения в пункты 3.1.1, 4.2.1, 5.1.1, 5.2.1, 5.7.6, B3</w:t>
      </w:r>
      <w:r>
        <w:rPr>
          <w:lang w:val="ru-RU"/>
        </w:rPr>
        <w:t>.2.13, B5.7.1, C5 и C42 и удален</w:t>
      </w:r>
      <w:r w:rsidR="00B643A3" w:rsidRPr="00170D8F">
        <w:rPr>
          <w:lang w:val="ru-RU"/>
        </w:rPr>
        <w:t xml:space="preserve"> пункт C16 и соответствующий заголовок к нему. Добавлены пункты 5.1.3 и 5.7.1A и определение в Приложении А. Организация должна применить данные изменения </w:t>
      </w:r>
      <w:r>
        <w:rPr>
          <w:lang w:val="ru-RU"/>
        </w:rPr>
        <w:t>одновременно с</w:t>
      </w:r>
      <w:r w:rsidR="00B643A3" w:rsidRPr="00170D8F">
        <w:rPr>
          <w:lang w:val="ru-RU"/>
        </w:rPr>
        <w:t xml:space="preserve"> применение</w:t>
      </w:r>
      <w:r>
        <w:rPr>
          <w:lang w:val="ru-RU"/>
        </w:rPr>
        <w:t>м</w:t>
      </w:r>
      <w:r w:rsidR="00B643A3" w:rsidRPr="00170D8F">
        <w:rPr>
          <w:lang w:val="ru-RU"/>
        </w:rPr>
        <w:t xml:space="preserve"> МСФО (IFRS) 15.</w:t>
      </w:r>
    </w:p>
    <w:p w:rsidR="00047253" w:rsidRDefault="00047253" w:rsidP="00B643A3">
      <w:pPr>
        <w:pStyle w:val="IASBNormalnpara"/>
        <w:rPr>
          <w:lang w:val="ru-RU"/>
        </w:rPr>
      </w:pPr>
      <w:r w:rsidRPr="00047253">
        <w:rPr>
          <w:lang w:val="ru-RU"/>
        </w:rPr>
        <w:t>7.1.5</w:t>
      </w:r>
      <w:r w:rsidRPr="00047253">
        <w:rPr>
          <w:lang w:val="ru-RU"/>
        </w:rPr>
        <w:tab/>
        <w:t>МСФО (IFRS) 16 «</w:t>
      </w:r>
      <w:r w:rsidRPr="00047253">
        <w:rPr>
          <w:i/>
          <w:lang w:val="ru-RU"/>
        </w:rPr>
        <w:t>Аренда</w:t>
      </w:r>
      <w:r w:rsidRPr="00047253">
        <w:rPr>
          <w:lang w:val="ru-RU"/>
        </w:rPr>
        <w:t>», выпущенным в январе 2016 года, внесены поправки в пункты 2.1, 5.5.15, B4.3.8, B5.5.34 и B5.5.46. Организация должна применить эти поправки одновременно с применением МСФО (IFRS) 16.</w:t>
      </w:r>
    </w:p>
    <w:p w:rsidR="006E399A" w:rsidRPr="006E399A" w:rsidRDefault="006E399A" w:rsidP="006E399A">
      <w:pPr>
        <w:spacing w:before="100"/>
        <w:ind w:left="782" w:hanging="782"/>
        <w:jc w:val="both"/>
        <w:rPr>
          <w:rFonts w:eastAsia="Batang"/>
          <w:sz w:val="19"/>
          <w:szCs w:val="20"/>
          <w:lang w:val="ru-RU"/>
        </w:rPr>
      </w:pPr>
      <w:r w:rsidRPr="006E399A">
        <w:rPr>
          <w:rFonts w:eastAsia="Batang"/>
          <w:sz w:val="19"/>
          <w:szCs w:val="20"/>
          <w:lang w:val="ru-RU"/>
        </w:rPr>
        <w:t>7.1.6</w:t>
      </w:r>
      <w:r w:rsidRPr="006E399A">
        <w:rPr>
          <w:rFonts w:eastAsia="Batang"/>
          <w:sz w:val="19"/>
          <w:szCs w:val="20"/>
          <w:lang w:val="ru-RU"/>
        </w:rPr>
        <w:tab/>
        <w:t xml:space="preserve">МСФО (IFRS) 17, выпущенным в мае 2017 года, внесены поправки в пункты 2.1, B2.1, B2.4, B2.5 и B4.1.30 и добавлен пункт 3.3.5. Документом </w:t>
      </w:r>
      <w:r w:rsidRPr="006E399A">
        <w:rPr>
          <w:rFonts w:eastAsia="Batang"/>
          <w:i/>
          <w:iCs/>
          <w:sz w:val="19"/>
          <w:szCs w:val="20"/>
          <w:lang w:val="ru-RU"/>
        </w:rPr>
        <w:t>«Поправки к</w:t>
      </w:r>
      <w:r w:rsidRPr="006E399A">
        <w:rPr>
          <w:rFonts w:eastAsia="Batang"/>
          <w:i/>
          <w:iCs/>
          <w:sz w:val="19"/>
          <w:szCs w:val="20"/>
          <w:lang w:val="en-US"/>
        </w:rPr>
        <w:t> </w:t>
      </w:r>
      <w:r w:rsidRPr="006E399A">
        <w:rPr>
          <w:rFonts w:eastAsia="Batang"/>
          <w:i/>
          <w:iCs/>
          <w:sz w:val="19"/>
          <w:szCs w:val="20"/>
          <w:lang w:val="ru-RU"/>
        </w:rPr>
        <w:t>МСФО (</w:t>
      </w:r>
      <w:r w:rsidRPr="006E399A">
        <w:rPr>
          <w:rFonts w:eastAsia="Batang"/>
          <w:i/>
          <w:iCs/>
          <w:sz w:val="19"/>
          <w:szCs w:val="20"/>
          <w:lang w:val="en-US"/>
        </w:rPr>
        <w:t>IFRS</w:t>
      </w:r>
      <w:r w:rsidRPr="006E399A">
        <w:rPr>
          <w:rFonts w:eastAsia="Batang"/>
          <w:i/>
          <w:iCs/>
          <w:sz w:val="19"/>
          <w:szCs w:val="20"/>
          <w:lang w:val="ru-RU"/>
        </w:rPr>
        <w:t>)</w:t>
      </w:r>
      <w:r w:rsidRPr="006E399A">
        <w:rPr>
          <w:rFonts w:eastAsia="Batang"/>
          <w:i/>
          <w:iCs/>
          <w:sz w:val="19"/>
          <w:szCs w:val="20"/>
          <w:lang w:val="en-US"/>
        </w:rPr>
        <w:t> </w:t>
      </w:r>
      <w:r w:rsidRPr="006E399A">
        <w:rPr>
          <w:rFonts w:eastAsia="Batang"/>
          <w:i/>
          <w:iCs/>
          <w:sz w:val="19"/>
          <w:szCs w:val="20"/>
          <w:lang w:val="ru-RU"/>
        </w:rPr>
        <w:t>17»</w:t>
      </w:r>
      <w:r w:rsidRPr="006E399A">
        <w:rPr>
          <w:rFonts w:eastAsia="Batang"/>
          <w:sz w:val="19"/>
          <w:szCs w:val="20"/>
          <w:lang w:val="ru-RU"/>
        </w:rPr>
        <w:t>, выпущенным в июне 2020 года, внесены дополнительные поправки в пункт 2.1 и добавлены пункты 7.2.36‒7.2.42. Организация должна применить данные поправки одновременно с применением МСФО (IFRS) 17.</w:t>
      </w:r>
    </w:p>
    <w:p w:rsidR="00F34ECE" w:rsidRDefault="00F34ECE" w:rsidP="00F34ECE">
      <w:pPr>
        <w:spacing w:before="100"/>
        <w:ind w:left="782" w:hanging="782"/>
        <w:jc w:val="both"/>
        <w:rPr>
          <w:sz w:val="19"/>
          <w:szCs w:val="20"/>
          <w:lang w:val="ru-RU"/>
        </w:rPr>
      </w:pPr>
      <w:r w:rsidRPr="00F34ECE">
        <w:rPr>
          <w:sz w:val="19"/>
          <w:szCs w:val="20"/>
          <w:lang w:val="ru-RU"/>
        </w:rPr>
        <w:t>7.1.7</w:t>
      </w:r>
      <w:r w:rsidRPr="00F34ECE">
        <w:rPr>
          <w:sz w:val="19"/>
          <w:szCs w:val="20"/>
          <w:lang w:val="ru-RU"/>
        </w:rPr>
        <w:tab/>
      </w:r>
      <w:bookmarkStart w:id="175" w:name="F62013487"/>
      <w:r w:rsidRPr="00F34ECE">
        <w:rPr>
          <w:sz w:val="19"/>
          <w:szCs w:val="20"/>
          <w:lang w:val="ru-RU"/>
        </w:rPr>
        <w:t xml:space="preserve">Документом </w:t>
      </w:r>
      <w:r w:rsidRPr="00F34ECE">
        <w:rPr>
          <w:i/>
          <w:sz w:val="19"/>
          <w:szCs w:val="20"/>
          <w:lang w:val="ru-RU"/>
        </w:rPr>
        <w:t>«Условия о досрочном погашении с потенциальным отрицательным возмещением»</w:t>
      </w:r>
      <w:r w:rsidRPr="00F34ECE">
        <w:rPr>
          <w:sz w:val="19"/>
          <w:szCs w:val="20"/>
          <w:lang w:val="ru-RU"/>
        </w:rPr>
        <w:t xml:space="preserve"> (Поправки к МСФО (</w:t>
      </w:r>
      <w:r w:rsidRPr="00F34ECE">
        <w:rPr>
          <w:sz w:val="19"/>
          <w:szCs w:val="20"/>
          <w:lang w:val="en-US"/>
        </w:rPr>
        <w:t>IFRS</w:t>
      </w:r>
      <w:r w:rsidRPr="00F34ECE">
        <w:rPr>
          <w:sz w:val="19"/>
          <w:szCs w:val="20"/>
          <w:lang w:val="ru-RU"/>
        </w:rPr>
        <w:t xml:space="preserve">) 9), выпущенным в октябре 2017 года, добавлены пункты 7.2.29–7.2.34 и пункт </w:t>
      </w:r>
      <w:r w:rsidRPr="00F34ECE">
        <w:rPr>
          <w:sz w:val="19"/>
          <w:szCs w:val="20"/>
          <w:lang w:val="en-US"/>
        </w:rPr>
        <w:t>B</w:t>
      </w:r>
      <w:r w:rsidRPr="00F34ECE">
        <w:rPr>
          <w:sz w:val="19"/>
          <w:szCs w:val="20"/>
          <w:lang w:val="ru-RU"/>
        </w:rPr>
        <w:t>4.1.12</w:t>
      </w:r>
      <w:r w:rsidRPr="00F34ECE">
        <w:rPr>
          <w:sz w:val="19"/>
          <w:szCs w:val="20"/>
          <w:lang w:val="en-US"/>
        </w:rPr>
        <w:t>A</w:t>
      </w:r>
      <w:r w:rsidRPr="00F34ECE">
        <w:rPr>
          <w:sz w:val="19"/>
          <w:szCs w:val="20"/>
          <w:lang w:val="ru-RU"/>
        </w:rPr>
        <w:t xml:space="preserve">, а также внесены изменения в пункты </w:t>
      </w:r>
      <w:r w:rsidRPr="00F34ECE">
        <w:rPr>
          <w:sz w:val="19"/>
          <w:szCs w:val="20"/>
          <w:lang w:val="en-US"/>
        </w:rPr>
        <w:t>B</w:t>
      </w:r>
      <w:r w:rsidRPr="00F34ECE">
        <w:rPr>
          <w:sz w:val="19"/>
          <w:szCs w:val="20"/>
          <w:lang w:val="ru-RU"/>
        </w:rPr>
        <w:t>4.1.11(</w:t>
      </w:r>
      <w:r w:rsidRPr="00F34ECE">
        <w:rPr>
          <w:sz w:val="19"/>
          <w:szCs w:val="20"/>
          <w:lang w:val="en-US"/>
        </w:rPr>
        <w:t>b</w:t>
      </w:r>
      <w:r w:rsidRPr="00F34ECE">
        <w:rPr>
          <w:sz w:val="19"/>
          <w:szCs w:val="20"/>
          <w:lang w:val="ru-RU"/>
        </w:rPr>
        <w:t xml:space="preserve">) и </w:t>
      </w:r>
      <w:r w:rsidRPr="00F34ECE">
        <w:rPr>
          <w:sz w:val="19"/>
          <w:szCs w:val="20"/>
          <w:lang w:val="en-US"/>
        </w:rPr>
        <w:t>B</w:t>
      </w:r>
      <w:r w:rsidRPr="00F34ECE">
        <w:rPr>
          <w:sz w:val="19"/>
          <w:szCs w:val="20"/>
          <w:lang w:val="ru-RU"/>
        </w:rPr>
        <w:t>4.1.12(</w:t>
      </w:r>
      <w:r w:rsidRPr="00F34ECE">
        <w:rPr>
          <w:sz w:val="19"/>
          <w:szCs w:val="20"/>
          <w:lang w:val="en-US"/>
        </w:rPr>
        <w:t>b</w:t>
      </w:r>
      <w:r w:rsidRPr="00F34ECE">
        <w:rPr>
          <w:sz w:val="19"/>
          <w:szCs w:val="20"/>
          <w:lang w:val="ru-RU"/>
        </w:rPr>
        <w:t>). Организация должна применять данные поправки в отношении годовых периодов, начинающихся 1</w:t>
      </w:r>
      <w:r w:rsidRPr="00F34ECE">
        <w:rPr>
          <w:sz w:val="19"/>
          <w:szCs w:val="20"/>
          <w:lang w:val="en-US"/>
        </w:rPr>
        <w:t> </w:t>
      </w:r>
      <w:r w:rsidRPr="00F34ECE">
        <w:rPr>
          <w:sz w:val="19"/>
          <w:szCs w:val="20"/>
          <w:lang w:val="ru-RU"/>
        </w:rPr>
        <w:t>января</w:t>
      </w:r>
      <w:r w:rsidRPr="00F34ECE">
        <w:rPr>
          <w:sz w:val="19"/>
          <w:szCs w:val="20"/>
          <w:lang w:val="en-US"/>
        </w:rPr>
        <w:t> </w:t>
      </w:r>
      <w:r w:rsidRPr="00F34ECE">
        <w:rPr>
          <w:sz w:val="19"/>
          <w:szCs w:val="20"/>
          <w:lang w:val="ru-RU"/>
        </w:rPr>
        <w:t>2019</w:t>
      </w:r>
      <w:r w:rsidRPr="00F34ECE">
        <w:rPr>
          <w:sz w:val="19"/>
          <w:szCs w:val="20"/>
          <w:lang w:val="en-US"/>
        </w:rPr>
        <w:t> </w:t>
      </w:r>
      <w:r w:rsidRPr="00F34ECE">
        <w:rPr>
          <w:sz w:val="19"/>
          <w:szCs w:val="20"/>
          <w:lang w:val="ru-RU"/>
        </w:rPr>
        <w:t>года или после этой даты. Допускается досрочное применение. Если организация применит данные поправки в отношении более раннего периода, она должна будет раскрыть этот факт.</w:t>
      </w:r>
      <w:bookmarkEnd w:id="175"/>
    </w:p>
    <w:p w:rsidR="003678E0" w:rsidRDefault="003678E0" w:rsidP="003678E0">
      <w:pPr>
        <w:spacing w:before="100"/>
        <w:ind w:left="782" w:hanging="782"/>
        <w:jc w:val="both"/>
        <w:rPr>
          <w:sz w:val="19"/>
          <w:szCs w:val="20"/>
          <w:lang w:val="ru-RU"/>
        </w:rPr>
      </w:pPr>
      <w:r w:rsidRPr="003678E0">
        <w:rPr>
          <w:sz w:val="19"/>
          <w:szCs w:val="20"/>
          <w:lang w:val="ru-RU"/>
        </w:rPr>
        <w:t>7.1.8</w:t>
      </w:r>
      <w:r w:rsidRPr="003678E0">
        <w:rPr>
          <w:sz w:val="19"/>
          <w:szCs w:val="20"/>
          <w:lang w:val="ru-RU"/>
        </w:rPr>
        <w:tab/>
        <w:t xml:space="preserve">Документом </w:t>
      </w:r>
      <w:r w:rsidRPr="003678E0">
        <w:rPr>
          <w:i/>
          <w:sz w:val="19"/>
          <w:szCs w:val="20"/>
          <w:lang w:val="ru-RU"/>
        </w:rPr>
        <w:t>«Реформа базовой процентной ставки»</w:t>
      </w:r>
      <w:r w:rsidRPr="003678E0">
        <w:rPr>
          <w:sz w:val="19"/>
          <w:szCs w:val="20"/>
          <w:lang w:val="ru-RU"/>
        </w:rPr>
        <w:t>, выпущенным в сентябре 2019 года, который внес поправки в МСФО (IFRS) 9, МСФО (IAS) 39 и МСФО (IFRS) 7, добавлен Раздел 6.8 и внесены изменения в пункт 7.2.26. Организация должна применять данные поправки в отношении годовых периодов, начинающихся 1 января 2020 года или после этой даты. Допускается досрочное применение. Если организация применит данные поправки в отношении более раннего периода, она должна раскрыть этот факт.</w:t>
      </w:r>
    </w:p>
    <w:p w:rsidR="002D0B45" w:rsidRPr="002D0B45" w:rsidRDefault="002D0B45" w:rsidP="002D0B45">
      <w:pPr>
        <w:spacing w:before="100"/>
        <w:ind w:left="782" w:hanging="782"/>
        <w:jc w:val="both"/>
        <w:rPr>
          <w:sz w:val="19"/>
          <w:szCs w:val="20"/>
          <w:lang w:val="ru-RU"/>
        </w:rPr>
      </w:pPr>
      <w:r w:rsidRPr="002D0B45">
        <w:rPr>
          <w:sz w:val="19"/>
          <w:szCs w:val="20"/>
          <w:lang w:val="ru-RU"/>
        </w:rPr>
        <w:t>7.1.9</w:t>
      </w:r>
      <w:r w:rsidRPr="002D0B45">
        <w:rPr>
          <w:sz w:val="19"/>
          <w:szCs w:val="20"/>
          <w:lang w:val="ru-RU"/>
        </w:rPr>
        <w:tab/>
        <w:t xml:space="preserve">Документом </w:t>
      </w:r>
      <w:r w:rsidRPr="002D0B45">
        <w:rPr>
          <w:i/>
          <w:sz w:val="19"/>
          <w:szCs w:val="20"/>
          <w:lang w:val="ru-RU"/>
        </w:rPr>
        <w:t>«Ежегодные усовершенствования Международных стандартов финансовой отчетности, период 2018-2020 гг.»</w:t>
      </w:r>
      <w:r w:rsidRPr="002D0B45">
        <w:rPr>
          <w:sz w:val="19"/>
          <w:szCs w:val="20"/>
          <w:lang w:val="ru-RU"/>
        </w:rPr>
        <w:t>, выпущенным в мае 2020 года, добавлены пункты 7.2.35 и B3.3.6A и внесены изменения в пункт B3.3.6. Организация должна применять данную поправку в отношении годовых отчетных периодов, начинающихся 1 января 2022 года или после этой даты. Допускается досрочное применение. Если организация применит данную поправку в отношении более раннего периода, она должна раскрыть этот факт.</w:t>
      </w:r>
    </w:p>
    <w:p w:rsidR="0032224C" w:rsidRDefault="0032224C" w:rsidP="0032224C">
      <w:pPr>
        <w:spacing w:before="100"/>
        <w:ind w:left="782" w:hanging="782"/>
        <w:jc w:val="both"/>
        <w:rPr>
          <w:sz w:val="19"/>
          <w:szCs w:val="20"/>
          <w:lang w:val="ru-RU"/>
        </w:rPr>
      </w:pPr>
      <w:r w:rsidRPr="0032224C">
        <w:rPr>
          <w:sz w:val="19"/>
          <w:szCs w:val="20"/>
          <w:lang w:val="ru-RU"/>
        </w:rPr>
        <w:t>7.1.10</w:t>
      </w:r>
      <w:r w:rsidRPr="0032224C">
        <w:rPr>
          <w:sz w:val="19"/>
          <w:szCs w:val="20"/>
          <w:lang w:val="ru-RU"/>
        </w:rPr>
        <w:tab/>
        <w:t xml:space="preserve">Документом </w:t>
      </w:r>
      <w:r w:rsidRPr="0032224C">
        <w:rPr>
          <w:i/>
          <w:sz w:val="19"/>
          <w:szCs w:val="20"/>
          <w:lang w:val="ru-RU"/>
        </w:rPr>
        <w:t xml:space="preserve">«Реформа базовой процентной ставки </w:t>
      </w:r>
      <w:r w:rsidRPr="0032224C">
        <w:rPr>
          <w:sz w:val="19"/>
          <w:szCs w:val="20"/>
          <w:lang w:val="ru-RU"/>
        </w:rPr>
        <w:t>‒</w:t>
      </w:r>
      <w:r w:rsidRPr="0032224C">
        <w:rPr>
          <w:i/>
          <w:sz w:val="19"/>
          <w:szCs w:val="20"/>
          <w:lang w:val="ru-RU"/>
        </w:rPr>
        <w:t xml:space="preserve"> этап 2»</w:t>
      </w:r>
      <w:r w:rsidRPr="0032224C">
        <w:rPr>
          <w:sz w:val="19"/>
          <w:szCs w:val="20"/>
          <w:lang w:val="ru-RU"/>
        </w:rPr>
        <w:t>, выпущенным в августе 2020 года, который внес поправки в МСФО (IFRS) 9, МСФО (IAS) 39, МСФО (IFRS) 7, МСФО (IFRS) 4 и МСФО (IFRS)</w:t>
      </w:r>
      <w:r w:rsidRPr="0032224C">
        <w:rPr>
          <w:sz w:val="19"/>
          <w:szCs w:val="20"/>
          <w:lang w:val="en-US"/>
        </w:rPr>
        <w:t> </w:t>
      </w:r>
      <w:r w:rsidRPr="0032224C">
        <w:rPr>
          <w:sz w:val="19"/>
          <w:szCs w:val="20"/>
          <w:lang w:val="ru-RU"/>
        </w:rPr>
        <w:t>16, добавлены пункты 5.4.5–5.4.9, 6.8.13, Раздел 6.9 и пункты 7.2.43–7.2.46. Организация должна применять данные поправки в отношении годовых периодов, начинающихся 1 января 2021 года или после этой даты. Допускается досрочное применение. Если организация применит данные поправки в отношении более раннего периода, она должна раскрыть этот факт.</w:t>
      </w:r>
    </w:p>
    <w:p w:rsidR="00B643A3" w:rsidRPr="00170D8F" w:rsidRDefault="00B643A3" w:rsidP="00B643A3">
      <w:pPr>
        <w:pStyle w:val="IASBSectionTitle1NonInd"/>
        <w:rPr>
          <w:lang w:val="ru-RU"/>
        </w:rPr>
      </w:pPr>
      <w:r w:rsidRPr="00170D8F">
        <w:rPr>
          <w:lang w:val="ru-RU"/>
        </w:rPr>
        <w:t>7.2 Переходные положения</w:t>
      </w:r>
    </w:p>
    <w:p w:rsidR="00B643A3" w:rsidRPr="00170D8F" w:rsidRDefault="00B643A3" w:rsidP="00B643A3">
      <w:pPr>
        <w:pStyle w:val="IASBNormalnpara"/>
        <w:rPr>
          <w:lang w:val="ru-RU"/>
        </w:rPr>
      </w:pPr>
      <w:r w:rsidRPr="00170D8F">
        <w:rPr>
          <w:lang w:val="ru-RU"/>
        </w:rPr>
        <w:t>7.2.1</w:t>
      </w:r>
      <w:r w:rsidRPr="00170D8F">
        <w:rPr>
          <w:lang w:val="ru-RU"/>
        </w:rPr>
        <w:tab/>
        <w:t xml:space="preserve">Организация должна применять настоящий стандарт ретроспективно в соответствии с МСФО (IAS) 8 </w:t>
      </w:r>
      <w:r w:rsidRPr="00170D8F">
        <w:rPr>
          <w:i/>
          <w:lang w:val="ru-RU"/>
        </w:rPr>
        <w:t>«Учетная политика, изменения в бухгалтерских оценках и ошибки»</w:t>
      </w:r>
      <w:r w:rsidRPr="00170D8F">
        <w:rPr>
          <w:lang w:val="ru-RU"/>
        </w:rPr>
        <w:t>, за исключением ситуаций, указанных в пунктах 7.2.4–7.2.26 и 7.2.28. Настоящий стандарт не подлежит применению к объектам, признание которых уже было прекращено на дату первоначального применения.</w:t>
      </w:r>
    </w:p>
    <w:p w:rsidR="00B643A3" w:rsidRPr="00170D8F" w:rsidRDefault="00B643A3" w:rsidP="00B643A3">
      <w:pPr>
        <w:pStyle w:val="IASBNormalnpara"/>
        <w:rPr>
          <w:lang w:val="ru-RU"/>
        </w:rPr>
      </w:pPr>
      <w:r w:rsidRPr="00170D8F">
        <w:rPr>
          <w:lang w:val="ru-RU"/>
        </w:rPr>
        <w:t>7.2.2</w:t>
      </w:r>
      <w:r w:rsidRPr="00170D8F">
        <w:rPr>
          <w:lang w:val="ru-RU"/>
        </w:rPr>
        <w:tab/>
        <w:t>Для целей применения переходных положений, изложенных в пунктах 7.2.1, 7.2.3–7.2.28 и 7.3.2, датой первоначального применения является дата, когда организация впервые применяет указанные требования настоящего стандарта, и должна быть датой начала отчетного периода, наступившей после выпуска настоящего стандарта. В зависимости от выбранной организацией стратегии применения МСФО (IFRS) 9, переход может быть св</w:t>
      </w:r>
      <w:r w:rsidR="00D57019">
        <w:rPr>
          <w:lang w:val="ru-RU"/>
        </w:rPr>
        <w:t>язан с одной или несколькими датами</w:t>
      </w:r>
      <w:r w:rsidRPr="00170D8F">
        <w:rPr>
          <w:lang w:val="ru-RU"/>
        </w:rPr>
        <w:t xml:space="preserve"> первоначального применения в отношении различных требований.</w:t>
      </w:r>
    </w:p>
    <w:p w:rsidR="00B643A3" w:rsidRPr="00170D8F" w:rsidRDefault="00B643A3" w:rsidP="00B643A3">
      <w:pPr>
        <w:pStyle w:val="IASBSectionTitle2Ind"/>
        <w:rPr>
          <w:lang w:val="ru-RU"/>
        </w:rPr>
      </w:pPr>
      <w:r w:rsidRPr="00170D8F">
        <w:rPr>
          <w:lang w:val="ru-RU"/>
        </w:rPr>
        <w:t>Переходные положения в части классификации и о</w:t>
      </w:r>
      <w:r w:rsidR="00C25F1D">
        <w:rPr>
          <w:lang w:val="ru-RU"/>
        </w:rPr>
        <w:t>ценки</w:t>
      </w:r>
      <w:r w:rsidR="00C25F1D">
        <w:rPr>
          <w:lang w:val="ru-RU"/>
        </w:rPr>
        <w:br/>
        <w:t>(Г</w:t>
      </w:r>
      <w:r w:rsidRPr="00170D8F">
        <w:rPr>
          <w:lang w:val="ru-RU"/>
        </w:rPr>
        <w:t>лавы 4 и 5)</w:t>
      </w:r>
    </w:p>
    <w:p w:rsidR="00B643A3" w:rsidRPr="00170D8F" w:rsidRDefault="00B643A3" w:rsidP="00B643A3">
      <w:pPr>
        <w:pStyle w:val="IASBNormalnpara"/>
        <w:rPr>
          <w:lang w:val="ru-RU"/>
        </w:rPr>
      </w:pPr>
      <w:r w:rsidRPr="00170D8F">
        <w:rPr>
          <w:lang w:val="ru-RU"/>
        </w:rPr>
        <w:t>7.2.3</w:t>
      </w:r>
      <w:r w:rsidRPr="00170D8F">
        <w:rPr>
          <w:lang w:val="ru-RU"/>
        </w:rPr>
        <w:tab/>
        <w:t>По состоянию на дату первоначального применения организация должна оценить, отвечает ли финансовый акт</w:t>
      </w:r>
      <w:r w:rsidR="003D5001">
        <w:rPr>
          <w:lang w:val="ru-RU"/>
        </w:rPr>
        <w:t>ив условию, изложенному в пунктах</w:t>
      </w:r>
      <w:r w:rsidRPr="00170D8F">
        <w:rPr>
          <w:lang w:val="ru-RU"/>
        </w:rPr>
        <w:t xml:space="preserve"> 4.1.2(а) или 4.1.2A(a), исходя из фактов и обстоятельств, существующих на эту дату. Определенная в результате оценки классификация подлежит ретроспективному применению независимо от того, какая бизнес-модель применялась организацией в прошлых отчетных периодах.</w:t>
      </w:r>
    </w:p>
    <w:p w:rsidR="00B643A3" w:rsidRPr="00170D8F" w:rsidRDefault="00B643A3" w:rsidP="00B643A3">
      <w:pPr>
        <w:pStyle w:val="IASBNormalnpara"/>
        <w:rPr>
          <w:lang w:val="ru-RU"/>
        </w:rPr>
      </w:pPr>
      <w:r w:rsidRPr="00170D8F">
        <w:rPr>
          <w:lang w:val="ru-RU"/>
        </w:rPr>
        <w:t>7.2.4</w:t>
      </w:r>
      <w:r w:rsidRPr="00170D8F">
        <w:rPr>
          <w:lang w:val="ru-RU"/>
        </w:rPr>
        <w:tab/>
        <w:t>Если организация считает, что, по состоянию на дату первоначального применения, оценить модифицированный элемент временнóй стоимости денег в соответствии с пунктами B4.1.9B–B4.1.9D на основе фактов и обс</w:t>
      </w:r>
      <w:r w:rsidR="006E4E66">
        <w:rPr>
          <w:lang w:val="ru-RU"/>
        </w:rPr>
        <w:t>тоятельств, существовавших</w:t>
      </w:r>
      <w:r w:rsidRPr="00170D8F">
        <w:rPr>
          <w:lang w:val="ru-RU"/>
        </w:rPr>
        <w:t xml:space="preserve"> на момент первоначального признания соответствующего финансового актива, практически неосуществимо (как это понятие определено в МСФО (IAS) 8), организация должна оценить характеристики предусмотренных договором денежных потоков по этому финансовому активу исходя из фактов и обстоятельств, существовавших на момент первоначального признания финансового актива, не принимая во внимание требования пунктов B4.1.9B–B4.1.9D, касающиеся модификации элемента временнóй стоимости денег. (См. также пункт 42R МСФО (IFRS) 7.)</w:t>
      </w:r>
    </w:p>
    <w:p w:rsidR="00B643A3" w:rsidRPr="00170D8F" w:rsidRDefault="00B643A3" w:rsidP="00B643A3">
      <w:pPr>
        <w:pStyle w:val="IASBNormalnpara"/>
        <w:rPr>
          <w:lang w:val="ru-RU"/>
        </w:rPr>
      </w:pPr>
      <w:r w:rsidRPr="00170D8F">
        <w:rPr>
          <w:lang w:val="ru-RU"/>
        </w:rPr>
        <w:t>7.2.5</w:t>
      </w:r>
      <w:r w:rsidRPr="00170D8F">
        <w:rPr>
          <w:lang w:val="ru-RU"/>
        </w:rPr>
        <w:tab/>
        <w:t>Если организация считает, что, по состоянию на дату первоначального применения, практически неосуществимо (как это понятие определено в МСФО (IAS) 8) оценить, являлась ли – в соответствии с пунктом B4.1.12(c) – справедливая стоимость условия о досрочном погашении незначительной, на основе фактов и обстоятельств, существовавших на момент первоначального признания соответствующего финансового актива, организация должна оценить характеристики предусмотренных договором денежных потоков по этому финансовому активу исходя из</w:t>
      </w:r>
      <w:r>
        <w:rPr>
          <w:lang w:val="ru-RU"/>
        </w:rPr>
        <w:t xml:space="preserve"> </w:t>
      </w:r>
      <w:r w:rsidRPr="00170D8F">
        <w:rPr>
          <w:lang w:val="ru-RU"/>
        </w:rPr>
        <w:t>фактов и обстоятельств, которые существовали на момент первоначального признания финансового актива, не принимая во внимание исключение, предусмотренное пунктом B4.1.12 в отношении условий о досрочном погашении. (См. также пункт 42S МСФО (IFRS) 7.)</w:t>
      </w:r>
    </w:p>
    <w:p w:rsidR="00B643A3" w:rsidRPr="00170D8F" w:rsidRDefault="00B643A3" w:rsidP="00B643A3">
      <w:pPr>
        <w:pStyle w:val="IASBNormalnpara"/>
        <w:rPr>
          <w:lang w:val="ru-RU"/>
        </w:rPr>
      </w:pPr>
      <w:r w:rsidRPr="00170D8F">
        <w:rPr>
          <w:lang w:val="ru-RU"/>
        </w:rPr>
        <w:t>7.2.6</w:t>
      </w:r>
      <w:r w:rsidRPr="00170D8F">
        <w:rPr>
          <w:lang w:val="ru-RU"/>
        </w:rPr>
        <w:tab/>
        <w:t>Если организация оценивает гибридный договор по справедливой стоимости в соответствии с пунктами 4.1.2A, 4.1.4 или 4.1.5, но справедливая стоимость данного гибридного договора не оценивалась в сравнительных отчетных периодах, то в качестве справедливой стоимости этого гибридного договора в сравнительных отчетных периодах следует принять сумму величин справедливой стоимости его компонентов (т. е. непроизводного основного договора и встроенного производного инструмента) на дату окончания каждого сравнительного отчетного периода, если организация пересчитывает информацию за прошлые периоды (см. пункт 7.2.15).</w:t>
      </w:r>
    </w:p>
    <w:p w:rsidR="00B643A3" w:rsidRPr="00170D8F" w:rsidRDefault="00B643A3" w:rsidP="00B643A3">
      <w:pPr>
        <w:pStyle w:val="IASBNormalnpara"/>
        <w:rPr>
          <w:lang w:val="ru-RU"/>
        </w:rPr>
      </w:pPr>
      <w:r w:rsidRPr="00170D8F">
        <w:rPr>
          <w:lang w:val="ru-RU"/>
        </w:rPr>
        <w:t>7.2.7</w:t>
      </w:r>
      <w:r w:rsidRPr="00170D8F">
        <w:rPr>
          <w:lang w:val="ru-RU"/>
        </w:rPr>
        <w:tab/>
        <w:t>Если организация применила пункт 7.2.6, то по состоянию на дату первоначального применения организация должна признать разницу, возникшую между справедливой стоимостью всего гибридного договора на дату первоначального применения и суммой величин справедливой стоимости компонентов этого гибридного договора на дату первоначального применения, в составе вступительного сальдо нераспределенной прибыли (или другого компонента собственного капитала, в зависимости от ситуации) того годового отчетного периода, который включает дату первоначального применения.</w:t>
      </w:r>
    </w:p>
    <w:p w:rsidR="00B643A3" w:rsidRPr="00170D8F" w:rsidRDefault="00B643A3" w:rsidP="00B643A3">
      <w:pPr>
        <w:pStyle w:val="IASBNormalnpara"/>
        <w:rPr>
          <w:lang w:val="ru-RU"/>
        </w:rPr>
      </w:pPr>
      <w:r w:rsidRPr="00170D8F">
        <w:rPr>
          <w:lang w:val="ru-RU"/>
        </w:rPr>
        <w:t>7.2.8</w:t>
      </w:r>
      <w:r w:rsidRPr="00170D8F">
        <w:rPr>
          <w:lang w:val="ru-RU"/>
        </w:rPr>
        <w:tab/>
        <w:t xml:space="preserve">По состоянию на дату первоначального применения организация вправе </w:t>
      </w:r>
      <w:r w:rsidRPr="00E00C40">
        <w:rPr>
          <w:lang w:val="ru-RU"/>
        </w:rPr>
        <w:t>по собственному усмотрению классифицировать</w:t>
      </w:r>
      <w:r w:rsidRPr="00170D8F">
        <w:rPr>
          <w:lang w:val="ru-RU"/>
        </w:rPr>
        <w:t>:</w:t>
      </w:r>
    </w:p>
    <w:p w:rsidR="00B643A3" w:rsidRPr="00170D8F" w:rsidRDefault="00B643A3" w:rsidP="00B643A3">
      <w:pPr>
        <w:pStyle w:val="IASBNormalnparaL1"/>
        <w:rPr>
          <w:lang w:val="ru-RU"/>
        </w:rPr>
      </w:pPr>
      <w:r w:rsidRPr="00170D8F">
        <w:rPr>
          <w:lang w:val="ru-RU"/>
        </w:rPr>
        <w:t>(a)</w:t>
      </w:r>
      <w:r w:rsidRPr="00170D8F">
        <w:rPr>
          <w:lang w:val="ru-RU"/>
        </w:rPr>
        <w:tab/>
        <w:t>финансовый актив как оцениваемый по справедливой стоимости через прибыль или убыток в соответствии с пунктом 4.1.5; или</w:t>
      </w:r>
    </w:p>
    <w:p w:rsidR="00B643A3" w:rsidRPr="00170D8F" w:rsidRDefault="00B643A3" w:rsidP="00B643A3">
      <w:pPr>
        <w:pStyle w:val="IASBNormalnparaL1"/>
        <w:rPr>
          <w:lang w:val="ru-RU"/>
        </w:rPr>
      </w:pPr>
      <w:r w:rsidRPr="00170D8F">
        <w:rPr>
          <w:lang w:val="ru-RU"/>
        </w:rPr>
        <w:t>(b)</w:t>
      </w:r>
      <w:r w:rsidRPr="00170D8F">
        <w:rPr>
          <w:lang w:val="ru-RU"/>
        </w:rPr>
        <w:tab/>
        <w:t>инвестицию в долевой инструмент как оцениваемую по справедливой стоимости через прочий совокупный доход в соответствии с пунктом 5.7.5.</w:t>
      </w:r>
    </w:p>
    <w:p w:rsidR="00B643A3" w:rsidRPr="00170D8F" w:rsidRDefault="00B643A3" w:rsidP="00B643A3">
      <w:pPr>
        <w:pStyle w:val="IASBNormalnparaP"/>
        <w:rPr>
          <w:lang w:val="ru-RU"/>
        </w:rPr>
      </w:pPr>
      <w:r w:rsidRPr="00170D8F">
        <w:rPr>
          <w:lang w:val="ru-RU"/>
        </w:rPr>
        <w:t xml:space="preserve">Такое </w:t>
      </w:r>
      <w:r w:rsidRPr="00E00C40">
        <w:rPr>
          <w:lang w:val="ru-RU"/>
        </w:rPr>
        <w:t xml:space="preserve">решение о классификации </w:t>
      </w:r>
      <w:r w:rsidRPr="00170D8F">
        <w:rPr>
          <w:lang w:val="ru-RU"/>
        </w:rPr>
        <w:t>д</w:t>
      </w:r>
      <w:r w:rsidR="00D57019">
        <w:rPr>
          <w:lang w:val="ru-RU"/>
        </w:rPr>
        <w:t xml:space="preserve">олжно </w:t>
      </w:r>
      <w:r w:rsidRPr="00170D8F">
        <w:rPr>
          <w:lang w:val="ru-RU"/>
        </w:rPr>
        <w:t>приниматься на основе фактов и обстоятельств, существующих на дату первоначального применения. Выбранная классификация должна применяться ретроспективно.</w:t>
      </w:r>
    </w:p>
    <w:p w:rsidR="00B643A3" w:rsidRPr="00170D8F" w:rsidRDefault="00B643A3" w:rsidP="00B643A3">
      <w:pPr>
        <w:pStyle w:val="IASBNormalnpara"/>
        <w:rPr>
          <w:lang w:val="ru-RU"/>
        </w:rPr>
      </w:pPr>
      <w:r w:rsidRPr="00170D8F">
        <w:rPr>
          <w:lang w:val="ru-RU"/>
        </w:rPr>
        <w:t>7.2.9</w:t>
      </w:r>
      <w:r w:rsidRPr="00170D8F">
        <w:rPr>
          <w:lang w:val="ru-RU"/>
        </w:rPr>
        <w:tab/>
        <w:t>По состоянию на дату первоначального применения организация:</w:t>
      </w:r>
    </w:p>
    <w:p w:rsidR="00B643A3" w:rsidRPr="00170D8F" w:rsidRDefault="00B643A3" w:rsidP="00B643A3">
      <w:pPr>
        <w:pStyle w:val="IASBNormalnparaL1"/>
        <w:rPr>
          <w:lang w:val="ru-RU"/>
        </w:rPr>
      </w:pPr>
      <w:r w:rsidRPr="00170D8F">
        <w:rPr>
          <w:lang w:val="ru-RU"/>
        </w:rPr>
        <w:t>(a)</w:t>
      </w:r>
      <w:r w:rsidRPr="00170D8F">
        <w:rPr>
          <w:lang w:val="ru-RU"/>
        </w:rPr>
        <w:tab/>
        <w:t xml:space="preserve">должна отменить свое предыдущее </w:t>
      </w:r>
      <w:r w:rsidRPr="00E00C40">
        <w:rPr>
          <w:lang w:val="ru-RU"/>
        </w:rPr>
        <w:t xml:space="preserve">решение о классификации </w:t>
      </w:r>
      <w:r w:rsidRPr="00170D8F">
        <w:rPr>
          <w:lang w:val="ru-RU"/>
        </w:rPr>
        <w:t>финансового актива как оцениваемого по справедливой стоимости через прибыль или убыток, если этот финансовый актив не отвечает условию,</w:t>
      </w:r>
      <w:r w:rsidR="009C5D09">
        <w:rPr>
          <w:lang w:val="ru-RU"/>
        </w:rPr>
        <w:t xml:space="preserve"> предусмотренному пунктом 4.1.5;</w:t>
      </w:r>
    </w:p>
    <w:p w:rsidR="00B643A3" w:rsidRPr="00170D8F" w:rsidRDefault="00B643A3" w:rsidP="00B643A3">
      <w:pPr>
        <w:pStyle w:val="IASBNormalnparaL1"/>
        <w:rPr>
          <w:lang w:val="ru-RU"/>
        </w:rPr>
      </w:pPr>
      <w:r w:rsidRPr="00170D8F">
        <w:rPr>
          <w:lang w:val="ru-RU"/>
        </w:rPr>
        <w:t>(b)</w:t>
      </w:r>
      <w:r w:rsidRPr="00170D8F">
        <w:rPr>
          <w:lang w:val="ru-RU"/>
        </w:rPr>
        <w:tab/>
        <w:t xml:space="preserve">вправе отменить свое предыдущее </w:t>
      </w:r>
      <w:r w:rsidRPr="00E00C40">
        <w:rPr>
          <w:lang w:val="ru-RU"/>
        </w:rPr>
        <w:t xml:space="preserve">решение о классификации </w:t>
      </w:r>
      <w:r w:rsidRPr="00170D8F">
        <w:rPr>
          <w:lang w:val="ru-RU"/>
        </w:rPr>
        <w:t>финансового актива как оцениваемого по справедливой стоимости через прибыль или убыток, если этот финансовый актив отвечает условию, предусмотренному пунктом 4.1.5.</w:t>
      </w:r>
    </w:p>
    <w:p w:rsidR="00B643A3" w:rsidRPr="00170D8F" w:rsidRDefault="00B643A3" w:rsidP="00B643A3">
      <w:pPr>
        <w:pStyle w:val="IASBNormalnparaP"/>
        <w:rPr>
          <w:lang w:val="ru-RU"/>
        </w:rPr>
      </w:pPr>
      <w:r w:rsidRPr="00170D8F">
        <w:rPr>
          <w:lang w:val="ru-RU"/>
        </w:rPr>
        <w:t>Такое решение об отмене должно приниматься на основе фактов и обстоятельств, существующих на дату первоначального применения. Выбранная классификация должна применяться ретроспективно.</w:t>
      </w:r>
    </w:p>
    <w:p w:rsidR="00B643A3" w:rsidRPr="00170D8F" w:rsidRDefault="00B643A3" w:rsidP="00B643A3">
      <w:pPr>
        <w:pStyle w:val="IASBNormalnpara"/>
        <w:rPr>
          <w:lang w:val="ru-RU"/>
        </w:rPr>
      </w:pPr>
      <w:r w:rsidRPr="00170D8F">
        <w:rPr>
          <w:lang w:val="ru-RU"/>
        </w:rPr>
        <w:t>7.2.10</w:t>
      </w:r>
      <w:r w:rsidRPr="00170D8F">
        <w:rPr>
          <w:lang w:val="ru-RU"/>
        </w:rPr>
        <w:tab/>
        <w:t>По состоянию на дату первоначального применения организация:</w:t>
      </w:r>
    </w:p>
    <w:p w:rsidR="00B643A3" w:rsidRPr="00170D8F" w:rsidRDefault="00B643A3" w:rsidP="00B643A3">
      <w:pPr>
        <w:pStyle w:val="IASBNormalnparaL1"/>
        <w:rPr>
          <w:lang w:val="ru-RU"/>
        </w:rPr>
      </w:pPr>
      <w:r w:rsidRPr="00170D8F">
        <w:rPr>
          <w:lang w:val="ru-RU"/>
        </w:rPr>
        <w:t>(a)</w:t>
      </w:r>
      <w:r w:rsidRPr="00170D8F">
        <w:rPr>
          <w:lang w:val="ru-RU"/>
        </w:rPr>
        <w:tab/>
        <w:t xml:space="preserve">вправе </w:t>
      </w:r>
      <w:r w:rsidRPr="00E00C40">
        <w:rPr>
          <w:lang w:val="ru-RU"/>
        </w:rPr>
        <w:t>по собственному усмотрению классифицировать</w:t>
      </w:r>
      <w:r w:rsidRPr="00170D8F">
        <w:rPr>
          <w:lang w:val="ru-RU"/>
        </w:rPr>
        <w:t xml:space="preserve"> финансовое обязательство как оцениваемое по справедливой стоимости через прибыль или убыток в </w:t>
      </w:r>
      <w:r w:rsidR="009C5D09">
        <w:rPr>
          <w:lang w:val="ru-RU"/>
        </w:rPr>
        <w:t>соответствии с пунктом 4.2.2(a);</w:t>
      </w:r>
    </w:p>
    <w:p w:rsidR="00B643A3" w:rsidRPr="00170D8F" w:rsidRDefault="00B643A3" w:rsidP="00B643A3">
      <w:pPr>
        <w:pStyle w:val="IASBNormalnparaL1"/>
        <w:rPr>
          <w:lang w:val="ru-RU"/>
        </w:rPr>
      </w:pPr>
      <w:r w:rsidRPr="00170D8F">
        <w:rPr>
          <w:lang w:val="ru-RU"/>
        </w:rPr>
        <w:t>(b)</w:t>
      </w:r>
      <w:r w:rsidRPr="00170D8F">
        <w:rPr>
          <w:lang w:val="ru-RU"/>
        </w:rPr>
        <w:tab/>
        <w:t xml:space="preserve">должна отменить предыдущее решение о классификации финансового обязательства как оцениваемого по справедливой стоимости через прибыль или убыток, если такое решение было принято при первоначальном признании в соответствии с условием, которое теперь изложено в пункте 4.2.2(a), и такая классификация не отвечает указанному условию на </w:t>
      </w:r>
      <w:r w:rsidR="009C5D09">
        <w:rPr>
          <w:lang w:val="ru-RU"/>
        </w:rPr>
        <w:t>дату первоначального применения;</w:t>
      </w:r>
    </w:p>
    <w:p w:rsidR="00B643A3" w:rsidRPr="00170D8F" w:rsidRDefault="00B643A3" w:rsidP="00B643A3">
      <w:pPr>
        <w:pStyle w:val="IASBNormalnparaL1"/>
        <w:rPr>
          <w:lang w:val="ru-RU"/>
        </w:rPr>
      </w:pPr>
      <w:r w:rsidRPr="00170D8F">
        <w:rPr>
          <w:lang w:val="ru-RU"/>
        </w:rPr>
        <w:t>(c)</w:t>
      </w:r>
      <w:r w:rsidRPr="00170D8F">
        <w:rPr>
          <w:lang w:val="ru-RU"/>
        </w:rPr>
        <w:tab/>
        <w:t>вправе отменить свое предыдущее решение о классификации финансового обязательства как оцениваемого по справедливой стоимости через прибыль или убыток, если такое решение было принято при первоначальном признании в соответствии с условием, которое теперь изложено в пункте 4.2.2(a), и такая классификация отвечает указанному условию на дату первоначального применения.</w:t>
      </w:r>
    </w:p>
    <w:p w:rsidR="00B643A3" w:rsidRPr="00170D8F" w:rsidRDefault="00B643A3" w:rsidP="00B643A3">
      <w:pPr>
        <w:pStyle w:val="IASBNormalnparaP"/>
        <w:rPr>
          <w:lang w:val="ru-RU"/>
        </w:rPr>
      </w:pPr>
      <w:r w:rsidRPr="00170D8F">
        <w:rPr>
          <w:lang w:val="ru-RU"/>
        </w:rPr>
        <w:t>Такие решения о классификации и об отмене классификации должны приниматься на основе фактов и обстоятельств, существующих на дату первоначального применения. Выбранная классификация должна применяться ретроспективно.</w:t>
      </w:r>
    </w:p>
    <w:p w:rsidR="00B643A3" w:rsidRPr="00170D8F" w:rsidRDefault="00B643A3" w:rsidP="00B643A3">
      <w:pPr>
        <w:pStyle w:val="IASBNormalnpara"/>
        <w:rPr>
          <w:lang w:val="ru-RU"/>
        </w:rPr>
      </w:pPr>
      <w:r w:rsidRPr="00170D8F">
        <w:rPr>
          <w:lang w:val="ru-RU"/>
        </w:rPr>
        <w:t>7.2.11</w:t>
      </w:r>
      <w:r w:rsidRPr="00170D8F">
        <w:rPr>
          <w:lang w:val="ru-RU"/>
        </w:rPr>
        <w:tab/>
        <w:t xml:space="preserve">Если </w:t>
      </w:r>
      <w:r w:rsidRPr="00E00C40">
        <w:rPr>
          <w:lang w:val="ru-RU"/>
        </w:rPr>
        <w:t xml:space="preserve">ретроспективное применение метода эффективной процентной ставки является </w:t>
      </w:r>
      <w:r w:rsidRPr="00170D8F">
        <w:rPr>
          <w:lang w:val="ru-RU"/>
        </w:rPr>
        <w:t>для организации практически неосуществимым (как это понятие определено в МСФО (IAS) 8), то организация должна принять:</w:t>
      </w:r>
    </w:p>
    <w:p w:rsidR="00B643A3" w:rsidRPr="00170D8F" w:rsidRDefault="00B643A3" w:rsidP="00B643A3">
      <w:pPr>
        <w:pStyle w:val="IASBNormalnparaL1"/>
        <w:rPr>
          <w:lang w:val="ru-RU"/>
        </w:rPr>
      </w:pPr>
      <w:r w:rsidRPr="00170D8F">
        <w:rPr>
          <w:lang w:val="ru-RU"/>
        </w:rPr>
        <w:t>(a)</w:t>
      </w:r>
      <w:r w:rsidRPr="00170D8F">
        <w:rPr>
          <w:lang w:val="ru-RU"/>
        </w:rPr>
        <w:tab/>
        <w:t>справедливую стоимость соответствующего финансового актива или финансового обязательства, определенную на дату окончания каждого представленного сравнительного периода, в качестве валовой балансовой стоимости этого финансового актива или амортизированной стоимости этого финансового обязательства, если организация пересчитывает информацию за прошлые периоды; и</w:t>
      </w:r>
    </w:p>
    <w:p w:rsidR="00B643A3" w:rsidRPr="00170D8F" w:rsidRDefault="00B643A3" w:rsidP="00B643A3">
      <w:pPr>
        <w:pStyle w:val="IASBNormalnparaL1"/>
        <w:rPr>
          <w:lang w:val="ru-RU"/>
        </w:rPr>
      </w:pPr>
      <w:r w:rsidRPr="00170D8F">
        <w:rPr>
          <w:lang w:val="ru-RU"/>
        </w:rPr>
        <w:t>(b)</w:t>
      </w:r>
      <w:r w:rsidRPr="00170D8F">
        <w:rPr>
          <w:lang w:val="ru-RU"/>
        </w:rPr>
        <w:tab/>
        <w:t>справедливую стоимость соответствующего финансового актива или финансового обязательства, определенную на дату первоначального применения, в качестве валовой балансовой стоимости этого финансового актива или амортизированной стоимости этого финансового обязательства в новой категории на дату первоначального применения настоящего стандарта.</w:t>
      </w:r>
    </w:p>
    <w:p w:rsidR="00B643A3" w:rsidRPr="00170D8F" w:rsidRDefault="00B643A3" w:rsidP="00B643A3">
      <w:pPr>
        <w:pStyle w:val="IASBNormalnpara"/>
        <w:rPr>
          <w:lang w:val="ru-RU"/>
        </w:rPr>
      </w:pPr>
      <w:r w:rsidRPr="00170D8F">
        <w:rPr>
          <w:lang w:val="ru-RU"/>
        </w:rPr>
        <w:t>7.2.12</w:t>
      </w:r>
      <w:r w:rsidRPr="00170D8F">
        <w:rPr>
          <w:lang w:val="ru-RU"/>
        </w:rPr>
        <w:tab/>
        <w:t>Если инвестицию в долевой инструмент, для которого на активном рынке отсутствует ценовая котировка на идентичный инструмент (т. е. исходные данные Уровня 1) (или являющийся активом производный инструмент, связанный с таким долевым инструментом и подлежащий урегулированию путем поставки такого долевого инструмента), организация ранее учитывала по первоначальной стоимости (в соответствии с МСФО (IAS) 39), то на дату первоначального применения она должна оценить указанный инструмент по справедливой стоимости. Разница между его прежней балансовой стоимостью и справедливой стоимостью должна быть признана в составе вступительного сальдо нераспределенной прибыли (или другого компонента собственного капитала, в зависимости от ситуации) того отчетного периода, который включает дату первоначального применения.</w:t>
      </w:r>
    </w:p>
    <w:p w:rsidR="00B643A3" w:rsidRPr="00170D8F" w:rsidRDefault="00B643A3" w:rsidP="00B643A3">
      <w:pPr>
        <w:pStyle w:val="IASBNormalnpara"/>
        <w:rPr>
          <w:lang w:val="ru-RU"/>
        </w:rPr>
      </w:pPr>
      <w:r w:rsidRPr="00170D8F">
        <w:rPr>
          <w:lang w:val="ru-RU"/>
        </w:rPr>
        <w:t>7.2.13</w:t>
      </w:r>
      <w:r w:rsidRPr="00170D8F">
        <w:rPr>
          <w:lang w:val="ru-RU"/>
        </w:rPr>
        <w:tab/>
        <w:t>Если обязательство по производному инструменту, связанному с долевым инструментом, для которого на активном рынке отсутствует ценовая котиров</w:t>
      </w:r>
      <w:r w:rsidR="009C5D09">
        <w:rPr>
          <w:lang w:val="ru-RU"/>
        </w:rPr>
        <w:t>ка на идентичный инструмент (т. </w:t>
      </w:r>
      <w:r w:rsidRPr="00170D8F">
        <w:rPr>
          <w:lang w:val="ru-RU"/>
        </w:rPr>
        <w:t xml:space="preserve">е. исходные данные Уровня 1), и подлежащему урегулированию путем поставки такого долевого инструмента, организация ранее учитывала по первоначальной </w:t>
      </w:r>
      <w:r w:rsidR="009C5D09">
        <w:rPr>
          <w:lang w:val="ru-RU"/>
        </w:rPr>
        <w:t>стоимости в соответствии с МСФО </w:t>
      </w:r>
      <w:r w:rsidRPr="00170D8F">
        <w:rPr>
          <w:lang w:val="ru-RU"/>
        </w:rPr>
        <w:t>(IAS) 39, то на дату первоначального применения она должна оценить указанное обязательство по производному инструменту по справедливой стоимости. Разница между прежней балансовой стоимостью и справедливой стоимостью должна быть признана в составе вступительного сальдо нераспределенной прибыли того отчетного периода, который включает дату первоначального применения.</w:t>
      </w:r>
    </w:p>
    <w:p w:rsidR="00B643A3" w:rsidRDefault="00B643A3" w:rsidP="00B643A3">
      <w:pPr>
        <w:pStyle w:val="IASBNormalnpara"/>
        <w:rPr>
          <w:lang w:val="ru-RU"/>
        </w:rPr>
      </w:pPr>
      <w:r w:rsidRPr="00170D8F">
        <w:rPr>
          <w:lang w:val="ru-RU"/>
        </w:rPr>
        <w:t>7.2.14</w:t>
      </w:r>
      <w:r w:rsidRPr="00170D8F">
        <w:rPr>
          <w:lang w:val="ru-RU"/>
        </w:rPr>
        <w:tab/>
        <w:t>По состоянию на дату первоначального применения организация должна определить, исходя из фактов и обстоятельств, существующих на эту дату, приведет ли по</w:t>
      </w:r>
      <w:r w:rsidR="009C5D09">
        <w:rPr>
          <w:lang w:val="ru-RU"/>
        </w:rPr>
        <w:t>рядок учета, описанный в пункте </w:t>
      </w:r>
      <w:r w:rsidRPr="00170D8F">
        <w:rPr>
          <w:lang w:val="ru-RU"/>
        </w:rPr>
        <w:t xml:space="preserve">5.7.7, к возникновению или увеличению </w:t>
      </w:r>
      <w:r w:rsidRPr="00E00C40">
        <w:rPr>
          <w:lang w:val="ru-RU"/>
        </w:rPr>
        <w:t xml:space="preserve">влияния на прибыль или убыток последствий </w:t>
      </w:r>
      <w:r w:rsidRPr="00170D8F">
        <w:rPr>
          <w:lang w:val="ru-RU"/>
        </w:rPr>
        <w:t>учетного несоответствия. Настоящий стандарт должен применяться ретроспективно на основе результатов данной оценки.</w:t>
      </w:r>
    </w:p>
    <w:p w:rsidR="0024442B" w:rsidRDefault="0024442B" w:rsidP="00B643A3">
      <w:pPr>
        <w:pStyle w:val="IASBNormalnpara"/>
        <w:rPr>
          <w:lang w:val="ru-RU"/>
        </w:rPr>
      </w:pPr>
      <w:r w:rsidRPr="0024442B">
        <w:rPr>
          <w:lang w:val="ru-RU"/>
        </w:rPr>
        <w:t>7.2.14</w:t>
      </w:r>
      <w:r>
        <w:t>A</w:t>
      </w:r>
      <w:r w:rsidRPr="0024442B">
        <w:rPr>
          <w:lang w:val="ru-RU"/>
        </w:rPr>
        <w:tab/>
      </w:r>
      <w:r>
        <w:rPr>
          <w:lang w:val="ru-RU"/>
        </w:rPr>
        <w:t xml:space="preserve">На дату первоначального применения организации разрешается классификация по собственному усмотрению, предусмотренная пунктом 2.5, договоров, существующих на эту дату, но только в том случае, когда такая классификация проводится для </w:t>
      </w:r>
      <w:r w:rsidR="00B33140">
        <w:rPr>
          <w:lang w:val="ru-RU"/>
        </w:rPr>
        <w:t xml:space="preserve">всех </w:t>
      </w:r>
      <w:r w:rsidR="004B025A">
        <w:rPr>
          <w:lang w:val="ru-RU"/>
        </w:rPr>
        <w:t>аналогичных</w:t>
      </w:r>
      <w:r w:rsidR="00B33140">
        <w:rPr>
          <w:lang w:val="ru-RU"/>
        </w:rPr>
        <w:t xml:space="preserve"> договоров. Изменение в чистых активах, связанное с такой классификацией, должно быть признано в составе нераспределенной прибыли на дату первоначального применения.</w:t>
      </w:r>
    </w:p>
    <w:p w:rsidR="00B643A3" w:rsidRPr="00170D8F" w:rsidRDefault="00B643A3" w:rsidP="00B643A3">
      <w:pPr>
        <w:pStyle w:val="IASBNormalnpara"/>
        <w:rPr>
          <w:lang w:val="ru-RU"/>
        </w:rPr>
      </w:pPr>
      <w:r w:rsidRPr="00170D8F">
        <w:rPr>
          <w:lang w:val="ru-RU"/>
        </w:rPr>
        <w:t>7.2.15</w:t>
      </w:r>
      <w:r w:rsidRPr="00170D8F">
        <w:rPr>
          <w:lang w:val="ru-RU"/>
        </w:rPr>
        <w:tab/>
        <w:t>Несмотря на требо</w:t>
      </w:r>
      <w:r w:rsidR="009C5D09">
        <w:rPr>
          <w:lang w:val="ru-RU"/>
        </w:rPr>
        <w:t>вание пункта 7.2.1,</w:t>
      </w:r>
      <w:r w:rsidRPr="00170D8F">
        <w:rPr>
          <w:lang w:val="ru-RU"/>
        </w:rPr>
        <w:t xml:space="preserve"> организация, которая начнет применение требований настоящего стандарта в части классификации и оценк</w:t>
      </w:r>
      <w:r w:rsidR="00C25F1D">
        <w:rPr>
          <w:lang w:val="ru-RU"/>
        </w:rPr>
        <w:t>и (которые включают требования Р</w:t>
      </w:r>
      <w:r w:rsidRPr="00170D8F">
        <w:rPr>
          <w:lang w:val="ru-RU"/>
        </w:rPr>
        <w:t xml:space="preserve">азделов 5.4 и 5.5, касающиеся принципов оценки финансовых активов по амортизированной стоимости и обесценения), должна будет раскрыть информацию, требуемую пунктами 42L–42O МСФО (IFRS) 7, но не обязана будет пересчитывать информацию за прошлые периоды. Организация может произвести пересчет информации за прошлые периоды в </w:t>
      </w:r>
      <w:r w:rsidR="00141084">
        <w:rPr>
          <w:lang w:val="ru-RU"/>
        </w:rPr>
        <w:t>том и только в том случае, если</w:t>
      </w:r>
      <w:r w:rsidRPr="00170D8F">
        <w:rPr>
          <w:lang w:val="ru-RU"/>
        </w:rPr>
        <w:t xml:space="preserve"> такой пересчет возможен без использования более поздней информации. Если организация не производит пересчет информации за прошлые периоды, она должна признать разницу между прежней балансовой стоимостью инструмента и его балансовой стоимостью на начало годового отчетного периода, включающего в себя дату первоначального применения, в составе вступительного сальдо нераспределенной прибыли (или другого компонента собственного капитала, в зависимости от ситуации) того годового отчетного периода, который включает дату первоначального применения. Однако если организация пересчитывает информацию за прошлые периоды, то пересчитанная финансовая отчетность должна отражать все требования настоящего стандарта. Если выбранная организацией стратегия применения МСФО (IFRS) 9 приводит к тому, что используются разные даты первоначального применения в отношении различных требований, данный пункт применяется на каждую дату первоначального применения (см. пункт 7.2.2). Такая сит</w:t>
      </w:r>
      <w:r w:rsidR="00646746">
        <w:rPr>
          <w:lang w:val="ru-RU"/>
        </w:rPr>
        <w:t>уация, например, возможна, если</w:t>
      </w:r>
      <w:r w:rsidRPr="00170D8F">
        <w:rPr>
          <w:lang w:val="ru-RU"/>
        </w:rPr>
        <w:t xml:space="preserve"> в соо</w:t>
      </w:r>
      <w:r w:rsidR="00646746">
        <w:rPr>
          <w:lang w:val="ru-RU"/>
        </w:rPr>
        <w:t>тветствии с пунктом 7.1.2</w:t>
      </w:r>
      <w:r w:rsidRPr="00170D8F">
        <w:rPr>
          <w:lang w:val="ru-RU"/>
        </w:rPr>
        <w:t xml:space="preserve"> организация решила досрочно применить только требования в отношении представления прибылей и убытков по тем финансовым обязательствам, </w:t>
      </w:r>
      <w:r w:rsidRPr="00E00C40">
        <w:rPr>
          <w:lang w:val="ru-RU"/>
        </w:rPr>
        <w:t>которые она по собственному усмотрению классифицировала</w:t>
      </w:r>
      <w:r w:rsidRPr="00170D8F">
        <w:rPr>
          <w:lang w:val="ru-RU"/>
        </w:rPr>
        <w:t xml:space="preserve"> как оцениваемые по справедливой стоимости через прибыль или убыток, а остальные требования настоящего стандарта применить позже.</w:t>
      </w:r>
    </w:p>
    <w:p w:rsidR="00B643A3" w:rsidRPr="00170D8F" w:rsidRDefault="00B643A3" w:rsidP="00B643A3">
      <w:pPr>
        <w:pStyle w:val="IASBNormalnpara"/>
        <w:rPr>
          <w:lang w:val="ru-RU"/>
        </w:rPr>
      </w:pPr>
      <w:r w:rsidRPr="00170D8F">
        <w:rPr>
          <w:lang w:val="ru-RU"/>
        </w:rPr>
        <w:t>7.2.16</w:t>
      </w:r>
      <w:r w:rsidRPr="00170D8F">
        <w:rPr>
          <w:lang w:val="ru-RU"/>
        </w:rPr>
        <w:tab/>
        <w:t xml:space="preserve">Если организация составляет промежуточные финансовые отчеты в соответствии с МСФО (IAS) 34 </w:t>
      </w:r>
      <w:r w:rsidRPr="00170D8F">
        <w:rPr>
          <w:i/>
          <w:lang w:val="ru-RU"/>
        </w:rPr>
        <w:t>«Промежуточная финансовая отчетность»</w:t>
      </w:r>
      <w:r w:rsidRPr="00170D8F">
        <w:rPr>
          <w:lang w:val="ru-RU"/>
        </w:rPr>
        <w:t>, то организация не обязана применять требования настоящего стандарта к тем промежуточным периодам, которые предшествуют дате первоначального применения, если это практически неосуществимо (как это понятие определено в МСФО (IAS) 8).</w:t>
      </w:r>
    </w:p>
    <w:p w:rsidR="00B643A3" w:rsidRPr="00170D8F" w:rsidRDefault="00B643A3" w:rsidP="00B643A3">
      <w:pPr>
        <w:pStyle w:val="IASBSectionTitle3Ind"/>
        <w:rPr>
          <w:lang w:val="ru-RU"/>
        </w:rPr>
      </w:pPr>
      <w:r w:rsidRPr="00170D8F">
        <w:rPr>
          <w:lang w:val="ru-RU"/>
        </w:rPr>
        <w:t>Обесценение (</w:t>
      </w:r>
      <w:r w:rsidR="00C25F1D">
        <w:rPr>
          <w:lang w:val="ru-RU"/>
        </w:rPr>
        <w:t>Р</w:t>
      </w:r>
      <w:r w:rsidRPr="00170D8F">
        <w:rPr>
          <w:lang w:val="ru-RU"/>
        </w:rPr>
        <w:t>аздел 5.5)</w:t>
      </w:r>
    </w:p>
    <w:p w:rsidR="00B643A3" w:rsidRPr="00170D8F" w:rsidRDefault="00B643A3" w:rsidP="00B643A3">
      <w:pPr>
        <w:pStyle w:val="IASBNormalnpara"/>
        <w:rPr>
          <w:lang w:val="ru-RU"/>
        </w:rPr>
      </w:pPr>
      <w:r w:rsidRPr="00170D8F">
        <w:rPr>
          <w:lang w:val="ru-RU"/>
        </w:rPr>
        <w:t>7.2.17</w:t>
      </w:r>
      <w:r w:rsidRPr="00170D8F">
        <w:rPr>
          <w:lang w:val="ru-RU"/>
        </w:rPr>
        <w:tab/>
        <w:t>Организац</w:t>
      </w:r>
      <w:r w:rsidR="00C25F1D">
        <w:rPr>
          <w:lang w:val="ru-RU"/>
        </w:rPr>
        <w:t>ия должна применять требования Р</w:t>
      </w:r>
      <w:r w:rsidRPr="00170D8F">
        <w:rPr>
          <w:lang w:val="ru-RU"/>
        </w:rPr>
        <w:t>аздела 5.5, касающиеся обесценения, ретроспективно в соответствии с МСФО (IAS) 8 с учетом положений, предусмотренных пунктами 7.2.15 и 7.2.18–7.2.20.</w:t>
      </w:r>
    </w:p>
    <w:p w:rsidR="00B643A3" w:rsidRPr="00170D8F" w:rsidRDefault="00B643A3" w:rsidP="00B643A3">
      <w:pPr>
        <w:pStyle w:val="IASBNormalnpara"/>
        <w:rPr>
          <w:lang w:val="ru-RU"/>
        </w:rPr>
      </w:pPr>
      <w:r w:rsidRPr="00170D8F">
        <w:rPr>
          <w:lang w:val="ru-RU"/>
        </w:rPr>
        <w:t>7.2.18</w:t>
      </w:r>
      <w:r w:rsidRPr="00170D8F">
        <w:rPr>
          <w:lang w:val="ru-RU"/>
        </w:rPr>
        <w:tab/>
        <w:t>На дату первоначального применения организация должна воспользоваться обоснованной и подтверждаемой информацией, доступной без чрезмерных затрат или усилий, чтобы определить кредитный риск по финансовому инструменту на дату его первоначального признания (или – применительно к обязательствам по предоставлению займов и договорам финансовой гарантии – на дату, на которую организация стала стороной, принявшей на себя соответствующее обязательство</w:t>
      </w:r>
      <w:r w:rsidR="00B80D82">
        <w:rPr>
          <w:lang w:val="ru-RU"/>
        </w:rPr>
        <w:t>,</w:t>
      </w:r>
      <w:r w:rsidR="00DE0EF7">
        <w:rPr>
          <w:lang w:val="ru-RU"/>
        </w:rPr>
        <w:t xml:space="preserve"> без права </w:t>
      </w:r>
      <w:r w:rsidR="00B878E6">
        <w:rPr>
          <w:lang w:val="ru-RU"/>
        </w:rPr>
        <w:t xml:space="preserve">его </w:t>
      </w:r>
      <w:r w:rsidR="00DE0EF7">
        <w:rPr>
          <w:lang w:val="ru-RU"/>
        </w:rPr>
        <w:t>последующей отмены</w:t>
      </w:r>
      <w:r w:rsidRPr="00170D8F">
        <w:rPr>
          <w:lang w:val="ru-RU"/>
        </w:rPr>
        <w:t>, в соответствии с пунктом 5.5.6) и сравнить его с кредитным риском на дату первоначального применения настоящего стандарта.</w:t>
      </w:r>
    </w:p>
    <w:p w:rsidR="00B643A3" w:rsidRPr="00170D8F" w:rsidRDefault="00B643A3" w:rsidP="00B643A3">
      <w:pPr>
        <w:pStyle w:val="IASBNormalnpara"/>
        <w:rPr>
          <w:lang w:val="ru-RU"/>
        </w:rPr>
      </w:pPr>
      <w:r w:rsidRPr="00170D8F">
        <w:rPr>
          <w:lang w:val="ru-RU"/>
        </w:rPr>
        <w:t>7.2.19</w:t>
      </w:r>
      <w:r w:rsidRPr="00170D8F">
        <w:rPr>
          <w:lang w:val="ru-RU"/>
        </w:rPr>
        <w:tab/>
        <w:t xml:space="preserve">При </w:t>
      </w:r>
      <w:r w:rsidRPr="00E00C40">
        <w:rPr>
          <w:lang w:val="ru-RU"/>
        </w:rPr>
        <w:t xml:space="preserve">решении вопроса о том, имело ли место </w:t>
      </w:r>
      <w:r w:rsidRPr="00170D8F">
        <w:rPr>
          <w:lang w:val="ru-RU"/>
        </w:rPr>
        <w:t>значительное повышение кредитного риска с момента первоначального признания финансового инструмента, организация может применить:</w:t>
      </w:r>
    </w:p>
    <w:p w:rsidR="00B643A3" w:rsidRPr="00170D8F" w:rsidRDefault="00B643A3" w:rsidP="00B643A3">
      <w:pPr>
        <w:pStyle w:val="IASBNormalnparaL1"/>
        <w:rPr>
          <w:lang w:val="ru-RU"/>
        </w:rPr>
      </w:pPr>
      <w:r w:rsidRPr="00170D8F">
        <w:rPr>
          <w:lang w:val="ru-RU"/>
        </w:rPr>
        <w:t>(a)</w:t>
      </w:r>
      <w:r w:rsidRPr="00170D8F">
        <w:rPr>
          <w:lang w:val="ru-RU"/>
        </w:rPr>
        <w:tab/>
        <w:t>требования, предусмотренные пунктами 5.5.10 и B5.5.22–B5.5.24; и</w:t>
      </w:r>
    </w:p>
    <w:p w:rsidR="00B643A3" w:rsidRPr="00170D8F" w:rsidRDefault="00B643A3" w:rsidP="00B643A3">
      <w:pPr>
        <w:pStyle w:val="IASBNormalnparaL1"/>
        <w:rPr>
          <w:lang w:val="ru-RU"/>
        </w:rPr>
      </w:pPr>
      <w:r w:rsidRPr="00170D8F">
        <w:rPr>
          <w:lang w:val="ru-RU"/>
        </w:rPr>
        <w:t>(b)</w:t>
      </w:r>
      <w:r w:rsidRPr="00170D8F">
        <w:rPr>
          <w:lang w:val="ru-RU"/>
        </w:rPr>
        <w:tab/>
        <w:t>опровержимое допущение, предусмотренное пунктом 5.5.11 в отношении платежей по договору, просроченных более чем на 30 дней, если требования, касающиеся обесценения, организация будет применять к этим финансовым инструментам</w:t>
      </w:r>
      <w:r w:rsidRPr="00170D8F" w:rsidDel="00E722D7">
        <w:rPr>
          <w:lang w:val="ru-RU"/>
        </w:rPr>
        <w:t xml:space="preserve"> </w:t>
      </w:r>
      <w:r w:rsidRPr="00170D8F">
        <w:rPr>
          <w:lang w:val="ru-RU"/>
        </w:rPr>
        <w:t>путем в</w:t>
      </w:r>
      <w:r w:rsidR="00141084">
        <w:rPr>
          <w:lang w:val="ru-RU"/>
        </w:rPr>
        <w:t>ыявления значительного повышения</w:t>
      </w:r>
      <w:r w:rsidRPr="00170D8F">
        <w:rPr>
          <w:lang w:val="ru-RU"/>
        </w:rPr>
        <w:t xml:space="preserve"> кредитного риска с момента их первоначального признания на основе информации о просрочке платежей.</w:t>
      </w:r>
    </w:p>
    <w:p w:rsidR="00B643A3" w:rsidRPr="00170D8F" w:rsidRDefault="00141084" w:rsidP="00B643A3">
      <w:pPr>
        <w:pStyle w:val="IASBNormalnpara"/>
        <w:rPr>
          <w:lang w:val="ru-RU"/>
        </w:rPr>
      </w:pPr>
      <w:r>
        <w:rPr>
          <w:lang w:val="ru-RU"/>
        </w:rPr>
        <w:t>7.2.20</w:t>
      </w:r>
      <w:r>
        <w:rPr>
          <w:lang w:val="ru-RU"/>
        </w:rPr>
        <w:tab/>
        <w:t xml:space="preserve">Если </w:t>
      </w:r>
      <w:r w:rsidRPr="00170D8F">
        <w:rPr>
          <w:lang w:val="ru-RU"/>
        </w:rPr>
        <w:t>потребовались б</w:t>
      </w:r>
      <w:r>
        <w:rPr>
          <w:lang w:val="ru-RU"/>
        </w:rPr>
        <w:t>ы чрезмерные затраты или усилия</w:t>
      </w:r>
      <w:r w:rsidR="00B643A3" w:rsidRPr="00170D8F">
        <w:rPr>
          <w:lang w:val="ru-RU"/>
        </w:rPr>
        <w:t xml:space="preserve"> для того</w:t>
      </w:r>
      <w:r>
        <w:rPr>
          <w:lang w:val="ru-RU"/>
        </w:rPr>
        <w:t>,</w:t>
      </w:r>
      <w:r w:rsidR="00B643A3" w:rsidRPr="00170D8F">
        <w:rPr>
          <w:lang w:val="ru-RU"/>
        </w:rPr>
        <w:t xml:space="preserve"> чтобы определить</w:t>
      </w:r>
      <w:r>
        <w:rPr>
          <w:lang w:val="ru-RU"/>
        </w:rPr>
        <w:t>,</w:t>
      </w:r>
      <w:r w:rsidR="00B643A3" w:rsidRPr="00170D8F">
        <w:rPr>
          <w:lang w:val="ru-RU"/>
        </w:rPr>
        <w:t xml:space="preserve"> на дату первоначального применения, имело ли место значительное повышение кредитного риска с момента первоначального признания финансового инструмента, организация должна</w:t>
      </w:r>
      <w:r w:rsidR="007F4653">
        <w:rPr>
          <w:lang w:val="ru-RU"/>
        </w:rPr>
        <w:t xml:space="preserve"> по состоянию</w:t>
      </w:r>
      <w:r w:rsidR="00B643A3" w:rsidRPr="00170D8F">
        <w:rPr>
          <w:lang w:val="ru-RU"/>
        </w:rPr>
        <w:t xml:space="preserve"> на каждую отчетную дату до момента прекращения признания данного финансового инструмента признавать оценочный резерв под убытки, величина которого равна</w:t>
      </w:r>
      <w:r w:rsidR="000E0543">
        <w:rPr>
          <w:lang w:val="ru-RU"/>
        </w:rPr>
        <w:t xml:space="preserve"> ожидаемым</w:t>
      </w:r>
      <w:r w:rsidR="00B643A3" w:rsidRPr="00170D8F">
        <w:rPr>
          <w:lang w:val="ru-RU"/>
        </w:rPr>
        <w:t xml:space="preserve"> кредитным </w:t>
      </w:r>
      <w:r w:rsidR="00E0497A" w:rsidRPr="00170D8F">
        <w:rPr>
          <w:lang w:val="ru-RU"/>
        </w:rPr>
        <w:t>убыткам</w:t>
      </w:r>
      <w:r w:rsidR="00E0497A">
        <w:rPr>
          <w:lang w:val="ru-RU"/>
        </w:rPr>
        <w:t xml:space="preserve"> за</w:t>
      </w:r>
      <w:r w:rsidR="000E0543">
        <w:rPr>
          <w:lang w:val="ru-RU"/>
        </w:rPr>
        <w:t xml:space="preserve"> весь срок</w:t>
      </w:r>
      <w:r w:rsidR="00B643A3" w:rsidRPr="00170D8F">
        <w:rPr>
          <w:lang w:val="ru-RU"/>
        </w:rPr>
        <w:t xml:space="preserve"> (кроме случаев, когда кредитный риск по такому финансовому инструменту</w:t>
      </w:r>
      <w:r w:rsidR="007D71B7">
        <w:rPr>
          <w:lang w:val="ru-RU"/>
        </w:rPr>
        <w:t xml:space="preserve"> по состоянию</w:t>
      </w:r>
      <w:r w:rsidR="00B643A3" w:rsidRPr="00170D8F">
        <w:rPr>
          <w:lang w:val="ru-RU"/>
        </w:rPr>
        <w:t xml:space="preserve"> на отчетную дату является низким, и в этом случае применяется пункт 7.2.19(a)).</w:t>
      </w:r>
    </w:p>
    <w:p w:rsidR="00B643A3" w:rsidRPr="00170D8F" w:rsidRDefault="00B643A3" w:rsidP="00B643A3">
      <w:pPr>
        <w:pStyle w:val="IASBSectionTitle2Ind"/>
        <w:rPr>
          <w:lang w:val="ru-RU"/>
        </w:rPr>
      </w:pPr>
      <w:r w:rsidRPr="00170D8F">
        <w:rPr>
          <w:lang w:val="ru-RU"/>
        </w:rPr>
        <w:t>Переходные положен</w:t>
      </w:r>
      <w:r w:rsidR="00C25F1D">
        <w:rPr>
          <w:lang w:val="ru-RU"/>
        </w:rPr>
        <w:t>ия в части учета хеджирования (Г</w:t>
      </w:r>
      <w:r w:rsidRPr="00170D8F">
        <w:rPr>
          <w:lang w:val="ru-RU"/>
        </w:rPr>
        <w:t>лава 6)</w:t>
      </w:r>
    </w:p>
    <w:p w:rsidR="00B643A3" w:rsidRPr="00170D8F" w:rsidRDefault="00B643A3" w:rsidP="00B643A3">
      <w:pPr>
        <w:pStyle w:val="IASBNormalnpara"/>
        <w:rPr>
          <w:lang w:val="ru-RU"/>
        </w:rPr>
      </w:pPr>
      <w:r w:rsidRPr="00170D8F">
        <w:rPr>
          <w:lang w:val="ru-RU"/>
        </w:rPr>
        <w:t>7.2.21</w:t>
      </w:r>
      <w:r w:rsidRPr="00170D8F">
        <w:rPr>
          <w:lang w:val="ru-RU"/>
        </w:rPr>
        <w:tab/>
        <w:t xml:space="preserve">При первом </w:t>
      </w:r>
      <w:r w:rsidR="00646746">
        <w:rPr>
          <w:lang w:val="ru-RU"/>
        </w:rPr>
        <w:t>применении настоящего стандарта</w:t>
      </w:r>
      <w:r w:rsidRPr="00170D8F">
        <w:rPr>
          <w:lang w:val="ru-RU"/>
        </w:rPr>
        <w:t xml:space="preserve"> организация вправе выбрать в качестве своей учетной политики продолжение применения требований МСФО (IAS) 39 в части учета </w:t>
      </w:r>
      <w:r w:rsidR="00C25F1D">
        <w:rPr>
          <w:lang w:val="ru-RU"/>
        </w:rPr>
        <w:t>хеджирования вместо требований Г</w:t>
      </w:r>
      <w:r w:rsidRPr="00170D8F">
        <w:rPr>
          <w:lang w:val="ru-RU"/>
        </w:rPr>
        <w:t xml:space="preserve">лавы 6 настоящего стандарта. Организация должна применять указанную учетную политику в отношении всех имеющихся у нее отношений хеджирования. Организация, которая выберет данную учетную политику, также должна будет применить Разъяснение КРМФО (IFRIC) 16 </w:t>
      </w:r>
      <w:r w:rsidRPr="00170D8F">
        <w:rPr>
          <w:i/>
          <w:lang w:val="ru-RU"/>
        </w:rPr>
        <w:t>«Хеджирование чистой инвестиции в иностранное подразделение»</w:t>
      </w:r>
      <w:r w:rsidRPr="00170D8F">
        <w:rPr>
          <w:lang w:val="ru-RU"/>
        </w:rPr>
        <w:t xml:space="preserve"> без учета поправок к нему, которые приводят его требования</w:t>
      </w:r>
      <w:r w:rsidR="00C25F1D">
        <w:rPr>
          <w:lang w:val="ru-RU"/>
        </w:rPr>
        <w:t xml:space="preserve"> в соответствие с требованиями Г</w:t>
      </w:r>
      <w:r w:rsidRPr="00170D8F">
        <w:rPr>
          <w:lang w:val="ru-RU"/>
        </w:rPr>
        <w:t>лавы 6 настоящего стандарта.</w:t>
      </w:r>
    </w:p>
    <w:p w:rsidR="00B643A3" w:rsidRPr="00170D8F" w:rsidRDefault="00B643A3" w:rsidP="00B643A3">
      <w:pPr>
        <w:pStyle w:val="IASBNormalnpara"/>
        <w:rPr>
          <w:lang w:val="ru-RU"/>
        </w:rPr>
      </w:pPr>
      <w:r w:rsidRPr="00170D8F">
        <w:rPr>
          <w:lang w:val="ru-RU"/>
        </w:rPr>
        <w:t>7.2.22</w:t>
      </w:r>
      <w:r w:rsidRPr="00170D8F">
        <w:rPr>
          <w:lang w:val="ru-RU"/>
        </w:rPr>
        <w:tab/>
        <w:t>За исключением случаев, предусмотренных пунктом 7.2.26, организация должна применять требования настоящего стандарта в части учета хеджирования перспективно.</w:t>
      </w:r>
    </w:p>
    <w:p w:rsidR="00B643A3" w:rsidRPr="00170D8F" w:rsidRDefault="00B643A3" w:rsidP="00B643A3">
      <w:pPr>
        <w:pStyle w:val="IASBNormalnpara"/>
        <w:rPr>
          <w:lang w:val="ru-RU"/>
        </w:rPr>
      </w:pPr>
      <w:r w:rsidRPr="00170D8F">
        <w:rPr>
          <w:lang w:val="ru-RU"/>
        </w:rPr>
        <w:t>7.2.23</w:t>
      </w:r>
      <w:r w:rsidRPr="00170D8F">
        <w:rPr>
          <w:lang w:val="ru-RU"/>
        </w:rPr>
        <w:tab/>
        <w:t>Чтобы учет хеджирования можно было применить с даты первоначального применения требований настоящего стандарта в части учета хеджирования, необходимо, чтобы все квалификационные критерии были удовлетворены по состоянию на эту дату.</w:t>
      </w:r>
    </w:p>
    <w:p w:rsidR="00B643A3" w:rsidRPr="00170D8F" w:rsidRDefault="00B643A3" w:rsidP="00B643A3">
      <w:pPr>
        <w:pStyle w:val="IASBNormalnpara"/>
        <w:rPr>
          <w:lang w:val="ru-RU"/>
        </w:rPr>
      </w:pPr>
      <w:r w:rsidRPr="00170D8F">
        <w:rPr>
          <w:lang w:val="ru-RU"/>
        </w:rPr>
        <w:t>7.2.24</w:t>
      </w:r>
      <w:r w:rsidRPr="00170D8F">
        <w:rPr>
          <w:lang w:val="ru-RU"/>
        </w:rPr>
        <w:tab/>
        <w:t>Отношения хеджирования, к которым применялся учет хеджирова</w:t>
      </w:r>
      <w:r w:rsidR="00646746">
        <w:rPr>
          <w:lang w:val="ru-RU"/>
        </w:rPr>
        <w:t>ния в соответствии с МСФО (IAS) </w:t>
      </w:r>
      <w:r w:rsidRPr="00170D8F">
        <w:rPr>
          <w:lang w:val="ru-RU"/>
        </w:rPr>
        <w:t>39, и которые также отвечают квалификационным критериям настоящего стандарта для применения учета хеджирования (см. пункт 6.4.1), с поправкой на возможную ребалансировку соответствующих отношений хеджирования при переходе (см. пункт 7.2.25(b)), следует считать продолжающимися отношениями хеджирования.</w:t>
      </w:r>
    </w:p>
    <w:p w:rsidR="00B643A3" w:rsidRPr="00170D8F" w:rsidRDefault="00B643A3" w:rsidP="00B643A3">
      <w:pPr>
        <w:pStyle w:val="IASBNormalnpara"/>
        <w:rPr>
          <w:lang w:val="ru-RU"/>
        </w:rPr>
      </w:pPr>
      <w:r w:rsidRPr="00170D8F">
        <w:rPr>
          <w:lang w:val="ru-RU"/>
        </w:rPr>
        <w:t>7.2.25</w:t>
      </w:r>
      <w:r w:rsidRPr="00170D8F">
        <w:rPr>
          <w:lang w:val="ru-RU"/>
        </w:rPr>
        <w:tab/>
        <w:t>При первоначальном применении требований настоящего стандарта в части учета хеджирования организация:</w:t>
      </w:r>
    </w:p>
    <w:p w:rsidR="00B643A3" w:rsidRPr="00170D8F" w:rsidRDefault="00B643A3" w:rsidP="00B643A3">
      <w:pPr>
        <w:pStyle w:val="IASBNormalnparaL1"/>
        <w:rPr>
          <w:lang w:val="ru-RU"/>
        </w:rPr>
      </w:pPr>
      <w:r w:rsidRPr="00170D8F">
        <w:rPr>
          <w:lang w:val="ru-RU"/>
        </w:rPr>
        <w:t>(a)</w:t>
      </w:r>
      <w:r w:rsidRPr="00170D8F">
        <w:rPr>
          <w:lang w:val="ru-RU"/>
        </w:rPr>
        <w:tab/>
        <w:t>может начать применение указанных требований с того же момента времени, в который она прекращает применение требований МСФО (IAS) 39 в части учета хеджирования; и</w:t>
      </w:r>
    </w:p>
    <w:p w:rsidR="00B643A3" w:rsidRPr="00170D8F" w:rsidRDefault="00B643A3" w:rsidP="00B643A3">
      <w:pPr>
        <w:pStyle w:val="IASBNormalnparaL1"/>
        <w:rPr>
          <w:lang w:val="ru-RU"/>
        </w:rPr>
      </w:pPr>
      <w:r w:rsidRPr="00170D8F">
        <w:rPr>
          <w:lang w:val="ru-RU"/>
        </w:rPr>
        <w:t>(b)</w:t>
      </w:r>
      <w:r w:rsidRPr="00170D8F">
        <w:rPr>
          <w:lang w:val="ru-RU"/>
        </w:rPr>
        <w:tab/>
        <w:t>должна рассматривать коэффициент хеджирования, о</w:t>
      </w:r>
      <w:r w:rsidR="008A63D5">
        <w:rPr>
          <w:lang w:val="ru-RU"/>
        </w:rPr>
        <w:t>пределенный согласно МСФО (IAS) </w:t>
      </w:r>
      <w:r w:rsidRPr="00170D8F">
        <w:rPr>
          <w:lang w:val="ru-RU"/>
        </w:rPr>
        <w:t>39, как отправную точку для ребалансировки коэффициента хеджирования продолжающихся отношений хеджирования, если применимо. Величина прибыли или убытка от такой ребалансировки должна быть признана в составе прибыли или убытка.</w:t>
      </w:r>
    </w:p>
    <w:p w:rsidR="00B643A3" w:rsidRPr="00170D8F" w:rsidRDefault="00B643A3" w:rsidP="00B643A3">
      <w:pPr>
        <w:pStyle w:val="IASBNormalnpara"/>
        <w:rPr>
          <w:lang w:val="ru-RU"/>
        </w:rPr>
      </w:pPr>
      <w:r w:rsidRPr="00170D8F">
        <w:rPr>
          <w:lang w:val="ru-RU"/>
        </w:rPr>
        <w:t>7.2.26</w:t>
      </w:r>
      <w:r w:rsidRPr="00170D8F">
        <w:rPr>
          <w:lang w:val="ru-RU"/>
        </w:rPr>
        <w:tab/>
        <w:t>В качестве исключения из правила перспективного применения требований настоящего стандарта в части учета хеджирования организация:</w:t>
      </w:r>
    </w:p>
    <w:p w:rsidR="00B643A3" w:rsidRPr="00170D8F" w:rsidRDefault="00B643A3" w:rsidP="00B643A3">
      <w:pPr>
        <w:pStyle w:val="IASBNormalnparaL1"/>
        <w:rPr>
          <w:lang w:val="ru-RU"/>
        </w:rPr>
      </w:pPr>
      <w:r w:rsidRPr="00170D8F">
        <w:rPr>
          <w:lang w:val="ru-RU"/>
        </w:rPr>
        <w:t>(a)</w:t>
      </w:r>
      <w:r w:rsidRPr="00170D8F">
        <w:rPr>
          <w:lang w:val="ru-RU"/>
        </w:rPr>
        <w:tab/>
        <w:t>должна применить порядок учета временнóй стоимости опционов, предусмотренный пунктом 6.5.15, ретроспективно, если в соответствии с МСФО (IAS) 39 организация по собственному усмотрению определила в качестве инструмента хеджирования в каких-либо отношениях хеджирования изменение только внутренней стоимости опциона. Такое ретроспективное применение предусмотрено только для тех отношений хеджирования, которые уже существовали по состоянию на начало самого раннего сравнительного периода либо были определены по усмотре</w:t>
      </w:r>
      <w:r w:rsidR="008A63D5">
        <w:rPr>
          <w:lang w:val="ru-RU"/>
        </w:rPr>
        <w:t>нию организации после этой даты;</w:t>
      </w:r>
    </w:p>
    <w:p w:rsidR="00B643A3" w:rsidRPr="00170D8F" w:rsidRDefault="00B643A3" w:rsidP="00B643A3">
      <w:pPr>
        <w:pStyle w:val="IASBNormalnparaL1"/>
        <w:rPr>
          <w:lang w:val="ru-RU"/>
        </w:rPr>
      </w:pPr>
      <w:r w:rsidRPr="00170D8F">
        <w:rPr>
          <w:lang w:val="ru-RU"/>
        </w:rPr>
        <w:t>(b)</w:t>
      </w:r>
      <w:r w:rsidRPr="00170D8F">
        <w:rPr>
          <w:lang w:val="ru-RU"/>
        </w:rPr>
        <w:tab/>
        <w:t xml:space="preserve">вправе применить порядок учета форвардного элемента форвардных договоров, предусмотренный пунктом 6.5.16, ретроспективно, если в соответствии с МСФО (IAS) 39 организация по собственному усмотрению определила в качестве инструмента хеджирования в отношениях хеджирования изменение только спот-элемента форвардного договора. Такое ретроспективное применение предусмотрено только для тех отношений хеджирования, которые уже существовали по состоянию на начало самого раннего сравнительного периода либо были определены по усмотрению организации после этой даты. Кроме того, если организация выбирает ретроспективное применение данного порядка учета, он подлежит применению ко всем отношениям хеджирования, которые отвечают </w:t>
      </w:r>
      <w:r w:rsidR="008A63D5">
        <w:rPr>
          <w:lang w:val="ru-RU"/>
        </w:rPr>
        <w:t>критериям для такого выбора (т. </w:t>
      </w:r>
      <w:r w:rsidRPr="00170D8F">
        <w:rPr>
          <w:lang w:val="ru-RU"/>
        </w:rPr>
        <w:t>е. при переходе к новому порядку учета организация не может делать данный выбор для каждых отношений хеджирования в отдельности). Порядок учета, предусмотренный для валютных базисных спрэдов (см. пункт 6.5.16), может применяться ретроспективно к тем отношениям хеджирования, которые уже существовали по состоянию на начало самого раннего сравнительного периода либо были определены по усмотре</w:t>
      </w:r>
      <w:r w:rsidR="008A63D5">
        <w:rPr>
          <w:lang w:val="ru-RU"/>
        </w:rPr>
        <w:t>нию организации после этой даты;</w:t>
      </w:r>
    </w:p>
    <w:p w:rsidR="00B643A3" w:rsidRPr="00170D8F" w:rsidRDefault="00B643A3" w:rsidP="00B643A3">
      <w:pPr>
        <w:pStyle w:val="IASBNormalnparaL1"/>
        <w:rPr>
          <w:lang w:val="ru-RU"/>
        </w:rPr>
      </w:pPr>
      <w:r w:rsidRPr="00170D8F">
        <w:rPr>
          <w:lang w:val="ru-RU"/>
        </w:rPr>
        <w:t>(c)</w:t>
      </w:r>
      <w:r w:rsidRPr="00170D8F">
        <w:rPr>
          <w:lang w:val="ru-RU"/>
        </w:rPr>
        <w:tab/>
        <w:t>должна ретроспективно применить требование пункта 6.5.6 о том, что инструмент хеджирования не следует считать истекшим или прекращенным, если:</w:t>
      </w:r>
    </w:p>
    <w:p w:rsidR="00B643A3" w:rsidRPr="00170D8F" w:rsidRDefault="00B643A3" w:rsidP="00B643A3">
      <w:pPr>
        <w:pStyle w:val="IASBNormalnparaL2"/>
        <w:rPr>
          <w:lang w:val="ru-RU"/>
        </w:rPr>
      </w:pPr>
      <w:r w:rsidRPr="00170D8F">
        <w:rPr>
          <w:lang w:val="ru-RU"/>
        </w:rPr>
        <w:t>(i)</w:t>
      </w:r>
      <w:r w:rsidRPr="00170D8F">
        <w:rPr>
          <w:lang w:val="ru-RU"/>
        </w:rPr>
        <w:tab/>
        <w:t>вследствие действия либо введения законов или нормативных правовых актов стороны инструмента хеджирования договариваются о том, что один или несколько клиринговых контрагентов заменят их первоначального контрагента и станут новым контрагентом для каждой из сторон; и</w:t>
      </w:r>
    </w:p>
    <w:p w:rsidR="00B643A3" w:rsidRDefault="00B643A3" w:rsidP="00B643A3">
      <w:pPr>
        <w:pStyle w:val="IASBNormalnparaL2"/>
        <w:rPr>
          <w:lang w:val="ru-RU"/>
        </w:rPr>
      </w:pPr>
      <w:r w:rsidRPr="00170D8F">
        <w:rPr>
          <w:lang w:val="ru-RU"/>
        </w:rPr>
        <w:t>(ii)</w:t>
      </w:r>
      <w:r w:rsidRPr="00170D8F">
        <w:rPr>
          <w:lang w:val="ru-RU"/>
        </w:rPr>
        <w:tab/>
        <w:t>иные изменения, касающиеся</w:t>
      </w:r>
      <w:r w:rsidRPr="00170D8F">
        <w:rPr>
          <w:b/>
          <w:lang w:val="ru-RU"/>
        </w:rPr>
        <w:t xml:space="preserve"> </w:t>
      </w:r>
      <w:r w:rsidRPr="00170D8F">
        <w:rPr>
          <w:lang w:val="ru-RU"/>
        </w:rPr>
        <w:t>инструмента хеджирования, если таковые имеют место, ограничиваются только теми, которые необходимы для осуществления подобной замены контрагента.</w:t>
      </w:r>
    </w:p>
    <w:p w:rsidR="003678E0" w:rsidRPr="003678E0" w:rsidRDefault="003678E0" w:rsidP="003678E0">
      <w:pPr>
        <w:spacing w:before="100"/>
        <w:ind w:left="1564" w:hanging="782"/>
        <w:jc w:val="both"/>
        <w:rPr>
          <w:sz w:val="19"/>
          <w:szCs w:val="20"/>
          <w:lang w:val="ru-RU"/>
        </w:rPr>
      </w:pPr>
      <w:r w:rsidRPr="003678E0">
        <w:rPr>
          <w:sz w:val="19"/>
          <w:szCs w:val="20"/>
          <w:lang w:val="ru-RU"/>
        </w:rPr>
        <w:t>(d)</w:t>
      </w:r>
      <w:r w:rsidRPr="003678E0">
        <w:rPr>
          <w:sz w:val="19"/>
          <w:szCs w:val="20"/>
          <w:lang w:val="ru-RU"/>
        </w:rPr>
        <w:tab/>
        <w:t>должна применить требования Раздела 6.8 ретроспективно. Такое ретроспективное применение предусмотрено только для тех отношений хеджирования, которые уже существовали по состоянию на начало отчетного периода, в котором организация впервые применяет данные требования, или были определены по усмотрению организации после этой даты, а также для суммы, накопленной в составе резерва хеджирования денежных потоков, которая уже существовала по состоянию на начало отчетного периода, в котором организация впервые применяет данные требования.</w:t>
      </w:r>
    </w:p>
    <w:p w:rsidR="00B643A3" w:rsidRPr="00170D8F" w:rsidRDefault="00B643A3" w:rsidP="00B643A3">
      <w:pPr>
        <w:pStyle w:val="IASBSectionTitle2Ind"/>
        <w:rPr>
          <w:lang w:val="ru-RU"/>
        </w:rPr>
      </w:pPr>
      <w:r w:rsidRPr="00170D8F">
        <w:rPr>
          <w:lang w:val="ru-RU"/>
        </w:rPr>
        <w:t>Организации, начавшие применение МСФО (IFRS) 9 (</w:t>
      </w:r>
      <w:r w:rsidR="00CE0707">
        <w:rPr>
          <w:lang w:val="ru-RU"/>
        </w:rPr>
        <w:t xml:space="preserve">в </w:t>
      </w:r>
      <w:r w:rsidRPr="00170D8F">
        <w:rPr>
          <w:lang w:val="ru-RU"/>
        </w:rPr>
        <w:t>ред</w:t>
      </w:r>
      <w:r w:rsidR="00CE0707">
        <w:rPr>
          <w:lang w:val="ru-RU"/>
        </w:rPr>
        <w:t>акции</w:t>
      </w:r>
      <w:r w:rsidRPr="00170D8F">
        <w:rPr>
          <w:lang w:val="ru-RU"/>
        </w:rPr>
        <w:t xml:space="preserve"> 2010 г</w:t>
      </w:r>
      <w:r w:rsidR="00CE0707">
        <w:rPr>
          <w:lang w:val="ru-RU"/>
        </w:rPr>
        <w:t>ода</w:t>
      </w:r>
      <w:r w:rsidRPr="00170D8F">
        <w:rPr>
          <w:lang w:val="ru-RU"/>
        </w:rPr>
        <w:t>) или МСФО (IFRS) 9 (</w:t>
      </w:r>
      <w:r w:rsidR="00CE0707">
        <w:rPr>
          <w:lang w:val="ru-RU"/>
        </w:rPr>
        <w:t xml:space="preserve">в </w:t>
      </w:r>
      <w:r w:rsidRPr="00170D8F">
        <w:rPr>
          <w:lang w:val="ru-RU"/>
        </w:rPr>
        <w:t>ред</w:t>
      </w:r>
      <w:r w:rsidR="00CE0707">
        <w:rPr>
          <w:lang w:val="ru-RU"/>
        </w:rPr>
        <w:t>акции</w:t>
      </w:r>
      <w:r w:rsidRPr="00170D8F">
        <w:rPr>
          <w:lang w:val="ru-RU"/>
        </w:rPr>
        <w:t xml:space="preserve"> 2013 г</w:t>
      </w:r>
      <w:r w:rsidR="00CE0707">
        <w:rPr>
          <w:lang w:val="ru-RU"/>
        </w:rPr>
        <w:t>ода</w:t>
      </w:r>
      <w:r w:rsidRPr="00170D8F">
        <w:rPr>
          <w:lang w:val="ru-RU"/>
        </w:rPr>
        <w:t>) досрочно</w:t>
      </w:r>
    </w:p>
    <w:p w:rsidR="00B643A3" w:rsidRPr="00170D8F" w:rsidRDefault="00B643A3" w:rsidP="00B643A3">
      <w:pPr>
        <w:pStyle w:val="IASBNormalnpara"/>
        <w:rPr>
          <w:lang w:val="ru-RU"/>
        </w:rPr>
      </w:pPr>
      <w:r w:rsidRPr="00170D8F">
        <w:rPr>
          <w:lang w:val="ru-RU"/>
        </w:rPr>
        <w:t>7.2.27</w:t>
      </w:r>
      <w:r w:rsidRPr="00170D8F">
        <w:rPr>
          <w:lang w:val="ru-RU"/>
        </w:rPr>
        <w:tab/>
        <w:t>Организация должна применять переходные положения,</w:t>
      </w:r>
      <w:r w:rsidR="00A876BE">
        <w:rPr>
          <w:lang w:val="ru-RU"/>
        </w:rPr>
        <w:t xml:space="preserve"> предусмотренные пунктами 7.2.1</w:t>
      </w:r>
      <w:r w:rsidR="00A876BE" w:rsidRPr="008872E8">
        <w:rPr>
          <w:lang w:val="ru-RU"/>
        </w:rPr>
        <w:t>–</w:t>
      </w:r>
      <w:r w:rsidRPr="00170D8F">
        <w:rPr>
          <w:lang w:val="ru-RU"/>
        </w:rPr>
        <w:t>7.2.26, на соответствующую дату первоначального применения. Организация должна применять каждое из переходных положений, изложенных в пунктах 7.2.3–7.2.14</w:t>
      </w:r>
      <w:r w:rsidR="00640C0C">
        <w:rPr>
          <w:lang w:val="ru-RU"/>
        </w:rPr>
        <w:t>А</w:t>
      </w:r>
      <w:r w:rsidRPr="00170D8F">
        <w:rPr>
          <w:lang w:val="ru-RU"/>
        </w:rPr>
        <w:t xml:space="preserve"> и 7.2</w:t>
      </w:r>
      <w:r w:rsidR="008A63D5">
        <w:rPr>
          <w:lang w:val="ru-RU"/>
        </w:rPr>
        <w:t>.17–7.2.26, только один раз (т. </w:t>
      </w:r>
      <w:r w:rsidRPr="00170D8F">
        <w:rPr>
          <w:lang w:val="ru-RU"/>
        </w:rPr>
        <w:t>е. если организация выберет способ применения МСФО (IFRS) 9, предполагающий более одной даты первоначального применения, то она не сможет применить какое-либо из этих положений повторно, если оно уже было применено на более раннюю дату). (См. пункты 7.2.2 и 7.3.2.)</w:t>
      </w:r>
    </w:p>
    <w:p w:rsidR="00B643A3" w:rsidRPr="00170D8F" w:rsidRDefault="00B643A3" w:rsidP="00B643A3">
      <w:pPr>
        <w:pStyle w:val="IASBNormalnpara"/>
        <w:rPr>
          <w:lang w:val="ru-RU"/>
        </w:rPr>
      </w:pPr>
      <w:r w:rsidRPr="00170D8F">
        <w:rPr>
          <w:lang w:val="ru-RU"/>
        </w:rPr>
        <w:t>7.2.28</w:t>
      </w:r>
      <w:r w:rsidRPr="00170D8F">
        <w:rPr>
          <w:lang w:val="ru-RU"/>
        </w:rPr>
        <w:tab/>
        <w:t>Организация, которая уже применила МСФО (IFRS) 9 (</w:t>
      </w:r>
      <w:r w:rsidR="00CE0707">
        <w:rPr>
          <w:lang w:val="ru-RU"/>
        </w:rPr>
        <w:t xml:space="preserve">в </w:t>
      </w:r>
      <w:r w:rsidRPr="00170D8F">
        <w:rPr>
          <w:lang w:val="ru-RU"/>
        </w:rPr>
        <w:t>ред</w:t>
      </w:r>
      <w:r w:rsidR="00CE0707">
        <w:rPr>
          <w:lang w:val="ru-RU"/>
        </w:rPr>
        <w:t>акции</w:t>
      </w:r>
      <w:r w:rsidRPr="00170D8F">
        <w:rPr>
          <w:lang w:val="ru-RU"/>
        </w:rPr>
        <w:t xml:space="preserve"> 2010 г</w:t>
      </w:r>
      <w:r w:rsidR="00CE0707">
        <w:rPr>
          <w:lang w:val="ru-RU"/>
        </w:rPr>
        <w:t>ода</w:t>
      </w:r>
      <w:r w:rsidRPr="00170D8F">
        <w:rPr>
          <w:lang w:val="ru-RU"/>
        </w:rPr>
        <w:t>) или МСФО (IFRS) 9 (</w:t>
      </w:r>
      <w:r w:rsidR="00CE0707">
        <w:rPr>
          <w:lang w:val="ru-RU"/>
        </w:rPr>
        <w:t xml:space="preserve">в </w:t>
      </w:r>
      <w:r w:rsidRPr="00170D8F">
        <w:rPr>
          <w:lang w:val="ru-RU"/>
        </w:rPr>
        <w:t>ред</w:t>
      </w:r>
      <w:r w:rsidR="00CE0707">
        <w:rPr>
          <w:lang w:val="ru-RU"/>
        </w:rPr>
        <w:t>акции</w:t>
      </w:r>
      <w:r w:rsidRPr="00170D8F">
        <w:rPr>
          <w:lang w:val="ru-RU"/>
        </w:rPr>
        <w:t xml:space="preserve"> 2013 г</w:t>
      </w:r>
      <w:r w:rsidR="00CE0707">
        <w:rPr>
          <w:lang w:val="ru-RU"/>
        </w:rPr>
        <w:t>ода</w:t>
      </w:r>
      <w:r w:rsidR="008A63D5">
        <w:rPr>
          <w:lang w:val="ru-RU"/>
        </w:rPr>
        <w:t>)</w:t>
      </w:r>
      <w:r w:rsidRPr="00170D8F">
        <w:rPr>
          <w:lang w:val="ru-RU"/>
        </w:rPr>
        <w:t xml:space="preserve"> и впоследствии применяет настоящий стандарт:</w:t>
      </w:r>
    </w:p>
    <w:p w:rsidR="00B643A3" w:rsidRPr="00170D8F" w:rsidRDefault="00DE5D2F" w:rsidP="00B643A3">
      <w:pPr>
        <w:pStyle w:val="IASBNormalnparaL1"/>
        <w:rPr>
          <w:lang w:val="ru-RU"/>
        </w:rPr>
      </w:pPr>
      <w:r>
        <w:rPr>
          <w:lang w:val="ru-RU"/>
        </w:rPr>
        <w:t>(a)</w:t>
      </w:r>
      <w:r>
        <w:rPr>
          <w:lang w:val="ru-RU"/>
        </w:rPr>
        <w:tab/>
        <w:t>должна отмен</w:t>
      </w:r>
      <w:r w:rsidR="00B643A3" w:rsidRPr="00170D8F">
        <w:rPr>
          <w:lang w:val="ru-RU"/>
        </w:rPr>
        <w:t>ить свое предыдущее решение о классификации финансового актива как оцениваемого по справедливой стоимости через прибыль или убыток, если данное решение было ранее принято в соответствии с условием, предусмотренным пунктом 4.1.5, но в результате применения настоящего стандарта данное условие более не выполняется;</w:t>
      </w:r>
    </w:p>
    <w:p w:rsidR="00B643A3" w:rsidRPr="00170D8F" w:rsidRDefault="00B643A3" w:rsidP="00B643A3">
      <w:pPr>
        <w:pStyle w:val="IASBNormalnparaL1"/>
        <w:rPr>
          <w:lang w:val="ru-RU"/>
        </w:rPr>
      </w:pPr>
      <w:r w:rsidRPr="00170D8F">
        <w:rPr>
          <w:lang w:val="ru-RU"/>
        </w:rPr>
        <w:t>(b)</w:t>
      </w:r>
      <w:r w:rsidRPr="00170D8F">
        <w:rPr>
          <w:lang w:val="ru-RU"/>
        </w:rPr>
        <w:tab/>
        <w:t>может по собственному усмотрению классифицировать финансовый актив как оцениваемый по справедливой стоимости через прибыль или убыток, если такая классификация прежде не отвечала бы условию, предусмотренному пунктом 4.1.5, но теперь это условие выполняется вследствие применения настоящего стандарта;</w:t>
      </w:r>
    </w:p>
    <w:p w:rsidR="00B643A3" w:rsidRPr="00170D8F" w:rsidRDefault="00B643A3" w:rsidP="00B643A3">
      <w:pPr>
        <w:pStyle w:val="IASBNormalnparaL1"/>
        <w:rPr>
          <w:lang w:val="ru-RU"/>
        </w:rPr>
      </w:pPr>
      <w:r w:rsidRPr="00170D8F">
        <w:rPr>
          <w:lang w:val="ru-RU"/>
        </w:rPr>
        <w:t>(c)</w:t>
      </w:r>
      <w:r w:rsidRPr="00170D8F">
        <w:rPr>
          <w:lang w:val="ru-RU"/>
        </w:rPr>
        <w:tab/>
        <w:t>должна отменить свое предыдущее решение о классификации финансового обязательства как оцениваемого по справедливой стоимости через прибыль или убыток, если такое решение ранее было принято в соответствии с условием, предусмотренным пунктом 4.2.2(a), но вследствие применения настоящего стандарта данное условие более не выполняется; и</w:t>
      </w:r>
    </w:p>
    <w:p w:rsidR="00B643A3" w:rsidRPr="00170D8F" w:rsidRDefault="00B643A3" w:rsidP="00B643A3">
      <w:pPr>
        <w:pStyle w:val="IASBNormalnparaL1"/>
        <w:rPr>
          <w:lang w:val="ru-RU"/>
        </w:rPr>
      </w:pPr>
      <w:r w:rsidRPr="00170D8F">
        <w:rPr>
          <w:lang w:val="ru-RU"/>
        </w:rPr>
        <w:t>(d)</w:t>
      </w:r>
      <w:r w:rsidRPr="00170D8F">
        <w:rPr>
          <w:lang w:val="ru-RU"/>
        </w:rPr>
        <w:tab/>
        <w:t>может по собственному усмотрению классифицировать финансовое обязательство как оцениваемое по справедливой стоимости через прибыль или убыток, если такая классификация раньше не отвечала бы условию, предусмотренному пунктом 4.2.2(a), но теперь это условие выполняется</w:t>
      </w:r>
      <w:r w:rsidRPr="00170D8F" w:rsidDel="002A399B">
        <w:rPr>
          <w:lang w:val="ru-RU"/>
        </w:rPr>
        <w:t xml:space="preserve"> </w:t>
      </w:r>
      <w:r w:rsidRPr="00170D8F">
        <w:rPr>
          <w:lang w:val="ru-RU"/>
        </w:rPr>
        <w:t>вследствие применения настоящего стандарта.</w:t>
      </w:r>
    </w:p>
    <w:p w:rsidR="00B643A3" w:rsidRDefault="00B643A3" w:rsidP="00B643A3">
      <w:pPr>
        <w:pStyle w:val="IASBNormalnparaP"/>
        <w:rPr>
          <w:lang w:val="ru-RU"/>
        </w:rPr>
      </w:pPr>
      <w:r w:rsidRPr="00170D8F">
        <w:rPr>
          <w:lang w:val="ru-RU"/>
        </w:rPr>
        <w:t>Такие решения о классификации и об отмене классификации должны приниматься на основе фактов и обстоятельств, существующих на дату первоначального применения настоящего стандарта. Выбранная классификация должна применяться ретроспективно.</w:t>
      </w:r>
    </w:p>
    <w:p w:rsidR="00F34ECE" w:rsidRPr="00F34ECE" w:rsidRDefault="00F34ECE" w:rsidP="00F34ECE">
      <w:pPr>
        <w:keepNext/>
        <w:keepLines/>
        <w:spacing w:before="240" w:after="200"/>
        <w:ind w:left="782"/>
        <w:rPr>
          <w:rFonts w:ascii="Arial" w:hAnsi="Arial" w:cs="Arial"/>
          <w:b/>
          <w:sz w:val="22"/>
          <w:szCs w:val="20"/>
          <w:lang w:val="ru-RU"/>
        </w:rPr>
      </w:pPr>
      <w:bookmarkStart w:id="176" w:name="F62013494"/>
      <w:r w:rsidRPr="00F34ECE">
        <w:rPr>
          <w:rFonts w:ascii="Arial" w:hAnsi="Arial" w:cs="Arial"/>
          <w:b/>
          <w:sz w:val="22"/>
          <w:szCs w:val="20"/>
          <w:lang w:val="ru-RU"/>
        </w:rPr>
        <w:t xml:space="preserve">Переходные положения при применении документа </w:t>
      </w:r>
      <w:r w:rsidRPr="00F34ECE">
        <w:rPr>
          <w:rFonts w:ascii="Arial" w:hAnsi="Arial" w:cs="Arial"/>
          <w:b/>
          <w:i/>
          <w:sz w:val="22"/>
          <w:szCs w:val="20"/>
          <w:lang w:val="ru-RU"/>
        </w:rPr>
        <w:t>«Условия о досрочном погашении с потенциальным отрицательным возмещением»</w:t>
      </w:r>
      <w:bookmarkEnd w:id="176"/>
    </w:p>
    <w:p w:rsidR="00F34ECE" w:rsidRPr="00F34ECE" w:rsidRDefault="00F34ECE" w:rsidP="00F34ECE">
      <w:pPr>
        <w:spacing w:before="100"/>
        <w:ind w:left="782" w:hanging="782"/>
        <w:jc w:val="both"/>
        <w:rPr>
          <w:sz w:val="19"/>
          <w:szCs w:val="20"/>
          <w:lang w:val="ru-RU"/>
        </w:rPr>
      </w:pPr>
      <w:r w:rsidRPr="00F34ECE">
        <w:rPr>
          <w:sz w:val="19"/>
          <w:szCs w:val="20"/>
          <w:lang w:val="ru-RU"/>
        </w:rPr>
        <w:t>7.2.29</w:t>
      </w:r>
      <w:r w:rsidRPr="00F34ECE">
        <w:rPr>
          <w:sz w:val="19"/>
          <w:szCs w:val="20"/>
          <w:lang w:val="ru-RU"/>
        </w:rPr>
        <w:tab/>
      </w:r>
      <w:bookmarkStart w:id="177" w:name="F62013498"/>
      <w:r w:rsidRPr="00F34ECE">
        <w:rPr>
          <w:sz w:val="19"/>
          <w:szCs w:val="20"/>
          <w:lang w:val="ru-RU"/>
        </w:rPr>
        <w:t>Организация должна применять документ «</w:t>
      </w:r>
      <w:r w:rsidRPr="00F34ECE">
        <w:rPr>
          <w:i/>
          <w:sz w:val="19"/>
          <w:szCs w:val="20"/>
          <w:lang w:val="ru-RU"/>
        </w:rPr>
        <w:t>Условия о досрочном погашении с потенциальным отрицательным возмещением</w:t>
      </w:r>
      <w:r w:rsidRPr="00F34ECE">
        <w:rPr>
          <w:sz w:val="19"/>
          <w:szCs w:val="20"/>
          <w:lang w:val="ru-RU"/>
        </w:rPr>
        <w:t>» (Поправки к МСФО (</w:t>
      </w:r>
      <w:r w:rsidRPr="00F34ECE">
        <w:rPr>
          <w:sz w:val="19"/>
          <w:szCs w:val="20"/>
          <w:lang w:val="en-US"/>
        </w:rPr>
        <w:t>IFRS</w:t>
      </w:r>
      <w:r w:rsidRPr="00F34ECE">
        <w:rPr>
          <w:sz w:val="19"/>
          <w:szCs w:val="20"/>
          <w:lang w:val="ru-RU"/>
        </w:rPr>
        <w:t>) 9) ретроспективно в соответствии с МСФО (</w:t>
      </w:r>
      <w:r w:rsidRPr="00F34ECE">
        <w:rPr>
          <w:sz w:val="19"/>
          <w:szCs w:val="20"/>
          <w:lang w:val="en-US"/>
        </w:rPr>
        <w:t>IAS</w:t>
      </w:r>
      <w:r w:rsidRPr="00F34ECE">
        <w:rPr>
          <w:sz w:val="19"/>
          <w:szCs w:val="20"/>
          <w:lang w:val="ru-RU"/>
        </w:rPr>
        <w:t>) 8, за исключением случаев, указанных в пунктах 7.2.30–7.2.34.</w:t>
      </w:r>
      <w:bookmarkEnd w:id="177"/>
    </w:p>
    <w:p w:rsidR="00F34ECE" w:rsidRPr="00F34ECE" w:rsidRDefault="00F34ECE" w:rsidP="00F34ECE">
      <w:pPr>
        <w:spacing w:before="100"/>
        <w:ind w:left="782" w:hanging="782"/>
        <w:jc w:val="both"/>
        <w:rPr>
          <w:sz w:val="19"/>
          <w:szCs w:val="20"/>
          <w:lang w:val="ru-RU"/>
        </w:rPr>
      </w:pPr>
      <w:r w:rsidRPr="00F34ECE">
        <w:rPr>
          <w:sz w:val="19"/>
          <w:szCs w:val="20"/>
          <w:lang w:val="ru-RU"/>
        </w:rPr>
        <w:t>7.2.30</w:t>
      </w:r>
      <w:r w:rsidRPr="00F34ECE">
        <w:rPr>
          <w:sz w:val="19"/>
          <w:szCs w:val="20"/>
          <w:lang w:val="ru-RU"/>
        </w:rPr>
        <w:tab/>
      </w:r>
      <w:bookmarkStart w:id="178" w:name="F62013500"/>
      <w:r w:rsidRPr="00F34ECE">
        <w:rPr>
          <w:sz w:val="19"/>
          <w:szCs w:val="20"/>
          <w:lang w:val="ru-RU"/>
        </w:rPr>
        <w:t>Организация, впервые применяющая данные поправки одновременно с первоначальным применением настоящего стандарта, вместо пунктов 7.2.31–7.2.34 должна применять пункты 7.2.1–7.2.28.</w:t>
      </w:r>
      <w:bookmarkEnd w:id="178"/>
    </w:p>
    <w:p w:rsidR="00F34ECE" w:rsidRPr="00F34ECE" w:rsidRDefault="00F34ECE" w:rsidP="00F34ECE">
      <w:pPr>
        <w:spacing w:before="100"/>
        <w:ind w:left="782" w:hanging="782"/>
        <w:jc w:val="both"/>
        <w:rPr>
          <w:sz w:val="19"/>
          <w:szCs w:val="20"/>
          <w:lang w:val="ru-RU"/>
        </w:rPr>
      </w:pPr>
      <w:r w:rsidRPr="00F34ECE">
        <w:rPr>
          <w:sz w:val="19"/>
          <w:szCs w:val="20"/>
          <w:lang w:val="ru-RU"/>
        </w:rPr>
        <w:t>7.2.31</w:t>
      </w:r>
      <w:r w:rsidRPr="00F34ECE">
        <w:rPr>
          <w:sz w:val="19"/>
          <w:szCs w:val="20"/>
          <w:lang w:val="ru-RU"/>
        </w:rPr>
        <w:tab/>
      </w:r>
      <w:bookmarkStart w:id="179" w:name="F62013501"/>
      <w:r w:rsidRPr="00F34ECE">
        <w:rPr>
          <w:sz w:val="19"/>
          <w:szCs w:val="20"/>
          <w:lang w:val="ru-RU"/>
        </w:rPr>
        <w:t>Организация, которая впервые применяет данные поправки после первоначального применения настоящего стандарта, должна применять пункты 7.2.32–7.2.34. Организация должна также применять другие переходные положения настоящего стандарта, необходимые для применения данных поправок. В этих целях указания на дату первоначального применения следует рассматривать как указания на дату начала отчетного периода, в котором организация впервые применяет данные поправки (дата первоначального применения данных поправок).</w:t>
      </w:r>
      <w:bookmarkEnd w:id="179"/>
    </w:p>
    <w:p w:rsidR="00F34ECE" w:rsidRPr="00F34ECE" w:rsidRDefault="00F34ECE" w:rsidP="00F34ECE">
      <w:pPr>
        <w:spacing w:before="100"/>
        <w:ind w:left="782" w:hanging="782"/>
        <w:jc w:val="both"/>
        <w:rPr>
          <w:sz w:val="19"/>
          <w:szCs w:val="20"/>
          <w:lang w:val="ru-RU"/>
        </w:rPr>
      </w:pPr>
      <w:r w:rsidRPr="00F34ECE">
        <w:rPr>
          <w:sz w:val="19"/>
          <w:szCs w:val="20"/>
          <w:lang w:val="ru-RU"/>
        </w:rPr>
        <w:t>7.2.32</w:t>
      </w:r>
      <w:r w:rsidRPr="00F34ECE">
        <w:rPr>
          <w:sz w:val="19"/>
          <w:szCs w:val="20"/>
          <w:lang w:val="ru-RU"/>
        </w:rPr>
        <w:tab/>
      </w:r>
      <w:bookmarkStart w:id="180" w:name="F62013502"/>
      <w:r w:rsidRPr="00F34ECE">
        <w:rPr>
          <w:sz w:val="19"/>
          <w:szCs w:val="20"/>
          <w:lang w:val="ru-RU"/>
        </w:rPr>
        <w:t>Применительно к классификации финансового актива или финансового обязательства по усмотрению организации как оцениваемого по справедливой стоимости через прибыль или убыток организация:</w:t>
      </w:r>
      <w:bookmarkEnd w:id="180"/>
    </w:p>
    <w:p w:rsidR="00F34ECE" w:rsidRPr="00F34ECE" w:rsidRDefault="00F34ECE" w:rsidP="00F34ECE">
      <w:pPr>
        <w:spacing w:before="100"/>
        <w:ind w:left="1564" w:hanging="782"/>
        <w:jc w:val="both"/>
        <w:rPr>
          <w:sz w:val="19"/>
          <w:szCs w:val="20"/>
          <w:lang w:val="ru-RU"/>
        </w:rPr>
      </w:pPr>
      <w:r w:rsidRPr="00F34ECE">
        <w:rPr>
          <w:sz w:val="19"/>
          <w:szCs w:val="20"/>
          <w:lang w:val="ru-RU"/>
        </w:rPr>
        <w:t>(</w:t>
      </w:r>
      <w:r w:rsidRPr="00F34ECE">
        <w:rPr>
          <w:sz w:val="19"/>
          <w:szCs w:val="20"/>
          <w:lang w:val="en-US"/>
        </w:rPr>
        <w:t>a</w:t>
      </w:r>
      <w:r w:rsidRPr="00F34ECE">
        <w:rPr>
          <w:sz w:val="19"/>
          <w:szCs w:val="20"/>
          <w:lang w:val="ru-RU"/>
        </w:rPr>
        <w:t>)</w:t>
      </w:r>
      <w:r w:rsidRPr="00F34ECE">
        <w:rPr>
          <w:sz w:val="19"/>
          <w:szCs w:val="20"/>
          <w:lang w:val="ru-RU"/>
        </w:rPr>
        <w:tab/>
      </w:r>
      <w:bookmarkStart w:id="181" w:name="F62013515"/>
      <w:r w:rsidRPr="00F34ECE">
        <w:rPr>
          <w:sz w:val="19"/>
          <w:szCs w:val="20"/>
          <w:lang w:val="ru-RU"/>
        </w:rPr>
        <w:t>должна отменить свое предыдущее решение о классификации финансового актива как оцениваемого по справедливой стоимости через прибыль или убыток, если данное решение было ранее принято в соответствии с условием, предусмотренным пунктом 4.1.5, но вследствие применения настоящих поправок данное условие более не выполняется;</w:t>
      </w:r>
      <w:bookmarkEnd w:id="181"/>
    </w:p>
    <w:p w:rsidR="00F34ECE" w:rsidRPr="00F34ECE" w:rsidRDefault="00F34ECE" w:rsidP="00F34ECE">
      <w:pPr>
        <w:spacing w:before="100"/>
        <w:ind w:left="1564" w:hanging="782"/>
        <w:jc w:val="both"/>
        <w:rPr>
          <w:sz w:val="19"/>
          <w:szCs w:val="20"/>
          <w:lang w:val="ru-RU"/>
        </w:rPr>
      </w:pPr>
      <w:r w:rsidRPr="00F34ECE">
        <w:rPr>
          <w:sz w:val="19"/>
          <w:szCs w:val="20"/>
          <w:lang w:val="ru-RU"/>
        </w:rPr>
        <w:t>(</w:t>
      </w:r>
      <w:r w:rsidRPr="00F34ECE">
        <w:rPr>
          <w:sz w:val="19"/>
          <w:szCs w:val="20"/>
          <w:lang w:val="en-US"/>
        </w:rPr>
        <w:t>b</w:t>
      </w:r>
      <w:r w:rsidRPr="00F34ECE">
        <w:rPr>
          <w:sz w:val="19"/>
          <w:szCs w:val="20"/>
          <w:lang w:val="ru-RU"/>
        </w:rPr>
        <w:t>)</w:t>
      </w:r>
      <w:r w:rsidRPr="00F34ECE">
        <w:rPr>
          <w:sz w:val="19"/>
          <w:szCs w:val="20"/>
          <w:lang w:val="ru-RU"/>
        </w:rPr>
        <w:tab/>
      </w:r>
      <w:bookmarkStart w:id="182" w:name="F62013517"/>
      <w:r w:rsidRPr="00F34ECE">
        <w:rPr>
          <w:sz w:val="19"/>
          <w:szCs w:val="20"/>
          <w:lang w:val="ru-RU"/>
        </w:rPr>
        <w:t>вправе по собственному усмотрению классифицировать финансовый актив как оцениваемый по справедливой стоимости через прибыль или убыток, если такая классификация прежде не отвечала бы условию, предусмотренному пунктом 4.1.5, но теперь это условие выполняется вследствие применения настоящих поправок;</w:t>
      </w:r>
      <w:bookmarkEnd w:id="182"/>
    </w:p>
    <w:p w:rsidR="00F34ECE" w:rsidRPr="00F34ECE" w:rsidRDefault="00F34ECE" w:rsidP="00F34ECE">
      <w:pPr>
        <w:spacing w:before="100"/>
        <w:ind w:left="1564" w:hanging="782"/>
        <w:jc w:val="both"/>
        <w:rPr>
          <w:sz w:val="19"/>
          <w:szCs w:val="20"/>
          <w:lang w:val="ru-RU"/>
        </w:rPr>
      </w:pPr>
      <w:r w:rsidRPr="00F34ECE">
        <w:rPr>
          <w:sz w:val="19"/>
          <w:szCs w:val="20"/>
          <w:lang w:val="ru-RU"/>
        </w:rPr>
        <w:t>(</w:t>
      </w:r>
      <w:r w:rsidRPr="00F34ECE">
        <w:rPr>
          <w:sz w:val="19"/>
          <w:szCs w:val="20"/>
          <w:lang w:val="en-US"/>
        </w:rPr>
        <w:t>c</w:t>
      </w:r>
      <w:r w:rsidRPr="00F34ECE">
        <w:rPr>
          <w:sz w:val="19"/>
          <w:szCs w:val="20"/>
          <w:lang w:val="ru-RU"/>
        </w:rPr>
        <w:t>)</w:t>
      </w:r>
      <w:r w:rsidRPr="00F34ECE">
        <w:rPr>
          <w:sz w:val="19"/>
          <w:szCs w:val="20"/>
          <w:lang w:val="ru-RU"/>
        </w:rPr>
        <w:tab/>
      </w:r>
      <w:bookmarkStart w:id="183" w:name="F62013520"/>
      <w:r w:rsidRPr="00F34ECE">
        <w:rPr>
          <w:sz w:val="19"/>
          <w:szCs w:val="20"/>
          <w:lang w:val="ru-RU"/>
        </w:rPr>
        <w:t>должна отменить свое предыдущее решение о классификации финансового обязательства как оцениваемого по справедливой стоимости через прибыль или убыток, если такое решение ранее было принято в соответствии с условием, предусмотренным пунктом 4.2.2(</w:t>
      </w:r>
      <w:r w:rsidRPr="00F34ECE">
        <w:rPr>
          <w:sz w:val="19"/>
          <w:szCs w:val="20"/>
          <w:lang w:val="en-US"/>
        </w:rPr>
        <w:t>a</w:t>
      </w:r>
      <w:r w:rsidRPr="00F34ECE">
        <w:rPr>
          <w:sz w:val="19"/>
          <w:szCs w:val="20"/>
          <w:lang w:val="ru-RU"/>
        </w:rPr>
        <w:t>), но вследствие применения настоящих поправок данное условие более не выполняется; и</w:t>
      </w:r>
      <w:bookmarkEnd w:id="183"/>
    </w:p>
    <w:p w:rsidR="00F34ECE" w:rsidRPr="00F34ECE" w:rsidRDefault="00F34ECE" w:rsidP="00F34ECE">
      <w:pPr>
        <w:spacing w:before="100"/>
        <w:ind w:left="1564" w:hanging="782"/>
        <w:jc w:val="both"/>
        <w:rPr>
          <w:sz w:val="19"/>
          <w:szCs w:val="20"/>
          <w:lang w:val="ru-RU"/>
        </w:rPr>
      </w:pPr>
      <w:r w:rsidRPr="00F34ECE">
        <w:rPr>
          <w:sz w:val="19"/>
          <w:szCs w:val="20"/>
          <w:lang w:val="ru-RU"/>
        </w:rPr>
        <w:t>(</w:t>
      </w:r>
      <w:r w:rsidRPr="00F34ECE">
        <w:rPr>
          <w:sz w:val="19"/>
          <w:szCs w:val="20"/>
          <w:lang w:val="en-US"/>
        </w:rPr>
        <w:t>d</w:t>
      </w:r>
      <w:r w:rsidRPr="00F34ECE">
        <w:rPr>
          <w:sz w:val="19"/>
          <w:szCs w:val="20"/>
          <w:lang w:val="ru-RU"/>
        </w:rPr>
        <w:t>)</w:t>
      </w:r>
      <w:r w:rsidRPr="00F34ECE">
        <w:rPr>
          <w:sz w:val="19"/>
          <w:szCs w:val="20"/>
          <w:lang w:val="ru-RU"/>
        </w:rPr>
        <w:tab/>
      </w:r>
      <w:bookmarkStart w:id="184" w:name="F62013522"/>
      <w:r w:rsidRPr="00F34ECE">
        <w:rPr>
          <w:sz w:val="19"/>
          <w:szCs w:val="20"/>
          <w:lang w:val="ru-RU"/>
        </w:rPr>
        <w:t>вправе по собственному усмотрению классифицировать финансовое обязательство как оцениваемое по справедливой стоимости через прибыль или убыток, если такая классификация прежде не отвечала бы условию, предусмотренному пунктом 4.2.2(</w:t>
      </w:r>
      <w:r w:rsidRPr="00F34ECE">
        <w:rPr>
          <w:sz w:val="19"/>
          <w:szCs w:val="20"/>
          <w:lang w:val="en-US"/>
        </w:rPr>
        <w:t>a</w:t>
      </w:r>
      <w:r w:rsidRPr="00F34ECE">
        <w:rPr>
          <w:sz w:val="19"/>
          <w:szCs w:val="20"/>
          <w:lang w:val="ru-RU"/>
        </w:rPr>
        <w:t>), но теперь это условие выполняется вследствие применения настоящих поправок.</w:t>
      </w:r>
      <w:bookmarkEnd w:id="184"/>
    </w:p>
    <w:p w:rsidR="00F34ECE" w:rsidRPr="00F34ECE" w:rsidRDefault="00F34ECE" w:rsidP="00F34ECE">
      <w:pPr>
        <w:tabs>
          <w:tab w:val="left" w:pos="4253"/>
        </w:tabs>
        <w:spacing w:before="100" w:after="100"/>
        <w:ind w:left="782"/>
        <w:jc w:val="both"/>
        <w:rPr>
          <w:sz w:val="19"/>
          <w:szCs w:val="20"/>
          <w:lang w:val="ru-RU"/>
        </w:rPr>
      </w:pPr>
      <w:bookmarkStart w:id="185" w:name="F62013533"/>
      <w:r w:rsidRPr="00F34ECE">
        <w:rPr>
          <w:sz w:val="19"/>
          <w:szCs w:val="20"/>
          <w:lang w:val="ru-RU"/>
        </w:rPr>
        <w:t>Такие решения о классификации и об отмене классификации должны приниматься на основе фактов и обстоятельств, существующих на дату первоначального применения настоящих поправок. Выбранная классификация должна применяться ретроспективно.</w:t>
      </w:r>
      <w:bookmarkEnd w:id="185"/>
    </w:p>
    <w:p w:rsidR="00F34ECE" w:rsidRPr="00F34ECE" w:rsidRDefault="00F34ECE" w:rsidP="00F34ECE">
      <w:pPr>
        <w:spacing w:before="100"/>
        <w:ind w:left="782" w:hanging="782"/>
        <w:jc w:val="both"/>
        <w:rPr>
          <w:sz w:val="19"/>
          <w:szCs w:val="20"/>
          <w:lang w:val="ru-RU"/>
        </w:rPr>
      </w:pPr>
      <w:r w:rsidRPr="00F34ECE">
        <w:rPr>
          <w:sz w:val="19"/>
          <w:szCs w:val="20"/>
          <w:lang w:val="ru-RU"/>
        </w:rPr>
        <w:t>7.2.33</w:t>
      </w:r>
      <w:r w:rsidRPr="00F34ECE">
        <w:rPr>
          <w:sz w:val="19"/>
          <w:szCs w:val="20"/>
          <w:lang w:val="ru-RU"/>
        </w:rPr>
        <w:tab/>
      </w:r>
      <w:bookmarkStart w:id="186" w:name="F62013534"/>
      <w:r w:rsidRPr="00F34ECE">
        <w:rPr>
          <w:sz w:val="19"/>
          <w:szCs w:val="20"/>
          <w:lang w:val="ru-RU"/>
        </w:rPr>
        <w:t>Организация не обязана пересчитывать информацию за прошлые периоды для отражения применения настоящих поправок. Организация может произвести пересчет информации за прошлые периоды в том и только том случае, если такой пересчет возможен без использования более поздней информации и пересчитанная финансовая отчетность отражает все требования настоящего стандарта. Если организация не производит пересчет информации за прошлые периоды, она должна признать разницу между прежней балансовой стоимостью соответствующего инструмента и его балансовой стоимостью на начало годового отчетного периода, включающего в себя дату первоначального применения настоящих поправок, в составе вступительного сальдо нераспределенной прибыли (или другого компонента собственного капитала, в зависимости от ситуации) того годового отчетного периода, который включает дату первоначального применения настоящих поправок.</w:t>
      </w:r>
      <w:bookmarkEnd w:id="186"/>
    </w:p>
    <w:p w:rsidR="00F34ECE" w:rsidRPr="00F34ECE" w:rsidRDefault="00F34ECE" w:rsidP="00F34ECE">
      <w:pPr>
        <w:spacing w:before="100"/>
        <w:ind w:left="782" w:hanging="782"/>
        <w:jc w:val="both"/>
        <w:rPr>
          <w:sz w:val="19"/>
          <w:szCs w:val="20"/>
          <w:lang w:val="ru-RU"/>
        </w:rPr>
      </w:pPr>
      <w:r w:rsidRPr="00F34ECE">
        <w:rPr>
          <w:sz w:val="19"/>
          <w:szCs w:val="20"/>
          <w:lang w:val="ru-RU"/>
        </w:rPr>
        <w:t>7.2.34</w:t>
      </w:r>
      <w:r w:rsidRPr="00F34ECE">
        <w:rPr>
          <w:sz w:val="19"/>
          <w:szCs w:val="20"/>
          <w:lang w:val="ru-RU"/>
        </w:rPr>
        <w:tab/>
      </w:r>
      <w:bookmarkStart w:id="187" w:name="F62013536"/>
      <w:r w:rsidRPr="00F34ECE">
        <w:rPr>
          <w:sz w:val="19"/>
          <w:szCs w:val="20"/>
          <w:lang w:val="ru-RU"/>
        </w:rPr>
        <w:t>В отчетном периоде, включающем в себя дату первоначального применения настоящих поправок, организация должна раскрыть для каждого класса финансовых активов и финансовых обязательств, которые были затронуты данными поправками, следующую информацию по состоянию на дату первоначального применения:</w:t>
      </w:r>
      <w:bookmarkEnd w:id="187"/>
    </w:p>
    <w:p w:rsidR="00F34ECE" w:rsidRPr="00F34ECE" w:rsidRDefault="00F34ECE" w:rsidP="00F34ECE">
      <w:pPr>
        <w:spacing w:before="100"/>
        <w:ind w:left="1564" w:hanging="782"/>
        <w:jc w:val="both"/>
        <w:rPr>
          <w:sz w:val="19"/>
          <w:szCs w:val="20"/>
          <w:lang w:val="ru-RU"/>
        </w:rPr>
      </w:pPr>
      <w:r w:rsidRPr="00F34ECE">
        <w:rPr>
          <w:sz w:val="19"/>
          <w:szCs w:val="20"/>
          <w:lang w:val="ru-RU"/>
        </w:rPr>
        <w:t>(</w:t>
      </w:r>
      <w:r w:rsidRPr="00F34ECE">
        <w:rPr>
          <w:sz w:val="19"/>
          <w:szCs w:val="20"/>
          <w:lang w:val="en-US"/>
        </w:rPr>
        <w:t>a</w:t>
      </w:r>
      <w:r w:rsidRPr="00F34ECE">
        <w:rPr>
          <w:sz w:val="19"/>
          <w:szCs w:val="20"/>
          <w:lang w:val="ru-RU"/>
        </w:rPr>
        <w:t>)</w:t>
      </w:r>
      <w:r w:rsidRPr="00F34ECE">
        <w:rPr>
          <w:sz w:val="19"/>
          <w:szCs w:val="20"/>
          <w:lang w:val="ru-RU"/>
        </w:rPr>
        <w:tab/>
      </w:r>
      <w:bookmarkStart w:id="188" w:name="F62013539"/>
      <w:r w:rsidRPr="00F34ECE">
        <w:rPr>
          <w:sz w:val="19"/>
          <w:szCs w:val="20"/>
          <w:lang w:val="ru-RU"/>
        </w:rPr>
        <w:t>прежнюю оценочную категорию и балансовую стоимость, определенную непосредственно перед применением настоящих поправок;</w:t>
      </w:r>
      <w:bookmarkEnd w:id="188"/>
    </w:p>
    <w:p w:rsidR="00F34ECE" w:rsidRPr="00F34ECE" w:rsidRDefault="00F34ECE" w:rsidP="00F34ECE">
      <w:pPr>
        <w:spacing w:before="100"/>
        <w:ind w:left="1564" w:hanging="782"/>
        <w:jc w:val="both"/>
        <w:rPr>
          <w:sz w:val="19"/>
          <w:szCs w:val="20"/>
          <w:lang w:val="ru-RU"/>
        </w:rPr>
      </w:pPr>
      <w:r w:rsidRPr="00F34ECE">
        <w:rPr>
          <w:sz w:val="19"/>
          <w:szCs w:val="20"/>
          <w:lang w:val="ru-RU"/>
        </w:rPr>
        <w:t>(</w:t>
      </w:r>
      <w:r w:rsidRPr="00F34ECE">
        <w:rPr>
          <w:sz w:val="19"/>
          <w:szCs w:val="20"/>
          <w:lang w:val="en-US"/>
        </w:rPr>
        <w:t>b</w:t>
      </w:r>
      <w:r w:rsidRPr="00F34ECE">
        <w:rPr>
          <w:sz w:val="19"/>
          <w:szCs w:val="20"/>
          <w:lang w:val="ru-RU"/>
        </w:rPr>
        <w:t>)</w:t>
      </w:r>
      <w:r w:rsidRPr="00F34ECE">
        <w:rPr>
          <w:sz w:val="19"/>
          <w:szCs w:val="20"/>
          <w:lang w:val="ru-RU"/>
        </w:rPr>
        <w:tab/>
      </w:r>
      <w:bookmarkStart w:id="189" w:name="F62013541"/>
      <w:r w:rsidRPr="00F34ECE">
        <w:rPr>
          <w:sz w:val="19"/>
          <w:szCs w:val="20"/>
          <w:lang w:val="ru-RU"/>
        </w:rPr>
        <w:t>новую оценочную категорию и балансовую стоимость, определенную после применения настоящих поправок;</w:t>
      </w:r>
      <w:bookmarkEnd w:id="189"/>
    </w:p>
    <w:p w:rsidR="00F34ECE" w:rsidRPr="00F34ECE" w:rsidRDefault="00F34ECE" w:rsidP="00F34ECE">
      <w:pPr>
        <w:spacing w:before="100"/>
        <w:ind w:left="1564" w:hanging="782"/>
        <w:jc w:val="both"/>
        <w:rPr>
          <w:sz w:val="19"/>
          <w:szCs w:val="20"/>
          <w:lang w:val="ru-RU"/>
        </w:rPr>
      </w:pPr>
      <w:r w:rsidRPr="00F34ECE">
        <w:rPr>
          <w:sz w:val="19"/>
          <w:szCs w:val="20"/>
          <w:lang w:val="ru-RU"/>
        </w:rPr>
        <w:t>(</w:t>
      </w:r>
      <w:r w:rsidRPr="00F34ECE">
        <w:rPr>
          <w:sz w:val="19"/>
          <w:szCs w:val="20"/>
          <w:lang w:val="en-US"/>
        </w:rPr>
        <w:t>c</w:t>
      </w:r>
      <w:r w:rsidRPr="00F34ECE">
        <w:rPr>
          <w:sz w:val="19"/>
          <w:szCs w:val="20"/>
          <w:lang w:val="ru-RU"/>
        </w:rPr>
        <w:t>)</w:t>
      </w:r>
      <w:r w:rsidRPr="00F34ECE">
        <w:rPr>
          <w:sz w:val="19"/>
          <w:szCs w:val="20"/>
          <w:lang w:val="ru-RU"/>
        </w:rPr>
        <w:tab/>
      </w:r>
      <w:bookmarkStart w:id="190" w:name="F62013543"/>
      <w:r w:rsidRPr="00F34ECE">
        <w:rPr>
          <w:sz w:val="19"/>
          <w:szCs w:val="20"/>
          <w:lang w:val="ru-RU"/>
        </w:rPr>
        <w:t>балансовую стоимость отраженных в отчете о финансовом положении финансовых активов и финансовых обязательств, которые ранее были классифицированы по усмотрению организации как оцениваемые по справедливой стоимости через прибыль или убыток, но к которым данная классификация более не применяется; и</w:t>
      </w:r>
      <w:bookmarkEnd w:id="190"/>
    </w:p>
    <w:p w:rsidR="00F34ECE" w:rsidRDefault="00F34ECE" w:rsidP="00F34ECE">
      <w:pPr>
        <w:spacing w:before="100"/>
        <w:ind w:left="1564" w:hanging="782"/>
        <w:jc w:val="both"/>
        <w:rPr>
          <w:sz w:val="19"/>
          <w:szCs w:val="20"/>
          <w:lang w:val="ru-RU"/>
        </w:rPr>
      </w:pPr>
      <w:r w:rsidRPr="00F34ECE">
        <w:rPr>
          <w:sz w:val="19"/>
          <w:szCs w:val="20"/>
          <w:lang w:val="ru-RU"/>
        </w:rPr>
        <w:t>(</w:t>
      </w:r>
      <w:r w:rsidRPr="00F34ECE">
        <w:rPr>
          <w:sz w:val="19"/>
          <w:szCs w:val="20"/>
          <w:lang w:val="en-US"/>
        </w:rPr>
        <w:t>d</w:t>
      </w:r>
      <w:r w:rsidRPr="00F34ECE">
        <w:rPr>
          <w:sz w:val="19"/>
          <w:szCs w:val="20"/>
          <w:lang w:val="ru-RU"/>
        </w:rPr>
        <w:t>)</w:t>
      </w:r>
      <w:r w:rsidRPr="00F34ECE">
        <w:rPr>
          <w:sz w:val="19"/>
          <w:szCs w:val="20"/>
          <w:lang w:val="ru-RU"/>
        </w:rPr>
        <w:tab/>
      </w:r>
      <w:bookmarkStart w:id="191" w:name="F62013545"/>
      <w:r w:rsidRPr="00F34ECE">
        <w:rPr>
          <w:sz w:val="19"/>
          <w:szCs w:val="20"/>
          <w:lang w:val="ru-RU"/>
        </w:rPr>
        <w:t>причины для классификации финансовых активов или финансовых обязательств по усмотрению организации как оцениваемых по справедливой стоимости через прибыль или убыток или для отмены такой классификации</w:t>
      </w:r>
      <w:bookmarkEnd w:id="191"/>
      <w:r w:rsidRPr="00F34ECE">
        <w:rPr>
          <w:sz w:val="19"/>
          <w:szCs w:val="20"/>
          <w:lang w:val="ru-RU"/>
        </w:rPr>
        <w:t>.</w:t>
      </w:r>
    </w:p>
    <w:p w:rsidR="002D0B45" w:rsidRPr="002D0B45" w:rsidRDefault="002D0B45" w:rsidP="002D0B45">
      <w:pPr>
        <w:keepNext/>
        <w:keepLines/>
        <w:spacing w:before="240" w:after="200"/>
        <w:ind w:left="782"/>
        <w:rPr>
          <w:rFonts w:ascii="Arial" w:hAnsi="Arial" w:cs="Arial"/>
          <w:b/>
          <w:sz w:val="26"/>
          <w:szCs w:val="20"/>
          <w:lang w:val="ru-RU"/>
        </w:rPr>
      </w:pPr>
      <w:r w:rsidRPr="002D0B45">
        <w:rPr>
          <w:rFonts w:ascii="Arial" w:hAnsi="Arial" w:cs="Arial"/>
          <w:b/>
          <w:sz w:val="26"/>
          <w:szCs w:val="20"/>
          <w:lang w:val="ru-RU"/>
        </w:rPr>
        <w:t xml:space="preserve">Переходные положения при применении </w:t>
      </w:r>
      <w:r w:rsidRPr="002D0B45">
        <w:rPr>
          <w:rFonts w:ascii="Arial" w:hAnsi="Arial" w:cs="Arial"/>
          <w:b/>
          <w:i/>
          <w:iCs/>
          <w:sz w:val="26"/>
          <w:szCs w:val="20"/>
          <w:lang w:val="ru-RU"/>
        </w:rPr>
        <w:t>«Ежегодных усовершенствований Международный стандартов финансовой отчетности»</w:t>
      </w:r>
    </w:p>
    <w:p w:rsidR="002D0B45" w:rsidRPr="002D0B45" w:rsidRDefault="002D0B45" w:rsidP="002D0B45">
      <w:pPr>
        <w:spacing w:before="100"/>
        <w:ind w:left="782" w:hanging="782"/>
        <w:jc w:val="both"/>
        <w:rPr>
          <w:sz w:val="19"/>
          <w:szCs w:val="20"/>
          <w:lang w:val="ru-RU"/>
        </w:rPr>
      </w:pPr>
      <w:r w:rsidRPr="002D0B45">
        <w:rPr>
          <w:sz w:val="19"/>
          <w:szCs w:val="20"/>
          <w:lang w:val="ru-RU"/>
        </w:rPr>
        <w:t>7.2.35</w:t>
      </w:r>
      <w:r w:rsidRPr="002D0B45">
        <w:rPr>
          <w:sz w:val="19"/>
          <w:szCs w:val="20"/>
          <w:lang w:val="ru-RU"/>
        </w:rPr>
        <w:tab/>
        <w:t xml:space="preserve">Организация должна применять </w:t>
      </w:r>
      <w:r w:rsidRPr="002D0B45">
        <w:rPr>
          <w:i/>
          <w:iCs/>
          <w:sz w:val="19"/>
          <w:szCs w:val="20"/>
          <w:lang w:val="ru-RU"/>
        </w:rPr>
        <w:t>«Ежегодные усовершенствования Международных стандартов финансовой отчетности, период 2018-2020 гг.»</w:t>
      </w:r>
      <w:r w:rsidRPr="002D0B45">
        <w:rPr>
          <w:sz w:val="19"/>
          <w:szCs w:val="20"/>
          <w:lang w:val="ru-RU"/>
        </w:rPr>
        <w:t xml:space="preserve"> к тем финансовым обязательствам, которые модифицированы или заменены на дату или после даты начала годового отчетного периода, в котором организация впервые применяет данные поправки.</w:t>
      </w:r>
    </w:p>
    <w:p w:rsidR="006E399A" w:rsidRPr="006E399A" w:rsidRDefault="006E399A" w:rsidP="006E399A">
      <w:pPr>
        <w:keepNext/>
        <w:keepLines/>
        <w:spacing w:before="240" w:after="200"/>
        <w:ind w:left="782"/>
        <w:rPr>
          <w:rFonts w:ascii="Arial" w:eastAsia="Batang" w:hAnsi="Arial" w:cs="Arial"/>
          <w:b/>
          <w:sz w:val="26"/>
          <w:szCs w:val="20"/>
          <w:lang w:val="ru-RU"/>
        </w:rPr>
      </w:pPr>
      <w:r w:rsidRPr="006E399A">
        <w:rPr>
          <w:rFonts w:ascii="Arial" w:eastAsia="Batang" w:hAnsi="Arial" w:cs="Arial"/>
          <w:b/>
          <w:sz w:val="26"/>
          <w:szCs w:val="20"/>
          <w:u w:val="single"/>
          <w:lang w:val="ru-RU"/>
        </w:rPr>
        <w:t>Переход на МСФО (</w:t>
      </w:r>
      <w:r w:rsidRPr="006E399A">
        <w:rPr>
          <w:rFonts w:ascii="Arial" w:eastAsia="Batang" w:hAnsi="Arial" w:cs="Arial"/>
          <w:b/>
          <w:sz w:val="26"/>
          <w:szCs w:val="20"/>
          <w:u w:val="single"/>
          <w:lang w:val="en-US"/>
        </w:rPr>
        <w:t>IFRS</w:t>
      </w:r>
      <w:r w:rsidRPr="006E399A">
        <w:rPr>
          <w:rFonts w:ascii="Arial" w:eastAsia="Batang" w:hAnsi="Arial" w:cs="Arial"/>
          <w:b/>
          <w:sz w:val="26"/>
          <w:szCs w:val="20"/>
          <w:u w:val="single"/>
          <w:lang w:val="ru-RU"/>
        </w:rPr>
        <w:t>) 17 с учетом поправок, внесенных в июне 2020 года</w:t>
      </w:r>
    </w:p>
    <w:p w:rsidR="006E399A" w:rsidRPr="006E399A" w:rsidRDefault="006E399A" w:rsidP="006E399A">
      <w:pPr>
        <w:spacing w:before="100"/>
        <w:ind w:left="782" w:hanging="782"/>
        <w:jc w:val="both"/>
        <w:rPr>
          <w:rFonts w:eastAsia="Batang"/>
          <w:sz w:val="19"/>
          <w:szCs w:val="20"/>
          <w:lang w:val="ru-RU"/>
        </w:rPr>
      </w:pPr>
      <w:r w:rsidRPr="006E399A">
        <w:rPr>
          <w:rFonts w:eastAsia="Batang"/>
          <w:sz w:val="19"/>
          <w:szCs w:val="20"/>
          <w:lang w:val="ru-RU"/>
        </w:rPr>
        <w:t>7.2.36</w:t>
      </w:r>
      <w:r w:rsidRPr="006E399A">
        <w:rPr>
          <w:rFonts w:eastAsia="Batang"/>
          <w:sz w:val="19"/>
          <w:szCs w:val="20"/>
          <w:lang w:val="ru-RU"/>
        </w:rPr>
        <w:tab/>
        <w:t>Организация должна применять поправки к МСФО (IFRS) 9, внесенные МСФО (IFRS) 17 в измененной редакции от июня 2020 года, ретроспективно в соответствии с МСФО (IAS) 8, за исключением ситуаций, указанных в пунктах 7.2.37–⁠7.2.42.</w:t>
      </w:r>
    </w:p>
    <w:p w:rsidR="006E399A" w:rsidRPr="006E399A" w:rsidRDefault="006E399A" w:rsidP="006E399A">
      <w:pPr>
        <w:spacing w:before="100"/>
        <w:ind w:left="782" w:hanging="782"/>
        <w:jc w:val="both"/>
        <w:rPr>
          <w:rFonts w:eastAsia="Batang"/>
          <w:sz w:val="19"/>
          <w:szCs w:val="20"/>
          <w:lang w:val="ru-RU"/>
        </w:rPr>
      </w:pPr>
      <w:r w:rsidRPr="006E399A">
        <w:rPr>
          <w:rFonts w:eastAsia="Batang"/>
          <w:sz w:val="19"/>
          <w:szCs w:val="20"/>
          <w:lang w:val="ru-RU"/>
        </w:rPr>
        <w:t>7.2.37</w:t>
      </w:r>
      <w:r w:rsidRPr="006E399A">
        <w:rPr>
          <w:rFonts w:eastAsia="Batang"/>
          <w:sz w:val="19"/>
          <w:szCs w:val="20"/>
          <w:lang w:val="ru-RU"/>
        </w:rPr>
        <w:tab/>
        <w:t>Организация, впервые применяющая МСФО (IFRS) 17 в измененной редакции от июня 2020 года одновременно с первоначальным применением настоящего стандарта, вместо пунктов 7.2.38–7.2.42 должна применять пункты 7.2.1–7.2.28.</w:t>
      </w:r>
    </w:p>
    <w:p w:rsidR="006E399A" w:rsidRPr="006E399A" w:rsidRDefault="006E399A" w:rsidP="006E399A">
      <w:pPr>
        <w:spacing w:before="100"/>
        <w:ind w:left="782" w:hanging="782"/>
        <w:jc w:val="both"/>
        <w:rPr>
          <w:rFonts w:eastAsia="Batang"/>
          <w:sz w:val="19"/>
          <w:szCs w:val="20"/>
          <w:lang w:val="ru-RU"/>
        </w:rPr>
      </w:pPr>
      <w:r w:rsidRPr="006E399A">
        <w:rPr>
          <w:rFonts w:eastAsia="Batang"/>
          <w:sz w:val="19"/>
          <w:szCs w:val="20"/>
          <w:lang w:val="ru-RU"/>
        </w:rPr>
        <w:t>7.2.38</w:t>
      </w:r>
      <w:r w:rsidRPr="006E399A">
        <w:rPr>
          <w:rFonts w:eastAsia="Batang"/>
          <w:sz w:val="19"/>
          <w:szCs w:val="20"/>
          <w:lang w:val="ru-RU"/>
        </w:rPr>
        <w:tab/>
        <w:t>Организация, которая впервые применяет МСФО (IFRS) 17 в измененной редакции от июня 2020 года после первоначального применения настоящего стандарта, должна применять пункты 7.2.39–7.2.42. Организация должна также применять другие переходные положения настоящего стандарта, необходимые для применения данных поправок. В этих целях ссылки на дату первоначального применения следует рассматривать как ссылки на дату начала отчетного периода, в котором организация впервые применяет данные поправки (дата первоначального применения данных поправок).</w:t>
      </w:r>
    </w:p>
    <w:p w:rsidR="006E399A" w:rsidRPr="006E399A" w:rsidRDefault="006E399A" w:rsidP="006E399A">
      <w:pPr>
        <w:spacing w:before="100"/>
        <w:ind w:left="782" w:hanging="782"/>
        <w:jc w:val="both"/>
        <w:rPr>
          <w:rFonts w:eastAsia="Batang"/>
          <w:sz w:val="19"/>
          <w:szCs w:val="20"/>
          <w:lang w:val="ru-RU"/>
        </w:rPr>
      </w:pPr>
      <w:r w:rsidRPr="006E399A">
        <w:rPr>
          <w:rFonts w:eastAsia="Batang"/>
          <w:sz w:val="19"/>
          <w:szCs w:val="20"/>
          <w:lang w:val="ru-RU"/>
        </w:rPr>
        <w:t>7.2.39</w:t>
      </w:r>
      <w:r w:rsidRPr="006E399A">
        <w:rPr>
          <w:rFonts w:eastAsia="Batang"/>
          <w:sz w:val="19"/>
          <w:szCs w:val="20"/>
          <w:lang w:val="ru-RU"/>
        </w:rPr>
        <w:tab/>
        <w:t>Применительно к классификации финансового обязательства по усмотрению организации как оцениваемого по справедливой стоимости через прибыль или убыток организация:</w:t>
      </w:r>
    </w:p>
    <w:p w:rsidR="006E399A" w:rsidRPr="006E399A" w:rsidRDefault="006E399A" w:rsidP="006E399A">
      <w:pPr>
        <w:spacing w:before="100"/>
        <w:ind w:left="1564" w:hanging="782"/>
        <w:jc w:val="both"/>
        <w:rPr>
          <w:rFonts w:eastAsia="Batang"/>
          <w:sz w:val="19"/>
          <w:szCs w:val="20"/>
          <w:lang w:val="ru-RU"/>
        </w:rPr>
      </w:pPr>
      <w:r w:rsidRPr="006E399A">
        <w:rPr>
          <w:rFonts w:eastAsia="Batang"/>
          <w:sz w:val="19"/>
          <w:szCs w:val="20"/>
          <w:lang w:val="ru-RU"/>
        </w:rPr>
        <w:t>(a)</w:t>
      </w:r>
      <w:r w:rsidRPr="006E399A">
        <w:rPr>
          <w:rFonts w:eastAsia="Batang"/>
          <w:sz w:val="19"/>
          <w:szCs w:val="20"/>
          <w:lang w:val="ru-RU"/>
        </w:rPr>
        <w:tab/>
        <w:t>должна отменить свое предыдущее решение о классификации финансового обязательства как оцениваемого по справедливой стоимости через прибыль или убыток, если такое решение ранее было принято в соответствии с условием, предусмотренным пунктом 4.2.2(a), но вследствие применения настоящих поправок данное условие более не выполняется; и</w:t>
      </w:r>
    </w:p>
    <w:p w:rsidR="006E399A" w:rsidRPr="006E399A" w:rsidRDefault="006E399A" w:rsidP="006E399A">
      <w:pPr>
        <w:spacing w:before="100"/>
        <w:ind w:left="1564" w:hanging="782"/>
        <w:jc w:val="both"/>
        <w:rPr>
          <w:rFonts w:eastAsia="Batang"/>
          <w:sz w:val="19"/>
          <w:szCs w:val="20"/>
          <w:lang w:val="ru-RU"/>
        </w:rPr>
      </w:pPr>
      <w:r w:rsidRPr="006E399A">
        <w:rPr>
          <w:rFonts w:eastAsia="Batang"/>
          <w:sz w:val="19"/>
          <w:szCs w:val="20"/>
          <w:lang w:val="ru-RU"/>
        </w:rPr>
        <w:t>(b)</w:t>
      </w:r>
      <w:r w:rsidRPr="006E399A">
        <w:rPr>
          <w:rFonts w:eastAsia="Batang"/>
          <w:sz w:val="19"/>
          <w:szCs w:val="20"/>
          <w:lang w:val="ru-RU"/>
        </w:rPr>
        <w:tab/>
        <w:t>вправе по собственному усмотрению классифицировать финансовое обязательство как оцениваемое по справедливой стоимости через прибыль или убыток, если такая классификация прежде не отвечала бы условию, предусмотренному пунктом 4.2.2(a), но теперь это условие выполняется вследствие применения настоящих поправок.</w:t>
      </w:r>
    </w:p>
    <w:p w:rsidR="006E399A" w:rsidRPr="006E399A" w:rsidRDefault="006E399A" w:rsidP="006E399A">
      <w:pPr>
        <w:tabs>
          <w:tab w:val="left" w:pos="4253"/>
        </w:tabs>
        <w:spacing w:before="100" w:after="100"/>
        <w:ind w:left="782"/>
        <w:jc w:val="both"/>
        <w:rPr>
          <w:rFonts w:eastAsia="Batang"/>
          <w:sz w:val="19"/>
          <w:szCs w:val="20"/>
          <w:lang w:val="ru-RU"/>
        </w:rPr>
      </w:pPr>
      <w:r w:rsidRPr="006E399A">
        <w:rPr>
          <w:rFonts w:eastAsia="Batang"/>
          <w:sz w:val="19"/>
          <w:szCs w:val="20"/>
          <w:lang w:val="ru-RU"/>
        </w:rPr>
        <w:t>Такие решения о классификации по усмотрению организации и об отмене этой классификации должны приниматься на основе фактов и обстоятельств, существующих на дату первоначального применения настоящих поправок. Выбранная классификация должна применяться ретроспективно.</w:t>
      </w:r>
    </w:p>
    <w:p w:rsidR="006E399A" w:rsidRPr="006E399A" w:rsidRDefault="006E399A" w:rsidP="006E399A">
      <w:pPr>
        <w:spacing w:before="100"/>
        <w:ind w:left="782" w:hanging="782"/>
        <w:jc w:val="both"/>
        <w:rPr>
          <w:rFonts w:eastAsia="Batang"/>
          <w:sz w:val="19"/>
          <w:szCs w:val="20"/>
          <w:lang w:val="ru-RU"/>
        </w:rPr>
      </w:pPr>
      <w:r w:rsidRPr="006E399A">
        <w:rPr>
          <w:rFonts w:eastAsia="Batang"/>
          <w:sz w:val="19"/>
          <w:szCs w:val="20"/>
          <w:lang w:val="ru-RU"/>
        </w:rPr>
        <w:t>7.2.40</w:t>
      </w:r>
      <w:r w:rsidRPr="006E399A">
        <w:rPr>
          <w:rFonts w:eastAsia="Batang"/>
          <w:sz w:val="19"/>
          <w:szCs w:val="20"/>
          <w:lang w:val="ru-RU"/>
        </w:rPr>
        <w:tab/>
        <w:t>Организация не обязана пересчитывать информацию за прошлые периоды для отражения применения настоящих поправок. Организация вправе произвести пересчет информации за прошлые периоды только в том случае, если такой пересчет возможен без использования более поздней информации. Если организация пересчитывает информацию за прошлые периоды, то пересчитанная финансовая отчетность должна отражать все требования настоящего стандарта в отношении затронутых финансовых инструментов. Если организация не производит пересчет информации за прошлые периоды, она должна признать разницу между прежней балансовой стоимостью соответствующего инструмента и его балансовой стоимостью на начало годового отчетного периода, включающего в себя дату первоначального применения настоящих поправок, в составе вступительного сальдо нераспределенной прибыли (или другого компонента собственного капитала, по ситуации) того годового отчетного периода, который включает дату первоначального применения настоящих поправок.</w:t>
      </w:r>
    </w:p>
    <w:p w:rsidR="006E399A" w:rsidRPr="006E399A" w:rsidRDefault="006E399A" w:rsidP="006E399A">
      <w:pPr>
        <w:spacing w:before="100"/>
        <w:ind w:left="782" w:hanging="782"/>
        <w:jc w:val="both"/>
        <w:rPr>
          <w:rFonts w:eastAsia="Batang"/>
          <w:sz w:val="19"/>
          <w:szCs w:val="20"/>
          <w:lang w:val="ru-RU"/>
        </w:rPr>
      </w:pPr>
      <w:r w:rsidRPr="006E399A">
        <w:rPr>
          <w:rFonts w:eastAsia="Batang"/>
          <w:sz w:val="19"/>
          <w:szCs w:val="20"/>
          <w:lang w:val="ru-RU"/>
        </w:rPr>
        <w:t>7.2.41</w:t>
      </w:r>
      <w:r w:rsidRPr="006E399A">
        <w:rPr>
          <w:rFonts w:eastAsia="Batang"/>
          <w:sz w:val="19"/>
          <w:szCs w:val="20"/>
          <w:lang w:val="ru-RU"/>
        </w:rPr>
        <w:tab/>
        <w:t>В отчетном периоде, включающем в себя дату первоначального применения настоящих поправок, организация не обязана представлять количественную информацию, требуемую пунктом 28(f) МСФО (IAS) 8.</w:t>
      </w:r>
    </w:p>
    <w:p w:rsidR="006E399A" w:rsidRPr="006E399A" w:rsidRDefault="006E399A" w:rsidP="006E399A">
      <w:pPr>
        <w:spacing w:before="100"/>
        <w:ind w:left="782" w:hanging="782"/>
        <w:jc w:val="both"/>
        <w:rPr>
          <w:rFonts w:eastAsia="Batang"/>
          <w:sz w:val="19"/>
          <w:szCs w:val="20"/>
          <w:lang w:val="ru-RU"/>
        </w:rPr>
      </w:pPr>
      <w:r w:rsidRPr="006E399A">
        <w:rPr>
          <w:rFonts w:eastAsia="Batang"/>
          <w:sz w:val="19"/>
          <w:szCs w:val="20"/>
          <w:lang w:val="ru-RU"/>
        </w:rPr>
        <w:t>7.2.42</w:t>
      </w:r>
      <w:r w:rsidRPr="006E399A">
        <w:rPr>
          <w:rFonts w:eastAsia="Batang"/>
          <w:sz w:val="19"/>
          <w:szCs w:val="20"/>
          <w:lang w:val="ru-RU"/>
        </w:rPr>
        <w:tab/>
        <w:t>В отчетном периоде, включающем в себя дату первоначального применения настоящих поправок, организация должна раскрыть для каждого класса финансовых активов и финансовых обязательств,</w:t>
      </w:r>
      <w:r w:rsidRPr="006E399A">
        <w:rPr>
          <w:rFonts w:eastAsia="Batang"/>
          <w:sz w:val="19"/>
          <w:szCs w:val="20"/>
          <w:u w:val="single"/>
          <w:lang w:val="ru-RU"/>
        </w:rPr>
        <w:t xml:space="preserve"> </w:t>
      </w:r>
      <w:r w:rsidRPr="006E399A">
        <w:rPr>
          <w:rFonts w:eastAsia="Batang"/>
          <w:sz w:val="19"/>
          <w:szCs w:val="20"/>
          <w:lang w:val="ru-RU"/>
        </w:rPr>
        <w:t>которые были затронуты данными поправками, следующую информацию по состоянию на дату первоначального применения:</w:t>
      </w:r>
    </w:p>
    <w:p w:rsidR="006E399A" w:rsidRPr="006E399A" w:rsidRDefault="006E399A" w:rsidP="006E399A">
      <w:pPr>
        <w:spacing w:before="100"/>
        <w:ind w:left="1564" w:hanging="782"/>
        <w:jc w:val="both"/>
        <w:rPr>
          <w:rFonts w:eastAsia="Batang"/>
          <w:sz w:val="19"/>
          <w:szCs w:val="20"/>
          <w:lang w:val="ru-RU"/>
        </w:rPr>
      </w:pPr>
      <w:r w:rsidRPr="006E399A">
        <w:rPr>
          <w:rFonts w:eastAsia="Batang"/>
          <w:sz w:val="19"/>
          <w:szCs w:val="20"/>
          <w:lang w:val="ru-RU"/>
        </w:rPr>
        <w:t>(a)</w:t>
      </w:r>
      <w:r w:rsidRPr="006E399A">
        <w:rPr>
          <w:rFonts w:eastAsia="Batang"/>
          <w:sz w:val="19"/>
          <w:szCs w:val="20"/>
          <w:lang w:val="ru-RU"/>
        </w:rPr>
        <w:tab/>
        <w:t>прежнюю классификационную категорию, включая прежнюю оценочную категорию, когда применимо, и балансовую стоимость, определенную непосредственно перед применением настоящих поправок;</w:t>
      </w:r>
    </w:p>
    <w:p w:rsidR="006E399A" w:rsidRPr="006E399A" w:rsidRDefault="006E399A" w:rsidP="006E399A">
      <w:pPr>
        <w:spacing w:before="100"/>
        <w:ind w:left="1564" w:hanging="782"/>
        <w:jc w:val="both"/>
        <w:rPr>
          <w:rFonts w:eastAsia="Batang"/>
          <w:sz w:val="19"/>
          <w:szCs w:val="20"/>
          <w:lang w:val="ru-RU"/>
        </w:rPr>
      </w:pPr>
      <w:r w:rsidRPr="006E399A">
        <w:rPr>
          <w:rFonts w:eastAsia="Batang"/>
          <w:sz w:val="19"/>
          <w:szCs w:val="20"/>
          <w:lang w:val="ru-RU"/>
        </w:rPr>
        <w:t>(b)</w:t>
      </w:r>
      <w:r w:rsidRPr="006E399A">
        <w:rPr>
          <w:rFonts w:eastAsia="Batang"/>
          <w:sz w:val="19"/>
          <w:szCs w:val="20"/>
          <w:lang w:val="ru-RU"/>
        </w:rPr>
        <w:tab/>
        <w:t>новую оценочную категорию и балансовую стоимость, определенную после применения настоящих поправок;</w:t>
      </w:r>
    </w:p>
    <w:p w:rsidR="006E399A" w:rsidRPr="006E399A" w:rsidRDefault="006E399A" w:rsidP="006E399A">
      <w:pPr>
        <w:spacing w:before="100"/>
        <w:ind w:left="1564" w:hanging="782"/>
        <w:jc w:val="both"/>
        <w:rPr>
          <w:rFonts w:eastAsia="Batang"/>
          <w:sz w:val="19"/>
          <w:szCs w:val="20"/>
          <w:lang w:val="ru-RU"/>
        </w:rPr>
      </w:pPr>
      <w:r w:rsidRPr="006E399A">
        <w:rPr>
          <w:rFonts w:eastAsia="Batang"/>
          <w:sz w:val="19"/>
          <w:szCs w:val="20"/>
          <w:lang w:val="ru-RU"/>
        </w:rPr>
        <w:t>(c)</w:t>
      </w:r>
      <w:r w:rsidRPr="006E399A">
        <w:rPr>
          <w:rFonts w:eastAsia="Batang"/>
          <w:sz w:val="19"/>
          <w:szCs w:val="20"/>
          <w:lang w:val="ru-RU"/>
        </w:rPr>
        <w:tab/>
        <w:t>балансовую стоимость отраженных в отчете о финансовом положении финансовых обязательств, которые ранее были классифицированы по усмотрению организации как оцениваемые по справедливой стоимости через прибыль или убыток, но к которым данная классификация более не применяется; и</w:t>
      </w:r>
    </w:p>
    <w:p w:rsidR="006E399A" w:rsidRDefault="006E399A" w:rsidP="006E399A">
      <w:pPr>
        <w:spacing w:before="100"/>
        <w:ind w:left="1564" w:hanging="782"/>
        <w:jc w:val="both"/>
        <w:rPr>
          <w:rFonts w:eastAsia="Batang"/>
          <w:sz w:val="19"/>
          <w:szCs w:val="20"/>
          <w:lang w:val="ru-RU"/>
        </w:rPr>
      </w:pPr>
      <w:r w:rsidRPr="006E399A">
        <w:rPr>
          <w:rFonts w:eastAsia="Batang"/>
          <w:sz w:val="19"/>
          <w:szCs w:val="20"/>
          <w:lang w:val="ru-RU"/>
        </w:rPr>
        <w:t>(d)</w:t>
      </w:r>
      <w:r w:rsidRPr="006E399A">
        <w:rPr>
          <w:rFonts w:eastAsia="Batang"/>
          <w:sz w:val="19"/>
          <w:szCs w:val="20"/>
          <w:lang w:val="ru-RU"/>
        </w:rPr>
        <w:tab/>
        <w:t>причины для классификации финансовых обязательств по усмотрению организации как оцениваемых по справедливой стоимости через прибыль или убыток или для отмены такой классификации.</w:t>
      </w:r>
    </w:p>
    <w:p w:rsidR="0032224C" w:rsidRPr="0032224C" w:rsidRDefault="0032224C" w:rsidP="0032224C">
      <w:pPr>
        <w:keepNext/>
        <w:keepLines/>
        <w:spacing w:before="240" w:after="200"/>
        <w:ind w:left="782"/>
        <w:rPr>
          <w:rFonts w:ascii="Arial" w:hAnsi="Arial" w:cs="Arial"/>
          <w:b/>
          <w:sz w:val="26"/>
          <w:szCs w:val="20"/>
          <w:lang w:val="ru-RU"/>
        </w:rPr>
      </w:pPr>
      <w:r w:rsidRPr="0032224C">
        <w:rPr>
          <w:rFonts w:ascii="Arial" w:hAnsi="Arial" w:cs="Arial"/>
          <w:b/>
          <w:sz w:val="26"/>
          <w:szCs w:val="20"/>
          <w:lang w:val="ru-RU"/>
        </w:rPr>
        <w:t xml:space="preserve">Переходные положения при применении документа </w:t>
      </w:r>
      <w:r w:rsidRPr="0032224C">
        <w:rPr>
          <w:rFonts w:ascii="Arial" w:hAnsi="Arial" w:cs="Arial"/>
          <w:b/>
          <w:i/>
          <w:sz w:val="26"/>
          <w:szCs w:val="20"/>
          <w:lang w:val="ru-RU"/>
        </w:rPr>
        <w:t>«Реформа</w:t>
      </w:r>
      <w:r w:rsidRPr="0032224C">
        <w:rPr>
          <w:rFonts w:ascii="Arial" w:hAnsi="Arial" w:cs="Arial"/>
          <w:b/>
          <w:sz w:val="26"/>
          <w:szCs w:val="20"/>
          <w:lang w:val="ru-RU"/>
        </w:rPr>
        <w:t xml:space="preserve"> </w:t>
      </w:r>
      <w:r w:rsidRPr="0032224C">
        <w:rPr>
          <w:rFonts w:ascii="Arial" w:hAnsi="Arial" w:cs="Arial"/>
          <w:b/>
          <w:i/>
          <w:sz w:val="26"/>
          <w:szCs w:val="20"/>
          <w:lang w:val="ru-RU"/>
        </w:rPr>
        <w:t xml:space="preserve">базовой процентной ставки </w:t>
      </w:r>
      <w:r w:rsidRPr="0032224C">
        <w:rPr>
          <w:rFonts w:ascii="Arial" w:hAnsi="Arial" w:cs="Arial"/>
          <w:b/>
          <w:sz w:val="26"/>
          <w:szCs w:val="20"/>
          <w:lang w:val="ru-RU"/>
        </w:rPr>
        <w:t>‒</w:t>
      </w:r>
      <w:r w:rsidRPr="0032224C">
        <w:rPr>
          <w:rFonts w:ascii="Arial" w:hAnsi="Arial" w:cs="Arial"/>
          <w:b/>
          <w:i/>
          <w:sz w:val="26"/>
          <w:szCs w:val="20"/>
          <w:lang w:val="ru-RU"/>
        </w:rPr>
        <w:t xml:space="preserve"> этап 2»</w:t>
      </w:r>
    </w:p>
    <w:p w:rsidR="0032224C" w:rsidRPr="0032224C" w:rsidRDefault="0032224C" w:rsidP="0032224C">
      <w:pPr>
        <w:spacing w:before="100"/>
        <w:ind w:left="782" w:hanging="782"/>
        <w:jc w:val="both"/>
        <w:rPr>
          <w:sz w:val="19"/>
          <w:szCs w:val="20"/>
          <w:lang w:val="ru-RU"/>
        </w:rPr>
      </w:pPr>
      <w:r w:rsidRPr="0032224C">
        <w:rPr>
          <w:sz w:val="19"/>
          <w:szCs w:val="20"/>
          <w:lang w:val="ru-RU"/>
        </w:rPr>
        <w:t>7.2.43</w:t>
      </w:r>
      <w:r w:rsidRPr="0032224C">
        <w:rPr>
          <w:sz w:val="19"/>
          <w:szCs w:val="20"/>
          <w:lang w:val="ru-RU"/>
        </w:rPr>
        <w:tab/>
        <w:t>Организация должна применять документ «</w:t>
      </w:r>
      <w:r w:rsidRPr="0032224C">
        <w:rPr>
          <w:i/>
          <w:sz w:val="19"/>
          <w:szCs w:val="20"/>
          <w:lang w:val="ru-RU"/>
        </w:rPr>
        <w:t xml:space="preserve">Реформа базовой процентной ставки </w:t>
      </w:r>
      <w:r w:rsidRPr="0032224C">
        <w:rPr>
          <w:sz w:val="19"/>
          <w:szCs w:val="20"/>
          <w:lang w:val="ru-RU"/>
        </w:rPr>
        <w:t>‒</w:t>
      </w:r>
      <w:r w:rsidRPr="0032224C">
        <w:rPr>
          <w:i/>
          <w:sz w:val="19"/>
          <w:szCs w:val="20"/>
          <w:lang w:val="ru-RU"/>
        </w:rPr>
        <w:t xml:space="preserve"> этап 2</w:t>
      </w:r>
      <w:r w:rsidRPr="0032224C">
        <w:rPr>
          <w:sz w:val="19"/>
          <w:szCs w:val="20"/>
          <w:lang w:val="ru-RU"/>
        </w:rPr>
        <w:t>» ретроспективно в соответствии с МСФО (IAS) 8, за исключением случаев, указанных в пунктах 7.2.44–7.2.46.</w:t>
      </w:r>
    </w:p>
    <w:p w:rsidR="0032224C" w:rsidRPr="0032224C" w:rsidRDefault="0032224C" w:rsidP="0032224C">
      <w:pPr>
        <w:spacing w:before="100"/>
        <w:ind w:left="782" w:hanging="782"/>
        <w:jc w:val="both"/>
        <w:rPr>
          <w:sz w:val="19"/>
          <w:szCs w:val="20"/>
          <w:lang w:val="ru-RU"/>
        </w:rPr>
      </w:pPr>
      <w:r w:rsidRPr="0032224C">
        <w:rPr>
          <w:sz w:val="19"/>
          <w:szCs w:val="20"/>
          <w:lang w:val="ru-RU"/>
        </w:rPr>
        <w:t>7.2.44</w:t>
      </w:r>
      <w:r w:rsidRPr="0032224C">
        <w:rPr>
          <w:sz w:val="19"/>
          <w:szCs w:val="20"/>
          <w:lang w:val="ru-RU"/>
        </w:rPr>
        <w:tab/>
        <w:t>Организация должна определять по собственному усмотрению новые отношения хеджирования (например, как описано в пункте 6.9.13) только перспективно (то есть организации запрещено по собственному усмотрению определять новые отношения хеджирования в прошлых периодах). Однако организация должна восстановить прекращенные отношения хеджирования в том и только в том случае, если выполняются следующие условия:</w:t>
      </w:r>
    </w:p>
    <w:p w:rsidR="0032224C" w:rsidRPr="0032224C" w:rsidRDefault="0032224C" w:rsidP="0032224C">
      <w:pPr>
        <w:spacing w:before="100"/>
        <w:ind w:left="1564" w:hanging="782"/>
        <w:jc w:val="both"/>
        <w:rPr>
          <w:sz w:val="19"/>
          <w:szCs w:val="20"/>
          <w:lang w:val="ru-RU"/>
        </w:rPr>
      </w:pPr>
      <w:r w:rsidRPr="0032224C">
        <w:rPr>
          <w:sz w:val="19"/>
          <w:szCs w:val="20"/>
          <w:lang w:val="ru-RU"/>
        </w:rPr>
        <w:t>(a)</w:t>
      </w:r>
      <w:r w:rsidRPr="0032224C">
        <w:rPr>
          <w:sz w:val="19"/>
          <w:szCs w:val="20"/>
          <w:lang w:val="ru-RU"/>
        </w:rPr>
        <w:tab/>
        <w:t>организация прекратила эти отношения хеджирования исключительно вследствие изменений, требуемых реформой базовой процентной ставки, и организация не была бы обязана прекращать эти отношения хеджирования, если бы настоящие поправки были применены в тот момент; и</w:t>
      </w:r>
    </w:p>
    <w:p w:rsidR="0032224C" w:rsidRPr="0032224C" w:rsidRDefault="0032224C" w:rsidP="0032224C">
      <w:pPr>
        <w:spacing w:before="100"/>
        <w:ind w:left="1560" w:hanging="851"/>
        <w:jc w:val="both"/>
        <w:rPr>
          <w:sz w:val="19"/>
          <w:szCs w:val="20"/>
          <w:lang w:val="ru-RU"/>
        </w:rPr>
      </w:pPr>
      <w:r w:rsidRPr="0032224C">
        <w:rPr>
          <w:sz w:val="19"/>
          <w:szCs w:val="20"/>
          <w:lang w:val="ru-RU"/>
        </w:rPr>
        <w:t xml:space="preserve"> (b)</w:t>
      </w:r>
      <w:r w:rsidRPr="0032224C">
        <w:rPr>
          <w:sz w:val="19"/>
          <w:szCs w:val="20"/>
          <w:lang w:val="ru-RU"/>
        </w:rPr>
        <w:tab/>
        <w:t>в начале отчетного периода, в котором организация впервые применяет настоящие поправки (дата первоначального применения настоящих поправок), такие прекращенные отношения хеджирования отвечают квалификационным критериям для применения учета хеджирования (если принять во внимание настоящие поправки).</w:t>
      </w:r>
    </w:p>
    <w:p w:rsidR="0032224C" w:rsidRPr="0032224C" w:rsidRDefault="0032224C" w:rsidP="0032224C">
      <w:pPr>
        <w:spacing w:before="100"/>
        <w:ind w:left="782" w:hanging="782"/>
        <w:jc w:val="both"/>
        <w:rPr>
          <w:sz w:val="19"/>
          <w:szCs w:val="20"/>
          <w:lang w:val="ru-RU"/>
        </w:rPr>
      </w:pPr>
      <w:r w:rsidRPr="0032224C">
        <w:rPr>
          <w:sz w:val="19"/>
          <w:szCs w:val="20"/>
          <w:lang w:val="ru-RU"/>
        </w:rPr>
        <w:t>7.2.45</w:t>
      </w:r>
      <w:r w:rsidRPr="0032224C">
        <w:rPr>
          <w:sz w:val="19"/>
          <w:szCs w:val="20"/>
          <w:lang w:val="ru-RU"/>
        </w:rPr>
        <w:tab/>
        <w:t>Если при применении пункта 7.2.44 организация восстанавливает прекращенные отношения хеджирования, она должна исходить из того, что ссылки в пунктах 6.9.11 и 6.9.12 на дату, на которую альтернативная базовая ставка впервые определяется по усмотрению организации в качестве рискового компонента, определенного не договором, являются ссылками на дату первоначального применения настоящих поправок (то есть соответствующий период 24 месяца для этой альтернативной базовой ставки, определенной по усмотрению организации в качестве рискового компонента, определенного не договором, начинается с даты первоначального применения настоящих поправок).</w:t>
      </w:r>
    </w:p>
    <w:p w:rsidR="0032224C" w:rsidRPr="0032224C" w:rsidRDefault="0032224C" w:rsidP="0032224C">
      <w:pPr>
        <w:spacing w:before="100"/>
        <w:ind w:left="782" w:hanging="782"/>
        <w:jc w:val="both"/>
        <w:rPr>
          <w:sz w:val="19"/>
          <w:szCs w:val="20"/>
          <w:lang w:val="ru-RU"/>
        </w:rPr>
      </w:pPr>
      <w:r w:rsidRPr="0032224C">
        <w:rPr>
          <w:sz w:val="19"/>
          <w:szCs w:val="20"/>
          <w:lang w:val="ru-RU"/>
        </w:rPr>
        <w:t>7.2.46</w:t>
      </w:r>
      <w:r w:rsidRPr="0032224C">
        <w:rPr>
          <w:sz w:val="19"/>
          <w:szCs w:val="20"/>
          <w:lang w:val="ru-RU"/>
        </w:rPr>
        <w:tab/>
        <w:t>Организация не обязана пересчитывать информацию за прошлые периоды для отражения применения настоящих поправок. Организация может произвести пересчет информации за прошлые периоды в том и только в том случае, если такой пересчет возможен без использования более поздней информации. Если организация не производит пересчет информации за прошлые периоды, она должна признать разницу между прежней балансовой стоимостью и балансовой стоимостью на начало годового отчетного периода, включающего в себя дату первоначального применения настоящих поправок, в составе вступительного сальдо нераспределенной прибыли (или другого компонента собственного капитала, в зависимости от ситуации) того годового отчетного периода, который включает дату первоначального применения настоящих поправок.</w:t>
      </w:r>
    </w:p>
    <w:p w:rsidR="00B643A3" w:rsidRPr="00170D8F" w:rsidRDefault="00B643A3" w:rsidP="00B643A3">
      <w:pPr>
        <w:pStyle w:val="IASBSectionTitle1NonInd"/>
        <w:rPr>
          <w:lang w:val="ru-RU"/>
        </w:rPr>
      </w:pPr>
      <w:r w:rsidRPr="00170D8F">
        <w:rPr>
          <w:lang w:val="ru-RU"/>
        </w:rPr>
        <w:t>7.3 Прекращение действия Разъяснения КРМФО (IFRIC) 9, МСФО (IFRS) 9 (</w:t>
      </w:r>
      <w:r w:rsidR="00CE0707">
        <w:rPr>
          <w:lang w:val="ru-RU"/>
        </w:rPr>
        <w:t xml:space="preserve">в </w:t>
      </w:r>
      <w:r w:rsidRPr="00170D8F">
        <w:rPr>
          <w:lang w:val="ru-RU"/>
        </w:rPr>
        <w:t>ред</w:t>
      </w:r>
      <w:r w:rsidR="00CE0707">
        <w:rPr>
          <w:lang w:val="ru-RU"/>
        </w:rPr>
        <w:t>акции</w:t>
      </w:r>
      <w:r w:rsidRPr="00170D8F">
        <w:rPr>
          <w:lang w:val="ru-RU"/>
        </w:rPr>
        <w:t xml:space="preserve"> 2010 г</w:t>
      </w:r>
      <w:r w:rsidR="00CE0707">
        <w:rPr>
          <w:lang w:val="ru-RU"/>
        </w:rPr>
        <w:t>ода</w:t>
      </w:r>
      <w:r w:rsidRPr="00170D8F">
        <w:rPr>
          <w:lang w:val="ru-RU"/>
        </w:rPr>
        <w:t>) и МСФО (IFRS) 9 (</w:t>
      </w:r>
      <w:r w:rsidR="00CE0707">
        <w:rPr>
          <w:lang w:val="ru-RU"/>
        </w:rPr>
        <w:t xml:space="preserve">в </w:t>
      </w:r>
      <w:r w:rsidRPr="00170D8F">
        <w:rPr>
          <w:lang w:val="ru-RU"/>
        </w:rPr>
        <w:t>ред</w:t>
      </w:r>
      <w:r w:rsidR="00CE0707">
        <w:rPr>
          <w:lang w:val="ru-RU"/>
        </w:rPr>
        <w:t>акции</w:t>
      </w:r>
      <w:r w:rsidRPr="00170D8F">
        <w:rPr>
          <w:lang w:val="ru-RU"/>
        </w:rPr>
        <w:t xml:space="preserve"> 2013 г</w:t>
      </w:r>
      <w:r w:rsidR="00CE0707">
        <w:rPr>
          <w:lang w:val="ru-RU"/>
        </w:rPr>
        <w:t>ода</w:t>
      </w:r>
      <w:r w:rsidRPr="00170D8F">
        <w:rPr>
          <w:lang w:val="ru-RU"/>
        </w:rPr>
        <w:t>)</w:t>
      </w:r>
    </w:p>
    <w:p w:rsidR="00B643A3" w:rsidRPr="00170D8F" w:rsidRDefault="00B643A3" w:rsidP="00B643A3">
      <w:pPr>
        <w:pStyle w:val="IASBNormalnpara"/>
        <w:rPr>
          <w:lang w:val="ru-RU"/>
        </w:rPr>
      </w:pPr>
      <w:r w:rsidRPr="00170D8F">
        <w:rPr>
          <w:lang w:val="ru-RU"/>
        </w:rPr>
        <w:t>7.3.1</w:t>
      </w:r>
      <w:r w:rsidRPr="00170D8F">
        <w:rPr>
          <w:lang w:val="ru-RU"/>
        </w:rPr>
        <w:tab/>
        <w:t xml:space="preserve">Настоящий стандарт заменяет собой Разъяснение КРМФО (IFRIC) 9 </w:t>
      </w:r>
      <w:r w:rsidRPr="00170D8F">
        <w:rPr>
          <w:i/>
          <w:lang w:val="ru-RU"/>
        </w:rPr>
        <w:t>«Повторный анализ встроенных производных инструментов»</w:t>
      </w:r>
      <w:r w:rsidRPr="00170D8F">
        <w:rPr>
          <w:lang w:val="ru-RU"/>
        </w:rPr>
        <w:t xml:space="preserve">. Требования, добавленные в МСФО (IFRS) 9 в октябре 2010 года, включают в себя требования, ранее изложенные в </w:t>
      </w:r>
      <w:r w:rsidR="00967483">
        <w:rPr>
          <w:lang w:val="ru-RU"/>
        </w:rPr>
        <w:t>пунктах 5 и 7 Разъяснения КРМФО </w:t>
      </w:r>
      <w:r w:rsidRPr="00170D8F">
        <w:rPr>
          <w:lang w:val="ru-RU"/>
        </w:rPr>
        <w:t xml:space="preserve">(IFRIC) 9. Как следствие, в МСФО (IFRS) 1 </w:t>
      </w:r>
      <w:r w:rsidRPr="00170D8F">
        <w:rPr>
          <w:i/>
          <w:lang w:val="ru-RU"/>
        </w:rPr>
        <w:t>«Первое применение Международных стандартов финансовой отчетности»</w:t>
      </w:r>
      <w:r w:rsidRPr="00170D8F">
        <w:rPr>
          <w:lang w:val="ru-RU"/>
        </w:rPr>
        <w:t xml:space="preserve"> была внесена поправка для включения требований, ранее излагавшихся в пункте 8 Разъяснения КРМФО (IFRIC) 9.</w:t>
      </w:r>
    </w:p>
    <w:p w:rsidR="007D4BCC" w:rsidRPr="0049187C" w:rsidRDefault="00B643A3" w:rsidP="007D4BCC">
      <w:pPr>
        <w:pStyle w:val="IASBNormalnpara"/>
        <w:rPr>
          <w:lang w:val="ru-RU" w:eastAsia="en-GB"/>
        </w:rPr>
        <w:sectPr w:rsidR="007D4BCC" w:rsidRPr="0049187C" w:rsidSect="00201599">
          <w:headerReference w:type="even" r:id="rId8"/>
          <w:headerReference w:type="default" r:id="rId9"/>
          <w:footerReference w:type="even" r:id="rId10"/>
          <w:footerReference w:type="default" r:id="rId11"/>
          <w:pgSz w:w="11907" w:h="16839"/>
          <w:pgMar w:top="1440" w:right="1440" w:bottom="1440" w:left="1440" w:header="709" w:footer="709" w:gutter="0"/>
          <w:cols w:space="708"/>
          <w:docGrid w:linePitch="360"/>
        </w:sectPr>
      </w:pPr>
      <w:r w:rsidRPr="00170D8F">
        <w:rPr>
          <w:lang w:val="ru-RU"/>
        </w:rPr>
        <w:t>7.3.2</w:t>
      </w:r>
      <w:r w:rsidRPr="00170D8F">
        <w:rPr>
          <w:lang w:val="ru-RU"/>
        </w:rPr>
        <w:tab/>
        <w:t>Настоящий стандарт заменяет собой МСФО (IFRS) 9 (</w:t>
      </w:r>
      <w:r w:rsidR="00CE0707">
        <w:rPr>
          <w:lang w:val="ru-RU"/>
        </w:rPr>
        <w:t xml:space="preserve">в </w:t>
      </w:r>
      <w:r w:rsidRPr="00170D8F">
        <w:rPr>
          <w:lang w:val="ru-RU"/>
        </w:rPr>
        <w:t>ред</w:t>
      </w:r>
      <w:r w:rsidR="00CE0707">
        <w:rPr>
          <w:lang w:val="ru-RU"/>
        </w:rPr>
        <w:t>акции</w:t>
      </w:r>
      <w:r w:rsidRPr="00170D8F">
        <w:rPr>
          <w:lang w:val="ru-RU"/>
        </w:rPr>
        <w:t xml:space="preserve"> 2010 г</w:t>
      </w:r>
      <w:r w:rsidR="00CE0707">
        <w:rPr>
          <w:lang w:val="ru-RU"/>
        </w:rPr>
        <w:t>ода</w:t>
      </w:r>
      <w:r w:rsidRPr="00170D8F">
        <w:rPr>
          <w:lang w:val="ru-RU"/>
        </w:rPr>
        <w:t>) и МСФО (IFRS) 9 (</w:t>
      </w:r>
      <w:r w:rsidR="00CE0707">
        <w:rPr>
          <w:lang w:val="ru-RU"/>
        </w:rPr>
        <w:t xml:space="preserve">в </w:t>
      </w:r>
      <w:r w:rsidRPr="00170D8F">
        <w:rPr>
          <w:lang w:val="ru-RU"/>
        </w:rPr>
        <w:t>ред</w:t>
      </w:r>
      <w:r w:rsidR="00CE0707">
        <w:rPr>
          <w:lang w:val="ru-RU"/>
        </w:rPr>
        <w:t>акции</w:t>
      </w:r>
      <w:r w:rsidRPr="00170D8F">
        <w:rPr>
          <w:lang w:val="ru-RU"/>
        </w:rPr>
        <w:t xml:space="preserve"> 2013 г</w:t>
      </w:r>
      <w:r w:rsidR="00CE0707">
        <w:rPr>
          <w:lang w:val="ru-RU"/>
        </w:rPr>
        <w:t>ода</w:t>
      </w:r>
      <w:r w:rsidRPr="00170D8F">
        <w:rPr>
          <w:lang w:val="ru-RU"/>
        </w:rPr>
        <w:t>). Однако в отношении годовых периодов, начинающихся ранее 1 января 2018 года, организация вправе принять решение о применении указанных предыдущих версий</w:t>
      </w:r>
      <w:r w:rsidRPr="00170D8F" w:rsidDel="001C5209">
        <w:rPr>
          <w:lang w:val="ru-RU"/>
        </w:rPr>
        <w:t xml:space="preserve"> </w:t>
      </w:r>
      <w:r w:rsidRPr="00170D8F">
        <w:rPr>
          <w:lang w:val="ru-RU"/>
        </w:rPr>
        <w:t>МСФО (IFRS) 9 вместо применения настоящего стандарта, но только в том случае, если дата первоначального применения соответствующей версии наступает до 1 февраля 2015 года</w:t>
      </w:r>
      <w:bookmarkEnd w:id="174"/>
      <w:r w:rsidR="007D4BCC" w:rsidRPr="0049187C">
        <w:rPr>
          <w:rStyle w:val="a3"/>
          <w:sz w:val="14"/>
          <w:szCs w:val="14"/>
          <w:vertAlign w:val="baseline"/>
          <w:lang w:val="ru-RU"/>
        </w:rPr>
        <w:t>.</w:t>
      </w:r>
    </w:p>
    <w:p w:rsidR="007D4BCC" w:rsidRPr="0049187C" w:rsidRDefault="007D4BCC" w:rsidP="007D4BCC">
      <w:pPr>
        <w:pStyle w:val="IASBSectionTitle1NonInd"/>
        <w:pBdr>
          <w:bottom w:val="none" w:sz="0" w:space="0" w:color="auto"/>
        </w:pBdr>
        <w:rPr>
          <w:lang w:val="ru-RU"/>
        </w:rPr>
      </w:pPr>
      <w:bookmarkStart w:id="192" w:name="F27187758"/>
      <w:r w:rsidRPr="0049187C">
        <w:rPr>
          <w:lang w:val="ru-RU"/>
        </w:rPr>
        <w:t xml:space="preserve">Приложение А </w:t>
      </w:r>
      <w:r w:rsidRPr="0049187C">
        <w:rPr>
          <w:lang w:val="ru-RU"/>
        </w:rPr>
        <w:br/>
        <w:t>Определения терминов</w:t>
      </w:r>
      <w:bookmarkEnd w:id="192"/>
    </w:p>
    <w:p w:rsidR="007D4BCC" w:rsidRPr="0049187C" w:rsidRDefault="007D4BCC" w:rsidP="007D4BCC">
      <w:pPr>
        <w:pStyle w:val="IASBNote"/>
        <w:rPr>
          <w:lang w:val="ru-RU"/>
        </w:rPr>
      </w:pPr>
      <w:bookmarkStart w:id="193" w:name="F27867222"/>
      <w:r w:rsidRPr="0049187C">
        <w:rPr>
          <w:lang w:val="ru-RU"/>
        </w:rPr>
        <w:t>Настоящее приложение является неотъемлемой частью данного стандарта.</w:t>
      </w:r>
      <w:bookmarkEnd w:id="193"/>
    </w:p>
    <w:p w:rsidR="007D4BCC" w:rsidRPr="0049187C" w:rsidRDefault="007D4BCC" w:rsidP="007D4BCC">
      <w:pPr>
        <w:pStyle w:val="IASBNormalnpara"/>
        <w:rPr>
          <w:lang w:val="ru-RU"/>
        </w:rPr>
      </w:pPr>
    </w:p>
    <w:tbl>
      <w:tblPr>
        <w:tblW w:w="0" w:type="auto"/>
        <w:tblLayout w:type="fixed"/>
        <w:tblLook w:val="0000" w:firstRow="0" w:lastRow="0" w:firstColumn="0" w:lastColumn="0" w:noHBand="0" w:noVBand="0"/>
      </w:tblPr>
      <w:tblGrid>
        <w:gridCol w:w="2376"/>
        <w:gridCol w:w="6832"/>
      </w:tblGrid>
      <w:tr w:rsidR="007D4BCC" w:rsidRPr="0049187C" w:rsidTr="00C47E8A">
        <w:tblPrEx>
          <w:tblCellMar>
            <w:top w:w="0" w:type="dxa"/>
            <w:bottom w:w="0" w:type="dxa"/>
          </w:tblCellMar>
        </w:tblPrEx>
        <w:trPr>
          <w:cantSplit/>
        </w:trPr>
        <w:tc>
          <w:tcPr>
            <w:tcW w:w="2376" w:type="dxa"/>
          </w:tcPr>
          <w:p w:rsidR="007D4BCC" w:rsidRPr="0049187C" w:rsidRDefault="009672B3" w:rsidP="009672B3">
            <w:pPr>
              <w:pStyle w:val="IASBTableTNR"/>
              <w:rPr>
                <w:lang w:val="ru-RU"/>
              </w:rPr>
            </w:pPr>
            <w:r>
              <w:rPr>
                <w:b/>
                <w:lang w:val="ru-RU"/>
              </w:rPr>
              <w:t xml:space="preserve">12-месячные </w:t>
            </w:r>
            <w:r w:rsidR="007D4BCC" w:rsidRPr="004D2F3F">
              <w:rPr>
                <w:b/>
                <w:lang w:val="ru-RU"/>
              </w:rPr>
              <w:t xml:space="preserve">ожидаемые кредитные убытки </w:t>
            </w:r>
          </w:p>
        </w:tc>
        <w:tc>
          <w:tcPr>
            <w:tcW w:w="6832" w:type="dxa"/>
            <w:tcBorders>
              <w:left w:val="nil"/>
            </w:tcBorders>
            <w:vAlign w:val="bottom"/>
          </w:tcPr>
          <w:p w:rsidR="007D4BCC" w:rsidRPr="0049187C" w:rsidRDefault="007D4BCC" w:rsidP="00F758AF">
            <w:pPr>
              <w:pStyle w:val="IASBTableTNR"/>
              <w:jc w:val="both"/>
              <w:rPr>
                <w:lang w:val="ru-RU"/>
              </w:rPr>
            </w:pPr>
            <w:r w:rsidRPr="0049187C">
              <w:rPr>
                <w:lang w:val="ru-RU"/>
              </w:rPr>
              <w:t xml:space="preserve">Часть </w:t>
            </w:r>
            <w:r w:rsidRPr="0049187C">
              <w:rPr>
                <w:b/>
                <w:lang w:val="ru-RU"/>
              </w:rPr>
              <w:t xml:space="preserve">ожидаемых кредитных убытков </w:t>
            </w:r>
            <w:r w:rsidR="009672B3">
              <w:rPr>
                <w:b/>
                <w:lang w:val="ru-RU"/>
              </w:rPr>
              <w:t>за весь срок</w:t>
            </w:r>
            <w:r w:rsidRPr="0049187C">
              <w:rPr>
                <w:lang w:val="ru-RU"/>
              </w:rPr>
              <w:t>, представляющая</w:t>
            </w:r>
            <w:r w:rsidR="00D21CF4">
              <w:rPr>
                <w:lang w:val="ru-RU"/>
              </w:rPr>
              <w:t xml:space="preserve"> собой</w:t>
            </w:r>
            <w:r w:rsidRPr="0049187C">
              <w:rPr>
                <w:lang w:val="ru-RU"/>
              </w:rPr>
              <w:t xml:space="preserve"> </w:t>
            </w:r>
            <w:r w:rsidRPr="0049187C">
              <w:rPr>
                <w:b/>
                <w:lang w:val="ru-RU"/>
              </w:rPr>
              <w:t>ожидаемые кредитные убытки</w:t>
            </w:r>
            <w:r w:rsidRPr="0049187C">
              <w:rPr>
                <w:lang w:val="ru-RU"/>
              </w:rPr>
              <w:t xml:space="preserve">, которые </w:t>
            </w:r>
            <w:r w:rsidR="00F758AF">
              <w:rPr>
                <w:lang w:val="ru-RU"/>
              </w:rPr>
              <w:t>возникают</w:t>
            </w:r>
            <w:r w:rsidRPr="0049187C">
              <w:rPr>
                <w:lang w:val="ru-RU"/>
              </w:rPr>
              <w:t xml:space="preserve"> </w:t>
            </w:r>
            <w:r w:rsidRPr="0049187C">
              <w:rPr>
                <w:shd w:val="clear" w:color="auto" w:fill="FFFFFF"/>
                <w:lang w:val="ru-RU"/>
              </w:rPr>
              <w:t xml:space="preserve">вследствие </w:t>
            </w:r>
            <w:r w:rsidR="00F758AF">
              <w:rPr>
                <w:shd w:val="clear" w:color="auto" w:fill="FFFFFF"/>
                <w:lang w:val="ru-RU"/>
              </w:rPr>
              <w:t>дефолтов</w:t>
            </w:r>
            <w:r w:rsidRPr="0049187C">
              <w:rPr>
                <w:shd w:val="clear" w:color="auto" w:fill="FFFFFF"/>
                <w:lang w:val="ru-RU"/>
              </w:rPr>
              <w:t xml:space="preserve"> </w:t>
            </w:r>
            <w:r w:rsidRPr="0049187C">
              <w:rPr>
                <w:lang w:val="ru-RU"/>
              </w:rPr>
              <w:t>по финансовому инструменту</w:t>
            </w:r>
            <w:r w:rsidR="00F758AF">
              <w:rPr>
                <w:lang w:val="ru-RU"/>
              </w:rPr>
              <w:t>, возможных</w:t>
            </w:r>
            <w:r w:rsidRPr="0049187C">
              <w:rPr>
                <w:lang w:val="ru-RU"/>
              </w:rPr>
              <w:t xml:space="preserve"> в течение 12 месяцев после отчетной даты.</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D0A06" w:rsidP="00C47E8A">
            <w:pPr>
              <w:pStyle w:val="IASBTableTNR"/>
              <w:rPr>
                <w:lang w:val="ru-RU"/>
              </w:rPr>
            </w:pPr>
            <w:r>
              <w:rPr>
                <w:b/>
                <w:lang w:val="ru-RU"/>
              </w:rPr>
              <w:t>А</w:t>
            </w:r>
            <w:r w:rsidR="007D4BCC" w:rsidRPr="0049187C">
              <w:rPr>
                <w:b/>
                <w:lang w:val="ru-RU"/>
              </w:rPr>
              <w:t>мортизированная стоимость финансового актива или финансового обязательства</w:t>
            </w:r>
          </w:p>
        </w:tc>
        <w:tc>
          <w:tcPr>
            <w:tcW w:w="6832" w:type="dxa"/>
            <w:tcBorders>
              <w:top w:val="nil"/>
              <w:left w:val="nil"/>
            </w:tcBorders>
            <w:vAlign w:val="bottom"/>
          </w:tcPr>
          <w:p w:rsidR="007D4BCC" w:rsidRPr="0049187C" w:rsidRDefault="007D4BCC" w:rsidP="00F758AF">
            <w:pPr>
              <w:pStyle w:val="IASBTableTNR"/>
              <w:jc w:val="both"/>
              <w:rPr>
                <w:lang w:val="ru-RU"/>
              </w:rPr>
            </w:pPr>
            <w:r w:rsidRPr="0049187C">
              <w:rPr>
                <w:lang w:val="ru-RU"/>
              </w:rPr>
              <w:t xml:space="preserve">Сумма, </w:t>
            </w:r>
            <w:r w:rsidR="00F758AF">
              <w:rPr>
                <w:lang w:val="ru-RU"/>
              </w:rPr>
              <w:t>в которой</w:t>
            </w:r>
            <w:r w:rsidRPr="0049187C">
              <w:rPr>
                <w:lang w:val="ru-RU"/>
              </w:rPr>
              <w:t xml:space="preserve"> </w:t>
            </w:r>
            <w:r w:rsidR="00F758AF">
              <w:rPr>
                <w:lang w:val="ru-RU"/>
              </w:rPr>
              <w:t>оценивается</w:t>
            </w:r>
            <w:r w:rsidRPr="0049187C">
              <w:rPr>
                <w:lang w:val="ru-RU"/>
              </w:rPr>
              <w:t xml:space="preserve"> финансовый актив или финансовое обязательство при первоначальном признании, </w:t>
            </w:r>
            <w:r w:rsidR="00F758AF">
              <w:rPr>
                <w:lang w:val="ru-RU"/>
              </w:rPr>
              <w:t>минус</w:t>
            </w:r>
            <w:r w:rsidRPr="0049187C">
              <w:rPr>
                <w:lang w:val="ru-RU"/>
              </w:rPr>
              <w:t xml:space="preserve"> </w:t>
            </w:r>
            <w:r w:rsidR="00F758AF">
              <w:rPr>
                <w:lang w:val="ru-RU"/>
              </w:rPr>
              <w:t>платежи</w:t>
            </w:r>
            <w:r w:rsidR="00DE6D1F" w:rsidRPr="0049187C">
              <w:rPr>
                <w:lang w:val="ru-RU"/>
              </w:rPr>
              <w:t xml:space="preserve"> в счет</w:t>
            </w:r>
            <w:r w:rsidRPr="0049187C">
              <w:rPr>
                <w:lang w:val="ru-RU"/>
              </w:rPr>
              <w:t xml:space="preserve"> основной суммы долга, </w:t>
            </w:r>
            <w:r w:rsidR="00F758AF">
              <w:rPr>
                <w:lang w:val="ru-RU"/>
              </w:rPr>
              <w:t>плюс</w:t>
            </w:r>
            <w:r w:rsidRPr="0049187C">
              <w:rPr>
                <w:lang w:val="ru-RU"/>
              </w:rPr>
              <w:t xml:space="preserve"> или </w:t>
            </w:r>
            <w:r w:rsidR="00F758AF">
              <w:rPr>
                <w:lang w:val="ru-RU"/>
              </w:rPr>
              <w:t>минус</w:t>
            </w:r>
            <w:r w:rsidRPr="0049187C">
              <w:rPr>
                <w:lang w:val="ru-RU"/>
              </w:rPr>
              <w:t xml:space="preserve"> </w:t>
            </w:r>
            <w:r w:rsidR="00F758AF">
              <w:rPr>
                <w:lang w:val="ru-RU"/>
              </w:rPr>
              <w:t>величина</w:t>
            </w:r>
            <w:r w:rsidRPr="0049187C">
              <w:rPr>
                <w:lang w:val="ru-RU"/>
              </w:rPr>
              <w:t xml:space="preserve"> накопленной </w:t>
            </w:r>
            <w:r w:rsidR="00D21CF4">
              <w:rPr>
                <w:lang w:val="ru-RU"/>
              </w:rPr>
              <w:t>амортизации</w:t>
            </w:r>
            <w:r w:rsidR="003A2F2C">
              <w:rPr>
                <w:lang w:val="ru-RU"/>
              </w:rPr>
              <w:t xml:space="preserve">, </w:t>
            </w:r>
            <w:r w:rsidR="00F758AF">
              <w:rPr>
                <w:lang w:val="ru-RU"/>
              </w:rPr>
              <w:t xml:space="preserve">рассчитанной </w:t>
            </w:r>
            <w:r w:rsidR="00D21CF4" w:rsidRPr="0049187C">
              <w:rPr>
                <w:lang w:val="ru-RU"/>
              </w:rPr>
              <w:t xml:space="preserve">с использованием </w:t>
            </w:r>
            <w:r w:rsidR="00D21CF4" w:rsidRPr="0049187C">
              <w:rPr>
                <w:b/>
                <w:lang w:val="ru-RU"/>
              </w:rPr>
              <w:t>метода эффективной процентной ставки</w:t>
            </w:r>
            <w:r w:rsidR="003A2F2C">
              <w:rPr>
                <w:b/>
                <w:lang w:val="ru-RU"/>
              </w:rPr>
              <w:t xml:space="preserve">, – </w:t>
            </w:r>
            <w:r w:rsidR="00F758AF" w:rsidRPr="00F758AF">
              <w:rPr>
                <w:lang w:val="ru-RU"/>
              </w:rPr>
              <w:t>разницы между</w:t>
            </w:r>
            <w:r w:rsidR="00D21CF4">
              <w:rPr>
                <w:b/>
                <w:lang w:val="ru-RU"/>
              </w:rPr>
              <w:t xml:space="preserve"> </w:t>
            </w:r>
            <w:r w:rsidR="00F758AF" w:rsidRPr="00F758AF">
              <w:rPr>
                <w:lang w:val="ru-RU"/>
              </w:rPr>
              <w:t xml:space="preserve">указанной первоначальной суммой и суммой к выплате при наступлении срока погашения, </w:t>
            </w:r>
            <w:r w:rsidR="00D21CF4" w:rsidRPr="004D2F3F">
              <w:rPr>
                <w:lang w:val="ru-RU"/>
              </w:rPr>
              <w:t>и</w:t>
            </w:r>
            <w:r w:rsidR="00F758AF">
              <w:rPr>
                <w:lang w:val="ru-RU"/>
              </w:rPr>
              <w:t xml:space="preserve">, применительно к </w:t>
            </w:r>
            <w:r w:rsidR="00E0497A">
              <w:rPr>
                <w:lang w:val="ru-RU"/>
              </w:rPr>
              <w:t>финансовым</w:t>
            </w:r>
            <w:r w:rsidR="00F758AF">
              <w:rPr>
                <w:lang w:val="ru-RU"/>
              </w:rPr>
              <w:t xml:space="preserve"> активам,</w:t>
            </w:r>
            <w:r w:rsidR="00D21CF4" w:rsidRPr="004D2F3F">
              <w:rPr>
                <w:lang w:val="ru-RU"/>
              </w:rPr>
              <w:t xml:space="preserve"> </w:t>
            </w:r>
            <w:r w:rsidRPr="0049187C">
              <w:rPr>
                <w:lang w:val="ru-RU"/>
              </w:rPr>
              <w:t xml:space="preserve">скорректированная с учетом </w:t>
            </w:r>
            <w:r w:rsidRPr="0049187C">
              <w:rPr>
                <w:b/>
                <w:lang w:val="ru-RU"/>
              </w:rPr>
              <w:t>оценочного резерва под убытки</w:t>
            </w:r>
            <w:r w:rsidRPr="0049187C">
              <w:rPr>
                <w:lang w:val="ru-RU"/>
              </w:rPr>
              <w:t>.</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D0A06" w:rsidP="00C47E8A">
            <w:pPr>
              <w:pStyle w:val="IASBTableTNR"/>
              <w:rPr>
                <w:lang w:val="ru-RU"/>
              </w:rPr>
            </w:pPr>
            <w:r>
              <w:rPr>
                <w:b/>
                <w:lang w:val="ru-RU"/>
              </w:rPr>
              <w:t>А</w:t>
            </w:r>
            <w:r w:rsidR="007D4BCC" w:rsidRPr="0049187C">
              <w:rPr>
                <w:b/>
                <w:lang w:val="ru-RU"/>
              </w:rPr>
              <w:t>ктивы по договору</w:t>
            </w:r>
          </w:p>
        </w:tc>
        <w:tc>
          <w:tcPr>
            <w:tcW w:w="6832" w:type="dxa"/>
            <w:tcBorders>
              <w:top w:val="nil"/>
              <w:left w:val="nil"/>
            </w:tcBorders>
            <w:vAlign w:val="bottom"/>
          </w:tcPr>
          <w:p w:rsidR="007D4BCC" w:rsidRPr="0049187C" w:rsidRDefault="007D4BCC" w:rsidP="009672B3">
            <w:pPr>
              <w:pStyle w:val="IASBTableTNR"/>
              <w:jc w:val="both"/>
              <w:rPr>
                <w:lang w:val="ru-RU"/>
              </w:rPr>
            </w:pPr>
            <w:r w:rsidRPr="0049187C">
              <w:rPr>
                <w:lang w:val="ru-RU"/>
              </w:rPr>
              <w:t xml:space="preserve">Права, которые согласно МСФО (IFRS) 15 </w:t>
            </w:r>
            <w:r w:rsidRPr="0049187C">
              <w:rPr>
                <w:i/>
                <w:lang w:val="ru-RU"/>
              </w:rPr>
              <w:t xml:space="preserve">«Выручка по договорам с </w:t>
            </w:r>
            <w:r w:rsidR="00897025" w:rsidRPr="0049187C">
              <w:rPr>
                <w:i/>
                <w:lang w:val="ru-RU"/>
              </w:rPr>
              <w:t>покупателями</w:t>
            </w:r>
            <w:r w:rsidRPr="0049187C">
              <w:rPr>
                <w:i/>
                <w:lang w:val="ru-RU"/>
              </w:rPr>
              <w:t>»</w:t>
            </w:r>
            <w:r w:rsidRPr="0049187C">
              <w:rPr>
                <w:lang w:val="ru-RU"/>
              </w:rPr>
              <w:t xml:space="preserve"> учитываются в соответствии с настоящим стандартом для целей признания и оценки прибылей или убытков от обесценения.</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D0A06" w:rsidP="00C47E8A">
            <w:pPr>
              <w:pStyle w:val="IASBTableTNR"/>
              <w:rPr>
                <w:lang w:val="ru-RU"/>
              </w:rPr>
            </w:pPr>
            <w:r>
              <w:rPr>
                <w:b/>
                <w:lang w:val="ru-RU"/>
              </w:rPr>
              <w:t>К</w:t>
            </w:r>
            <w:r w:rsidR="009672B3">
              <w:rPr>
                <w:b/>
                <w:lang w:val="ru-RU"/>
              </w:rPr>
              <w:t>редитно-обесцененный финансовый актив</w:t>
            </w:r>
          </w:p>
        </w:tc>
        <w:tc>
          <w:tcPr>
            <w:tcW w:w="6832" w:type="dxa"/>
            <w:tcBorders>
              <w:top w:val="nil"/>
              <w:left w:val="nil"/>
            </w:tcBorders>
            <w:vAlign w:val="bottom"/>
          </w:tcPr>
          <w:p w:rsidR="007D4BCC" w:rsidRPr="0049187C" w:rsidRDefault="007D4BCC" w:rsidP="009672B3">
            <w:pPr>
              <w:pStyle w:val="IASBTableTNR"/>
              <w:jc w:val="both"/>
              <w:rPr>
                <w:lang w:val="ru-RU"/>
              </w:rPr>
            </w:pPr>
            <w:r w:rsidRPr="0049187C">
              <w:rPr>
                <w:lang w:val="ru-RU"/>
              </w:rPr>
              <w:t xml:space="preserve">Финансовый актив считается </w:t>
            </w:r>
            <w:r w:rsidR="009672B3">
              <w:rPr>
                <w:lang w:val="ru-RU"/>
              </w:rPr>
              <w:t>кредитно-обесцененным</w:t>
            </w:r>
            <w:r w:rsidR="005C3C95">
              <w:rPr>
                <w:lang w:val="ru-RU"/>
              </w:rPr>
              <w:t>, когда происходит</w:t>
            </w:r>
            <w:r w:rsidRPr="0049187C">
              <w:rPr>
                <w:lang w:val="ru-RU"/>
              </w:rPr>
              <w:t xml:space="preserve"> </w:t>
            </w:r>
            <w:r w:rsidR="005C3C95">
              <w:rPr>
                <w:lang w:val="ru-RU"/>
              </w:rPr>
              <w:t>одно или несколько</w:t>
            </w:r>
            <w:r w:rsidRPr="0049187C">
              <w:rPr>
                <w:lang w:val="ru-RU"/>
              </w:rPr>
              <w:t xml:space="preserve"> событий, которые оказывают негативное влияние на расчетные будущие денежные потоки по такому ф</w:t>
            </w:r>
            <w:r w:rsidR="005C3C95">
              <w:rPr>
                <w:lang w:val="ru-RU"/>
              </w:rPr>
              <w:t>инансовому активу. Подтверждением</w:t>
            </w:r>
            <w:r w:rsidRPr="0049187C">
              <w:rPr>
                <w:lang w:val="ru-RU"/>
              </w:rPr>
              <w:t xml:space="preserve"> кредитного обесценения финансового актива</w:t>
            </w:r>
            <w:r w:rsidR="005C3C95">
              <w:rPr>
                <w:lang w:val="ru-RU"/>
              </w:rPr>
              <w:t xml:space="preserve"> являются, в частности,</w:t>
            </w:r>
            <w:r w:rsidRPr="0049187C">
              <w:rPr>
                <w:lang w:val="ru-RU"/>
              </w:rPr>
              <w:t xml:space="preserve"> наблюдаемые данные о следующих событиях:</w:t>
            </w:r>
          </w:p>
          <w:p w:rsidR="007D4BCC" w:rsidRPr="0049187C" w:rsidRDefault="005C3C95" w:rsidP="00C47E8A">
            <w:pPr>
              <w:pStyle w:val="IASBNormalL1"/>
              <w:rPr>
                <w:lang w:val="ru-RU"/>
              </w:rPr>
            </w:pPr>
            <w:r>
              <w:rPr>
                <w:lang w:val="ru-RU"/>
              </w:rPr>
              <w:t>(a)</w:t>
            </w:r>
            <w:r>
              <w:rPr>
                <w:lang w:val="ru-RU"/>
              </w:rPr>
              <w:tab/>
              <w:t>значительных финансовых</w:t>
            </w:r>
            <w:r w:rsidR="007D4BCC" w:rsidRPr="0049187C">
              <w:rPr>
                <w:lang w:val="ru-RU"/>
              </w:rPr>
              <w:t xml:space="preserve"> затруднения</w:t>
            </w:r>
            <w:r>
              <w:rPr>
                <w:lang w:val="ru-RU"/>
              </w:rPr>
              <w:t>х</w:t>
            </w:r>
            <w:r w:rsidR="007D4BCC" w:rsidRPr="0049187C">
              <w:rPr>
                <w:lang w:val="ru-RU"/>
              </w:rPr>
              <w:t xml:space="preserve"> эмитента или заемщика;</w:t>
            </w:r>
          </w:p>
          <w:p w:rsidR="007D4BCC" w:rsidRPr="0049187C" w:rsidRDefault="005C3C95" w:rsidP="00C47E8A">
            <w:pPr>
              <w:pStyle w:val="IASBNormalL1"/>
              <w:rPr>
                <w:lang w:val="ru-RU"/>
              </w:rPr>
            </w:pPr>
            <w:r>
              <w:rPr>
                <w:lang w:val="ru-RU"/>
              </w:rPr>
              <w:t>(b)</w:t>
            </w:r>
            <w:r>
              <w:rPr>
                <w:lang w:val="ru-RU"/>
              </w:rPr>
              <w:tab/>
              <w:t>нарушении условий договора, таком</w:t>
            </w:r>
            <w:r w:rsidR="007D4BCC" w:rsidRPr="0049187C">
              <w:rPr>
                <w:lang w:val="ru-RU"/>
              </w:rPr>
              <w:t xml:space="preserve"> как </w:t>
            </w:r>
            <w:r w:rsidR="00897025" w:rsidRPr="0049187C">
              <w:rPr>
                <w:lang w:val="ru-RU"/>
              </w:rPr>
              <w:t xml:space="preserve">дефолт </w:t>
            </w:r>
            <w:r w:rsidR="007D4BCC" w:rsidRPr="0049187C">
              <w:rPr>
                <w:lang w:val="ru-RU"/>
              </w:rPr>
              <w:t xml:space="preserve">или </w:t>
            </w:r>
            <w:r w:rsidR="007D4BCC" w:rsidRPr="00D4388B">
              <w:rPr>
                <w:b/>
                <w:lang w:val="ru-RU"/>
              </w:rPr>
              <w:t>просрочка</w:t>
            </w:r>
            <w:r w:rsidR="007D4BCC" w:rsidRPr="0049187C">
              <w:rPr>
                <w:lang w:val="ru-RU"/>
              </w:rPr>
              <w:t xml:space="preserve"> платежа;</w:t>
            </w:r>
          </w:p>
          <w:p w:rsidR="007D4BCC" w:rsidRPr="0049187C" w:rsidRDefault="005C3C95" w:rsidP="00C47E8A">
            <w:pPr>
              <w:pStyle w:val="IASBNormalL1"/>
              <w:rPr>
                <w:lang w:val="ru-RU"/>
              </w:rPr>
            </w:pPr>
            <w:r>
              <w:rPr>
                <w:lang w:val="ru-RU"/>
              </w:rPr>
              <w:t>(c)</w:t>
            </w:r>
            <w:r>
              <w:rPr>
                <w:lang w:val="ru-RU"/>
              </w:rPr>
              <w:tab/>
              <w:t>предоставлении</w:t>
            </w:r>
            <w:r w:rsidR="007D4BCC" w:rsidRPr="0049187C">
              <w:rPr>
                <w:lang w:val="ru-RU"/>
              </w:rPr>
              <w:t xml:space="preserve"> кредитором(ами) уступки(пок)</w:t>
            </w:r>
            <w:r>
              <w:rPr>
                <w:lang w:val="ru-RU"/>
              </w:rPr>
              <w:t xml:space="preserve"> своему заемщику</w:t>
            </w:r>
            <w:r w:rsidR="007D4BCC" w:rsidRPr="0049187C">
              <w:rPr>
                <w:lang w:val="ru-RU"/>
              </w:rPr>
              <w:t xml:space="preserve"> в силу экономических причин или договорных условий</w:t>
            </w:r>
            <w:r>
              <w:rPr>
                <w:lang w:val="ru-RU"/>
              </w:rPr>
              <w:t xml:space="preserve">, </w:t>
            </w:r>
            <w:r w:rsidR="00E0497A">
              <w:rPr>
                <w:lang w:val="ru-RU"/>
              </w:rPr>
              <w:t>связанных</w:t>
            </w:r>
            <w:r w:rsidR="007D4BCC" w:rsidRPr="0049187C">
              <w:rPr>
                <w:lang w:val="ru-RU"/>
              </w:rPr>
              <w:t xml:space="preserve"> с финансовыми затруднениями</w:t>
            </w:r>
            <w:r>
              <w:rPr>
                <w:lang w:val="ru-RU"/>
              </w:rPr>
              <w:t xml:space="preserve"> этого</w:t>
            </w:r>
            <w:r w:rsidR="007D4BCC" w:rsidRPr="0049187C">
              <w:rPr>
                <w:lang w:val="ru-RU"/>
              </w:rPr>
              <w:t xml:space="preserve"> заемщика и</w:t>
            </w:r>
            <w:r>
              <w:rPr>
                <w:lang w:val="ru-RU"/>
              </w:rPr>
              <w:t xml:space="preserve"> которую(ые) кредитор(ы)</w:t>
            </w:r>
            <w:r w:rsidR="007D4BCC" w:rsidRPr="0049187C">
              <w:rPr>
                <w:lang w:val="ru-RU"/>
              </w:rPr>
              <w:t xml:space="preserve"> не предостав</w:t>
            </w:r>
            <w:r>
              <w:rPr>
                <w:lang w:val="ru-RU"/>
              </w:rPr>
              <w:t>и</w:t>
            </w:r>
            <w:r w:rsidR="007D4BCC" w:rsidRPr="0049187C">
              <w:rPr>
                <w:lang w:val="ru-RU"/>
              </w:rPr>
              <w:t>л</w:t>
            </w:r>
            <w:r>
              <w:rPr>
                <w:lang w:val="ru-RU"/>
              </w:rPr>
              <w:t>(и</w:t>
            </w:r>
            <w:r w:rsidR="007D4BCC" w:rsidRPr="0049187C">
              <w:rPr>
                <w:lang w:val="ru-RU"/>
              </w:rPr>
              <w:t>)</w:t>
            </w:r>
            <w:r>
              <w:rPr>
                <w:lang w:val="ru-RU"/>
              </w:rPr>
              <w:t xml:space="preserve"> бы</w:t>
            </w:r>
            <w:r w:rsidR="007D4BCC" w:rsidRPr="0049187C">
              <w:rPr>
                <w:lang w:val="ru-RU"/>
              </w:rPr>
              <w:t xml:space="preserve"> в </w:t>
            </w:r>
            <w:r>
              <w:rPr>
                <w:lang w:val="ru-RU"/>
              </w:rPr>
              <w:t>ином</w:t>
            </w:r>
            <w:r w:rsidR="007D4BCC" w:rsidRPr="0049187C">
              <w:rPr>
                <w:lang w:val="ru-RU"/>
              </w:rPr>
              <w:t xml:space="preserve"> случае;</w:t>
            </w:r>
          </w:p>
          <w:p w:rsidR="007D4BCC" w:rsidRPr="0049187C" w:rsidRDefault="007D4BCC" w:rsidP="00C47E8A">
            <w:pPr>
              <w:pStyle w:val="IASBNormalL1"/>
              <w:rPr>
                <w:lang w:val="ru-RU"/>
              </w:rPr>
            </w:pPr>
            <w:r w:rsidRPr="0049187C">
              <w:rPr>
                <w:lang w:val="ru-RU"/>
              </w:rPr>
              <w:t>(d)</w:t>
            </w:r>
            <w:r w:rsidRPr="0049187C">
              <w:rPr>
                <w:lang w:val="ru-RU"/>
              </w:rPr>
              <w:tab/>
            </w:r>
            <w:r w:rsidR="005C3C95">
              <w:rPr>
                <w:lang w:val="ru-RU"/>
              </w:rPr>
              <w:t>появлении вероятности</w:t>
            </w:r>
            <w:r w:rsidRPr="0049187C">
              <w:rPr>
                <w:lang w:val="ru-RU"/>
              </w:rPr>
              <w:t xml:space="preserve"> банкротства или иной финансовой реорганизации заемщика;</w:t>
            </w:r>
          </w:p>
          <w:p w:rsidR="007D4BCC" w:rsidRPr="0049187C" w:rsidRDefault="007D4BCC" w:rsidP="00C47E8A">
            <w:pPr>
              <w:pStyle w:val="IASBNormalL1"/>
              <w:rPr>
                <w:lang w:val="ru-RU"/>
              </w:rPr>
            </w:pPr>
            <w:r w:rsidRPr="0049187C">
              <w:rPr>
                <w:lang w:val="ru-RU"/>
              </w:rPr>
              <w:t>(</w:t>
            </w:r>
            <w:r w:rsidR="005C3C95">
              <w:rPr>
                <w:lang w:val="ru-RU"/>
              </w:rPr>
              <w:t>e)</w:t>
            </w:r>
            <w:r w:rsidR="005C3C95">
              <w:rPr>
                <w:lang w:val="ru-RU"/>
              </w:rPr>
              <w:tab/>
              <w:t>исчезновении</w:t>
            </w:r>
            <w:r w:rsidRPr="0049187C">
              <w:rPr>
                <w:lang w:val="ru-RU"/>
              </w:rPr>
              <w:t xml:space="preserve"> активного рынка для данного финансового актива в результате финансовых затруднений; или</w:t>
            </w:r>
          </w:p>
          <w:p w:rsidR="007D4BCC" w:rsidRPr="0049187C" w:rsidRDefault="005C3C95" w:rsidP="00C47E8A">
            <w:pPr>
              <w:pStyle w:val="IASBNormalL1"/>
              <w:rPr>
                <w:lang w:val="ru-RU"/>
              </w:rPr>
            </w:pPr>
            <w:r>
              <w:rPr>
                <w:lang w:val="ru-RU"/>
              </w:rPr>
              <w:t>(f)</w:t>
            </w:r>
            <w:r>
              <w:rPr>
                <w:lang w:val="ru-RU"/>
              </w:rPr>
              <w:tab/>
              <w:t>покупке</w:t>
            </w:r>
            <w:r w:rsidR="007D4BCC" w:rsidRPr="0049187C">
              <w:rPr>
                <w:lang w:val="ru-RU"/>
              </w:rPr>
              <w:t xml:space="preserve"> или </w:t>
            </w:r>
            <w:r>
              <w:rPr>
                <w:lang w:val="ru-RU"/>
              </w:rPr>
              <w:t>создании</w:t>
            </w:r>
            <w:r w:rsidR="00C0694C" w:rsidRPr="0049187C">
              <w:rPr>
                <w:lang w:val="ru-RU"/>
              </w:rPr>
              <w:t xml:space="preserve"> </w:t>
            </w:r>
            <w:r w:rsidR="007D4BCC" w:rsidRPr="0049187C">
              <w:rPr>
                <w:lang w:val="ru-RU"/>
              </w:rPr>
              <w:t xml:space="preserve">финансового актива с большой скидкой, которая отражает понесенные </w:t>
            </w:r>
            <w:r w:rsidR="007D4BCC" w:rsidRPr="0049187C">
              <w:rPr>
                <w:b/>
                <w:lang w:val="ru-RU"/>
              </w:rPr>
              <w:t>кредитные убытки</w:t>
            </w:r>
            <w:r w:rsidR="007D4BCC" w:rsidRPr="0049187C">
              <w:rPr>
                <w:lang w:val="ru-RU"/>
              </w:rPr>
              <w:t>.</w:t>
            </w:r>
          </w:p>
          <w:p w:rsidR="007D4BCC" w:rsidRPr="0049187C" w:rsidRDefault="007D4BCC" w:rsidP="005C3C95">
            <w:pPr>
              <w:pStyle w:val="IASBTableTNR"/>
              <w:jc w:val="both"/>
              <w:rPr>
                <w:lang w:val="ru-RU"/>
              </w:rPr>
            </w:pPr>
            <w:r w:rsidRPr="0049187C">
              <w:rPr>
                <w:lang w:val="ru-RU"/>
              </w:rPr>
              <w:t>В некоторых случаях</w:t>
            </w:r>
            <w:r w:rsidR="005C3C95">
              <w:rPr>
                <w:lang w:val="ru-RU"/>
              </w:rPr>
              <w:t xml:space="preserve"> не представляется возможной</w:t>
            </w:r>
            <w:r w:rsidRPr="0049187C">
              <w:rPr>
                <w:lang w:val="ru-RU"/>
              </w:rPr>
              <w:t xml:space="preserve"> идентификация</w:t>
            </w:r>
            <w:r w:rsidR="005C3C95">
              <w:rPr>
                <w:lang w:val="ru-RU"/>
              </w:rPr>
              <w:t xml:space="preserve"> одного</w:t>
            </w:r>
            <w:r w:rsidRPr="0049187C">
              <w:rPr>
                <w:lang w:val="ru-RU"/>
              </w:rPr>
              <w:t xml:space="preserve"> отдельного события</w:t>
            </w:r>
            <w:r w:rsidR="005C3C95">
              <w:rPr>
                <w:lang w:val="ru-RU"/>
              </w:rPr>
              <w:t xml:space="preserve"> </w:t>
            </w:r>
            <w:r w:rsidRPr="0049187C">
              <w:rPr>
                <w:lang w:val="ru-RU"/>
              </w:rPr>
              <w:t>– причиной</w:t>
            </w:r>
            <w:r w:rsidR="005C3C95">
              <w:rPr>
                <w:lang w:val="ru-RU"/>
              </w:rPr>
              <w:t>, вызвавшей кредитное обесценение</w:t>
            </w:r>
            <w:r w:rsidRPr="0049187C">
              <w:rPr>
                <w:lang w:val="ru-RU"/>
              </w:rPr>
              <w:t xml:space="preserve"> финансового актива</w:t>
            </w:r>
            <w:r w:rsidR="005C3C95">
              <w:rPr>
                <w:lang w:val="ru-RU"/>
              </w:rPr>
              <w:t>,</w:t>
            </w:r>
            <w:r w:rsidRPr="0049187C">
              <w:rPr>
                <w:lang w:val="ru-RU"/>
              </w:rPr>
              <w:t xml:space="preserve"> </w:t>
            </w:r>
            <w:r w:rsidR="00654C62">
              <w:rPr>
                <w:lang w:val="ru-RU"/>
              </w:rPr>
              <w:t>может</w:t>
            </w:r>
            <w:r w:rsidR="00654C62" w:rsidRPr="0049187C">
              <w:rPr>
                <w:lang w:val="ru-RU"/>
              </w:rPr>
              <w:t xml:space="preserve"> </w:t>
            </w:r>
            <w:r w:rsidR="005C3C95">
              <w:rPr>
                <w:lang w:val="ru-RU"/>
              </w:rPr>
              <w:t>быть</w:t>
            </w:r>
            <w:r w:rsidRPr="0049187C">
              <w:rPr>
                <w:lang w:val="ru-RU"/>
              </w:rPr>
              <w:t xml:space="preserve"> суммарный эффект нескольких событий.</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E7773" w:rsidP="00C47E8A">
            <w:pPr>
              <w:pStyle w:val="IASBTableTNR"/>
              <w:rPr>
                <w:lang w:val="ru-RU"/>
              </w:rPr>
            </w:pPr>
            <w:r>
              <w:rPr>
                <w:b/>
                <w:lang w:val="ru-RU"/>
              </w:rPr>
              <w:t>К</w:t>
            </w:r>
            <w:r w:rsidR="007D4BCC" w:rsidRPr="0049187C">
              <w:rPr>
                <w:b/>
                <w:lang w:val="ru-RU"/>
              </w:rPr>
              <w:t>редитный убыток</w:t>
            </w:r>
          </w:p>
        </w:tc>
        <w:tc>
          <w:tcPr>
            <w:tcW w:w="6832" w:type="dxa"/>
            <w:tcBorders>
              <w:top w:val="nil"/>
              <w:left w:val="nil"/>
            </w:tcBorders>
            <w:vAlign w:val="bottom"/>
          </w:tcPr>
          <w:p w:rsidR="007D4BCC" w:rsidRPr="0049187C" w:rsidRDefault="007D4BCC" w:rsidP="00E0497A">
            <w:pPr>
              <w:pStyle w:val="IASBTableTNR"/>
              <w:jc w:val="both"/>
              <w:rPr>
                <w:lang w:val="ru-RU"/>
              </w:rPr>
            </w:pPr>
            <w:r w:rsidRPr="0049187C">
              <w:rPr>
                <w:lang w:val="ru-RU"/>
              </w:rPr>
              <w:t>Разница между всеми предусмотренными договором денежными потоками, причитающимися организации в соответствии с договором, и всеми денежными потоками, которые о</w:t>
            </w:r>
            <w:r w:rsidR="00FD0A06">
              <w:rPr>
                <w:lang w:val="ru-RU"/>
              </w:rPr>
              <w:t>рганизация ожидает получить (т. </w:t>
            </w:r>
            <w:r w:rsidRPr="0049187C">
              <w:rPr>
                <w:lang w:val="ru-RU"/>
              </w:rPr>
              <w:t xml:space="preserve">е. </w:t>
            </w:r>
            <w:r w:rsidR="005C3C95">
              <w:rPr>
                <w:lang w:val="ru-RU"/>
              </w:rPr>
              <w:t>все суммы недополучения</w:t>
            </w:r>
            <w:r w:rsidRPr="0049187C">
              <w:rPr>
                <w:lang w:val="ru-RU"/>
              </w:rPr>
              <w:t xml:space="preserve"> денежных средств), дисконтированная по первоначальной </w:t>
            </w:r>
            <w:r w:rsidRPr="0049187C">
              <w:rPr>
                <w:b/>
                <w:lang w:val="ru-RU"/>
              </w:rPr>
              <w:t>эффективной процентной ставке</w:t>
            </w:r>
            <w:r w:rsidRPr="0049187C">
              <w:rPr>
                <w:lang w:val="ru-RU"/>
              </w:rPr>
              <w:t xml:space="preserve"> (или</w:t>
            </w:r>
            <w:r w:rsidR="005C3C95">
              <w:rPr>
                <w:lang w:val="ru-RU"/>
              </w:rPr>
              <w:t xml:space="preserve">, применительно к </w:t>
            </w:r>
            <w:r w:rsidR="005C3C95">
              <w:rPr>
                <w:b/>
                <w:lang w:val="ru-RU"/>
              </w:rPr>
              <w:t>приобретенным</w:t>
            </w:r>
            <w:r w:rsidR="005C3C95" w:rsidRPr="0049187C">
              <w:rPr>
                <w:b/>
                <w:lang w:val="ru-RU"/>
              </w:rPr>
              <w:t xml:space="preserve"> или </w:t>
            </w:r>
            <w:r w:rsidR="005C3C95">
              <w:rPr>
                <w:b/>
                <w:lang w:val="ru-RU"/>
              </w:rPr>
              <w:t>созданным</w:t>
            </w:r>
            <w:r w:rsidR="005C3C95" w:rsidRPr="0049187C">
              <w:rPr>
                <w:b/>
                <w:lang w:val="ru-RU"/>
              </w:rPr>
              <w:t xml:space="preserve"> </w:t>
            </w:r>
            <w:r w:rsidR="005C3C95">
              <w:rPr>
                <w:b/>
                <w:lang w:val="ru-RU"/>
              </w:rPr>
              <w:t xml:space="preserve">кредитно-обесцененным финансовым активам, </w:t>
            </w:r>
            <w:r w:rsidR="005C3C95" w:rsidRPr="005C3C95">
              <w:rPr>
                <w:lang w:val="ru-RU"/>
              </w:rPr>
              <w:t>по</w:t>
            </w:r>
            <w:r w:rsidRPr="0049187C">
              <w:rPr>
                <w:lang w:val="ru-RU"/>
              </w:rPr>
              <w:t xml:space="preserve"> </w:t>
            </w:r>
            <w:r w:rsidRPr="0049187C">
              <w:rPr>
                <w:b/>
                <w:lang w:val="ru-RU"/>
              </w:rPr>
              <w:t>эффективной процентной ставке, скорректиров</w:t>
            </w:r>
            <w:r w:rsidR="005C3C95">
              <w:rPr>
                <w:b/>
                <w:lang w:val="ru-RU"/>
              </w:rPr>
              <w:t>анной с учетом кредитного риска</w:t>
            </w:r>
            <w:r w:rsidRPr="0049187C">
              <w:rPr>
                <w:lang w:val="ru-RU"/>
              </w:rPr>
              <w:t xml:space="preserve">). Организация должна </w:t>
            </w:r>
            <w:r w:rsidR="005C3C95">
              <w:rPr>
                <w:lang w:val="ru-RU"/>
              </w:rPr>
              <w:t xml:space="preserve">оценить </w:t>
            </w:r>
            <w:r w:rsidR="00E0497A">
              <w:rPr>
                <w:lang w:val="ru-RU"/>
              </w:rPr>
              <w:t>предполагаемую</w:t>
            </w:r>
            <w:r w:rsidR="005C3C95">
              <w:rPr>
                <w:lang w:val="ru-RU"/>
              </w:rPr>
              <w:t xml:space="preserve"> величину</w:t>
            </w:r>
            <w:r w:rsidRPr="0049187C">
              <w:rPr>
                <w:lang w:val="ru-RU"/>
              </w:rPr>
              <w:t xml:space="preserve"> денежных потоков с учетом всех договорных условий финансового инструмента (например, </w:t>
            </w:r>
            <w:r w:rsidR="005C3C95">
              <w:rPr>
                <w:lang w:val="ru-RU"/>
              </w:rPr>
              <w:t xml:space="preserve">опциона на </w:t>
            </w:r>
            <w:r w:rsidR="0014284C">
              <w:rPr>
                <w:lang w:val="ru-RU"/>
              </w:rPr>
              <w:t>досрочное погашение</w:t>
            </w:r>
            <w:r w:rsidRPr="0049187C">
              <w:rPr>
                <w:lang w:val="ru-RU"/>
              </w:rPr>
              <w:t>,</w:t>
            </w:r>
            <w:r w:rsidR="005C3C95">
              <w:rPr>
                <w:lang w:val="ru-RU"/>
              </w:rPr>
              <w:t xml:space="preserve"> опциона на</w:t>
            </w:r>
            <w:r w:rsidRPr="0049187C">
              <w:rPr>
                <w:lang w:val="ru-RU"/>
              </w:rPr>
              <w:t xml:space="preserve"> продление</w:t>
            </w:r>
            <w:r w:rsidR="005C3C95">
              <w:rPr>
                <w:lang w:val="ru-RU"/>
              </w:rPr>
              <w:t>, колл-опциона и аналогичных опционов</w:t>
            </w:r>
            <w:r w:rsidRPr="0049187C">
              <w:rPr>
                <w:lang w:val="ru-RU"/>
              </w:rPr>
              <w:t xml:space="preserve">) на протяжении </w:t>
            </w:r>
            <w:r w:rsidR="005C3C95">
              <w:rPr>
                <w:lang w:val="ru-RU"/>
              </w:rPr>
              <w:t xml:space="preserve">всего </w:t>
            </w:r>
            <w:r w:rsidRPr="0049187C">
              <w:rPr>
                <w:lang w:val="ru-RU"/>
              </w:rPr>
              <w:t>ожидаемого срока действия данного финансового инструмента. Рассматриваемые денежные потоки должны включать денежные потоки от продажи удерживаемого обеспечения или</w:t>
            </w:r>
            <w:r w:rsidR="005C3C95">
              <w:rPr>
                <w:lang w:val="ru-RU"/>
              </w:rPr>
              <w:t xml:space="preserve"> от</w:t>
            </w:r>
            <w:r w:rsidRPr="0049187C">
              <w:rPr>
                <w:lang w:val="ru-RU"/>
              </w:rPr>
              <w:t xml:space="preserve"> других механизмов повышения </w:t>
            </w:r>
            <w:r w:rsidR="00654C62">
              <w:rPr>
                <w:lang w:val="ru-RU"/>
              </w:rPr>
              <w:t xml:space="preserve">кредитного </w:t>
            </w:r>
            <w:r w:rsidRPr="0049187C">
              <w:rPr>
                <w:lang w:val="ru-RU"/>
              </w:rPr>
              <w:t xml:space="preserve">качества, которые являются неотъемлемой частью договорных условий. </w:t>
            </w:r>
            <w:r w:rsidR="00654C62">
              <w:rPr>
                <w:lang w:val="ru-RU"/>
              </w:rPr>
              <w:t>Предполагается</w:t>
            </w:r>
            <w:r w:rsidRPr="0049187C">
              <w:rPr>
                <w:lang w:val="ru-RU"/>
              </w:rPr>
              <w:t xml:space="preserve">, что ожидаемый срок действия финансового инструмента может быть надежно оценен. Однако в тех редких случаях, когда надежная оценка ожидаемого срока действия финансового инструмента не представляется возможной, организация должна </w:t>
            </w:r>
            <w:r w:rsidR="005C3C95">
              <w:rPr>
                <w:lang w:val="ru-RU"/>
              </w:rPr>
              <w:t>ориентироваться на</w:t>
            </w:r>
            <w:r w:rsidRPr="0049187C">
              <w:rPr>
                <w:lang w:val="ru-RU"/>
              </w:rPr>
              <w:t xml:space="preserve"> оставшийся договорной срок действия финансового инструмента.</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E7773" w:rsidP="00C47E8A">
            <w:pPr>
              <w:pStyle w:val="IASBTableTNR"/>
              <w:rPr>
                <w:lang w:val="ru-RU"/>
              </w:rPr>
            </w:pPr>
            <w:r>
              <w:rPr>
                <w:b/>
                <w:lang w:val="ru-RU"/>
              </w:rPr>
              <w:t>Э</w:t>
            </w:r>
            <w:r w:rsidR="007D4BCC" w:rsidRPr="0049187C">
              <w:rPr>
                <w:b/>
                <w:lang w:val="ru-RU"/>
              </w:rPr>
              <w:t>ффективная процентная ставка, скорректированная с учетом кредитного риска</w:t>
            </w:r>
          </w:p>
        </w:tc>
        <w:tc>
          <w:tcPr>
            <w:tcW w:w="6832" w:type="dxa"/>
            <w:tcBorders>
              <w:top w:val="nil"/>
              <w:left w:val="nil"/>
            </w:tcBorders>
            <w:vAlign w:val="bottom"/>
          </w:tcPr>
          <w:p w:rsidR="007D4BCC" w:rsidRPr="0049187C" w:rsidRDefault="007D4BCC" w:rsidP="005C3C95">
            <w:pPr>
              <w:pStyle w:val="IASBTableTNR"/>
              <w:jc w:val="both"/>
              <w:rPr>
                <w:lang w:val="ru-RU"/>
              </w:rPr>
            </w:pPr>
            <w:r w:rsidRPr="0049187C">
              <w:rPr>
                <w:lang w:val="ru-RU"/>
              </w:rPr>
              <w:t>Ставка, дисконтир</w:t>
            </w:r>
            <w:r w:rsidR="0014284C">
              <w:rPr>
                <w:lang w:val="ru-RU"/>
              </w:rPr>
              <w:t>у</w:t>
            </w:r>
            <w:r w:rsidR="00E21731">
              <w:rPr>
                <w:lang w:val="ru-RU"/>
              </w:rPr>
              <w:t>ющая</w:t>
            </w:r>
            <w:r w:rsidRPr="0049187C">
              <w:rPr>
                <w:lang w:val="ru-RU"/>
              </w:rPr>
              <w:t xml:space="preserve"> </w:t>
            </w:r>
            <w:r w:rsidR="0014284C" w:rsidRPr="0049187C">
              <w:rPr>
                <w:lang w:val="ru-RU"/>
              </w:rPr>
              <w:t>расчетны</w:t>
            </w:r>
            <w:r w:rsidR="0014284C">
              <w:rPr>
                <w:lang w:val="ru-RU"/>
              </w:rPr>
              <w:t>е</w:t>
            </w:r>
            <w:r w:rsidR="0014284C" w:rsidRPr="0049187C">
              <w:rPr>
                <w:lang w:val="ru-RU"/>
              </w:rPr>
              <w:t xml:space="preserve"> будущи</w:t>
            </w:r>
            <w:r w:rsidR="0014284C">
              <w:rPr>
                <w:lang w:val="ru-RU"/>
              </w:rPr>
              <w:t>е</w:t>
            </w:r>
            <w:r w:rsidR="0014284C" w:rsidRPr="0049187C">
              <w:rPr>
                <w:lang w:val="ru-RU"/>
              </w:rPr>
              <w:t xml:space="preserve"> денежны</w:t>
            </w:r>
            <w:r w:rsidR="0014284C">
              <w:rPr>
                <w:lang w:val="ru-RU"/>
              </w:rPr>
              <w:t>е</w:t>
            </w:r>
            <w:r w:rsidR="0014284C" w:rsidRPr="0049187C">
              <w:rPr>
                <w:lang w:val="ru-RU"/>
              </w:rPr>
              <w:t xml:space="preserve"> </w:t>
            </w:r>
            <w:r w:rsidR="00E21731">
              <w:rPr>
                <w:lang w:val="ru-RU"/>
              </w:rPr>
              <w:t>выплаты</w:t>
            </w:r>
            <w:r w:rsidRPr="0049187C">
              <w:rPr>
                <w:lang w:val="ru-RU"/>
              </w:rPr>
              <w:t xml:space="preserve"> или поступлени</w:t>
            </w:r>
            <w:r w:rsidR="0014284C">
              <w:rPr>
                <w:lang w:val="ru-RU"/>
              </w:rPr>
              <w:t>я</w:t>
            </w:r>
            <w:r w:rsidRPr="0049187C">
              <w:rPr>
                <w:lang w:val="ru-RU"/>
              </w:rPr>
              <w:t xml:space="preserve"> на протяжении ожидаемого срока действия финансового актива</w:t>
            </w:r>
            <w:r w:rsidR="005C3C95">
              <w:rPr>
                <w:lang w:val="ru-RU"/>
              </w:rPr>
              <w:t xml:space="preserve"> точно</w:t>
            </w:r>
            <w:r w:rsidRPr="0049187C">
              <w:rPr>
                <w:lang w:val="ru-RU"/>
              </w:rPr>
              <w:t xml:space="preserve"> до </w:t>
            </w:r>
            <w:r w:rsidRPr="0049187C">
              <w:rPr>
                <w:b/>
                <w:lang w:val="ru-RU"/>
              </w:rPr>
              <w:t>амортизированной стоимости финансового актива</w:t>
            </w:r>
            <w:r w:rsidRPr="0049187C">
              <w:rPr>
                <w:lang w:val="ru-RU"/>
              </w:rPr>
              <w:t xml:space="preserve">, который является </w:t>
            </w:r>
            <w:r w:rsidRPr="0049187C">
              <w:rPr>
                <w:b/>
                <w:lang w:val="ru-RU"/>
              </w:rPr>
              <w:t xml:space="preserve">приобретенным </w:t>
            </w:r>
            <w:r w:rsidR="004766E2">
              <w:rPr>
                <w:b/>
                <w:lang w:val="ru-RU"/>
              </w:rPr>
              <w:t>или</w:t>
            </w:r>
            <w:r w:rsidRPr="0049187C">
              <w:rPr>
                <w:b/>
                <w:lang w:val="ru-RU"/>
              </w:rPr>
              <w:t xml:space="preserve"> </w:t>
            </w:r>
            <w:r w:rsidR="004766E2">
              <w:rPr>
                <w:b/>
                <w:lang w:val="ru-RU"/>
              </w:rPr>
              <w:t>созданным кредитно-обесцененным</w:t>
            </w:r>
            <w:r w:rsidR="00C0694C" w:rsidRPr="0049187C">
              <w:rPr>
                <w:b/>
                <w:lang w:val="ru-RU"/>
              </w:rPr>
              <w:t xml:space="preserve"> </w:t>
            </w:r>
            <w:r w:rsidRPr="0049187C">
              <w:rPr>
                <w:b/>
                <w:lang w:val="ru-RU"/>
              </w:rPr>
              <w:t>финансовым активом</w:t>
            </w:r>
            <w:r w:rsidRPr="0049187C">
              <w:rPr>
                <w:lang w:val="ru-RU"/>
              </w:rPr>
              <w:t xml:space="preserve">. При расчете эффективной процентной ставки, скорректированной с учетом кредитного риска, организация должна оценивать ожидаемые денежные потоки с учетом всех договорных условий финансового инструмента (например, </w:t>
            </w:r>
            <w:r w:rsidR="005C3C95">
              <w:rPr>
                <w:lang w:val="ru-RU"/>
              </w:rPr>
              <w:t xml:space="preserve">опциона на </w:t>
            </w:r>
            <w:r w:rsidR="00051E11" w:rsidRPr="0049187C">
              <w:rPr>
                <w:lang w:val="ru-RU"/>
              </w:rPr>
              <w:t>досрочное погашение</w:t>
            </w:r>
            <w:r w:rsidRPr="0049187C">
              <w:rPr>
                <w:lang w:val="ru-RU"/>
              </w:rPr>
              <w:t xml:space="preserve">, </w:t>
            </w:r>
            <w:r w:rsidR="005C3C95">
              <w:rPr>
                <w:lang w:val="ru-RU"/>
              </w:rPr>
              <w:t xml:space="preserve">опциона на </w:t>
            </w:r>
            <w:r w:rsidRPr="0049187C">
              <w:rPr>
                <w:lang w:val="ru-RU"/>
              </w:rPr>
              <w:t>продление, к</w:t>
            </w:r>
            <w:r w:rsidR="005C3C95">
              <w:rPr>
                <w:lang w:val="ru-RU"/>
              </w:rPr>
              <w:t>олл-опциона и аналогичных опционов</w:t>
            </w:r>
            <w:r w:rsidRPr="0049187C">
              <w:rPr>
                <w:lang w:val="ru-RU"/>
              </w:rPr>
              <w:t xml:space="preserve">) и </w:t>
            </w:r>
            <w:r w:rsidR="005C3C95">
              <w:rPr>
                <w:b/>
                <w:lang w:val="ru-RU"/>
              </w:rPr>
              <w:t>ожидаемых кредитных убытков</w:t>
            </w:r>
            <w:r w:rsidRPr="0049187C">
              <w:rPr>
                <w:lang w:val="ru-RU"/>
              </w:rPr>
              <w:t xml:space="preserve">. </w:t>
            </w:r>
            <w:r w:rsidR="005C3C95">
              <w:rPr>
                <w:lang w:val="ru-RU"/>
              </w:rPr>
              <w:t>В расчет включаются</w:t>
            </w:r>
            <w:r w:rsidRPr="0049187C">
              <w:rPr>
                <w:lang w:val="ru-RU"/>
              </w:rPr>
              <w:t xml:space="preserve"> все вознаграждения и суммы, выплаченные или полученные</w:t>
            </w:r>
            <w:r w:rsidR="005C3C95">
              <w:rPr>
                <w:lang w:val="ru-RU"/>
              </w:rPr>
              <w:t xml:space="preserve"> между</w:t>
            </w:r>
            <w:r w:rsidRPr="0049187C">
              <w:rPr>
                <w:lang w:val="ru-RU"/>
              </w:rPr>
              <w:t xml:space="preserve"> сторонами по договору, которые являются неотъемлемой частью эффективной процентной ставки (см. пункты B5.4.1</w:t>
            </w:r>
            <w:r w:rsidRPr="0049187C">
              <w:rPr>
                <w:rFonts w:ascii="Cambria Math" w:hAnsi="Cambria Math" w:cs="Cambria Math"/>
                <w:lang w:val="ru-RU"/>
              </w:rPr>
              <w:t>‒</w:t>
            </w:r>
            <w:r w:rsidRPr="0049187C">
              <w:rPr>
                <w:lang w:val="ru-RU"/>
              </w:rPr>
              <w:t xml:space="preserve">B5.4.3), </w:t>
            </w:r>
            <w:r w:rsidRPr="0049187C">
              <w:rPr>
                <w:b/>
                <w:lang w:val="ru-RU"/>
              </w:rPr>
              <w:t>затрат</w:t>
            </w:r>
            <w:r w:rsidR="0014284C">
              <w:rPr>
                <w:b/>
                <w:lang w:val="ru-RU"/>
              </w:rPr>
              <w:t>ы</w:t>
            </w:r>
            <w:r w:rsidRPr="0049187C">
              <w:rPr>
                <w:b/>
                <w:lang w:val="ru-RU"/>
              </w:rPr>
              <w:t xml:space="preserve"> по сделке</w:t>
            </w:r>
            <w:r w:rsidRPr="0049187C">
              <w:rPr>
                <w:lang w:val="ru-RU"/>
              </w:rPr>
              <w:t xml:space="preserve"> и все </w:t>
            </w:r>
            <w:r w:rsidR="0014284C" w:rsidRPr="0049187C">
              <w:rPr>
                <w:lang w:val="ru-RU"/>
              </w:rPr>
              <w:t>прочи</w:t>
            </w:r>
            <w:r w:rsidR="0014284C">
              <w:rPr>
                <w:lang w:val="ru-RU"/>
              </w:rPr>
              <w:t>е</w:t>
            </w:r>
            <w:r w:rsidR="0014284C" w:rsidRPr="0049187C">
              <w:rPr>
                <w:lang w:val="ru-RU"/>
              </w:rPr>
              <w:t xml:space="preserve"> преми</w:t>
            </w:r>
            <w:r w:rsidR="0014284C">
              <w:rPr>
                <w:lang w:val="ru-RU"/>
              </w:rPr>
              <w:t>и</w:t>
            </w:r>
            <w:r w:rsidR="0014284C" w:rsidRPr="0049187C">
              <w:rPr>
                <w:lang w:val="ru-RU"/>
              </w:rPr>
              <w:t xml:space="preserve"> </w:t>
            </w:r>
            <w:r w:rsidRPr="0049187C">
              <w:rPr>
                <w:lang w:val="ru-RU"/>
              </w:rPr>
              <w:t>или скид</w:t>
            </w:r>
            <w:r w:rsidR="0014284C">
              <w:rPr>
                <w:lang w:val="ru-RU"/>
              </w:rPr>
              <w:t>ки</w:t>
            </w:r>
            <w:r w:rsidRPr="0049187C">
              <w:rPr>
                <w:lang w:val="ru-RU"/>
              </w:rPr>
              <w:t xml:space="preserve">. </w:t>
            </w:r>
            <w:r w:rsidR="0014284C">
              <w:rPr>
                <w:lang w:val="ru-RU"/>
              </w:rPr>
              <w:t>Предполагается</w:t>
            </w:r>
            <w:r w:rsidRPr="0049187C">
              <w:rPr>
                <w:lang w:val="ru-RU"/>
              </w:rPr>
              <w:t xml:space="preserve">, что денежные потоки и ожидаемый срок действия группы аналогичных финансовых инструментов могут быть надежно оценены. Однако в тех редких случаях, когда надежная оценка денежных потоков или оставшегося срока действия финансового инструмента (или группы финансовых инструментов) не представляется возможной, организация должна использовать данные по </w:t>
            </w:r>
            <w:r w:rsidR="005C3C95">
              <w:rPr>
                <w:lang w:val="ru-RU"/>
              </w:rPr>
              <w:t xml:space="preserve">предусмотренным договором </w:t>
            </w:r>
            <w:r w:rsidRPr="0049187C">
              <w:rPr>
                <w:lang w:val="ru-RU"/>
              </w:rPr>
              <w:t xml:space="preserve">денежным потокам на протяжении всего договорного срока действия </w:t>
            </w:r>
            <w:r w:rsidR="005C3C95">
              <w:rPr>
                <w:lang w:val="ru-RU"/>
              </w:rPr>
              <w:t xml:space="preserve">этого </w:t>
            </w:r>
            <w:r w:rsidRPr="0049187C">
              <w:rPr>
                <w:lang w:val="ru-RU"/>
              </w:rPr>
              <w:t>финансового инструмента (или</w:t>
            </w:r>
            <w:r w:rsidR="005C3C95">
              <w:rPr>
                <w:lang w:val="ru-RU"/>
              </w:rPr>
              <w:t xml:space="preserve"> этой</w:t>
            </w:r>
            <w:r w:rsidRPr="0049187C">
              <w:rPr>
                <w:lang w:val="ru-RU"/>
              </w:rPr>
              <w:t xml:space="preserve"> группы финансовых инструментов).</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E7773" w:rsidP="00C47E8A">
            <w:pPr>
              <w:pStyle w:val="IASBTableTNR"/>
              <w:rPr>
                <w:lang w:val="ru-RU"/>
              </w:rPr>
            </w:pPr>
            <w:r>
              <w:rPr>
                <w:b/>
                <w:lang w:val="ru-RU"/>
              </w:rPr>
              <w:t>П</w:t>
            </w:r>
            <w:r w:rsidR="007D4BCC" w:rsidRPr="0049187C">
              <w:rPr>
                <w:b/>
                <w:lang w:val="ru-RU"/>
              </w:rPr>
              <w:t>рекращение признания</w:t>
            </w:r>
          </w:p>
        </w:tc>
        <w:tc>
          <w:tcPr>
            <w:tcW w:w="6832" w:type="dxa"/>
            <w:tcBorders>
              <w:top w:val="nil"/>
              <w:left w:val="nil"/>
            </w:tcBorders>
            <w:vAlign w:val="bottom"/>
          </w:tcPr>
          <w:p w:rsidR="007D4BCC" w:rsidRPr="0049187C" w:rsidRDefault="007D4BCC" w:rsidP="004766E2">
            <w:pPr>
              <w:pStyle w:val="IASBTableTNR"/>
              <w:jc w:val="both"/>
              <w:rPr>
                <w:lang w:val="ru-RU"/>
              </w:rPr>
            </w:pPr>
            <w:r w:rsidRPr="0049187C">
              <w:rPr>
                <w:lang w:val="ru-RU"/>
              </w:rPr>
              <w:t>Исключение ранее признанного финансового актива или финансового обязательства из отчета о финансовом положении организации.</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E7773" w:rsidP="00C47E8A">
            <w:pPr>
              <w:pStyle w:val="IASBTableTNR"/>
              <w:rPr>
                <w:lang w:val="ru-RU"/>
              </w:rPr>
            </w:pPr>
            <w:r>
              <w:rPr>
                <w:b/>
                <w:lang w:val="ru-RU"/>
              </w:rPr>
              <w:t>П</w:t>
            </w:r>
            <w:r w:rsidR="007D4BCC" w:rsidRPr="0049187C">
              <w:rPr>
                <w:b/>
                <w:lang w:val="ru-RU"/>
              </w:rPr>
              <w:t>роизводный инструмент</w:t>
            </w:r>
          </w:p>
        </w:tc>
        <w:tc>
          <w:tcPr>
            <w:tcW w:w="6832" w:type="dxa"/>
            <w:tcBorders>
              <w:top w:val="nil"/>
              <w:left w:val="nil"/>
            </w:tcBorders>
            <w:vAlign w:val="bottom"/>
          </w:tcPr>
          <w:p w:rsidR="007D4BCC" w:rsidRPr="0049187C" w:rsidRDefault="007D4BCC" w:rsidP="004766E2">
            <w:pPr>
              <w:pStyle w:val="IASBTableTNR"/>
              <w:jc w:val="both"/>
              <w:rPr>
                <w:lang w:val="ru-RU"/>
              </w:rPr>
            </w:pPr>
            <w:r w:rsidRPr="0049187C">
              <w:rPr>
                <w:lang w:val="ru-RU"/>
              </w:rPr>
              <w:t>Финан</w:t>
            </w:r>
            <w:r w:rsidR="0082090A">
              <w:rPr>
                <w:lang w:val="ru-RU"/>
              </w:rPr>
              <w:t xml:space="preserve">совый инструмент или </w:t>
            </w:r>
            <w:r w:rsidRPr="0049187C">
              <w:rPr>
                <w:lang w:val="ru-RU"/>
              </w:rPr>
              <w:t>иной договор, находящийся в сфере применения настоящего стандарта</w:t>
            </w:r>
            <w:r w:rsidR="0014284C">
              <w:rPr>
                <w:lang w:val="ru-RU"/>
              </w:rPr>
              <w:t xml:space="preserve"> и обладающий</w:t>
            </w:r>
            <w:r w:rsidRPr="0049187C">
              <w:rPr>
                <w:lang w:val="ru-RU"/>
              </w:rPr>
              <w:t xml:space="preserve"> всеми тр</w:t>
            </w:r>
            <w:r w:rsidR="00FD0A06">
              <w:rPr>
                <w:lang w:val="ru-RU"/>
              </w:rPr>
              <w:t>емя следующими характеристиками:</w:t>
            </w:r>
          </w:p>
          <w:p w:rsidR="007D4BCC" w:rsidRPr="0049187C" w:rsidRDefault="007D4BCC" w:rsidP="00C47E8A">
            <w:pPr>
              <w:pStyle w:val="IASBNormalL1"/>
              <w:rPr>
                <w:lang w:val="ru-RU"/>
              </w:rPr>
            </w:pPr>
            <w:r w:rsidRPr="0049187C">
              <w:rPr>
                <w:lang w:val="ru-RU"/>
              </w:rPr>
              <w:t xml:space="preserve"> (a)</w:t>
            </w:r>
            <w:r w:rsidRPr="0049187C">
              <w:rPr>
                <w:lang w:val="ru-RU"/>
              </w:rPr>
              <w:tab/>
              <w:t xml:space="preserve">его стоимость меняется в результате изменения определенной процентной ставки, цены финансового инструмента, цены товара, валютного курса, индекса цен или ставок, кредитного </w:t>
            </w:r>
            <w:r w:rsidR="00FD0A06">
              <w:rPr>
                <w:lang w:val="ru-RU"/>
              </w:rPr>
              <w:t>рейтинга или кредитного индекса</w:t>
            </w:r>
            <w:r w:rsidRPr="0049187C">
              <w:rPr>
                <w:lang w:val="ru-RU"/>
              </w:rPr>
              <w:t xml:space="preserve"> или </w:t>
            </w:r>
            <w:r w:rsidR="004E0501">
              <w:rPr>
                <w:lang w:val="ru-RU"/>
              </w:rPr>
              <w:t>иной</w:t>
            </w:r>
            <w:r w:rsidRPr="0049187C">
              <w:rPr>
                <w:lang w:val="ru-RU"/>
              </w:rPr>
              <w:t xml:space="preserve"> переменной</w:t>
            </w:r>
            <w:r w:rsidR="00E21731">
              <w:rPr>
                <w:lang w:val="ru-RU"/>
              </w:rPr>
              <w:t xml:space="preserve"> </w:t>
            </w:r>
            <w:r w:rsidR="004766E2">
              <w:rPr>
                <w:lang w:val="ru-RU"/>
              </w:rPr>
              <w:t>(иногда называемой «базовой</w:t>
            </w:r>
            <w:r w:rsidR="00E21731" w:rsidRPr="0049187C">
              <w:rPr>
                <w:lang w:val="ru-RU"/>
              </w:rPr>
              <w:t>»)</w:t>
            </w:r>
            <w:r w:rsidRPr="0049187C">
              <w:rPr>
                <w:lang w:val="ru-RU"/>
              </w:rPr>
              <w:t xml:space="preserve">, при условии, что </w:t>
            </w:r>
            <w:r w:rsidR="004E0501">
              <w:rPr>
                <w:lang w:val="ru-RU"/>
              </w:rPr>
              <w:t>указанная переменная – если это нефинансовая переменная –</w:t>
            </w:r>
            <w:r w:rsidR="00C244FE">
              <w:rPr>
                <w:lang w:val="ru-RU"/>
              </w:rPr>
              <w:t xml:space="preserve"> </w:t>
            </w:r>
            <w:r w:rsidRPr="0049187C">
              <w:rPr>
                <w:lang w:val="ru-RU"/>
              </w:rPr>
              <w:t xml:space="preserve">не является специфичной для какой-либо из сторон </w:t>
            </w:r>
            <w:r w:rsidR="00C244FE">
              <w:rPr>
                <w:lang w:val="ru-RU"/>
              </w:rPr>
              <w:t>по договору</w:t>
            </w:r>
            <w:r w:rsidR="00FD0A06">
              <w:rPr>
                <w:lang w:val="ru-RU"/>
              </w:rPr>
              <w:t>;</w:t>
            </w:r>
          </w:p>
          <w:p w:rsidR="007D4BCC" w:rsidRPr="0049187C" w:rsidRDefault="007D4BCC" w:rsidP="00C47E8A">
            <w:pPr>
              <w:pStyle w:val="IASBNormalL1"/>
              <w:rPr>
                <w:lang w:val="ru-RU"/>
              </w:rPr>
            </w:pPr>
            <w:r w:rsidRPr="0049187C">
              <w:rPr>
                <w:lang w:val="ru-RU"/>
              </w:rPr>
              <w:t>(b)</w:t>
            </w:r>
            <w:r w:rsidRPr="0049187C">
              <w:rPr>
                <w:lang w:val="ru-RU"/>
              </w:rPr>
              <w:tab/>
              <w:t xml:space="preserve">для </w:t>
            </w:r>
            <w:r w:rsidR="00C244FE">
              <w:rPr>
                <w:lang w:val="ru-RU"/>
              </w:rPr>
              <w:t>его приобретения не требуется первоначальная чистая</w:t>
            </w:r>
            <w:r w:rsidRPr="0049187C">
              <w:rPr>
                <w:lang w:val="ru-RU"/>
              </w:rPr>
              <w:t xml:space="preserve"> инвест</w:t>
            </w:r>
            <w:r w:rsidR="00C244FE">
              <w:rPr>
                <w:lang w:val="ru-RU"/>
              </w:rPr>
              <w:t>иция</w:t>
            </w:r>
            <w:r w:rsidRPr="0049187C">
              <w:rPr>
                <w:lang w:val="ru-RU"/>
              </w:rPr>
              <w:t xml:space="preserve"> или требуется </w:t>
            </w:r>
            <w:r w:rsidR="00C244FE">
              <w:rPr>
                <w:lang w:val="ru-RU"/>
              </w:rPr>
              <w:t xml:space="preserve">сравнительно небольшая </w:t>
            </w:r>
            <w:r w:rsidRPr="0049187C">
              <w:rPr>
                <w:lang w:val="ru-RU"/>
              </w:rPr>
              <w:t>первоначальная чистая инвестиция</w:t>
            </w:r>
            <w:r w:rsidR="00C244FE">
              <w:rPr>
                <w:lang w:val="ru-RU"/>
              </w:rPr>
              <w:t xml:space="preserve"> по сравнению с другими видами</w:t>
            </w:r>
            <w:r w:rsidRPr="0049187C">
              <w:rPr>
                <w:lang w:val="ru-RU"/>
              </w:rPr>
              <w:t xml:space="preserve"> договоров, которые</w:t>
            </w:r>
            <w:r w:rsidR="00C244FE">
              <w:rPr>
                <w:lang w:val="ru-RU"/>
              </w:rPr>
              <w:t xml:space="preserve">, согласно ожиданиям, реагировали бы аналогичным образом </w:t>
            </w:r>
            <w:r w:rsidR="00FD0A06">
              <w:rPr>
                <w:lang w:val="ru-RU"/>
              </w:rPr>
              <w:t>на изменения рыночных факторов;</w:t>
            </w:r>
          </w:p>
          <w:p w:rsidR="007D4BCC" w:rsidRPr="0049187C" w:rsidRDefault="007D4BCC" w:rsidP="00C47E8A">
            <w:pPr>
              <w:pStyle w:val="IASBNormalL1"/>
              <w:rPr>
                <w:lang w:val="ru-RU"/>
              </w:rPr>
            </w:pPr>
            <w:r w:rsidRPr="0049187C">
              <w:rPr>
                <w:lang w:val="ru-RU"/>
              </w:rPr>
              <w:t>(c)</w:t>
            </w:r>
            <w:r w:rsidRPr="0049187C">
              <w:rPr>
                <w:lang w:val="ru-RU"/>
              </w:rPr>
              <w:tab/>
              <w:t>расчеты по нему</w:t>
            </w:r>
            <w:r w:rsidR="00C244FE">
              <w:rPr>
                <w:lang w:val="ru-RU"/>
              </w:rPr>
              <w:t xml:space="preserve"> будут осуществлены</w:t>
            </w:r>
            <w:r w:rsidRPr="0049187C">
              <w:rPr>
                <w:lang w:val="ru-RU"/>
              </w:rPr>
              <w:t xml:space="preserve"> на</w:t>
            </w:r>
            <w:r w:rsidR="00C244FE">
              <w:rPr>
                <w:lang w:val="ru-RU"/>
              </w:rPr>
              <w:t xml:space="preserve"> некоторую</w:t>
            </w:r>
            <w:r w:rsidRPr="0049187C">
              <w:rPr>
                <w:lang w:val="ru-RU"/>
              </w:rPr>
              <w:t xml:space="preserve"> дату в будущем.</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E7773" w:rsidP="00C47E8A">
            <w:pPr>
              <w:pStyle w:val="IASBTableTNR"/>
              <w:rPr>
                <w:lang w:val="ru-RU"/>
              </w:rPr>
            </w:pPr>
            <w:r>
              <w:rPr>
                <w:b/>
                <w:lang w:val="ru-RU"/>
              </w:rPr>
              <w:t>Д</w:t>
            </w:r>
            <w:r w:rsidR="007D4BCC" w:rsidRPr="0049187C">
              <w:rPr>
                <w:b/>
                <w:lang w:val="ru-RU"/>
              </w:rPr>
              <w:t>ивиденды</w:t>
            </w:r>
          </w:p>
        </w:tc>
        <w:tc>
          <w:tcPr>
            <w:tcW w:w="6832" w:type="dxa"/>
            <w:tcBorders>
              <w:top w:val="nil"/>
              <w:left w:val="nil"/>
            </w:tcBorders>
            <w:vAlign w:val="bottom"/>
          </w:tcPr>
          <w:p w:rsidR="007D4BCC" w:rsidRPr="0049187C" w:rsidRDefault="00855E2B" w:rsidP="00855E2B">
            <w:pPr>
              <w:pStyle w:val="IASBTableTNR"/>
              <w:jc w:val="both"/>
              <w:rPr>
                <w:lang w:val="ru-RU"/>
              </w:rPr>
            </w:pPr>
            <w:r>
              <w:rPr>
                <w:lang w:val="ru-RU"/>
              </w:rPr>
              <w:t xml:space="preserve">Распределения прибылей </w:t>
            </w:r>
            <w:r w:rsidRPr="0049187C">
              <w:rPr>
                <w:lang w:val="ru-RU"/>
              </w:rPr>
              <w:t xml:space="preserve">между держателями долевых инструментов пропорционально принадлежащим </w:t>
            </w:r>
            <w:r>
              <w:rPr>
                <w:lang w:val="ru-RU"/>
              </w:rPr>
              <w:t>им долям в капитале определенного класса</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E7773" w:rsidP="00C47E8A">
            <w:pPr>
              <w:pStyle w:val="IASBTableTNR"/>
              <w:rPr>
                <w:lang w:val="ru-RU"/>
              </w:rPr>
            </w:pPr>
            <w:r>
              <w:rPr>
                <w:b/>
                <w:lang w:val="ru-RU"/>
              </w:rPr>
              <w:t>М</w:t>
            </w:r>
            <w:r w:rsidR="007D4BCC" w:rsidRPr="0049187C">
              <w:rPr>
                <w:b/>
                <w:lang w:val="ru-RU"/>
              </w:rPr>
              <w:t>етод эффективной процентной ставки</w:t>
            </w:r>
          </w:p>
        </w:tc>
        <w:tc>
          <w:tcPr>
            <w:tcW w:w="6832" w:type="dxa"/>
            <w:tcBorders>
              <w:top w:val="nil"/>
              <w:left w:val="nil"/>
            </w:tcBorders>
            <w:vAlign w:val="bottom"/>
          </w:tcPr>
          <w:p w:rsidR="007D4BCC" w:rsidRPr="0049187C" w:rsidRDefault="007D4BCC" w:rsidP="004766E2">
            <w:pPr>
              <w:pStyle w:val="IASBTableTNR"/>
              <w:jc w:val="both"/>
              <w:rPr>
                <w:lang w:val="ru-RU"/>
              </w:rPr>
            </w:pPr>
            <w:r w:rsidRPr="0049187C">
              <w:rPr>
                <w:lang w:val="ru-RU"/>
              </w:rPr>
              <w:t xml:space="preserve">Метод, применяемый для расчета </w:t>
            </w:r>
            <w:r w:rsidRPr="0049187C">
              <w:rPr>
                <w:b/>
                <w:lang w:val="ru-RU"/>
              </w:rPr>
              <w:t>амортизированной стоимости финансового актива или финансового обязательства</w:t>
            </w:r>
            <w:r w:rsidRPr="0049187C">
              <w:rPr>
                <w:lang w:val="ru-RU"/>
              </w:rPr>
              <w:t>, а также для распределения и признания процентной выручки или процентных расходов в составе прибыли или убытка на протяжении соответствующего периода.</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E7773" w:rsidP="00C47E8A">
            <w:pPr>
              <w:pStyle w:val="IASBTableTNR"/>
              <w:rPr>
                <w:lang w:val="ru-RU"/>
              </w:rPr>
            </w:pPr>
            <w:r>
              <w:rPr>
                <w:b/>
                <w:lang w:val="ru-RU"/>
              </w:rPr>
              <w:t>Э</w:t>
            </w:r>
            <w:r w:rsidR="007D4BCC" w:rsidRPr="0049187C">
              <w:rPr>
                <w:b/>
                <w:lang w:val="ru-RU"/>
              </w:rPr>
              <w:t>ффективная процентная ставка</w:t>
            </w:r>
          </w:p>
        </w:tc>
        <w:tc>
          <w:tcPr>
            <w:tcW w:w="6832" w:type="dxa"/>
            <w:tcBorders>
              <w:top w:val="nil"/>
              <w:left w:val="nil"/>
            </w:tcBorders>
            <w:vAlign w:val="bottom"/>
          </w:tcPr>
          <w:p w:rsidR="007D4BCC" w:rsidRPr="0049187C" w:rsidRDefault="007D4BCC" w:rsidP="00734D54">
            <w:pPr>
              <w:pStyle w:val="IASBTableTNR"/>
              <w:jc w:val="both"/>
              <w:rPr>
                <w:lang w:val="ru-RU"/>
              </w:rPr>
            </w:pPr>
            <w:r w:rsidRPr="0049187C">
              <w:rPr>
                <w:lang w:val="ru-RU"/>
              </w:rPr>
              <w:t>Ставка, дисконтир</w:t>
            </w:r>
            <w:r w:rsidR="00E21731">
              <w:rPr>
                <w:lang w:val="ru-RU"/>
              </w:rPr>
              <w:t>ующая</w:t>
            </w:r>
            <w:r w:rsidRPr="0049187C">
              <w:rPr>
                <w:lang w:val="ru-RU"/>
              </w:rPr>
              <w:t xml:space="preserve"> расчетны</w:t>
            </w:r>
            <w:r w:rsidR="00E21731">
              <w:rPr>
                <w:lang w:val="ru-RU"/>
              </w:rPr>
              <w:t>е</w:t>
            </w:r>
            <w:r w:rsidRPr="0049187C">
              <w:rPr>
                <w:lang w:val="ru-RU"/>
              </w:rPr>
              <w:t xml:space="preserve"> </w:t>
            </w:r>
            <w:r w:rsidR="00E21731" w:rsidRPr="0049187C">
              <w:rPr>
                <w:lang w:val="ru-RU"/>
              </w:rPr>
              <w:t>будущи</w:t>
            </w:r>
            <w:r w:rsidR="00E21731">
              <w:rPr>
                <w:lang w:val="ru-RU"/>
              </w:rPr>
              <w:t>е</w:t>
            </w:r>
            <w:r w:rsidR="00E21731" w:rsidRPr="0049187C">
              <w:rPr>
                <w:lang w:val="ru-RU"/>
              </w:rPr>
              <w:t xml:space="preserve"> денежны</w:t>
            </w:r>
            <w:r w:rsidR="00E21731">
              <w:rPr>
                <w:lang w:val="ru-RU"/>
              </w:rPr>
              <w:t>е</w:t>
            </w:r>
            <w:r w:rsidR="00E21731" w:rsidRPr="0049187C">
              <w:rPr>
                <w:lang w:val="ru-RU"/>
              </w:rPr>
              <w:t xml:space="preserve"> </w:t>
            </w:r>
            <w:r w:rsidR="00E21731">
              <w:rPr>
                <w:lang w:val="ru-RU"/>
              </w:rPr>
              <w:t>выплаты</w:t>
            </w:r>
            <w:r w:rsidR="00E21731" w:rsidRPr="0049187C">
              <w:rPr>
                <w:lang w:val="ru-RU"/>
              </w:rPr>
              <w:t xml:space="preserve"> </w:t>
            </w:r>
            <w:r w:rsidRPr="0049187C">
              <w:rPr>
                <w:lang w:val="ru-RU"/>
              </w:rPr>
              <w:t xml:space="preserve">или </w:t>
            </w:r>
            <w:r w:rsidR="00E21731" w:rsidRPr="0049187C">
              <w:rPr>
                <w:lang w:val="ru-RU"/>
              </w:rPr>
              <w:t>поступлени</w:t>
            </w:r>
            <w:r w:rsidR="00E21731">
              <w:rPr>
                <w:lang w:val="ru-RU"/>
              </w:rPr>
              <w:t>я</w:t>
            </w:r>
            <w:r w:rsidR="00E21731" w:rsidRPr="0049187C">
              <w:rPr>
                <w:lang w:val="ru-RU"/>
              </w:rPr>
              <w:t xml:space="preserve"> </w:t>
            </w:r>
            <w:r w:rsidRPr="0049187C">
              <w:rPr>
                <w:lang w:val="ru-RU"/>
              </w:rPr>
              <w:t>на протяжении ожидаемого срока действия финансового актива или финансового обязательства</w:t>
            </w:r>
            <w:r w:rsidR="00734D54">
              <w:rPr>
                <w:lang w:val="ru-RU"/>
              </w:rPr>
              <w:t xml:space="preserve"> точно</w:t>
            </w:r>
            <w:r w:rsidRPr="0049187C">
              <w:rPr>
                <w:lang w:val="ru-RU"/>
              </w:rPr>
              <w:t xml:space="preserve"> до </w:t>
            </w:r>
            <w:r w:rsidRPr="0049187C">
              <w:rPr>
                <w:b/>
                <w:lang w:val="ru-RU"/>
              </w:rPr>
              <w:t>валовой балансовой стоимости финансового актива</w:t>
            </w:r>
            <w:r w:rsidRPr="0049187C">
              <w:rPr>
                <w:lang w:val="ru-RU"/>
              </w:rPr>
              <w:t xml:space="preserve"> или</w:t>
            </w:r>
            <w:r w:rsidR="00734D54">
              <w:rPr>
                <w:lang w:val="ru-RU"/>
              </w:rPr>
              <w:t xml:space="preserve"> до</w:t>
            </w:r>
            <w:r w:rsidRPr="0049187C">
              <w:rPr>
                <w:lang w:val="ru-RU"/>
              </w:rPr>
              <w:t xml:space="preserve"> </w:t>
            </w:r>
            <w:r w:rsidRPr="0049187C">
              <w:rPr>
                <w:b/>
                <w:lang w:val="ru-RU"/>
              </w:rPr>
              <w:t>амортизированной стоимости финансового обязательства</w:t>
            </w:r>
            <w:r w:rsidRPr="0049187C">
              <w:rPr>
                <w:lang w:val="ru-RU"/>
              </w:rPr>
              <w:t>. При расчете эффективной процентной с</w:t>
            </w:r>
            <w:r w:rsidR="00734D54">
              <w:rPr>
                <w:lang w:val="ru-RU"/>
              </w:rPr>
              <w:t>тавки организация должна оцени</w:t>
            </w:r>
            <w:r w:rsidRPr="0049187C">
              <w:rPr>
                <w:lang w:val="ru-RU"/>
              </w:rPr>
              <w:t xml:space="preserve">ть ожидаемые денежные потоки с учетом всех договорных условий финансового инструмента (например, </w:t>
            </w:r>
            <w:r w:rsidR="00734D54">
              <w:rPr>
                <w:lang w:val="ru-RU"/>
              </w:rPr>
              <w:t xml:space="preserve">опциона на </w:t>
            </w:r>
            <w:r w:rsidR="00E21731">
              <w:rPr>
                <w:lang w:val="ru-RU"/>
              </w:rPr>
              <w:t>досрочное погашение</w:t>
            </w:r>
            <w:r w:rsidRPr="0049187C">
              <w:rPr>
                <w:lang w:val="ru-RU"/>
              </w:rPr>
              <w:t xml:space="preserve">, </w:t>
            </w:r>
            <w:r w:rsidR="00734D54">
              <w:rPr>
                <w:lang w:val="ru-RU"/>
              </w:rPr>
              <w:t xml:space="preserve">опциона на </w:t>
            </w:r>
            <w:r w:rsidRPr="0049187C">
              <w:rPr>
                <w:lang w:val="ru-RU"/>
              </w:rPr>
              <w:t>продление</w:t>
            </w:r>
            <w:r w:rsidR="00734D54">
              <w:rPr>
                <w:lang w:val="ru-RU"/>
              </w:rPr>
              <w:t>, колл-опциона и аналогичных опционов</w:t>
            </w:r>
            <w:r w:rsidRPr="0049187C">
              <w:rPr>
                <w:lang w:val="ru-RU"/>
              </w:rPr>
              <w:t xml:space="preserve">), но без учета </w:t>
            </w:r>
            <w:r w:rsidRPr="0049187C">
              <w:rPr>
                <w:b/>
                <w:lang w:val="ru-RU"/>
              </w:rPr>
              <w:t>ожидаемых кредитных убытков</w:t>
            </w:r>
            <w:r w:rsidRPr="0049187C">
              <w:rPr>
                <w:lang w:val="ru-RU"/>
              </w:rPr>
              <w:t xml:space="preserve">. </w:t>
            </w:r>
            <w:r w:rsidR="00734D54">
              <w:rPr>
                <w:lang w:val="ru-RU"/>
              </w:rPr>
              <w:t>В расчет включаются</w:t>
            </w:r>
            <w:r w:rsidRPr="0049187C">
              <w:rPr>
                <w:lang w:val="ru-RU"/>
              </w:rPr>
              <w:t xml:space="preserve"> все вознаграждения и суммы, выплаченные или полученные</w:t>
            </w:r>
            <w:r w:rsidR="00734D54">
              <w:rPr>
                <w:lang w:val="ru-RU"/>
              </w:rPr>
              <w:t xml:space="preserve"> между</w:t>
            </w:r>
            <w:r w:rsidRPr="0049187C">
              <w:rPr>
                <w:lang w:val="ru-RU"/>
              </w:rPr>
              <w:t xml:space="preserve"> сторонами по договору, которые являются неотъемлемой частью эффективной процентной ставки (см. пункты B5.4.1</w:t>
            </w:r>
            <w:r w:rsidRPr="0049187C">
              <w:rPr>
                <w:rFonts w:ascii="Cambria Math" w:hAnsi="Cambria Math" w:cs="Cambria Math"/>
                <w:lang w:val="ru-RU"/>
              </w:rPr>
              <w:t>‒</w:t>
            </w:r>
            <w:r w:rsidRPr="0049187C">
              <w:rPr>
                <w:lang w:val="ru-RU"/>
              </w:rPr>
              <w:t xml:space="preserve">B5.4.3), </w:t>
            </w:r>
            <w:r w:rsidRPr="0049187C">
              <w:rPr>
                <w:b/>
                <w:lang w:val="ru-RU"/>
              </w:rPr>
              <w:t>затрат</w:t>
            </w:r>
            <w:r w:rsidR="00E21731">
              <w:rPr>
                <w:b/>
                <w:lang w:val="ru-RU"/>
              </w:rPr>
              <w:t>ы</w:t>
            </w:r>
            <w:r w:rsidRPr="0049187C">
              <w:rPr>
                <w:b/>
                <w:lang w:val="ru-RU"/>
              </w:rPr>
              <w:t xml:space="preserve"> по сделке</w:t>
            </w:r>
            <w:r w:rsidRPr="0049187C">
              <w:rPr>
                <w:lang w:val="ru-RU"/>
              </w:rPr>
              <w:t xml:space="preserve"> и все </w:t>
            </w:r>
            <w:r w:rsidR="00E21731" w:rsidRPr="0049187C">
              <w:rPr>
                <w:lang w:val="ru-RU"/>
              </w:rPr>
              <w:t>прочи</w:t>
            </w:r>
            <w:r w:rsidR="00E21731">
              <w:rPr>
                <w:lang w:val="ru-RU"/>
              </w:rPr>
              <w:t>е</w:t>
            </w:r>
            <w:r w:rsidR="00E21731" w:rsidRPr="0049187C">
              <w:rPr>
                <w:lang w:val="ru-RU"/>
              </w:rPr>
              <w:t xml:space="preserve"> </w:t>
            </w:r>
            <w:r w:rsidRPr="0049187C">
              <w:rPr>
                <w:lang w:val="ru-RU"/>
              </w:rPr>
              <w:t>преми</w:t>
            </w:r>
            <w:r w:rsidR="00A16E6E">
              <w:rPr>
                <w:lang w:val="ru-RU"/>
              </w:rPr>
              <w:t>и</w:t>
            </w:r>
            <w:r w:rsidRPr="0049187C">
              <w:rPr>
                <w:lang w:val="ru-RU"/>
              </w:rPr>
              <w:t xml:space="preserve"> или скид</w:t>
            </w:r>
            <w:r w:rsidR="00E21731">
              <w:rPr>
                <w:lang w:val="ru-RU"/>
              </w:rPr>
              <w:t>ки</w:t>
            </w:r>
            <w:r w:rsidRPr="0049187C">
              <w:rPr>
                <w:lang w:val="ru-RU"/>
              </w:rPr>
              <w:t xml:space="preserve">. </w:t>
            </w:r>
            <w:r w:rsidR="00E21731">
              <w:rPr>
                <w:lang w:val="ru-RU"/>
              </w:rPr>
              <w:t>Предполагается</w:t>
            </w:r>
            <w:r w:rsidRPr="0049187C">
              <w:rPr>
                <w:lang w:val="ru-RU"/>
              </w:rPr>
              <w:t xml:space="preserve">, что денежные потоки и ожидаемый срок действия группы аналогичных </w:t>
            </w:r>
            <w:r w:rsidR="00734D54">
              <w:rPr>
                <w:lang w:val="ru-RU"/>
              </w:rPr>
              <w:t xml:space="preserve">друг другу </w:t>
            </w:r>
            <w:r w:rsidRPr="0049187C">
              <w:rPr>
                <w:lang w:val="ru-RU"/>
              </w:rPr>
              <w:t>финансовых инструментов могут быть надежно оценены. Однако в тех редких случаях, когда надежная оценка денежных потоков или ожидаемого срока действия финансового инструмента (или группы финансовых инструментов) не представляется возможной, организация должна использовать данные по</w:t>
            </w:r>
            <w:r w:rsidR="00734D54">
              <w:rPr>
                <w:lang w:val="ru-RU"/>
              </w:rPr>
              <w:t xml:space="preserve"> предусмотренным договором</w:t>
            </w:r>
            <w:r w:rsidRPr="0049187C">
              <w:rPr>
                <w:lang w:val="ru-RU"/>
              </w:rPr>
              <w:t xml:space="preserve"> денежным потокам на протяжении всего договорного срока действия</w:t>
            </w:r>
            <w:r w:rsidR="00734D54">
              <w:rPr>
                <w:lang w:val="ru-RU"/>
              </w:rPr>
              <w:t xml:space="preserve"> этого</w:t>
            </w:r>
            <w:r w:rsidRPr="0049187C">
              <w:rPr>
                <w:lang w:val="ru-RU"/>
              </w:rPr>
              <w:t xml:space="preserve"> финансового инструмента (или </w:t>
            </w:r>
            <w:r w:rsidR="00734D54">
              <w:rPr>
                <w:lang w:val="ru-RU"/>
              </w:rPr>
              <w:t xml:space="preserve">этой </w:t>
            </w:r>
            <w:r w:rsidRPr="0049187C">
              <w:rPr>
                <w:lang w:val="ru-RU"/>
              </w:rPr>
              <w:t>группы финансовых инструментов).</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E7773" w:rsidP="00C47E8A">
            <w:pPr>
              <w:pStyle w:val="IASBTableTNR"/>
              <w:rPr>
                <w:lang w:val="ru-RU"/>
              </w:rPr>
            </w:pPr>
            <w:r>
              <w:rPr>
                <w:b/>
                <w:lang w:val="ru-RU"/>
              </w:rPr>
              <w:t>О</w:t>
            </w:r>
            <w:r w:rsidR="007D4BCC" w:rsidRPr="0049187C">
              <w:rPr>
                <w:b/>
                <w:lang w:val="ru-RU"/>
              </w:rPr>
              <w:t>жидаемые кредитные убытки</w:t>
            </w:r>
          </w:p>
        </w:tc>
        <w:tc>
          <w:tcPr>
            <w:tcW w:w="6832" w:type="dxa"/>
            <w:tcBorders>
              <w:top w:val="nil"/>
              <w:left w:val="nil"/>
            </w:tcBorders>
            <w:vAlign w:val="bottom"/>
          </w:tcPr>
          <w:p w:rsidR="007D4BCC" w:rsidRPr="0049187C" w:rsidRDefault="007D4BCC" w:rsidP="002E380B">
            <w:pPr>
              <w:pStyle w:val="IASBTableTNR"/>
              <w:jc w:val="both"/>
              <w:rPr>
                <w:lang w:val="ru-RU"/>
              </w:rPr>
            </w:pPr>
            <w:r w:rsidRPr="0049187C">
              <w:rPr>
                <w:lang w:val="ru-RU"/>
              </w:rPr>
              <w:t xml:space="preserve">Средневзвешенное значение </w:t>
            </w:r>
            <w:r w:rsidRPr="0049187C">
              <w:rPr>
                <w:b/>
                <w:lang w:val="ru-RU"/>
              </w:rPr>
              <w:t>кредитных убытков</w:t>
            </w:r>
            <w:r w:rsidR="00F90378" w:rsidRPr="004D2F3F">
              <w:rPr>
                <w:lang w:val="ru-RU"/>
              </w:rPr>
              <w:t>, определенное</w:t>
            </w:r>
            <w:r w:rsidRPr="0049187C">
              <w:rPr>
                <w:lang w:val="ru-RU"/>
              </w:rPr>
              <w:t xml:space="preserve"> с </w:t>
            </w:r>
            <w:r w:rsidR="00F90378">
              <w:rPr>
                <w:lang w:val="ru-RU"/>
              </w:rPr>
              <w:t>использованием</w:t>
            </w:r>
            <w:r w:rsidR="00F90378" w:rsidRPr="0049187C">
              <w:rPr>
                <w:lang w:val="ru-RU"/>
              </w:rPr>
              <w:t xml:space="preserve"> </w:t>
            </w:r>
            <w:r w:rsidRPr="0049187C">
              <w:rPr>
                <w:lang w:val="ru-RU"/>
              </w:rPr>
              <w:t xml:space="preserve">соответствующих рисков </w:t>
            </w:r>
            <w:r w:rsidR="00051E11" w:rsidRPr="0049187C">
              <w:rPr>
                <w:lang w:val="ru-RU"/>
              </w:rPr>
              <w:t>наступления дефолта</w:t>
            </w:r>
            <w:r w:rsidRPr="0049187C">
              <w:rPr>
                <w:lang w:val="ru-RU"/>
              </w:rPr>
              <w:t xml:space="preserve"> в качестве </w:t>
            </w:r>
            <w:r w:rsidR="00E21731">
              <w:rPr>
                <w:lang w:val="ru-RU"/>
              </w:rPr>
              <w:t xml:space="preserve">весовых </w:t>
            </w:r>
            <w:r w:rsidRPr="0049187C">
              <w:rPr>
                <w:lang w:val="ru-RU"/>
              </w:rPr>
              <w:t>коэффициентов</w:t>
            </w:r>
            <w:r w:rsidR="000C634A" w:rsidRPr="00397946">
              <w:rPr>
                <w:lang w:val="ru-RU"/>
              </w:rPr>
              <w:t>.</w:t>
            </w:r>
            <w:r w:rsidRPr="0049187C">
              <w:rPr>
                <w:lang w:val="ru-RU"/>
              </w:rPr>
              <w:t xml:space="preserve"> </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E7773" w:rsidP="00C47E8A">
            <w:pPr>
              <w:pStyle w:val="IASBTableTNR"/>
              <w:rPr>
                <w:lang w:val="ru-RU"/>
              </w:rPr>
            </w:pPr>
            <w:r>
              <w:rPr>
                <w:b/>
                <w:lang w:val="ru-RU"/>
              </w:rPr>
              <w:t>Д</w:t>
            </w:r>
            <w:r w:rsidR="007D4BCC" w:rsidRPr="0049187C">
              <w:rPr>
                <w:b/>
                <w:lang w:val="ru-RU"/>
              </w:rPr>
              <w:t>оговор финансовой гарантии</w:t>
            </w:r>
          </w:p>
        </w:tc>
        <w:tc>
          <w:tcPr>
            <w:tcW w:w="6832" w:type="dxa"/>
            <w:tcBorders>
              <w:top w:val="nil"/>
              <w:left w:val="nil"/>
            </w:tcBorders>
            <w:vAlign w:val="bottom"/>
          </w:tcPr>
          <w:p w:rsidR="007D4BCC" w:rsidRPr="0049187C" w:rsidRDefault="007D4BCC" w:rsidP="006F4910">
            <w:pPr>
              <w:pStyle w:val="IASBTableTNR"/>
              <w:jc w:val="both"/>
              <w:rPr>
                <w:lang w:val="ru-RU"/>
              </w:rPr>
            </w:pPr>
            <w:r w:rsidRPr="0049187C">
              <w:rPr>
                <w:lang w:val="ru-RU"/>
              </w:rPr>
              <w:t xml:space="preserve">Договор, согласно которому </w:t>
            </w:r>
            <w:r w:rsidR="006F4910">
              <w:rPr>
                <w:lang w:val="ru-RU"/>
              </w:rPr>
              <w:t>выпустившая его сторона</w:t>
            </w:r>
            <w:r w:rsidRPr="0049187C">
              <w:rPr>
                <w:lang w:val="ru-RU"/>
              </w:rPr>
              <w:t xml:space="preserve"> обязан</w:t>
            </w:r>
            <w:r w:rsidR="006F4910">
              <w:rPr>
                <w:lang w:val="ru-RU"/>
              </w:rPr>
              <w:t>а</w:t>
            </w:r>
            <w:r w:rsidRPr="0049187C">
              <w:rPr>
                <w:lang w:val="ru-RU"/>
              </w:rPr>
              <w:t xml:space="preserve"> произвести определенные выплаты </w:t>
            </w:r>
            <w:r w:rsidR="00C244FE">
              <w:rPr>
                <w:lang w:val="ru-RU"/>
              </w:rPr>
              <w:t>контрагенту для возмещения убытка</w:t>
            </w:r>
            <w:r w:rsidRPr="0049187C">
              <w:rPr>
                <w:lang w:val="ru-RU"/>
              </w:rPr>
              <w:t xml:space="preserve">, понесенного </w:t>
            </w:r>
            <w:r w:rsidR="00C244FE">
              <w:rPr>
                <w:lang w:val="ru-RU"/>
              </w:rPr>
              <w:t>последним</w:t>
            </w:r>
            <w:r w:rsidRPr="0049187C">
              <w:rPr>
                <w:lang w:val="ru-RU"/>
              </w:rPr>
              <w:t xml:space="preserve"> в </w:t>
            </w:r>
            <w:r w:rsidR="00C244FE">
              <w:rPr>
                <w:lang w:val="ru-RU"/>
              </w:rPr>
              <w:t>результате того</w:t>
            </w:r>
            <w:r w:rsidRPr="0049187C">
              <w:rPr>
                <w:lang w:val="ru-RU"/>
              </w:rPr>
              <w:t xml:space="preserve">, что </w:t>
            </w:r>
            <w:r w:rsidR="00C244FE">
              <w:rPr>
                <w:lang w:val="ru-RU"/>
              </w:rPr>
              <w:t>указанный в договоре</w:t>
            </w:r>
            <w:r w:rsidRPr="0049187C">
              <w:rPr>
                <w:lang w:val="ru-RU"/>
              </w:rPr>
              <w:t xml:space="preserve"> должник не </w:t>
            </w:r>
            <w:r w:rsidR="00C244FE">
              <w:rPr>
                <w:lang w:val="ru-RU"/>
              </w:rPr>
              <w:t>смог</w:t>
            </w:r>
            <w:r w:rsidRPr="0049187C">
              <w:rPr>
                <w:lang w:val="ru-RU"/>
              </w:rPr>
              <w:t xml:space="preserve"> совершить платеж в срок</w:t>
            </w:r>
            <w:r w:rsidR="00C244FE">
              <w:rPr>
                <w:lang w:val="ru-RU"/>
              </w:rPr>
              <w:t>и, установленные</w:t>
            </w:r>
            <w:r w:rsidRPr="0049187C">
              <w:rPr>
                <w:lang w:val="ru-RU"/>
              </w:rPr>
              <w:t xml:space="preserve"> первоначальными или пересмотренными условиями долгового инструмента.</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E7773" w:rsidP="00C47E8A">
            <w:pPr>
              <w:pStyle w:val="IASBTableTNR"/>
              <w:rPr>
                <w:lang w:val="ru-RU"/>
              </w:rPr>
            </w:pPr>
            <w:r>
              <w:rPr>
                <w:b/>
                <w:lang w:val="ru-RU"/>
              </w:rPr>
              <w:t>Ф</w:t>
            </w:r>
            <w:r w:rsidR="007D4BCC" w:rsidRPr="0049187C">
              <w:rPr>
                <w:b/>
                <w:lang w:val="ru-RU"/>
              </w:rPr>
              <w:t>инансовое обязательство</w:t>
            </w:r>
            <w:r w:rsidR="00DE0EF7">
              <w:rPr>
                <w:b/>
                <w:lang w:val="ru-RU"/>
              </w:rPr>
              <w:t>, оцениваемое</w:t>
            </w:r>
            <w:r w:rsidR="007D4BCC" w:rsidRPr="0049187C">
              <w:rPr>
                <w:b/>
                <w:lang w:val="ru-RU"/>
              </w:rPr>
              <w:t xml:space="preserve"> по справедливой стоимости через прибыль или убыток</w:t>
            </w:r>
          </w:p>
        </w:tc>
        <w:tc>
          <w:tcPr>
            <w:tcW w:w="6832" w:type="dxa"/>
            <w:tcBorders>
              <w:top w:val="nil"/>
              <w:left w:val="nil"/>
            </w:tcBorders>
            <w:vAlign w:val="bottom"/>
          </w:tcPr>
          <w:p w:rsidR="007D4BCC" w:rsidRPr="0049187C" w:rsidRDefault="007D4BCC" w:rsidP="002E380B">
            <w:pPr>
              <w:pStyle w:val="IASBTableTNR"/>
              <w:jc w:val="both"/>
              <w:rPr>
                <w:lang w:val="ru-RU"/>
              </w:rPr>
            </w:pPr>
            <w:r w:rsidRPr="0049187C">
              <w:rPr>
                <w:lang w:val="ru-RU"/>
              </w:rPr>
              <w:t xml:space="preserve">Финансовое обязательство, которое удовлетворяет </w:t>
            </w:r>
            <w:r w:rsidR="001353AF">
              <w:rPr>
                <w:lang w:val="ru-RU"/>
              </w:rPr>
              <w:t>любому из нижеследующих условий:</w:t>
            </w:r>
          </w:p>
          <w:p w:rsidR="007D4BCC" w:rsidRPr="0049187C" w:rsidRDefault="007D4BCC" w:rsidP="00C47E8A">
            <w:pPr>
              <w:pStyle w:val="IASBNormalL1"/>
              <w:rPr>
                <w:lang w:val="ru-RU"/>
              </w:rPr>
            </w:pPr>
            <w:r w:rsidRPr="0049187C">
              <w:rPr>
                <w:lang w:val="ru-RU"/>
              </w:rPr>
              <w:t>(a)</w:t>
            </w:r>
            <w:r w:rsidRPr="0049187C">
              <w:rPr>
                <w:lang w:val="ru-RU"/>
              </w:rPr>
              <w:tab/>
            </w:r>
            <w:r w:rsidR="00C244FE">
              <w:rPr>
                <w:lang w:val="ru-RU"/>
              </w:rPr>
              <w:t xml:space="preserve">оно </w:t>
            </w:r>
            <w:r w:rsidRPr="0049187C">
              <w:rPr>
                <w:lang w:val="ru-RU"/>
              </w:rPr>
              <w:t xml:space="preserve">соответствует определению финансового обязательства, </w:t>
            </w:r>
            <w:r w:rsidRPr="0049187C">
              <w:rPr>
                <w:b/>
                <w:lang w:val="ru-RU"/>
              </w:rPr>
              <w:t>предназначенного для торговли</w:t>
            </w:r>
            <w:r w:rsidR="001353AF">
              <w:rPr>
                <w:lang w:val="ru-RU"/>
              </w:rPr>
              <w:t>;</w:t>
            </w:r>
          </w:p>
          <w:p w:rsidR="007D4BCC" w:rsidRPr="0049187C" w:rsidRDefault="007D4BCC" w:rsidP="00C47E8A">
            <w:pPr>
              <w:pStyle w:val="IASBNormalL1"/>
              <w:rPr>
                <w:lang w:val="ru-RU"/>
              </w:rPr>
            </w:pPr>
            <w:r w:rsidRPr="0049187C">
              <w:rPr>
                <w:lang w:val="ru-RU"/>
              </w:rPr>
              <w:t>(b)</w:t>
            </w:r>
            <w:r w:rsidRPr="0049187C">
              <w:rPr>
                <w:lang w:val="ru-RU"/>
              </w:rPr>
              <w:tab/>
              <w:t xml:space="preserve">при первоначальном признании </w:t>
            </w:r>
            <w:r w:rsidR="00C244FE">
              <w:rPr>
                <w:lang w:val="ru-RU"/>
              </w:rPr>
              <w:t>оно было классифицировано по усмотрению организации</w:t>
            </w:r>
            <w:r w:rsidRPr="0049187C">
              <w:rPr>
                <w:lang w:val="ru-RU"/>
              </w:rPr>
              <w:t xml:space="preserve"> как оцениваемое по справедливой стоимости через прибыль или убыток в соответ</w:t>
            </w:r>
            <w:r w:rsidR="001353AF">
              <w:rPr>
                <w:lang w:val="ru-RU"/>
              </w:rPr>
              <w:t>ствии с пунктом 4.2.2 или 4.3.5;</w:t>
            </w:r>
          </w:p>
          <w:p w:rsidR="007D4BCC" w:rsidRPr="0049187C" w:rsidRDefault="007D4BCC" w:rsidP="002E380B">
            <w:pPr>
              <w:pStyle w:val="IASBNormalL1"/>
              <w:rPr>
                <w:lang w:val="ru-RU"/>
              </w:rPr>
            </w:pPr>
            <w:r w:rsidRPr="0049187C">
              <w:rPr>
                <w:lang w:val="ru-RU"/>
              </w:rPr>
              <w:t>(c)</w:t>
            </w:r>
            <w:r w:rsidRPr="0049187C">
              <w:rPr>
                <w:lang w:val="ru-RU"/>
              </w:rPr>
              <w:tab/>
              <w:t>при первоначальном признании либо впоследствии</w:t>
            </w:r>
            <w:r w:rsidR="00C244FE">
              <w:rPr>
                <w:lang w:val="ru-RU"/>
              </w:rPr>
              <w:t xml:space="preserve"> оно было</w:t>
            </w:r>
            <w:r w:rsidRPr="0049187C">
              <w:rPr>
                <w:lang w:val="ru-RU"/>
              </w:rPr>
              <w:t xml:space="preserve"> </w:t>
            </w:r>
            <w:r w:rsidR="00C244FE">
              <w:rPr>
                <w:lang w:val="ru-RU"/>
              </w:rPr>
              <w:t>классифицировано по усмотрению организации</w:t>
            </w:r>
            <w:r w:rsidRPr="0049187C">
              <w:rPr>
                <w:lang w:val="ru-RU"/>
              </w:rPr>
              <w:t xml:space="preserve"> как оцениваемое по справедливой стоимости через прибыль или убыток в соответствии с пунктом 6.7.1.</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E7773" w:rsidP="00C47E8A">
            <w:pPr>
              <w:pStyle w:val="IASBTableTNR"/>
              <w:rPr>
                <w:lang w:val="ru-RU"/>
              </w:rPr>
            </w:pPr>
            <w:r>
              <w:rPr>
                <w:b/>
                <w:lang w:val="ru-RU"/>
              </w:rPr>
              <w:t>Т</w:t>
            </w:r>
            <w:r w:rsidR="007D4BCC" w:rsidRPr="0049187C">
              <w:rPr>
                <w:b/>
                <w:lang w:val="ru-RU"/>
              </w:rPr>
              <w:t>вердое договорное обязательство</w:t>
            </w:r>
          </w:p>
        </w:tc>
        <w:tc>
          <w:tcPr>
            <w:tcW w:w="6832" w:type="dxa"/>
            <w:tcBorders>
              <w:top w:val="nil"/>
              <w:left w:val="nil"/>
            </w:tcBorders>
            <w:vAlign w:val="bottom"/>
          </w:tcPr>
          <w:p w:rsidR="007D4BCC" w:rsidRPr="0049187C" w:rsidRDefault="007D4BCC" w:rsidP="002E380B">
            <w:pPr>
              <w:pStyle w:val="IASBTableTNR"/>
              <w:jc w:val="both"/>
              <w:rPr>
                <w:lang w:val="ru-RU"/>
              </w:rPr>
            </w:pPr>
            <w:r w:rsidRPr="0049187C">
              <w:rPr>
                <w:lang w:val="ru-RU"/>
              </w:rPr>
              <w:t>Имеющее обязательную силу со</w:t>
            </w:r>
            <w:r w:rsidR="00C244FE">
              <w:rPr>
                <w:lang w:val="ru-RU"/>
              </w:rPr>
              <w:t>глашение об обмене определенным количеством</w:t>
            </w:r>
            <w:r w:rsidRPr="0049187C">
              <w:rPr>
                <w:lang w:val="ru-RU"/>
              </w:rPr>
              <w:t xml:space="preserve"> ресурсов по определенной цене на определенную дату или даты в будущем.</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E7773" w:rsidP="00C47E8A">
            <w:pPr>
              <w:pStyle w:val="IASBTableTNR"/>
              <w:rPr>
                <w:lang w:val="ru-RU"/>
              </w:rPr>
            </w:pPr>
            <w:r>
              <w:rPr>
                <w:b/>
                <w:lang w:val="ru-RU"/>
              </w:rPr>
              <w:t>П</w:t>
            </w:r>
            <w:r w:rsidR="007D4BCC" w:rsidRPr="0049187C">
              <w:rPr>
                <w:b/>
                <w:lang w:val="ru-RU"/>
              </w:rPr>
              <w:t>рогнозируемая операция</w:t>
            </w:r>
          </w:p>
        </w:tc>
        <w:tc>
          <w:tcPr>
            <w:tcW w:w="6832" w:type="dxa"/>
            <w:tcBorders>
              <w:top w:val="nil"/>
              <w:left w:val="nil"/>
            </w:tcBorders>
            <w:vAlign w:val="bottom"/>
          </w:tcPr>
          <w:p w:rsidR="007D4BCC" w:rsidRDefault="00C244FE" w:rsidP="002E380B">
            <w:pPr>
              <w:pStyle w:val="IASBTableTNR"/>
              <w:jc w:val="both"/>
              <w:rPr>
                <w:lang w:val="ru-RU"/>
              </w:rPr>
            </w:pPr>
            <w:r>
              <w:rPr>
                <w:lang w:val="ru-RU"/>
              </w:rPr>
              <w:t>Ожидаемая, но еще не оформленная договором будущая операция</w:t>
            </w:r>
            <w:r w:rsidR="007D4BCC" w:rsidRPr="0049187C">
              <w:rPr>
                <w:lang w:val="ru-RU"/>
              </w:rPr>
              <w:t>.</w:t>
            </w:r>
          </w:p>
          <w:p w:rsidR="00C244FE" w:rsidRPr="0049187C" w:rsidRDefault="00C244FE" w:rsidP="002E380B">
            <w:pPr>
              <w:pStyle w:val="IASBTableTNR"/>
              <w:jc w:val="both"/>
              <w:rPr>
                <w:lang w:val="ru-RU"/>
              </w:rPr>
            </w:pPr>
          </w:p>
        </w:tc>
      </w:tr>
      <w:tr w:rsidR="007D4BCC" w:rsidRPr="0049187C" w:rsidTr="00E50771">
        <w:tblPrEx>
          <w:tblCellMar>
            <w:top w:w="0" w:type="dxa"/>
            <w:bottom w:w="0" w:type="dxa"/>
          </w:tblCellMar>
        </w:tblPrEx>
        <w:trPr>
          <w:cantSplit/>
        </w:trPr>
        <w:tc>
          <w:tcPr>
            <w:tcW w:w="2376" w:type="dxa"/>
            <w:tcBorders>
              <w:top w:val="nil"/>
            </w:tcBorders>
          </w:tcPr>
          <w:p w:rsidR="007D4BCC" w:rsidRPr="0049187C" w:rsidRDefault="00FE7773" w:rsidP="00C47E8A">
            <w:pPr>
              <w:pStyle w:val="IASBTableTNR"/>
              <w:rPr>
                <w:lang w:val="ru-RU"/>
              </w:rPr>
            </w:pPr>
            <w:r>
              <w:rPr>
                <w:b/>
                <w:lang w:val="ru-RU"/>
              </w:rPr>
              <w:t>В</w:t>
            </w:r>
            <w:r w:rsidR="007D4BCC" w:rsidRPr="0049187C">
              <w:rPr>
                <w:b/>
                <w:lang w:val="ru-RU"/>
              </w:rPr>
              <w:t>аловая балансовая стоимость финансового актива</w:t>
            </w:r>
          </w:p>
        </w:tc>
        <w:tc>
          <w:tcPr>
            <w:tcW w:w="6832" w:type="dxa"/>
            <w:tcBorders>
              <w:top w:val="nil"/>
              <w:left w:val="nil"/>
            </w:tcBorders>
          </w:tcPr>
          <w:p w:rsidR="007D4BCC" w:rsidRPr="0049187C" w:rsidRDefault="007D4BCC" w:rsidP="00720DC5">
            <w:pPr>
              <w:pStyle w:val="IASBTableTNR"/>
              <w:jc w:val="both"/>
              <w:rPr>
                <w:lang w:val="ru-RU"/>
              </w:rPr>
            </w:pPr>
            <w:r w:rsidRPr="0049187C">
              <w:rPr>
                <w:b/>
                <w:lang w:val="ru-RU"/>
              </w:rPr>
              <w:t>Амортизированная стоимость финансового актива</w:t>
            </w:r>
            <w:r w:rsidRPr="0049187C">
              <w:rPr>
                <w:lang w:val="ru-RU"/>
              </w:rPr>
              <w:t xml:space="preserve"> до корректировки </w:t>
            </w:r>
            <w:r w:rsidR="00720DC5">
              <w:rPr>
                <w:lang w:val="ru-RU"/>
              </w:rPr>
              <w:t xml:space="preserve">на величину </w:t>
            </w:r>
            <w:r w:rsidRPr="0049187C">
              <w:rPr>
                <w:b/>
                <w:lang w:val="ru-RU"/>
              </w:rPr>
              <w:t>оценочного резерва под убытки</w:t>
            </w:r>
            <w:r w:rsidRPr="0049187C">
              <w:rPr>
                <w:lang w:val="ru-RU"/>
              </w:rPr>
              <w:t>.</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E7773" w:rsidP="00C47E8A">
            <w:pPr>
              <w:pStyle w:val="IASBTableTNR"/>
              <w:rPr>
                <w:lang w:val="ru-RU"/>
              </w:rPr>
            </w:pPr>
            <w:r>
              <w:rPr>
                <w:b/>
                <w:lang w:val="ru-RU"/>
              </w:rPr>
              <w:t>К</w:t>
            </w:r>
            <w:r w:rsidR="007D4BCC" w:rsidRPr="0049187C">
              <w:rPr>
                <w:b/>
                <w:lang w:val="ru-RU"/>
              </w:rPr>
              <w:t>оэффициент хеджирования</w:t>
            </w:r>
          </w:p>
        </w:tc>
        <w:tc>
          <w:tcPr>
            <w:tcW w:w="6832" w:type="dxa"/>
            <w:tcBorders>
              <w:top w:val="nil"/>
              <w:left w:val="nil"/>
            </w:tcBorders>
            <w:vAlign w:val="bottom"/>
          </w:tcPr>
          <w:p w:rsidR="007D4BCC" w:rsidRPr="0049187C" w:rsidRDefault="004E0501" w:rsidP="002E380B">
            <w:pPr>
              <w:pStyle w:val="IASBTableTNR"/>
              <w:jc w:val="both"/>
              <w:rPr>
                <w:lang w:val="ru-RU"/>
              </w:rPr>
            </w:pPr>
            <w:r>
              <w:rPr>
                <w:lang w:val="ru-RU"/>
              </w:rPr>
              <w:t xml:space="preserve">Соотношение </w:t>
            </w:r>
            <w:r w:rsidRPr="00525272">
              <w:rPr>
                <w:lang w:val="ru-RU"/>
              </w:rPr>
              <w:t>между количественным объемом инструмента хеджирования и количественным объемом</w:t>
            </w:r>
            <w:r w:rsidRPr="0049187C">
              <w:rPr>
                <w:lang w:val="ru-RU"/>
              </w:rPr>
              <w:t xml:space="preserve"> объекта хеджирования, </w:t>
            </w:r>
            <w:r>
              <w:rPr>
                <w:lang w:val="ru-RU"/>
              </w:rPr>
              <w:t>определяемое на основе их относительных весов.</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E7773" w:rsidP="00C47E8A">
            <w:pPr>
              <w:pStyle w:val="IASBTableTNR"/>
              <w:rPr>
                <w:lang w:val="ru-RU"/>
              </w:rPr>
            </w:pPr>
            <w:r>
              <w:rPr>
                <w:b/>
                <w:lang w:val="ru-RU"/>
              </w:rPr>
              <w:t>П</w:t>
            </w:r>
            <w:r w:rsidR="007D4BCC" w:rsidRPr="0049187C">
              <w:rPr>
                <w:b/>
                <w:lang w:val="ru-RU"/>
              </w:rPr>
              <w:t>редназначенный для торговли</w:t>
            </w:r>
          </w:p>
        </w:tc>
        <w:tc>
          <w:tcPr>
            <w:tcW w:w="6832" w:type="dxa"/>
            <w:tcBorders>
              <w:top w:val="nil"/>
              <w:left w:val="nil"/>
            </w:tcBorders>
            <w:vAlign w:val="bottom"/>
          </w:tcPr>
          <w:p w:rsidR="007D4BCC" w:rsidRPr="0049187C" w:rsidRDefault="007D4BCC" w:rsidP="00C47E8A">
            <w:pPr>
              <w:pStyle w:val="IASBTableTNR"/>
              <w:rPr>
                <w:lang w:val="ru-RU"/>
              </w:rPr>
            </w:pPr>
            <w:r w:rsidRPr="0049187C">
              <w:rPr>
                <w:lang w:val="ru-RU"/>
              </w:rPr>
              <w:t>Финансовый актив или финансовое обязательство, которые:</w:t>
            </w:r>
          </w:p>
          <w:p w:rsidR="007D4BCC" w:rsidRPr="0049187C" w:rsidRDefault="007D4BCC" w:rsidP="00C47E8A">
            <w:pPr>
              <w:pStyle w:val="IASBNormalL1"/>
              <w:rPr>
                <w:lang w:val="ru-RU"/>
              </w:rPr>
            </w:pPr>
            <w:r w:rsidRPr="0049187C">
              <w:rPr>
                <w:lang w:val="ru-RU"/>
              </w:rPr>
              <w:t>(a)</w:t>
            </w:r>
            <w:r w:rsidRPr="0049187C">
              <w:rPr>
                <w:lang w:val="ru-RU"/>
              </w:rPr>
              <w:tab/>
              <w:t>приобретены или приняты, главным образом, с целью продажи или обратной покупки в ближайшем будущем;</w:t>
            </w:r>
          </w:p>
          <w:p w:rsidR="007D4BCC" w:rsidRPr="0049187C" w:rsidRDefault="007D4BCC" w:rsidP="00C47E8A">
            <w:pPr>
              <w:pStyle w:val="IASBNormalL1"/>
              <w:rPr>
                <w:lang w:val="ru-RU"/>
              </w:rPr>
            </w:pPr>
            <w:r w:rsidRPr="0049187C">
              <w:rPr>
                <w:lang w:val="ru-RU"/>
              </w:rPr>
              <w:t>(b)</w:t>
            </w:r>
            <w:r w:rsidRPr="0049187C">
              <w:rPr>
                <w:lang w:val="ru-RU"/>
              </w:rPr>
              <w:tab/>
              <w:t xml:space="preserve">при первоначальном признании являются частью портфеля </w:t>
            </w:r>
            <w:r w:rsidR="00444D37">
              <w:rPr>
                <w:lang w:val="ru-RU"/>
              </w:rPr>
              <w:t>определенных</w:t>
            </w:r>
            <w:r w:rsidRPr="0049187C">
              <w:rPr>
                <w:lang w:val="ru-RU"/>
              </w:rPr>
              <w:t xml:space="preserve"> финансовых инструментов, </w:t>
            </w:r>
            <w:r w:rsidR="00444D37">
              <w:rPr>
                <w:lang w:val="ru-RU"/>
              </w:rPr>
              <w:t xml:space="preserve">которые </w:t>
            </w:r>
            <w:r w:rsidR="00E0497A">
              <w:rPr>
                <w:lang w:val="ru-RU"/>
              </w:rPr>
              <w:t>управляются</w:t>
            </w:r>
            <w:r w:rsidR="00444D37">
              <w:rPr>
                <w:lang w:val="ru-RU"/>
              </w:rPr>
              <w:t xml:space="preserve"> как единая группа</w:t>
            </w:r>
            <w:r w:rsidR="006F4910">
              <w:rPr>
                <w:lang w:val="ru-RU"/>
              </w:rPr>
              <w:t>, и недавняя</w:t>
            </w:r>
            <w:r w:rsidRPr="0049187C">
              <w:rPr>
                <w:lang w:val="ru-RU"/>
              </w:rPr>
              <w:t xml:space="preserve"> </w:t>
            </w:r>
            <w:r w:rsidR="00444D37">
              <w:rPr>
                <w:lang w:val="ru-RU"/>
              </w:rPr>
              <w:t>практика</w:t>
            </w:r>
            <w:r w:rsidR="00967483">
              <w:rPr>
                <w:lang w:val="ru-RU"/>
              </w:rPr>
              <w:t xml:space="preserve"> свидетельствуе</w:t>
            </w:r>
            <w:r w:rsidRPr="0049187C">
              <w:rPr>
                <w:lang w:val="ru-RU"/>
              </w:rPr>
              <w:t xml:space="preserve">т о </w:t>
            </w:r>
            <w:r w:rsidR="00444D37">
              <w:rPr>
                <w:lang w:val="ru-RU"/>
              </w:rPr>
              <w:t>том, что операции с ними совершались с целью</w:t>
            </w:r>
            <w:r w:rsidRPr="0049187C">
              <w:rPr>
                <w:lang w:val="ru-RU"/>
              </w:rPr>
              <w:t xml:space="preserve"> </w:t>
            </w:r>
            <w:r w:rsidR="00444D37">
              <w:rPr>
                <w:lang w:val="ru-RU"/>
              </w:rPr>
              <w:t>получения</w:t>
            </w:r>
            <w:r w:rsidRPr="0049187C">
              <w:rPr>
                <w:lang w:val="ru-RU"/>
              </w:rPr>
              <w:t xml:space="preserve"> краткосрочной прибыли; или</w:t>
            </w:r>
          </w:p>
          <w:p w:rsidR="007D4BCC" w:rsidRPr="0049187C" w:rsidRDefault="007D4BCC" w:rsidP="00444D37">
            <w:pPr>
              <w:pStyle w:val="IASBNormalL1"/>
              <w:rPr>
                <w:lang w:val="ru-RU"/>
              </w:rPr>
            </w:pPr>
            <w:r w:rsidRPr="0049187C">
              <w:rPr>
                <w:lang w:val="ru-RU"/>
              </w:rPr>
              <w:t>(c)</w:t>
            </w:r>
            <w:r w:rsidRPr="0049187C">
              <w:rPr>
                <w:lang w:val="ru-RU"/>
              </w:rPr>
              <w:tab/>
              <w:t xml:space="preserve">являются </w:t>
            </w:r>
            <w:r w:rsidRPr="0049187C">
              <w:rPr>
                <w:b/>
                <w:lang w:val="ru-RU"/>
              </w:rPr>
              <w:t>производными инструментами</w:t>
            </w:r>
            <w:r w:rsidRPr="0049187C">
              <w:rPr>
                <w:lang w:val="ru-RU"/>
              </w:rPr>
              <w:t xml:space="preserve"> (за исключением производного инструмента, представляющего собой договор финансовой гарантии или </w:t>
            </w:r>
            <w:r w:rsidR="006F4910">
              <w:rPr>
                <w:lang w:val="ru-RU"/>
              </w:rPr>
              <w:t>инструмент, определенный по усмотрению организации в качестве инструмента хеджирования и являющийся эффективным в этом качестве</w:t>
            </w:r>
            <w:r w:rsidRPr="0049187C">
              <w:rPr>
                <w:lang w:val="ru-RU"/>
              </w:rPr>
              <w:t>).</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E7773" w:rsidP="00C47E8A">
            <w:pPr>
              <w:pStyle w:val="IASBTableTNR"/>
              <w:rPr>
                <w:lang w:val="ru-RU"/>
              </w:rPr>
            </w:pPr>
            <w:r>
              <w:rPr>
                <w:b/>
                <w:lang w:val="ru-RU"/>
              </w:rPr>
              <w:t>П</w:t>
            </w:r>
            <w:r w:rsidR="007D4BCC" w:rsidRPr="0049187C">
              <w:rPr>
                <w:b/>
                <w:lang w:val="ru-RU"/>
              </w:rPr>
              <w:t>рибыль или убыток от обесценения</w:t>
            </w:r>
          </w:p>
        </w:tc>
        <w:tc>
          <w:tcPr>
            <w:tcW w:w="6832" w:type="dxa"/>
            <w:tcBorders>
              <w:top w:val="nil"/>
              <w:left w:val="nil"/>
            </w:tcBorders>
            <w:vAlign w:val="bottom"/>
          </w:tcPr>
          <w:p w:rsidR="007D4BCC" w:rsidRPr="0049187C" w:rsidRDefault="007D4BCC" w:rsidP="00720DC5">
            <w:pPr>
              <w:pStyle w:val="IASBTableTNR"/>
              <w:jc w:val="both"/>
              <w:rPr>
                <w:lang w:val="ru-RU"/>
              </w:rPr>
            </w:pPr>
            <w:r w:rsidRPr="0049187C">
              <w:rPr>
                <w:lang w:val="ru-RU"/>
              </w:rPr>
              <w:t>Прибыли или убытки, признанные в составе прибыли или убытка</w:t>
            </w:r>
            <w:r w:rsidR="00720DC5">
              <w:rPr>
                <w:lang w:val="ru-RU"/>
              </w:rPr>
              <w:t xml:space="preserve"> за период</w:t>
            </w:r>
            <w:r w:rsidRPr="0049187C">
              <w:rPr>
                <w:lang w:val="ru-RU"/>
              </w:rPr>
              <w:t xml:space="preserve"> в соответствии с пунктом 5.5.8</w:t>
            </w:r>
            <w:r w:rsidR="00720DC5">
              <w:rPr>
                <w:lang w:val="ru-RU"/>
              </w:rPr>
              <w:t>, а также</w:t>
            </w:r>
            <w:r w:rsidRPr="0049187C">
              <w:rPr>
                <w:lang w:val="ru-RU"/>
              </w:rPr>
              <w:t xml:space="preserve"> возникшие </w:t>
            </w:r>
            <w:r w:rsidR="00720DC5">
              <w:rPr>
                <w:lang w:val="ru-RU"/>
              </w:rPr>
              <w:t>в результате</w:t>
            </w:r>
            <w:r w:rsidRPr="0049187C">
              <w:rPr>
                <w:lang w:val="ru-RU"/>
              </w:rPr>
              <w:t xml:space="preserve"> применен</w:t>
            </w:r>
            <w:r w:rsidR="00720DC5">
              <w:rPr>
                <w:lang w:val="ru-RU"/>
              </w:rPr>
              <w:t>ия</w:t>
            </w:r>
            <w:r w:rsidR="00C25F1D">
              <w:rPr>
                <w:lang w:val="ru-RU"/>
              </w:rPr>
              <w:t xml:space="preserve"> требований</w:t>
            </w:r>
            <w:r w:rsidR="00720DC5">
              <w:rPr>
                <w:lang w:val="ru-RU"/>
              </w:rPr>
              <w:t xml:space="preserve"> Раздела</w:t>
            </w:r>
            <w:r w:rsidR="00720DC5" w:rsidRPr="0049187C">
              <w:rPr>
                <w:lang w:val="ru-RU"/>
              </w:rPr>
              <w:t xml:space="preserve"> 5.5</w:t>
            </w:r>
            <w:r w:rsidR="00705E4E">
              <w:rPr>
                <w:lang w:val="ru-RU"/>
              </w:rPr>
              <w:t>, касающихся</w:t>
            </w:r>
            <w:r w:rsidR="00C25F1D">
              <w:rPr>
                <w:lang w:val="ru-RU"/>
              </w:rPr>
              <w:t xml:space="preserve"> </w:t>
            </w:r>
            <w:r w:rsidR="00720DC5">
              <w:rPr>
                <w:lang w:val="ru-RU"/>
              </w:rPr>
              <w:t>обесценения</w:t>
            </w:r>
            <w:r w:rsidRPr="0049187C">
              <w:rPr>
                <w:lang w:val="ru-RU"/>
              </w:rPr>
              <w:t>.</w:t>
            </w:r>
          </w:p>
        </w:tc>
      </w:tr>
      <w:tr w:rsidR="007D4BCC" w:rsidRPr="0049187C" w:rsidTr="00E50771">
        <w:tblPrEx>
          <w:tblCellMar>
            <w:top w:w="0" w:type="dxa"/>
            <w:bottom w:w="0" w:type="dxa"/>
          </w:tblCellMar>
        </w:tblPrEx>
        <w:trPr>
          <w:cantSplit/>
        </w:trPr>
        <w:tc>
          <w:tcPr>
            <w:tcW w:w="2376" w:type="dxa"/>
            <w:tcBorders>
              <w:top w:val="nil"/>
            </w:tcBorders>
          </w:tcPr>
          <w:p w:rsidR="007D4BCC" w:rsidRPr="0049187C" w:rsidRDefault="00FE7773" w:rsidP="00E50771">
            <w:pPr>
              <w:pStyle w:val="IASBTableTNR"/>
              <w:rPr>
                <w:lang w:val="ru-RU"/>
              </w:rPr>
            </w:pPr>
            <w:r>
              <w:rPr>
                <w:b/>
                <w:lang w:val="ru-RU"/>
              </w:rPr>
              <w:t>О</w:t>
            </w:r>
            <w:r w:rsidR="007D4BCC" w:rsidRPr="0049187C">
              <w:rPr>
                <w:b/>
                <w:lang w:val="ru-RU"/>
              </w:rPr>
              <w:t xml:space="preserve">жидаемые кредитные убытки </w:t>
            </w:r>
            <w:r w:rsidR="00E50771">
              <w:rPr>
                <w:b/>
                <w:lang w:val="ru-RU"/>
              </w:rPr>
              <w:t>за весь</w:t>
            </w:r>
            <w:r w:rsidR="007D4BCC" w:rsidRPr="0049187C">
              <w:rPr>
                <w:b/>
                <w:lang w:val="ru-RU"/>
              </w:rPr>
              <w:t xml:space="preserve"> </w:t>
            </w:r>
            <w:r w:rsidR="00E50771">
              <w:rPr>
                <w:b/>
                <w:lang w:val="ru-RU"/>
              </w:rPr>
              <w:t>срок</w:t>
            </w:r>
            <w:r w:rsidR="007D4BCC" w:rsidRPr="0049187C">
              <w:rPr>
                <w:b/>
                <w:lang w:val="ru-RU"/>
              </w:rPr>
              <w:t xml:space="preserve"> </w:t>
            </w:r>
          </w:p>
        </w:tc>
        <w:tc>
          <w:tcPr>
            <w:tcW w:w="6832" w:type="dxa"/>
            <w:tcBorders>
              <w:top w:val="nil"/>
              <w:left w:val="nil"/>
            </w:tcBorders>
          </w:tcPr>
          <w:p w:rsidR="007D4BCC" w:rsidRPr="0049187C" w:rsidRDefault="007D4BCC" w:rsidP="008477ED">
            <w:pPr>
              <w:pStyle w:val="IASBTableTNR"/>
              <w:jc w:val="both"/>
              <w:rPr>
                <w:lang w:val="ru-RU"/>
              </w:rPr>
            </w:pPr>
            <w:r w:rsidRPr="0049187C">
              <w:rPr>
                <w:b/>
                <w:lang w:val="ru-RU"/>
              </w:rPr>
              <w:t>Ожидаемые кредитные убытки</w:t>
            </w:r>
            <w:r w:rsidRPr="0049187C">
              <w:rPr>
                <w:lang w:val="ru-RU"/>
              </w:rPr>
              <w:t xml:space="preserve">, возникающие вследствие всех возможных </w:t>
            </w:r>
            <w:r w:rsidR="00051E11" w:rsidRPr="0049187C">
              <w:rPr>
                <w:lang w:val="ru-RU"/>
              </w:rPr>
              <w:t>случаев дефолта</w:t>
            </w:r>
            <w:r w:rsidRPr="0049187C">
              <w:rPr>
                <w:lang w:val="ru-RU"/>
              </w:rPr>
              <w:t xml:space="preserve"> </w:t>
            </w:r>
            <w:r w:rsidR="008477ED">
              <w:rPr>
                <w:lang w:val="ru-RU"/>
              </w:rPr>
              <w:t>на протяжении ожидаемого</w:t>
            </w:r>
            <w:r w:rsidR="007E6FF8">
              <w:rPr>
                <w:lang w:val="ru-RU"/>
              </w:rPr>
              <w:t xml:space="preserve"> срок</w:t>
            </w:r>
            <w:r w:rsidR="008477ED">
              <w:rPr>
                <w:lang w:val="ru-RU"/>
              </w:rPr>
              <w:t>а</w:t>
            </w:r>
            <w:r w:rsidRPr="0049187C">
              <w:rPr>
                <w:lang w:val="ru-RU"/>
              </w:rPr>
              <w:t xml:space="preserve"> действия финансового инструмента.</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E7773" w:rsidP="00C47E8A">
            <w:pPr>
              <w:pStyle w:val="IASBTableTNR"/>
              <w:rPr>
                <w:lang w:val="ru-RU"/>
              </w:rPr>
            </w:pPr>
            <w:r>
              <w:rPr>
                <w:b/>
                <w:lang w:val="ru-RU"/>
              </w:rPr>
              <w:t>О</w:t>
            </w:r>
            <w:r w:rsidR="007D4BCC" w:rsidRPr="0049187C">
              <w:rPr>
                <w:b/>
                <w:lang w:val="ru-RU"/>
              </w:rPr>
              <w:t>ценочный резерв под убытки</w:t>
            </w:r>
          </w:p>
        </w:tc>
        <w:tc>
          <w:tcPr>
            <w:tcW w:w="6832" w:type="dxa"/>
            <w:tcBorders>
              <w:top w:val="nil"/>
              <w:left w:val="nil"/>
            </w:tcBorders>
            <w:vAlign w:val="bottom"/>
          </w:tcPr>
          <w:p w:rsidR="007D4BCC" w:rsidRPr="0049187C" w:rsidRDefault="007D4BCC" w:rsidP="00E50771">
            <w:pPr>
              <w:pStyle w:val="IASBTableTNR"/>
              <w:jc w:val="both"/>
              <w:rPr>
                <w:lang w:val="ru-RU"/>
              </w:rPr>
            </w:pPr>
            <w:r w:rsidRPr="0049187C">
              <w:rPr>
                <w:lang w:val="ru-RU"/>
              </w:rPr>
              <w:t xml:space="preserve">Оценочный резерв под </w:t>
            </w:r>
            <w:r w:rsidRPr="0049187C">
              <w:rPr>
                <w:b/>
                <w:lang w:val="ru-RU"/>
              </w:rPr>
              <w:t>ожидаемые кредитные убытки</w:t>
            </w:r>
            <w:r w:rsidRPr="0049187C">
              <w:rPr>
                <w:lang w:val="ru-RU"/>
              </w:rPr>
              <w:t xml:space="preserve"> по финансовым активам, оцениваемым в соответствии с пунктом 4.1.2, дебиторской задолженности по аренде и </w:t>
            </w:r>
            <w:r w:rsidRPr="0049187C">
              <w:rPr>
                <w:b/>
                <w:lang w:val="ru-RU"/>
              </w:rPr>
              <w:t>активам по договору</w:t>
            </w:r>
            <w:r w:rsidRPr="0049187C">
              <w:rPr>
                <w:lang w:val="ru-RU"/>
              </w:rPr>
              <w:t xml:space="preserve">, накопленная сумма обесценения по финансовым активам, оцениваемым в соответствии с пунктом 4.1.2А, и оценочное обязательство в отношении ожидаемых кредитных убытков по обязательствам по предоставлению займов и </w:t>
            </w:r>
            <w:r w:rsidRPr="0049187C">
              <w:rPr>
                <w:b/>
                <w:lang w:val="ru-RU"/>
              </w:rPr>
              <w:t>договорам финансовой гарантии</w:t>
            </w:r>
            <w:r w:rsidRPr="0049187C">
              <w:rPr>
                <w:lang w:val="ru-RU"/>
              </w:rPr>
              <w:t>.</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E7773" w:rsidP="00CF1D9F">
            <w:pPr>
              <w:pStyle w:val="IASBTableTNR"/>
              <w:rPr>
                <w:lang w:val="ru-RU"/>
              </w:rPr>
            </w:pPr>
            <w:r>
              <w:rPr>
                <w:b/>
                <w:lang w:val="ru-RU"/>
              </w:rPr>
              <w:t>П</w:t>
            </w:r>
            <w:r w:rsidR="007D4BCC" w:rsidRPr="0049187C">
              <w:rPr>
                <w:b/>
                <w:lang w:val="ru-RU"/>
              </w:rPr>
              <w:t xml:space="preserve">рибыль или убыток от </w:t>
            </w:r>
            <w:r w:rsidR="00B24103" w:rsidRPr="0049187C">
              <w:rPr>
                <w:b/>
                <w:lang w:val="ru-RU"/>
              </w:rPr>
              <w:t>модификации</w:t>
            </w:r>
          </w:p>
        </w:tc>
        <w:tc>
          <w:tcPr>
            <w:tcW w:w="6832" w:type="dxa"/>
            <w:tcBorders>
              <w:top w:val="nil"/>
              <w:left w:val="nil"/>
            </w:tcBorders>
            <w:vAlign w:val="bottom"/>
          </w:tcPr>
          <w:p w:rsidR="007D4BCC" w:rsidRPr="0049187C" w:rsidRDefault="007D4BCC" w:rsidP="008477ED">
            <w:pPr>
              <w:pStyle w:val="IASBTableTNR"/>
              <w:jc w:val="both"/>
              <w:rPr>
                <w:lang w:val="ru-RU"/>
              </w:rPr>
            </w:pPr>
            <w:r w:rsidRPr="0049187C">
              <w:rPr>
                <w:lang w:val="ru-RU"/>
              </w:rPr>
              <w:t xml:space="preserve">Сумма, возникающая при корректировке </w:t>
            </w:r>
            <w:r w:rsidRPr="0049187C">
              <w:rPr>
                <w:b/>
                <w:lang w:val="ru-RU"/>
              </w:rPr>
              <w:t>валовой балансовой стоимости финансового актива</w:t>
            </w:r>
            <w:r w:rsidRPr="0049187C">
              <w:rPr>
                <w:lang w:val="ru-RU"/>
              </w:rPr>
              <w:t xml:space="preserve"> с целью отражения</w:t>
            </w:r>
            <w:r w:rsidR="008477ED">
              <w:rPr>
                <w:lang w:val="ru-RU"/>
              </w:rPr>
              <w:t xml:space="preserve"> </w:t>
            </w:r>
            <w:r w:rsidR="008477ED" w:rsidRPr="0049187C">
              <w:rPr>
                <w:lang w:val="ru-RU"/>
              </w:rPr>
              <w:t>предусмотренных договором</w:t>
            </w:r>
            <w:r w:rsidR="008477ED">
              <w:rPr>
                <w:lang w:val="ru-RU"/>
              </w:rPr>
              <w:t xml:space="preserve"> </w:t>
            </w:r>
            <w:r w:rsidR="008477ED" w:rsidRPr="0049187C">
              <w:rPr>
                <w:lang w:val="ru-RU"/>
              </w:rPr>
              <w:t>денежных потоков</w:t>
            </w:r>
            <w:r w:rsidR="008477ED">
              <w:rPr>
                <w:lang w:val="ru-RU"/>
              </w:rPr>
              <w:t xml:space="preserve">, которые были пересмотрены </w:t>
            </w:r>
            <w:r w:rsidR="00170503">
              <w:rPr>
                <w:lang w:val="ru-RU"/>
              </w:rPr>
              <w:t xml:space="preserve">по согласованию сторон </w:t>
            </w:r>
            <w:r w:rsidRPr="0049187C">
              <w:rPr>
                <w:lang w:val="ru-RU"/>
              </w:rPr>
              <w:t xml:space="preserve">или </w:t>
            </w:r>
            <w:r w:rsidR="008477ED">
              <w:rPr>
                <w:lang w:val="ru-RU"/>
              </w:rPr>
              <w:t>модифицированы</w:t>
            </w:r>
            <w:r w:rsidRPr="0049187C">
              <w:rPr>
                <w:lang w:val="ru-RU"/>
              </w:rPr>
              <w:t xml:space="preserve">. Организация пересчитывает валовую балансовую стоимость финансового актива как приведенную стоимость расчетных будущих денежных </w:t>
            </w:r>
            <w:r w:rsidR="00170503">
              <w:rPr>
                <w:lang w:val="ru-RU"/>
              </w:rPr>
              <w:t>выплат</w:t>
            </w:r>
            <w:r w:rsidR="00170503" w:rsidRPr="0049187C">
              <w:rPr>
                <w:lang w:val="ru-RU"/>
              </w:rPr>
              <w:t xml:space="preserve"> </w:t>
            </w:r>
            <w:r w:rsidRPr="0049187C">
              <w:rPr>
                <w:lang w:val="ru-RU"/>
              </w:rPr>
              <w:t xml:space="preserve">или поступлений на протяжении ожидаемого срока действия пересмотренного или </w:t>
            </w:r>
            <w:r w:rsidR="00B24103" w:rsidRPr="0049187C">
              <w:rPr>
                <w:lang w:val="ru-RU"/>
              </w:rPr>
              <w:t xml:space="preserve">модифицированного </w:t>
            </w:r>
            <w:r w:rsidRPr="0049187C">
              <w:rPr>
                <w:lang w:val="ru-RU"/>
              </w:rPr>
              <w:t xml:space="preserve">финансового актива, которые дисконтируются по первоначальной </w:t>
            </w:r>
            <w:r w:rsidRPr="0049187C">
              <w:rPr>
                <w:b/>
                <w:lang w:val="ru-RU"/>
              </w:rPr>
              <w:t>эффективной процентной ставке</w:t>
            </w:r>
            <w:r w:rsidRPr="0049187C">
              <w:rPr>
                <w:lang w:val="ru-RU"/>
              </w:rPr>
              <w:t xml:space="preserve"> </w:t>
            </w:r>
            <w:r w:rsidR="008477ED">
              <w:rPr>
                <w:lang w:val="ru-RU"/>
              </w:rPr>
              <w:t xml:space="preserve">данного </w:t>
            </w:r>
            <w:r w:rsidRPr="0049187C">
              <w:rPr>
                <w:lang w:val="ru-RU"/>
              </w:rPr>
              <w:t xml:space="preserve">финансового актива (или первоначальной </w:t>
            </w:r>
            <w:r w:rsidRPr="0049187C">
              <w:rPr>
                <w:b/>
                <w:lang w:val="ru-RU"/>
              </w:rPr>
              <w:t>эффективной процентной ставке, скорректированной с учетом кредитного риска</w:t>
            </w:r>
            <w:r w:rsidRPr="0049187C">
              <w:rPr>
                <w:lang w:val="ru-RU"/>
              </w:rPr>
              <w:t xml:space="preserve">, </w:t>
            </w:r>
            <w:r w:rsidR="008477ED">
              <w:rPr>
                <w:lang w:val="ru-RU"/>
              </w:rPr>
              <w:t>применительно к</w:t>
            </w:r>
            <w:r w:rsidRPr="0049187C">
              <w:rPr>
                <w:lang w:val="ru-RU"/>
              </w:rPr>
              <w:t xml:space="preserve"> </w:t>
            </w:r>
            <w:r w:rsidR="008477ED">
              <w:rPr>
                <w:b/>
                <w:lang w:val="ru-RU"/>
              </w:rPr>
              <w:t>приобретенным</w:t>
            </w:r>
            <w:r w:rsidRPr="0049187C">
              <w:rPr>
                <w:b/>
                <w:lang w:val="ru-RU"/>
              </w:rPr>
              <w:t xml:space="preserve"> или </w:t>
            </w:r>
            <w:r w:rsidR="008477ED">
              <w:rPr>
                <w:b/>
                <w:lang w:val="ru-RU"/>
              </w:rPr>
              <w:t>созданным кредитно-обесцененным</w:t>
            </w:r>
            <w:r w:rsidR="00C0694C" w:rsidRPr="0049187C">
              <w:rPr>
                <w:b/>
                <w:lang w:val="ru-RU"/>
              </w:rPr>
              <w:t xml:space="preserve"> </w:t>
            </w:r>
            <w:r w:rsidRPr="0049187C">
              <w:rPr>
                <w:b/>
                <w:lang w:val="ru-RU"/>
              </w:rPr>
              <w:t>фин</w:t>
            </w:r>
            <w:r w:rsidR="008477ED">
              <w:rPr>
                <w:b/>
                <w:lang w:val="ru-RU"/>
              </w:rPr>
              <w:t>ансовым активам</w:t>
            </w:r>
            <w:r w:rsidRPr="0049187C">
              <w:rPr>
                <w:lang w:val="ru-RU"/>
              </w:rPr>
              <w:t xml:space="preserve">) или, если применимо, по пересмотренной </w:t>
            </w:r>
            <w:r w:rsidRPr="0049187C">
              <w:rPr>
                <w:b/>
                <w:lang w:val="ru-RU"/>
              </w:rPr>
              <w:t>эффективной процентной ставке</w:t>
            </w:r>
            <w:r w:rsidRPr="0049187C">
              <w:rPr>
                <w:lang w:val="ru-RU"/>
              </w:rPr>
              <w:t xml:space="preserve">, рассчитанной в соответствии с пунктом 6.5.10. </w:t>
            </w:r>
            <w:r w:rsidR="008477ED">
              <w:rPr>
                <w:lang w:val="ru-RU"/>
              </w:rPr>
              <w:t xml:space="preserve">При оценке </w:t>
            </w:r>
            <w:r w:rsidRPr="0049187C">
              <w:rPr>
                <w:lang w:val="ru-RU"/>
              </w:rPr>
              <w:t>ожидаемых денежных потоков по финансовому активу</w:t>
            </w:r>
            <w:r w:rsidR="008477ED">
              <w:rPr>
                <w:lang w:val="ru-RU"/>
              </w:rPr>
              <w:t xml:space="preserve"> организация должна принимать во внимание</w:t>
            </w:r>
            <w:r w:rsidRPr="0049187C">
              <w:rPr>
                <w:lang w:val="ru-RU"/>
              </w:rPr>
              <w:t xml:space="preserve"> </w:t>
            </w:r>
            <w:r w:rsidR="008477ED">
              <w:rPr>
                <w:lang w:val="ru-RU"/>
              </w:rPr>
              <w:t>все договорные условия</w:t>
            </w:r>
            <w:r w:rsidRPr="0049187C">
              <w:rPr>
                <w:lang w:val="ru-RU"/>
              </w:rPr>
              <w:t xml:space="preserve"> </w:t>
            </w:r>
            <w:r w:rsidR="008477ED">
              <w:rPr>
                <w:lang w:val="ru-RU"/>
              </w:rPr>
              <w:t xml:space="preserve">этого </w:t>
            </w:r>
            <w:r w:rsidRPr="0049187C">
              <w:rPr>
                <w:lang w:val="ru-RU"/>
              </w:rPr>
              <w:t xml:space="preserve">финансового актива (например, </w:t>
            </w:r>
            <w:r w:rsidR="008477ED">
              <w:rPr>
                <w:lang w:val="ru-RU"/>
              </w:rPr>
              <w:t xml:space="preserve">опцион на </w:t>
            </w:r>
            <w:r w:rsidR="00170503">
              <w:rPr>
                <w:lang w:val="ru-RU"/>
              </w:rPr>
              <w:t>досрочное погашение</w:t>
            </w:r>
            <w:r w:rsidR="008477ED">
              <w:rPr>
                <w:lang w:val="ru-RU"/>
              </w:rPr>
              <w:t>, колл-опцион</w:t>
            </w:r>
            <w:r w:rsidRPr="0049187C">
              <w:rPr>
                <w:lang w:val="ru-RU"/>
              </w:rPr>
              <w:t xml:space="preserve"> и аналогичные опционы), однако</w:t>
            </w:r>
            <w:r w:rsidR="008477ED">
              <w:rPr>
                <w:lang w:val="ru-RU"/>
              </w:rPr>
              <w:t xml:space="preserve"> не принимать в расчет</w:t>
            </w:r>
            <w:r w:rsidRPr="0049187C">
              <w:rPr>
                <w:lang w:val="ru-RU"/>
              </w:rPr>
              <w:t xml:space="preserve"> </w:t>
            </w:r>
            <w:r w:rsidR="008477ED">
              <w:rPr>
                <w:b/>
                <w:lang w:val="ru-RU"/>
              </w:rPr>
              <w:t>ожидаемые кредитные убытки</w:t>
            </w:r>
            <w:r w:rsidRPr="0049187C">
              <w:rPr>
                <w:lang w:val="ru-RU"/>
              </w:rPr>
              <w:t xml:space="preserve">, </w:t>
            </w:r>
            <w:r w:rsidR="008477ED">
              <w:rPr>
                <w:lang w:val="ru-RU"/>
              </w:rPr>
              <w:t>кроме случаев, когда данный</w:t>
            </w:r>
            <w:r w:rsidRPr="0049187C">
              <w:rPr>
                <w:lang w:val="ru-RU"/>
              </w:rPr>
              <w:t xml:space="preserve"> финансовый актив является </w:t>
            </w:r>
            <w:r w:rsidRPr="0049187C">
              <w:rPr>
                <w:b/>
                <w:lang w:val="ru-RU"/>
              </w:rPr>
              <w:t xml:space="preserve">приобретенным или </w:t>
            </w:r>
            <w:r w:rsidR="00E50771">
              <w:rPr>
                <w:b/>
                <w:lang w:val="ru-RU"/>
              </w:rPr>
              <w:t>созданным кредитно-обесцененным</w:t>
            </w:r>
            <w:r w:rsidR="00C0694C" w:rsidRPr="0049187C">
              <w:rPr>
                <w:b/>
                <w:lang w:val="ru-RU"/>
              </w:rPr>
              <w:t xml:space="preserve"> </w:t>
            </w:r>
            <w:r w:rsidRPr="0049187C">
              <w:rPr>
                <w:b/>
                <w:lang w:val="ru-RU"/>
              </w:rPr>
              <w:t>финансовым активом</w:t>
            </w:r>
            <w:r w:rsidRPr="0049187C">
              <w:rPr>
                <w:lang w:val="ru-RU"/>
              </w:rPr>
              <w:t xml:space="preserve">, </w:t>
            </w:r>
            <w:r w:rsidR="008477ED">
              <w:rPr>
                <w:lang w:val="ru-RU"/>
              </w:rPr>
              <w:t xml:space="preserve">и </w:t>
            </w:r>
            <w:r w:rsidRPr="0049187C">
              <w:rPr>
                <w:lang w:val="ru-RU"/>
              </w:rPr>
              <w:t xml:space="preserve">в </w:t>
            </w:r>
            <w:r w:rsidR="008477ED">
              <w:rPr>
                <w:lang w:val="ru-RU"/>
              </w:rPr>
              <w:t>таком</w:t>
            </w:r>
            <w:r w:rsidR="00170503">
              <w:rPr>
                <w:lang w:val="ru-RU"/>
              </w:rPr>
              <w:t xml:space="preserve"> </w:t>
            </w:r>
            <w:r w:rsidRPr="0049187C">
              <w:rPr>
                <w:lang w:val="ru-RU"/>
              </w:rPr>
              <w:t xml:space="preserve">случае организация должна </w:t>
            </w:r>
            <w:r w:rsidR="008477ED">
              <w:rPr>
                <w:lang w:val="ru-RU"/>
              </w:rPr>
              <w:t>также принять в расчет</w:t>
            </w:r>
            <w:r w:rsidRPr="0049187C">
              <w:rPr>
                <w:lang w:val="ru-RU"/>
              </w:rPr>
              <w:t xml:space="preserve"> первоначальные ожидаемые кредитные убытки, </w:t>
            </w:r>
            <w:r w:rsidR="008477ED">
              <w:rPr>
                <w:lang w:val="ru-RU"/>
              </w:rPr>
              <w:t>с учетом которых была</w:t>
            </w:r>
            <w:r w:rsidRPr="0049187C">
              <w:rPr>
                <w:lang w:val="ru-RU"/>
              </w:rPr>
              <w:t xml:space="preserve"> </w:t>
            </w:r>
            <w:r w:rsidR="008477ED">
              <w:rPr>
                <w:lang w:val="ru-RU"/>
              </w:rPr>
              <w:t>рассчитана первоначальная</w:t>
            </w:r>
            <w:r w:rsidRPr="0049187C">
              <w:rPr>
                <w:lang w:val="ru-RU"/>
              </w:rPr>
              <w:t xml:space="preserve"> </w:t>
            </w:r>
            <w:r w:rsidR="008477ED">
              <w:rPr>
                <w:b/>
                <w:lang w:val="ru-RU"/>
              </w:rPr>
              <w:t>эффективная процентная ставка, скорректированная</w:t>
            </w:r>
            <w:r w:rsidRPr="0049187C">
              <w:rPr>
                <w:b/>
                <w:lang w:val="ru-RU"/>
              </w:rPr>
              <w:t xml:space="preserve"> с учетом кредитного риска</w:t>
            </w:r>
            <w:r w:rsidRPr="0049187C">
              <w:rPr>
                <w:lang w:val="ru-RU"/>
              </w:rPr>
              <w:t>.</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E7773" w:rsidP="00C47E8A">
            <w:pPr>
              <w:pStyle w:val="IASBTableTNR"/>
              <w:rPr>
                <w:lang w:val="ru-RU"/>
              </w:rPr>
            </w:pPr>
            <w:r>
              <w:rPr>
                <w:b/>
                <w:lang w:val="ru-RU"/>
              </w:rPr>
              <w:t>П</w:t>
            </w:r>
            <w:r w:rsidR="007D4BCC" w:rsidRPr="0049187C">
              <w:rPr>
                <w:b/>
                <w:lang w:val="ru-RU"/>
              </w:rPr>
              <w:t>росроченный</w:t>
            </w:r>
          </w:p>
        </w:tc>
        <w:tc>
          <w:tcPr>
            <w:tcW w:w="6832" w:type="dxa"/>
            <w:tcBorders>
              <w:top w:val="nil"/>
              <w:left w:val="nil"/>
            </w:tcBorders>
            <w:vAlign w:val="bottom"/>
          </w:tcPr>
          <w:p w:rsidR="007D4BCC" w:rsidRPr="0049187C" w:rsidRDefault="007D4BCC" w:rsidP="00E50771">
            <w:pPr>
              <w:pStyle w:val="IASBTableTNR"/>
              <w:jc w:val="both"/>
              <w:rPr>
                <w:lang w:val="ru-RU"/>
              </w:rPr>
            </w:pPr>
            <w:r w:rsidRPr="0049187C">
              <w:rPr>
                <w:lang w:val="ru-RU"/>
              </w:rPr>
              <w:t>Финансовый актив является просроченным, если контрагент не совершил платеж в срок, установленный в договоре.</w:t>
            </w:r>
          </w:p>
        </w:tc>
      </w:tr>
      <w:tr w:rsidR="007D4BCC" w:rsidRPr="0049187C" w:rsidTr="00DE5D2F">
        <w:tblPrEx>
          <w:tblCellMar>
            <w:top w:w="0" w:type="dxa"/>
            <w:bottom w:w="0" w:type="dxa"/>
          </w:tblCellMar>
        </w:tblPrEx>
        <w:trPr>
          <w:cantSplit/>
        </w:trPr>
        <w:tc>
          <w:tcPr>
            <w:tcW w:w="2376" w:type="dxa"/>
            <w:tcBorders>
              <w:top w:val="nil"/>
            </w:tcBorders>
          </w:tcPr>
          <w:p w:rsidR="007D4BCC" w:rsidRPr="0049187C" w:rsidRDefault="00FE7773" w:rsidP="00E50771">
            <w:pPr>
              <w:pStyle w:val="IASBTableTNR"/>
              <w:rPr>
                <w:lang w:val="ru-RU"/>
              </w:rPr>
            </w:pPr>
            <w:r>
              <w:rPr>
                <w:b/>
                <w:lang w:val="ru-RU"/>
              </w:rPr>
              <w:t>П</w:t>
            </w:r>
            <w:r w:rsidR="007D4BCC" w:rsidRPr="0049187C">
              <w:rPr>
                <w:b/>
                <w:lang w:val="ru-RU"/>
              </w:rPr>
              <w:t xml:space="preserve">риобретенный или </w:t>
            </w:r>
            <w:r w:rsidR="00E50771">
              <w:rPr>
                <w:b/>
                <w:lang w:val="ru-RU"/>
              </w:rPr>
              <w:t>созданный кредитно-обесцененный</w:t>
            </w:r>
            <w:r w:rsidR="00C0694C" w:rsidRPr="0049187C">
              <w:rPr>
                <w:b/>
                <w:lang w:val="ru-RU"/>
              </w:rPr>
              <w:t xml:space="preserve"> </w:t>
            </w:r>
            <w:r w:rsidR="007D4BCC" w:rsidRPr="0049187C">
              <w:rPr>
                <w:b/>
                <w:lang w:val="ru-RU"/>
              </w:rPr>
              <w:t>финансовый актив</w:t>
            </w:r>
          </w:p>
        </w:tc>
        <w:tc>
          <w:tcPr>
            <w:tcW w:w="6832" w:type="dxa"/>
            <w:tcBorders>
              <w:top w:val="nil"/>
              <w:left w:val="nil"/>
            </w:tcBorders>
          </w:tcPr>
          <w:p w:rsidR="007D4BCC" w:rsidRPr="0049187C" w:rsidRDefault="008841FA" w:rsidP="00E50771">
            <w:pPr>
              <w:pStyle w:val="IASBTableTNR"/>
              <w:jc w:val="both"/>
              <w:rPr>
                <w:lang w:val="ru-RU"/>
              </w:rPr>
            </w:pPr>
            <w:r>
              <w:rPr>
                <w:lang w:val="ru-RU"/>
              </w:rPr>
              <w:t>Приобретенный</w:t>
            </w:r>
            <w:r w:rsidR="007D4BCC" w:rsidRPr="0049187C">
              <w:rPr>
                <w:lang w:val="ru-RU"/>
              </w:rPr>
              <w:t xml:space="preserve"> или </w:t>
            </w:r>
            <w:r w:rsidR="00E50771">
              <w:rPr>
                <w:lang w:val="ru-RU"/>
              </w:rPr>
              <w:t>созданный</w:t>
            </w:r>
            <w:r>
              <w:rPr>
                <w:lang w:val="ru-RU"/>
              </w:rPr>
              <w:t xml:space="preserve"> финансовый актив</w:t>
            </w:r>
            <w:r w:rsidR="008477ED">
              <w:rPr>
                <w:lang w:val="ru-RU"/>
              </w:rPr>
              <w:t xml:space="preserve"> (или активы)</w:t>
            </w:r>
            <w:r w:rsidR="007D4BCC" w:rsidRPr="0049187C">
              <w:rPr>
                <w:lang w:val="ru-RU"/>
              </w:rPr>
              <w:t xml:space="preserve">, </w:t>
            </w:r>
            <w:r>
              <w:rPr>
                <w:lang w:val="ru-RU"/>
              </w:rPr>
              <w:t>по которому</w:t>
            </w:r>
            <w:r w:rsidR="00807C10">
              <w:rPr>
                <w:lang w:val="ru-RU"/>
              </w:rPr>
              <w:t xml:space="preserve"> имелось </w:t>
            </w:r>
            <w:r w:rsidR="00807C10" w:rsidRPr="004D2F3F">
              <w:rPr>
                <w:b/>
                <w:lang w:val="ru-RU"/>
              </w:rPr>
              <w:t>кредитно</w:t>
            </w:r>
            <w:r w:rsidR="00807C10">
              <w:rPr>
                <w:b/>
                <w:lang w:val="ru-RU"/>
              </w:rPr>
              <w:t>е</w:t>
            </w:r>
            <w:r w:rsidR="00807C10" w:rsidRPr="004D2F3F">
              <w:rPr>
                <w:b/>
                <w:lang w:val="ru-RU"/>
              </w:rPr>
              <w:t xml:space="preserve"> обесценен</w:t>
            </w:r>
            <w:r w:rsidR="00807C10">
              <w:rPr>
                <w:b/>
                <w:lang w:val="ru-RU"/>
              </w:rPr>
              <w:t xml:space="preserve">ие </w:t>
            </w:r>
            <w:r w:rsidR="008477ED">
              <w:rPr>
                <w:lang w:val="ru-RU"/>
              </w:rPr>
              <w:t>на момент</w:t>
            </w:r>
            <w:r w:rsidR="00807C10" w:rsidRPr="0049187C">
              <w:rPr>
                <w:lang w:val="ru-RU"/>
              </w:rPr>
              <w:t xml:space="preserve"> </w:t>
            </w:r>
            <w:r w:rsidR="007D4BCC" w:rsidRPr="0049187C">
              <w:rPr>
                <w:lang w:val="ru-RU"/>
              </w:rPr>
              <w:t>первоначально</w:t>
            </w:r>
            <w:r w:rsidR="00807C10">
              <w:rPr>
                <w:lang w:val="ru-RU"/>
              </w:rPr>
              <w:t>го</w:t>
            </w:r>
            <w:r w:rsidR="007D4BCC" w:rsidRPr="0049187C">
              <w:rPr>
                <w:lang w:val="ru-RU"/>
              </w:rPr>
              <w:t xml:space="preserve"> признани</w:t>
            </w:r>
            <w:r w:rsidR="00807C10">
              <w:rPr>
                <w:lang w:val="ru-RU"/>
              </w:rPr>
              <w:t>я</w:t>
            </w:r>
            <w:r w:rsidR="007D4BCC" w:rsidRPr="0049187C">
              <w:rPr>
                <w:lang w:val="ru-RU"/>
              </w:rPr>
              <w:t>.</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E7773" w:rsidP="00C47E8A">
            <w:pPr>
              <w:pStyle w:val="IASBTableTNR"/>
              <w:rPr>
                <w:lang w:val="ru-RU"/>
              </w:rPr>
            </w:pPr>
            <w:r>
              <w:rPr>
                <w:b/>
                <w:lang w:val="ru-RU"/>
              </w:rPr>
              <w:t>Д</w:t>
            </w:r>
            <w:r w:rsidR="007D4BCC" w:rsidRPr="0049187C">
              <w:rPr>
                <w:b/>
                <w:lang w:val="ru-RU"/>
              </w:rPr>
              <w:t>ата реклассификации</w:t>
            </w:r>
          </w:p>
        </w:tc>
        <w:tc>
          <w:tcPr>
            <w:tcW w:w="6832" w:type="dxa"/>
            <w:tcBorders>
              <w:top w:val="nil"/>
              <w:left w:val="nil"/>
            </w:tcBorders>
            <w:vAlign w:val="bottom"/>
          </w:tcPr>
          <w:p w:rsidR="007D4BCC" w:rsidRPr="0049187C" w:rsidRDefault="007D4BCC" w:rsidP="00444D37">
            <w:pPr>
              <w:pStyle w:val="IASBTableTNR"/>
              <w:jc w:val="both"/>
              <w:rPr>
                <w:lang w:val="ru-RU"/>
              </w:rPr>
            </w:pPr>
            <w:r w:rsidRPr="0049187C">
              <w:rPr>
                <w:lang w:val="ru-RU"/>
              </w:rPr>
              <w:t xml:space="preserve">Первый день первого отчетного периода, следующего за изменением бизнес-модели, </w:t>
            </w:r>
            <w:r w:rsidR="00444D37">
              <w:rPr>
                <w:lang w:val="ru-RU"/>
              </w:rPr>
              <w:t>вследствие которого организация реклассифицирует финансовые активы</w:t>
            </w:r>
            <w:r w:rsidRPr="0049187C">
              <w:rPr>
                <w:lang w:val="ru-RU"/>
              </w:rPr>
              <w:t>.</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E7773" w:rsidP="00C47E8A">
            <w:pPr>
              <w:pStyle w:val="IASBTableTNR"/>
              <w:rPr>
                <w:lang w:val="ru-RU"/>
              </w:rPr>
            </w:pPr>
            <w:r>
              <w:rPr>
                <w:b/>
                <w:lang w:val="ru-RU"/>
              </w:rPr>
              <w:t>П</w:t>
            </w:r>
            <w:r w:rsidR="007D4BCC" w:rsidRPr="0049187C">
              <w:rPr>
                <w:b/>
                <w:lang w:val="ru-RU"/>
              </w:rPr>
              <w:t>окупка или продажа на стандартных условиях</w:t>
            </w:r>
          </w:p>
        </w:tc>
        <w:tc>
          <w:tcPr>
            <w:tcW w:w="6832" w:type="dxa"/>
            <w:tcBorders>
              <w:top w:val="nil"/>
              <w:left w:val="nil"/>
            </w:tcBorders>
            <w:vAlign w:val="bottom"/>
          </w:tcPr>
          <w:p w:rsidR="007D4BCC" w:rsidRPr="0049187C" w:rsidRDefault="007D4BCC" w:rsidP="00855835">
            <w:pPr>
              <w:pStyle w:val="IASBTableTNR"/>
              <w:jc w:val="both"/>
              <w:rPr>
                <w:lang w:val="ru-RU"/>
              </w:rPr>
            </w:pPr>
            <w:r w:rsidRPr="0049187C">
              <w:rPr>
                <w:lang w:val="ru-RU"/>
              </w:rPr>
              <w:t xml:space="preserve">Покупка или продажа финансового актива </w:t>
            </w:r>
            <w:r w:rsidR="00855835">
              <w:rPr>
                <w:lang w:val="ru-RU"/>
              </w:rPr>
              <w:t>в рамках договора</w:t>
            </w:r>
            <w:r w:rsidRPr="0049187C">
              <w:rPr>
                <w:lang w:val="ru-RU"/>
              </w:rPr>
              <w:t xml:space="preserve">, </w:t>
            </w:r>
            <w:r w:rsidR="00855835">
              <w:rPr>
                <w:lang w:val="ru-RU"/>
              </w:rPr>
              <w:t xml:space="preserve">по </w:t>
            </w:r>
            <w:r w:rsidRPr="0049187C">
              <w:rPr>
                <w:lang w:val="ru-RU"/>
              </w:rPr>
              <w:t>условия</w:t>
            </w:r>
            <w:r w:rsidR="00855835">
              <w:rPr>
                <w:lang w:val="ru-RU"/>
              </w:rPr>
              <w:t>м</w:t>
            </w:r>
            <w:r w:rsidRPr="0049187C">
              <w:rPr>
                <w:lang w:val="ru-RU"/>
              </w:rPr>
              <w:t xml:space="preserve"> к</w:t>
            </w:r>
            <w:r w:rsidR="00855835">
              <w:rPr>
                <w:lang w:val="ru-RU"/>
              </w:rPr>
              <w:t>оторого требуется поставка актива в пределах срока</w:t>
            </w:r>
            <w:r w:rsidRPr="0049187C">
              <w:rPr>
                <w:lang w:val="ru-RU"/>
              </w:rPr>
              <w:t>, установленного правилами или соглашениями, принятыми на соответствующем рынке.</w:t>
            </w:r>
          </w:p>
        </w:tc>
      </w:tr>
      <w:tr w:rsidR="007D4BCC" w:rsidRPr="0049187C" w:rsidTr="00C47E8A">
        <w:tblPrEx>
          <w:tblCellMar>
            <w:top w:w="0" w:type="dxa"/>
            <w:bottom w:w="0" w:type="dxa"/>
          </w:tblCellMar>
        </w:tblPrEx>
        <w:trPr>
          <w:cantSplit/>
        </w:trPr>
        <w:tc>
          <w:tcPr>
            <w:tcW w:w="2376" w:type="dxa"/>
            <w:tcBorders>
              <w:top w:val="nil"/>
            </w:tcBorders>
          </w:tcPr>
          <w:p w:rsidR="007D4BCC" w:rsidRPr="0049187C" w:rsidRDefault="00FE7773" w:rsidP="00C47E8A">
            <w:pPr>
              <w:pStyle w:val="IASBTableTNR"/>
              <w:rPr>
                <w:lang w:val="ru-RU"/>
              </w:rPr>
            </w:pPr>
            <w:r>
              <w:rPr>
                <w:b/>
                <w:lang w:val="ru-RU"/>
              </w:rPr>
              <w:t>З</w:t>
            </w:r>
            <w:r w:rsidR="007D4BCC" w:rsidRPr="0049187C">
              <w:rPr>
                <w:b/>
                <w:lang w:val="ru-RU"/>
              </w:rPr>
              <w:t>атраты по сделке</w:t>
            </w:r>
          </w:p>
        </w:tc>
        <w:tc>
          <w:tcPr>
            <w:tcW w:w="6832" w:type="dxa"/>
            <w:tcBorders>
              <w:top w:val="nil"/>
              <w:left w:val="nil"/>
            </w:tcBorders>
            <w:vAlign w:val="bottom"/>
          </w:tcPr>
          <w:p w:rsidR="007D4BCC" w:rsidRPr="0049187C" w:rsidRDefault="007D4BCC" w:rsidP="00E50771">
            <w:pPr>
              <w:pStyle w:val="IASBTableTNR"/>
              <w:jc w:val="both"/>
              <w:rPr>
                <w:lang w:val="ru-RU"/>
              </w:rPr>
            </w:pPr>
            <w:r w:rsidRPr="0049187C">
              <w:rPr>
                <w:lang w:val="ru-RU"/>
              </w:rPr>
              <w:t>Дополнительные затраты, непосредственно относящиеся к приобретению, выпуску или выбытию финансового актива или финансового обязательства (см. пункт B5.4.8). Дополнительные затраты – это те затраты, которые бы не возникли, если бы организация не приобрела финансовый инструмент, не выпустила его или не произвела его выбытие.</w:t>
            </w:r>
          </w:p>
        </w:tc>
      </w:tr>
    </w:tbl>
    <w:p w:rsidR="007D4BCC" w:rsidRPr="0049187C" w:rsidRDefault="007D4BCC" w:rsidP="007D4BCC">
      <w:pPr>
        <w:pStyle w:val="IASBNormalnpara"/>
        <w:rPr>
          <w:lang w:val="ru-RU"/>
        </w:rPr>
      </w:pPr>
    </w:p>
    <w:p w:rsidR="007D4BCC" w:rsidRPr="0049187C" w:rsidRDefault="007D4BCC" w:rsidP="007D4BCC">
      <w:pPr>
        <w:pStyle w:val="IASBNormal"/>
        <w:rPr>
          <w:lang w:val="ru-RU"/>
        </w:rPr>
      </w:pPr>
      <w:bookmarkStart w:id="194" w:name="F32570762"/>
      <w:r w:rsidRPr="0049187C">
        <w:rPr>
          <w:lang w:val="ru-RU"/>
        </w:rPr>
        <w:t>Определения представленных ниже терминов, приведенные в пункте 11 МСФО (IAS) 32, Приложении A</w:t>
      </w:r>
      <w:r w:rsidR="0032090D">
        <w:rPr>
          <w:lang w:val="ru-RU"/>
        </w:rPr>
        <w:t xml:space="preserve"> МСФО (IFRS) 7, Приложении A </w:t>
      </w:r>
      <w:r w:rsidRPr="0049187C">
        <w:rPr>
          <w:lang w:val="ru-RU"/>
        </w:rPr>
        <w:t>МС</w:t>
      </w:r>
      <w:r w:rsidR="0032090D">
        <w:rPr>
          <w:lang w:val="ru-RU"/>
        </w:rPr>
        <w:t xml:space="preserve">ФО (IFRS) 13 или Приложении A </w:t>
      </w:r>
      <w:r w:rsidRPr="0049187C">
        <w:rPr>
          <w:lang w:val="ru-RU"/>
        </w:rPr>
        <w:t>МСФО (IFRS) 15, используются в настоящем стандарте в соответствии со значениями, указанными в МСФ</w:t>
      </w:r>
      <w:r w:rsidR="00675A85">
        <w:rPr>
          <w:lang w:val="ru-RU"/>
        </w:rPr>
        <w:t>О (IAS) 32, МСФО (IFRS) 7, МСФО </w:t>
      </w:r>
      <w:r w:rsidRPr="0049187C">
        <w:rPr>
          <w:lang w:val="ru-RU"/>
        </w:rPr>
        <w:t>(IFRS) 13 или МСФО (IFRS) 15:</w:t>
      </w:r>
      <w:bookmarkEnd w:id="194"/>
    </w:p>
    <w:p w:rsidR="007D4BCC" w:rsidRPr="0049187C" w:rsidRDefault="007D4BCC" w:rsidP="007D4BCC">
      <w:pPr>
        <w:pStyle w:val="IASBNormalL1"/>
        <w:rPr>
          <w:lang w:val="ru-RU"/>
        </w:rPr>
      </w:pPr>
      <w:r w:rsidRPr="0049187C">
        <w:rPr>
          <w:lang w:val="ru-RU"/>
        </w:rPr>
        <w:t>(a)</w:t>
      </w:r>
      <w:r w:rsidRPr="0049187C">
        <w:rPr>
          <w:lang w:val="ru-RU"/>
        </w:rPr>
        <w:tab/>
      </w:r>
      <w:bookmarkStart w:id="195" w:name="F32570766"/>
      <w:r w:rsidRPr="0049187C">
        <w:rPr>
          <w:lang w:val="ru-RU"/>
        </w:rPr>
        <w:t>кредитный риск</w:t>
      </w:r>
      <w:r w:rsidR="00645E47" w:rsidRPr="0049187C">
        <w:rPr>
          <w:rStyle w:val="a3"/>
          <w:lang w:val="ru-RU"/>
        </w:rPr>
        <w:footnoteReference w:id="3"/>
      </w:r>
      <w:r w:rsidRPr="0049187C">
        <w:rPr>
          <w:lang w:val="ru-RU"/>
        </w:rPr>
        <w:t>;</w:t>
      </w:r>
      <w:bookmarkEnd w:id="195"/>
    </w:p>
    <w:p w:rsidR="007D4BCC" w:rsidRPr="0049187C" w:rsidRDefault="007D4BCC" w:rsidP="007D4BCC">
      <w:pPr>
        <w:pStyle w:val="IASBNormalL1"/>
        <w:rPr>
          <w:lang w:val="ru-RU"/>
        </w:rPr>
      </w:pPr>
      <w:r w:rsidRPr="0049187C">
        <w:rPr>
          <w:lang w:val="ru-RU"/>
        </w:rPr>
        <w:t>(b)</w:t>
      </w:r>
      <w:r w:rsidRPr="0049187C">
        <w:rPr>
          <w:lang w:val="ru-RU"/>
        </w:rPr>
        <w:tab/>
      </w:r>
      <w:bookmarkStart w:id="196" w:name="F32570768"/>
      <w:r w:rsidRPr="0049187C">
        <w:rPr>
          <w:lang w:val="ru-RU"/>
        </w:rPr>
        <w:t>долевой инструмент;</w:t>
      </w:r>
      <w:bookmarkEnd w:id="196"/>
    </w:p>
    <w:p w:rsidR="007D4BCC" w:rsidRPr="0049187C" w:rsidRDefault="007D4BCC" w:rsidP="007D4BCC">
      <w:pPr>
        <w:pStyle w:val="IASBNormalL1"/>
        <w:rPr>
          <w:lang w:val="ru-RU"/>
        </w:rPr>
      </w:pPr>
      <w:r w:rsidRPr="0049187C">
        <w:rPr>
          <w:lang w:val="ru-RU"/>
        </w:rPr>
        <w:t>(c)</w:t>
      </w:r>
      <w:r w:rsidRPr="0049187C">
        <w:rPr>
          <w:lang w:val="ru-RU"/>
        </w:rPr>
        <w:tab/>
      </w:r>
      <w:bookmarkStart w:id="197" w:name="F32570770"/>
      <w:r w:rsidRPr="0049187C">
        <w:rPr>
          <w:lang w:val="ru-RU"/>
        </w:rPr>
        <w:t>справедливая стоимость;</w:t>
      </w:r>
      <w:bookmarkEnd w:id="197"/>
    </w:p>
    <w:p w:rsidR="007D4BCC" w:rsidRPr="0049187C" w:rsidRDefault="007D4BCC" w:rsidP="007D4BCC">
      <w:pPr>
        <w:pStyle w:val="IASBNormalL1"/>
        <w:rPr>
          <w:lang w:val="ru-RU"/>
        </w:rPr>
      </w:pPr>
      <w:r w:rsidRPr="0049187C">
        <w:rPr>
          <w:lang w:val="ru-RU"/>
        </w:rPr>
        <w:t>(d)</w:t>
      </w:r>
      <w:r w:rsidRPr="0049187C">
        <w:rPr>
          <w:lang w:val="ru-RU"/>
        </w:rPr>
        <w:tab/>
      </w:r>
      <w:bookmarkStart w:id="198" w:name="F32570772"/>
      <w:r w:rsidRPr="0049187C">
        <w:rPr>
          <w:lang w:val="ru-RU"/>
        </w:rPr>
        <w:t>финансовый актив;</w:t>
      </w:r>
      <w:bookmarkEnd w:id="198"/>
    </w:p>
    <w:p w:rsidR="007D4BCC" w:rsidRPr="0049187C" w:rsidRDefault="007D4BCC" w:rsidP="007D4BCC">
      <w:pPr>
        <w:pStyle w:val="IASBNormalL1"/>
        <w:rPr>
          <w:lang w:val="ru-RU"/>
        </w:rPr>
      </w:pPr>
      <w:r w:rsidRPr="0049187C">
        <w:rPr>
          <w:lang w:val="ru-RU"/>
        </w:rPr>
        <w:t>(e)</w:t>
      </w:r>
      <w:r w:rsidRPr="0049187C">
        <w:rPr>
          <w:lang w:val="ru-RU"/>
        </w:rPr>
        <w:tab/>
      </w:r>
      <w:bookmarkStart w:id="199" w:name="F32570774"/>
      <w:r w:rsidRPr="0049187C">
        <w:rPr>
          <w:lang w:val="ru-RU"/>
        </w:rPr>
        <w:t>финансовый инструмент;</w:t>
      </w:r>
      <w:bookmarkEnd w:id="199"/>
    </w:p>
    <w:p w:rsidR="007D4BCC" w:rsidRPr="0049187C" w:rsidRDefault="007D4BCC" w:rsidP="007D4BCC">
      <w:pPr>
        <w:pStyle w:val="IASBNormalL1"/>
        <w:rPr>
          <w:lang w:val="ru-RU"/>
        </w:rPr>
      </w:pPr>
      <w:r w:rsidRPr="0049187C">
        <w:rPr>
          <w:lang w:val="ru-RU"/>
        </w:rPr>
        <w:t>(f)</w:t>
      </w:r>
      <w:r w:rsidRPr="0049187C">
        <w:rPr>
          <w:lang w:val="ru-RU"/>
        </w:rPr>
        <w:tab/>
      </w:r>
      <w:bookmarkStart w:id="200" w:name="F32570776"/>
      <w:r w:rsidRPr="0049187C">
        <w:rPr>
          <w:lang w:val="ru-RU"/>
        </w:rPr>
        <w:t>финансовое обязательство;</w:t>
      </w:r>
      <w:bookmarkEnd w:id="200"/>
    </w:p>
    <w:p w:rsidR="007D4BCC" w:rsidRPr="0049187C" w:rsidRDefault="007D4BCC" w:rsidP="007D4BCC">
      <w:pPr>
        <w:pStyle w:val="IASBNormalL1"/>
        <w:rPr>
          <w:lang w:val="ru-RU"/>
        </w:rPr>
      </w:pPr>
      <w:r w:rsidRPr="0049187C">
        <w:rPr>
          <w:lang w:val="ru-RU"/>
        </w:rPr>
        <w:t>(g)</w:t>
      </w:r>
      <w:r w:rsidRPr="0049187C">
        <w:rPr>
          <w:lang w:val="ru-RU"/>
        </w:rPr>
        <w:tab/>
      </w:r>
      <w:bookmarkStart w:id="201" w:name="F32570778"/>
      <w:r w:rsidRPr="0049187C">
        <w:rPr>
          <w:lang w:val="ru-RU"/>
        </w:rPr>
        <w:t xml:space="preserve">цена </w:t>
      </w:r>
      <w:r w:rsidR="003C3EED">
        <w:rPr>
          <w:lang w:val="ru-RU"/>
        </w:rPr>
        <w:t>сделки</w:t>
      </w:r>
      <w:r w:rsidRPr="0049187C">
        <w:rPr>
          <w:lang w:val="ru-RU"/>
        </w:rPr>
        <w:t>.</w:t>
      </w:r>
      <w:bookmarkEnd w:id="201"/>
    </w:p>
    <w:p w:rsidR="007D4BCC" w:rsidRPr="0049187C" w:rsidRDefault="007D4BCC" w:rsidP="007D4BCC">
      <w:pPr>
        <w:widowControl w:val="0"/>
        <w:autoSpaceDE w:val="0"/>
        <w:autoSpaceDN w:val="0"/>
        <w:adjustRightInd w:val="0"/>
        <w:rPr>
          <w:lang w:val="ru-RU" w:eastAsia="en-GB"/>
        </w:rPr>
        <w:sectPr w:rsidR="007D4BCC" w:rsidRPr="0049187C">
          <w:headerReference w:type="even" r:id="rId12"/>
          <w:headerReference w:type="default" r:id="rId13"/>
          <w:footerReference w:type="even" r:id="rId14"/>
          <w:footerReference w:type="default" r:id="rId15"/>
          <w:pgSz w:w="11907" w:h="16839"/>
          <w:pgMar w:top="1440" w:right="1440" w:bottom="1440" w:left="1440" w:header="709" w:footer="709" w:gutter="0"/>
          <w:cols w:space="708"/>
          <w:docGrid w:linePitch="360"/>
        </w:sectPr>
      </w:pPr>
    </w:p>
    <w:p w:rsidR="007D4BCC" w:rsidRPr="0049187C" w:rsidRDefault="007D4BCC" w:rsidP="007D4BCC">
      <w:pPr>
        <w:pStyle w:val="IASBSectionTitle1NonInd"/>
        <w:pBdr>
          <w:bottom w:val="none" w:sz="0" w:space="0" w:color="auto"/>
        </w:pBdr>
        <w:rPr>
          <w:lang w:val="ru-RU"/>
        </w:rPr>
      </w:pPr>
      <w:bookmarkStart w:id="202" w:name="F32570780"/>
      <w:r w:rsidRPr="00BB3232">
        <w:rPr>
          <w:lang w:val="ru-RU"/>
        </w:rPr>
        <w:t>Приложение В</w:t>
      </w:r>
      <w:r w:rsidRPr="00BB3232">
        <w:rPr>
          <w:lang w:val="ru-RU"/>
        </w:rPr>
        <w:br/>
      </w:r>
      <w:bookmarkEnd w:id="202"/>
      <w:r w:rsidRPr="00BB3232">
        <w:rPr>
          <w:lang w:val="ru-RU"/>
        </w:rPr>
        <w:t>Руководство</w:t>
      </w:r>
      <w:r w:rsidRPr="0049187C">
        <w:rPr>
          <w:lang w:val="ru-RU"/>
        </w:rPr>
        <w:t xml:space="preserve"> по применению</w:t>
      </w:r>
    </w:p>
    <w:p w:rsidR="007D4BCC" w:rsidRPr="0049187C" w:rsidRDefault="007D4BCC" w:rsidP="007D4BCC">
      <w:pPr>
        <w:pStyle w:val="IASBNote"/>
        <w:rPr>
          <w:lang w:val="ru-RU"/>
        </w:rPr>
      </w:pPr>
      <w:bookmarkStart w:id="203" w:name="F32570781"/>
      <w:r w:rsidRPr="0049187C">
        <w:rPr>
          <w:lang w:val="ru-RU"/>
        </w:rPr>
        <w:t>Настоящее приложение является неотъемлемой частью данного стандарта.</w:t>
      </w:r>
      <w:bookmarkEnd w:id="203"/>
    </w:p>
    <w:p w:rsidR="00B643A3" w:rsidRPr="00170D8F" w:rsidRDefault="00C25F1D" w:rsidP="00B643A3">
      <w:pPr>
        <w:pStyle w:val="IASBSectionTitle1NonInd"/>
        <w:rPr>
          <w:lang w:val="ru-RU"/>
        </w:rPr>
      </w:pPr>
      <w:bookmarkStart w:id="204" w:name="F32570783"/>
      <w:r>
        <w:rPr>
          <w:lang w:val="ru-RU"/>
        </w:rPr>
        <w:t>Сфера применения (Г</w:t>
      </w:r>
      <w:r w:rsidR="00B643A3" w:rsidRPr="00170D8F">
        <w:rPr>
          <w:lang w:val="ru-RU"/>
        </w:rPr>
        <w:t>лава 2)</w:t>
      </w:r>
    </w:p>
    <w:p w:rsidR="00B643A3" w:rsidRPr="00170D8F" w:rsidRDefault="00B643A3" w:rsidP="00B643A3">
      <w:pPr>
        <w:pStyle w:val="IASBNormalnpara"/>
        <w:rPr>
          <w:lang w:val="ru-RU"/>
        </w:rPr>
      </w:pPr>
      <w:r w:rsidRPr="00170D8F">
        <w:rPr>
          <w:lang w:val="ru-RU"/>
        </w:rPr>
        <w:t>B2.1</w:t>
      </w:r>
      <w:r w:rsidRPr="00170D8F">
        <w:rPr>
          <w:lang w:val="ru-RU"/>
        </w:rPr>
        <w:tab/>
      </w:r>
      <w:r w:rsidR="00675A85" w:rsidRPr="007A6CF7">
        <w:rPr>
          <w:lang w:val="ru-RU"/>
        </w:rPr>
        <w:t xml:space="preserve">Некоторые договоры предусматривают платежи, основанные на климатических, геологических или иных физических переменных. (Платежи, основанные на физических переменных, связанных с климатическими условиями, иногда называют «погодными производными инструментами»). Если эти договоры не относятся к сфере применения МСФО (IFRS) </w:t>
      </w:r>
      <w:r w:rsidR="00A2200D">
        <w:rPr>
          <w:lang w:val="ru-RU"/>
        </w:rPr>
        <w:t>17</w:t>
      </w:r>
      <w:r w:rsidR="00015E5A" w:rsidRPr="00015E5A">
        <w:rPr>
          <w:lang w:val="ru-RU"/>
        </w:rPr>
        <w:t xml:space="preserve"> </w:t>
      </w:r>
      <w:r w:rsidR="00015E5A" w:rsidRPr="00015E5A">
        <w:rPr>
          <w:i/>
          <w:lang w:val="ru-RU"/>
        </w:rPr>
        <w:t>«Договоры страхования»</w:t>
      </w:r>
      <w:r w:rsidR="00675A85" w:rsidRPr="007A6CF7">
        <w:rPr>
          <w:lang w:val="ru-RU"/>
        </w:rPr>
        <w:t>, то они относятся к сфере применения настоящего стандарта</w:t>
      </w:r>
      <w:r w:rsidRPr="00170D8F">
        <w:rPr>
          <w:lang w:val="ru-RU"/>
        </w:rPr>
        <w:t>.</w:t>
      </w:r>
    </w:p>
    <w:p w:rsidR="00B643A3" w:rsidRPr="00170D8F" w:rsidRDefault="00B643A3" w:rsidP="00B643A3">
      <w:pPr>
        <w:pStyle w:val="IASBNormalnpara"/>
        <w:rPr>
          <w:lang w:val="ru-RU"/>
        </w:rPr>
      </w:pPr>
      <w:r w:rsidRPr="00170D8F">
        <w:rPr>
          <w:lang w:val="ru-RU"/>
        </w:rPr>
        <w:t>B2.2</w:t>
      </w:r>
      <w:r w:rsidRPr="00170D8F">
        <w:rPr>
          <w:lang w:val="ru-RU"/>
        </w:rPr>
        <w:tab/>
      </w:r>
      <w:r w:rsidR="00675A85" w:rsidRPr="007A6CF7">
        <w:rPr>
          <w:lang w:val="ru-RU"/>
        </w:rPr>
        <w:t xml:space="preserve">Настоящий стандарт не изменяет требований в отношении программ вознаграждений работникам, к которым применяется МСФО (IAS) 26 </w:t>
      </w:r>
      <w:r w:rsidR="00675A85" w:rsidRPr="007A6CF7">
        <w:rPr>
          <w:i/>
          <w:lang w:val="ru-RU"/>
        </w:rPr>
        <w:t>«Учет и отчетность по пенсионным программам»</w:t>
      </w:r>
      <w:r w:rsidR="00675A85" w:rsidRPr="007A6CF7">
        <w:rPr>
          <w:lang w:val="ru-RU"/>
        </w:rPr>
        <w:t>, и в отношении договоров, предусматривающих уплату роялти исходя из объема продаж или выручки от предоставления услуг, которые учитываются согласно</w:t>
      </w:r>
      <w:r w:rsidRPr="00170D8F">
        <w:rPr>
          <w:lang w:val="ru-RU"/>
        </w:rPr>
        <w:t xml:space="preserve"> МСФО (IFRS) 15 </w:t>
      </w:r>
      <w:r w:rsidRPr="00170D8F">
        <w:rPr>
          <w:i/>
          <w:lang w:val="ru-RU"/>
        </w:rPr>
        <w:t>«Выручка по договорам с покупателями»</w:t>
      </w:r>
      <w:r w:rsidRPr="00170D8F">
        <w:rPr>
          <w:lang w:val="ru-RU"/>
        </w:rPr>
        <w:t>.</w:t>
      </w:r>
    </w:p>
    <w:p w:rsidR="00B643A3" w:rsidRPr="00170D8F" w:rsidRDefault="00B643A3" w:rsidP="00B643A3">
      <w:pPr>
        <w:pStyle w:val="IASBNormalnpara"/>
        <w:rPr>
          <w:lang w:val="ru-RU"/>
        </w:rPr>
      </w:pPr>
      <w:r w:rsidRPr="00170D8F">
        <w:rPr>
          <w:lang w:val="ru-RU"/>
        </w:rPr>
        <w:t>B2.3</w:t>
      </w:r>
      <w:r w:rsidRPr="00170D8F">
        <w:rPr>
          <w:lang w:val="ru-RU"/>
        </w:rPr>
        <w:tab/>
      </w:r>
      <w:r w:rsidR="00BB5AFB" w:rsidRPr="007A6CF7">
        <w:rPr>
          <w:lang w:val="ru-RU"/>
        </w:rPr>
        <w:t>Иногда организация осуществляет, по ее мнению, «стратегическое инвестирование» в долевые инструменты, выпущенные другой организацией, с намерением установить или поддержать долгосрочные рабочие отношения с организацией, являющейся объектом этих инвестиций.</w:t>
      </w:r>
      <w:r w:rsidRPr="00170D8F">
        <w:rPr>
          <w:lang w:val="ru-RU"/>
        </w:rPr>
        <w:t xml:space="preserve"> Орган</w:t>
      </w:r>
      <w:r w:rsidR="00BB5AFB">
        <w:rPr>
          <w:lang w:val="ru-RU"/>
        </w:rPr>
        <w:t xml:space="preserve">изация-инвестор или организация </w:t>
      </w:r>
      <w:r w:rsidR="00E54655">
        <w:rPr>
          <w:lang w:val="ru-RU"/>
        </w:rPr>
        <w:t>-</w:t>
      </w:r>
      <w:r w:rsidR="00BB5AFB">
        <w:rPr>
          <w:lang w:val="ru-RU"/>
        </w:rPr>
        <w:t xml:space="preserve"> </w:t>
      </w:r>
      <w:r w:rsidRPr="00170D8F">
        <w:rPr>
          <w:lang w:val="ru-RU"/>
        </w:rPr>
        <w:t>участник совместного предприятия использует МСФО (IAS) 28</w:t>
      </w:r>
      <w:r w:rsidR="00015E5A">
        <w:rPr>
          <w:lang w:val="ru-RU"/>
        </w:rPr>
        <w:t xml:space="preserve"> «</w:t>
      </w:r>
      <w:r w:rsidR="00015E5A" w:rsidRPr="000A45F2">
        <w:rPr>
          <w:i/>
          <w:lang w:val="ru-RU"/>
        </w:rPr>
        <w:t xml:space="preserve">Инвестиции в </w:t>
      </w:r>
      <w:r w:rsidR="00015E5A">
        <w:rPr>
          <w:i/>
          <w:lang w:val="ru-RU"/>
        </w:rPr>
        <w:t>ассоциированн</w:t>
      </w:r>
      <w:r w:rsidR="00015E5A" w:rsidRPr="000A45F2">
        <w:rPr>
          <w:i/>
          <w:lang w:val="ru-RU"/>
        </w:rPr>
        <w:t>ые организации и совместные предприятия»</w:t>
      </w:r>
      <w:r w:rsidRPr="00170D8F">
        <w:rPr>
          <w:lang w:val="ru-RU"/>
        </w:rPr>
        <w:t>, чтобы определить, следует ли применять метод долевого участия для учета такой инвестиции.</w:t>
      </w:r>
    </w:p>
    <w:p w:rsidR="00B643A3" w:rsidRPr="00170D8F" w:rsidRDefault="00B643A3" w:rsidP="00B643A3">
      <w:pPr>
        <w:pStyle w:val="IASBNormalnpara"/>
        <w:rPr>
          <w:lang w:val="ru-RU"/>
        </w:rPr>
      </w:pPr>
      <w:r w:rsidRPr="00170D8F">
        <w:rPr>
          <w:lang w:val="ru-RU"/>
        </w:rPr>
        <w:t>B2.4</w:t>
      </w:r>
      <w:r w:rsidRPr="00170D8F">
        <w:rPr>
          <w:lang w:val="ru-RU"/>
        </w:rPr>
        <w:tab/>
      </w:r>
      <w:r w:rsidR="00BB5AFB" w:rsidRPr="007A6CF7">
        <w:rPr>
          <w:lang w:val="ru-RU"/>
        </w:rPr>
        <w:t>Настоящий стандарт применяется к финансовым активам и финансовым обязательствам страховщиков, кроме прав и обязанностей, которые исключаются пунктом</w:t>
      </w:r>
      <w:r w:rsidRPr="00170D8F">
        <w:rPr>
          <w:lang w:val="ru-RU"/>
        </w:rPr>
        <w:t xml:space="preserve"> 2.1(e) на том основании, что они возникают по договорам, относящимся к сфере применения МСФО (IFRS) </w:t>
      </w:r>
      <w:r w:rsidR="00A2200D">
        <w:rPr>
          <w:lang w:val="ru-RU"/>
        </w:rPr>
        <w:t>17</w:t>
      </w:r>
      <w:r w:rsidRPr="00170D8F">
        <w:rPr>
          <w:lang w:val="ru-RU"/>
        </w:rPr>
        <w:t>.</w:t>
      </w:r>
    </w:p>
    <w:p w:rsidR="00B643A3" w:rsidRPr="00170D8F" w:rsidRDefault="00B643A3" w:rsidP="00B643A3">
      <w:pPr>
        <w:pStyle w:val="IASBNormalnpara"/>
        <w:rPr>
          <w:lang w:val="ru-RU"/>
        </w:rPr>
      </w:pPr>
      <w:r w:rsidRPr="00170D8F">
        <w:rPr>
          <w:lang w:val="ru-RU"/>
        </w:rPr>
        <w:t>B2.5</w:t>
      </w:r>
      <w:r w:rsidRPr="00170D8F">
        <w:rPr>
          <w:lang w:val="ru-RU"/>
        </w:rPr>
        <w:tab/>
      </w:r>
      <w:r w:rsidR="00BB5AFB" w:rsidRPr="007A6CF7">
        <w:rPr>
          <w:lang w:val="ru-RU"/>
        </w:rPr>
        <w:t>Договоры финансовой гарантии могут иметь разную правовую форму, такую как гарантия, некоторые виды аккредитивов, договор в отношении кредитного дефолта или договор страхования. Порядок их учета не зависит от их правовой формы. Ниже представлены примеры надлежащего порядка учета</w:t>
      </w:r>
      <w:r w:rsidRPr="00170D8F">
        <w:rPr>
          <w:lang w:val="ru-RU"/>
        </w:rPr>
        <w:t xml:space="preserve"> (см. пункт 2.1(e)):</w:t>
      </w:r>
    </w:p>
    <w:p w:rsidR="00B643A3" w:rsidRPr="00170D8F" w:rsidRDefault="00B643A3" w:rsidP="00B643A3">
      <w:pPr>
        <w:pStyle w:val="IASBNormalnparaL1"/>
        <w:rPr>
          <w:lang w:val="ru-RU"/>
        </w:rPr>
      </w:pPr>
      <w:r w:rsidRPr="00170D8F">
        <w:rPr>
          <w:lang w:val="ru-RU"/>
        </w:rPr>
        <w:t>(a)</w:t>
      </w:r>
      <w:r w:rsidRPr="00170D8F">
        <w:rPr>
          <w:lang w:val="ru-RU"/>
        </w:rPr>
        <w:tab/>
      </w:r>
      <w:r w:rsidR="00BB5AFB" w:rsidRPr="00BB5AFB">
        <w:rPr>
          <w:lang w:val="ru-RU"/>
        </w:rPr>
        <w:t>Несмотря на то, что договор финансовой гарантии отвечает определению договора страхования в МСФО (</w:t>
      </w:r>
      <w:r w:rsidR="00BB5AFB" w:rsidRPr="007A6CF7">
        <w:t>IFRS</w:t>
      </w:r>
      <w:r w:rsidR="00BB5AFB" w:rsidRPr="00BB5AFB">
        <w:rPr>
          <w:lang w:val="ru-RU"/>
        </w:rPr>
        <w:t xml:space="preserve">) </w:t>
      </w:r>
      <w:r w:rsidR="00A2200D">
        <w:rPr>
          <w:lang w:val="ru-RU"/>
        </w:rPr>
        <w:t xml:space="preserve">17 </w:t>
      </w:r>
      <w:r w:rsidR="00A2200D" w:rsidRPr="00A2200D">
        <w:rPr>
          <w:lang w:val="ru-RU"/>
        </w:rPr>
        <w:t>(см. пункт 7(</w:t>
      </w:r>
      <w:r w:rsidR="00A2200D" w:rsidRPr="00B172FE">
        <w:t>e</w:t>
      </w:r>
      <w:r w:rsidR="00A2200D" w:rsidRPr="00A2200D">
        <w:rPr>
          <w:lang w:val="ru-RU"/>
        </w:rPr>
        <w:t>) МСФО</w:t>
      </w:r>
      <w:r w:rsidR="00A2200D" w:rsidRPr="00B172FE">
        <w:t> </w:t>
      </w:r>
      <w:r w:rsidR="00A2200D" w:rsidRPr="00A2200D">
        <w:rPr>
          <w:lang w:val="ru-RU"/>
        </w:rPr>
        <w:t>(</w:t>
      </w:r>
      <w:r w:rsidR="00A2200D" w:rsidRPr="00B172FE">
        <w:t>IFRS</w:t>
      </w:r>
      <w:r w:rsidR="00A2200D" w:rsidRPr="00A2200D">
        <w:rPr>
          <w:lang w:val="ru-RU"/>
        </w:rPr>
        <w:t>)</w:t>
      </w:r>
      <w:r w:rsidR="00A2200D" w:rsidRPr="00B172FE">
        <w:t> </w:t>
      </w:r>
      <w:r w:rsidR="00A2200D" w:rsidRPr="00A2200D">
        <w:rPr>
          <w:lang w:val="ru-RU"/>
        </w:rPr>
        <w:t>17)</w:t>
      </w:r>
      <w:r w:rsidR="00BB5AFB" w:rsidRPr="00BB5AFB">
        <w:rPr>
          <w:lang w:val="ru-RU"/>
        </w:rPr>
        <w:t>, если передаваемый риск является значительным, сторона, выпустившая этот договор, применяет настоящий стандарт. Тем не менее, если указанная сторона ранее в явной форме заявляла, что она рассматривает такие договоры как договоры страхования и учитывала их в порядке, применимом к договорам страхования, то эта сторона может по собственному усмотрению применять к таким договорам финансовой гарантии либо настоящий стандарт, либо МСФО (</w:t>
      </w:r>
      <w:r w:rsidR="00BB5AFB" w:rsidRPr="007A6CF7">
        <w:t>IFRS</w:t>
      </w:r>
      <w:r w:rsidR="00BB5AFB" w:rsidRPr="00BB5AFB">
        <w:rPr>
          <w:lang w:val="ru-RU"/>
        </w:rPr>
        <w:t xml:space="preserve">) </w:t>
      </w:r>
      <w:r w:rsidR="000F041D">
        <w:rPr>
          <w:lang w:val="ru-RU"/>
        </w:rPr>
        <w:t>17</w:t>
      </w:r>
      <w:r w:rsidR="00BB5AFB" w:rsidRPr="00BB5AFB">
        <w:rPr>
          <w:lang w:val="ru-RU"/>
        </w:rPr>
        <w:t>. Если применяется настоящий стандарт, то в соответствии с требованиями пункта</w:t>
      </w:r>
      <w:r w:rsidRPr="00170D8F">
        <w:rPr>
          <w:lang w:val="ru-RU"/>
        </w:rPr>
        <w:t xml:space="preserve"> 5.1.1 </w:t>
      </w:r>
      <w:r w:rsidR="00BB5AFB" w:rsidRPr="00BB5AFB">
        <w:rPr>
          <w:lang w:val="ru-RU"/>
        </w:rPr>
        <w:t>сторона, выпустившая договор финансовой гарантии, должна первоначально признать его по справедливой стоимости. Если договор финансовой гарантии был заключен с несвязанной стороной в рамках отдельной сделки между независимыми сторонами, то, в отсутствие свидетельств об обратном, его справедливая стоимость на дату его заключения, вероятнее всего, будет равна величине полученной премии. Впоследствии, кроме случаев, когда этот договор финансовой гарантии был при первоначальном его признании классифицирован по усмотрению организации как оцениваемый по справедливой стоимости через прибыль или убыток или когда применяются пункты</w:t>
      </w:r>
      <w:r w:rsidRPr="00170D8F">
        <w:rPr>
          <w:lang w:val="ru-RU"/>
        </w:rPr>
        <w:t xml:space="preserve"> 3.2.15–3.2.23 и </w:t>
      </w:r>
      <w:r w:rsidRPr="00170D8F">
        <w:t>B</w:t>
      </w:r>
      <w:r w:rsidRPr="00170D8F">
        <w:rPr>
          <w:lang w:val="ru-RU"/>
        </w:rPr>
        <w:t>3.2.12–</w:t>
      </w:r>
      <w:r w:rsidRPr="00170D8F">
        <w:t>B</w:t>
      </w:r>
      <w:r w:rsidRPr="00170D8F">
        <w:rPr>
          <w:lang w:val="ru-RU"/>
        </w:rPr>
        <w:t xml:space="preserve">3.2.17 </w:t>
      </w:r>
      <w:r w:rsidR="00BB5AFB" w:rsidRPr="00BB5AFB">
        <w:rPr>
          <w:lang w:val="ru-RU"/>
        </w:rPr>
        <w:t>(когда передача финансового актива не удовлетворяет критериям для прекращения его признания или применяется принцип оценки продолжающегося участия), сторона, выпустившая данный договор, оценивает его в большей из следующих двух величин</w:t>
      </w:r>
      <w:r w:rsidRPr="00170D8F">
        <w:rPr>
          <w:lang w:val="ru-RU"/>
        </w:rPr>
        <w:t>:</w:t>
      </w:r>
    </w:p>
    <w:p w:rsidR="00B643A3" w:rsidRPr="00170D8F" w:rsidRDefault="00B643A3" w:rsidP="00B643A3">
      <w:pPr>
        <w:pStyle w:val="IASBNormalnparaL2"/>
        <w:rPr>
          <w:lang w:val="ru-RU"/>
        </w:rPr>
      </w:pPr>
      <w:r w:rsidRPr="00170D8F">
        <w:rPr>
          <w:lang w:val="ru-RU"/>
        </w:rPr>
        <w:t>(i)</w:t>
      </w:r>
      <w:r w:rsidRPr="00170D8F">
        <w:rPr>
          <w:lang w:val="ru-RU"/>
        </w:rPr>
        <w:tab/>
        <w:t>сумме,</w:t>
      </w:r>
      <w:r w:rsidR="00C25F1D">
        <w:rPr>
          <w:lang w:val="ru-RU"/>
        </w:rPr>
        <w:t xml:space="preserve"> определенной в соответствии с Р</w:t>
      </w:r>
      <w:r w:rsidRPr="00170D8F">
        <w:rPr>
          <w:lang w:val="ru-RU"/>
        </w:rPr>
        <w:t>азделом 5.5; и</w:t>
      </w:r>
    </w:p>
    <w:p w:rsidR="00B643A3" w:rsidRPr="00170D8F" w:rsidRDefault="00B643A3" w:rsidP="00B643A3">
      <w:pPr>
        <w:pStyle w:val="IASBNormalnparaL2"/>
        <w:rPr>
          <w:lang w:val="ru-RU"/>
        </w:rPr>
      </w:pPr>
      <w:r w:rsidRPr="00170D8F">
        <w:rPr>
          <w:lang w:val="ru-RU"/>
        </w:rPr>
        <w:t>(ii)</w:t>
      </w:r>
      <w:r w:rsidRPr="00170D8F">
        <w:rPr>
          <w:lang w:val="ru-RU"/>
        </w:rPr>
        <w:tab/>
        <w:t xml:space="preserve">первоначально признанной сумме за вычетом, </w:t>
      </w:r>
      <w:r w:rsidR="006C5B51">
        <w:rPr>
          <w:lang w:val="ru-RU"/>
        </w:rPr>
        <w:t>когда уместно</w:t>
      </w:r>
      <w:r w:rsidRPr="00170D8F">
        <w:rPr>
          <w:lang w:val="ru-RU"/>
        </w:rPr>
        <w:t xml:space="preserve">, </w:t>
      </w:r>
      <w:r w:rsidR="006F4910">
        <w:rPr>
          <w:lang w:val="ru-RU"/>
        </w:rPr>
        <w:t>общей</w:t>
      </w:r>
      <w:r w:rsidRPr="00170D8F">
        <w:rPr>
          <w:lang w:val="ru-RU"/>
        </w:rPr>
        <w:t xml:space="preserve"> величины дохода, признанного в соответствии с МСФО (IFRS) 15 (см. пункт 4.2.1(c)).</w:t>
      </w:r>
    </w:p>
    <w:p w:rsidR="00B643A3" w:rsidRPr="00170D8F" w:rsidRDefault="00B643A3" w:rsidP="00B643A3">
      <w:pPr>
        <w:pStyle w:val="IASBNormalnparaL1"/>
        <w:rPr>
          <w:lang w:val="ru-RU"/>
        </w:rPr>
      </w:pPr>
      <w:r w:rsidRPr="00170D8F">
        <w:rPr>
          <w:lang w:val="ru-RU"/>
        </w:rPr>
        <w:t>(b)</w:t>
      </w:r>
      <w:r w:rsidRPr="00170D8F">
        <w:rPr>
          <w:lang w:val="ru-RU"/>
        </w:rPr>
        <w:tab/>
      </w:r>
      <w:r w:rsidR="00BB5AFB" w:rsidRPr="00BB5AFB">
        <w:rPr>
          <w:lang w:val="ru-RU"/>
        </w:rPr>
        <w:t>Некоторые договоры гарантии, связанные с займами, не требуют в качестве непременного условия для совершения платежа того, чтобы держатель был подвержен риску понесения убытков или понес такие убытки в результате того, что должник не совершил платежи по активу, являющемуся предметом гарантии, в установленный срок. Примером такой гарантии является гарантия, требующая совершения платежей в случае изменения определенного кредитного рейтинга или кредитного индекса. Такие гарантии не являются договорами финансовой гарантии, как этот термин определен в настоящем стандарте, и не являются договорами страхования, как этот термин определен в МСФО (</w:t>
      </w:r>
      <w:r w:rsidR="00BB5AFB" w:rsidRPr="007A6CF7">
        <w:t>IFRS</w:t>
      </w:r>
      <w:r w:rsidR="00BB5AFB" w:rsidRPr="00BB5AFB">
        <w:rPr>
          <w:lang w:val="ru-RU"/>
        </w:rPr>
        <w:t xml:space="preserve">) </w:t>
      </w:r>
      <w:r w:rsidR="000F041D">
        <w:rPr>
          <w:lang w:val="ru-RU"/>
        </w:rPr>
        <w:t>17</w:t>
      </w:r>
      <w:r w:rsidR="00BB5AFB" w:rsidRPr="00BB5AFB">
        <w:rPr>
          <w:lang w:val="ru-RU"/>
        </w:rPr>
        <w:t>. Подобные гарантии представляют собой производные инструменты, и к ним выпустившая их сторона применяет настоящий стандарт</w:t>
      </w:r>
      <w:r w:rsidRPr="00170D8F">
        <w:rPr>
          <w:lang w:val="ru-RU"/>
        </w:rPr>
        <w:t xml:space="preserve">. </w:t>
      </w:r>
    </w:p>
    <w:p w:rsidR="00B643A3" w:rsidRPr="00170D8F" w:rsidRDefault="00B643A3" w:rsidP="00B643A3">
      <w:pPr>
        <w:pStyle w:val="IASBNormalnparaL1"/>
        <w:rPr>
          <w:lang w:val="ru-RU"/>
        </w:rPr>
      </w:pPr>
      <w:r w:rsidRPr="00170D8F">
        <w:rPr>
          <w:lang w:val="ru-RU"/>
        </w:rPr>
        <w:t>(c)</w:t>
      </w:r>
      <w:r w:rsidRPr="00170D8F">
        <w:rPr>
          <w:lang w:val="ru-RU"/>
        </w:rPr>
        <w:tab/>
      </w:r>
      <w:r w:rsidR="00BB5AFB" w:rsidRPr="007A6CF7">
        <w:rPr>
          <w:lang w:val="ru-RU"/>
        </w:rPr>
        <w:t>Если договор финансовой гарантии был заключен в связи с продажей товаров, то для решения вопроса о том, в какой момент признавать выручку от выданной гарантии и от продажи товаров, выпустившая этот договор сторона применяет</w:t>
      </w:r>
      <w:r w:rsidRPr="00170D8F">
        <w:rPr>
          <w:lang w:val="ru-RU"/>
        </w:rPr>
        <w:t xml:space="preserve"> МСФО (IFRS) 15.</w:t>
      </w:r>
    </w:p>
    <w:p w:rsidR="00B643A3" w:rsidRPr="00170D8F" w:rsidRDefault="006F4910" w:rsidP="00B643A3">
      <w:pPr>
        <w:pStyle w:val="IASBNormalnpara"/>
        <w:rPr>
          <w:lang w:val="ru-RU"/>
        </w:rPr>
      </w:pPr>
      <w:r>
        <w:rPr>
          <w:lang w:val="ru-RU"/>
        </w:rPr>
        <w:t>B2.6</w:t>
      </w:r>
      <w:r>
        <w:rPr>
          <w:lang w:val="ru-RU"/>
        </w:rPr>
        <w:tab/>
      </w:r>
      <w:r w:rsidR="00BB5AFB" w:rsidRPr="007A6CF7">
        <w:rPr>
          <w:lang w:val="ru-RU"/>
        </w:rPr>
        <w:t>Заявления стороны, выпустившей такие договоры, о том, что она рассматривает их как договоры страхования, обычно содержатся где-нибудь в корреспонденции этой стороны с покупателями и регулирующими органами, в договорах, деловой документации и финансовой отчетности. Кроме того, порядок учета договоров страхования зачастую отличается от требований к учет</w:t>
      </w:r>
      <w:r w:rsidR="00BB5AFB">
        <w:rPr>
          <w:lang w:val="ru-RU"/>
        </w:rPr>
        <w:t>у сделок других видов, например</w:t>
      </w:r>
      <w:r w:rsidR="00BB5AFB" w:rsidRPr="007A6CF7">
        <w:rPr>
          <w:lang w:val="ru-RU"/>
        </w:rPr>
        <w:t xml:space="preserve"> договоров, заключенных банками или коммерческими организациями. В таких случаях в финансовой отчетности стороны, выпустившей такие договоры, обычно содержится заявление об использовании ею указанного порядка учета</w:t>
      </w:r>
      <w:r w:rsidR="00B643A3" w:rsidRPr="00170D8F">
        <w:rPr>
          <w:lang w:val="ru-RU"/>
        </w:rPr>
        <w:t>.</w:t>
      </w:r>
    </w:p>
    <w:p w:rsidR="00B643A3" w:rsidRPr="00170D8F" w:rsidRDefault="00B643A3" w:rsidP="00B643A3">
      <w:pPr>
        <w:pStyle w:val="IASBSectionTitle1NonInd"/>
        <w:rPr>
          <w:lang w:val="ru-RU"/>
        </w:rPr>
      </w:pPr>
      <w:r w:rsidRPr="00170D8F">
        <w:rPr>
          <w:lang w:val="ru-RU"/>
        </w:rPr>
        <w:t>Признание и</w:t>
      </w:r>
      <w:r w:rsidR="00C25F1D">
        <w:rPr>
          <w:lang w:val="ru-RU"/>
        </w:rPr>
        <w:t xml:space="preserve"> прекращение признания (Г</w:t>
      </w:r>
      <w:r w:rsidRPr="00170D8F">
        <w:rPr>
          <w:lang w:val="ru-RU"/>
        </w:rPr>
        <w:t>лава 3)</w:t>
      </w:r>
    </w:p>
    <w:p w:rsidR="00B643A3" w:rsidRPr="00170D8F" w:rsidRDefault="00C25F1D" w:rsidP="00B643A3">
      <w:pPr>
        <w:pStyle w:val="IASBSectionTitle2Ind"/>
        <w:rPr>
          <w:lang w:val="ru-RU"/>
        </w:rPr>
      </w:pPr>
      <w:r>
        <w:rPr>
          <w:lang w:val="ru-RU"/>
        </w:rPr>
        <w:t>Первоначальное признание (Р</w:t>
      </w:r>
      <w:r w:rsidR="00B643A3" w:rsidRPr="00170D8F">
        <w:rPr>
          <w:lang w:val="ru-RU"/>
        </w:rPr>
        <w:t>аздел 3.1)</w:t>
      </w:r>
    </w:p>
    <w:p w:rsidR="00B643A3" w:rsidRPr="00170D8F" w:rsidRDefault="00B643A3" w:rsidP="00B643A3">
      <w:pPr>
        <w:pStyle w:val="IASBNormalnpara"/>
        <w:rPr>
          <w:lang w:val="ru-RU"/>
        </w:rPr>
      </w:pPr>
      <w:r w:rsidRPr="00170D8F">
        <w:rPr>
          <w:lang w:val="ru-RU"/>
        </w:rPr>
        <w:t>B3.1.1</w:t>
      </w:r>
      <w:r w:rsidRPr="00170D8F">
        <w:rPr>
          <w:lang w:val="ru-RU"/>
        </w:rPr>
        <w:tab/>
        <w:t xml:space="preserve">Вследствие принципа, предусмотренного пунктом 3.1.1, </w:t>
      </w:r>
      <w:r w:rsidR="00BB5AFB" w:rsidRPr="007A6CF7">
        <w:rPr>
          <w:lang w:val="ru-RU"/>
        </w:rPr>
        <w:t>организация признает в отчете о финансовом положении все свои предусмотренные договором права и обязанности по производным инструментам как активы и обязательства соответственно, за исключением производных инструментов, которые не позволяют учитывать передачу финансовых активов как продажу</w:t>
      </w:r>
      <w:r w:rsidRPr="00170D8F">
        <w:rPr>
          <w:lang w:val="ru-RU"/>
        </w:rPr>
        <w:t xml:space="preserve"> (см. пункт B3.2.14). </w:t>
      </w:r>
      <w:r w:rsidR="00BB5AFB" w:rsidRPr="007A6CF7">
        <w:rPr>
          <w:lang w:val="ru-RU"/>
        </w:rPr>
        <w:t>Если передача финансового актива не соответствует критериям для прекращения его признания, принимающая сторона не признает переданный ей актив в качестве своего актива</w:t>
      </w:r>
      <w:r w:rsidRPr="00170D8F">
        <w:rPr>
          <w:lang w:val="ru-RU"/>
        </w:rPr>
        <w:t xml:space="preserve"> (см. пункт B3.2.15).</w:t>
      </w:r>
    </w:p>
    <w:p w:rsidR="00B643A3" w:rsidRPr="00170D8F" w:rsidRDefault="00B643A3" w:rsidP="00B643A3">
      <w:pPr>
        <w:pStyle w:val="IASBNormalnpara"/>
        <w:rPr>
          <w:lang w:val="ru-RU"/>
        </w:rPr>
      </w:pPr>
      <w:r w:rsidRPr="00170D8F">
        <w:rPr>
          <w:lang w:val="ru-RU"/>
        </w:rPr>
        <w:t>B3.1.2</w:t>
      </w:r>
      <w:r w:rsidRPr="00170D8F">
        <w:rPr>
          <w:lang w:val="ru-RU"/>
        </w:rPr>
        <w:tab/>
        <w:t>Ниже представлены примеры применения принципа, изложенного в пункте 3.1.1:</w:t>
      </w:r>
    </w:p>
    <w:p w:rsidR="00B643A3" w:rsidRPr="00170D8F" w:rsidRDefault="00B643A3" w:rsidP="00B643A3">
      <w:pPr>
        <w:pStyle w:val="IASBNormalnparaL1"/>
        <w:rPr>
          <w:lang w:val="ru-RU"/>
        </w:rPr>
      </w:pPr>
      <w:r w:rsidRPr="00170D8F">
        <w:rPr>
          <w:lang w:val="ru-RU"/>
        </w:rPr>
        <w:t>(a)</w:t>
      </w:r>
      <w:r w:rsidRPr="00170D8F">
        <w:rPr>
          <w:lang w:val="ru-RU"/>
        </w:rPr>
        <w:tab/>
      </w:r>
      <w:bookmarkStart w:id="205" w:name="F32570813"/>
      <w:r w:rsidR="00BB5AFB" w:rsidRPr="00BB5AFB">
        <w:rPr>
          <w:lang w:val="ru-RU"/>
        </w:rPr>
        <w:t>Безусловная дебиторская и кредиторская задолженность признается как актив или обязательство, когда организация становится стороной по договору, вследствие заключения которого у нее возникает юридическое право на получение денежных средств или юридическая обязанность выплатить денежные средства</w:t>
      </w:r>
      <w:r w:rsidRPr="00170D8F">
        <w:rPr>
          <w:lang w:val="ru-RU"/>
        </w:rPr>
        <w:t>.</w:t>
      </w:r>
      <w:bookmarkEnd w:id="205"/>
    </w:p>
    <w:p w:rsidR="00B643A3" w:rsidRPr="00170D8F" w:rsidRDefault="00B643A3" w:rsidP="00B643A3">
      <w:pPr>
        <w:pStyle w:val="IASBNormalnparaL1"/>
        <w:rPr>
          <w:lang w:val="ru-RU"/>
        </w:rPr>
      </w:pPr>
      <w:r w:rsidRPr="00170D8F">
        <w:rPr>
          <w:lang w:val="ru-RU"/>
        </w:rPr>
        <w:t>(</w:t>
      </w:r>
      <w:r w:rsidRPr="00170D8F">
        <w:t>b</w:t>
      </w:r>
      <w:r w:rsidRPr="00170D8F">
        <w:rPr>
          <w:lang w:val="ru-RU"/>
        </w:rPr>
        <w:t>)</w:t>
      </w:r>
      <w:r w:rsidRPr="00170D8F">
        <w:rPr>
          <w:lang w:val="ru-RU"/>
        </w:rPr>
        <w:tab/>
      </w:r>
      <w:bookmarkStart w:id="206" w:name="F32570815"/>
      <w:r w:rsidR="00BB5AFB" w:rsidRPr="00BB5AFB">
        <w:rPr>
          <w:lang w:val="ru-RU"/>
        </w:rPr>
        <w:t>Активы, которые будут приобретены организацией, и обязательства, которые возникнут у нее в результате принятия на себя твердого договорного обязательства купить или продать товары или услуги, обычно не признаются до тех пор, пока хотя бы одна из сторон не выполнит своих договорных обязательств. Например, организация, получившая твердый заказ, как правило, не признает актив (а организация, разместившая этот заказ, не признает обязательство) в момент принятия на себя соответствующего договорного обязательства, а, напротив, откладывает признание до момента отгрузки или поставки заказанных товаров или оказания услуг. Если твердое договорное обязательство на покупку или продажу нефинансовых объектов входит в сферу применения настоящего стандарта в соответствии с пунктами</w:t>
      </w:r>
      <w:r w:rsidR="00A876BE">
        <w:rPr>
          <w:lang w:val="ru-RU"/>
        </w:rPr>
        <w:t xml:space="preserve"> 2.4</w:t>
      </w:r>
      <w:r w:rsidR="00A876BE" w:rsidRPr="008872E8">
        <w:rPr>
          <w:lang w:val="ru-RU"/>
        </w:rPr>
        <w:t>–</w:t>
      </w:r>
      <w:r w:rsidRPr="00170D8F">
        <w:rPr>
          <w:lang w:val="ru-RU"/>
        </w:rPr>
        <w:t xml:space="preserve">2.7, </w:t>
      </w:r>
      <w:r w:rsidR="00BB5AFB" w:rsidRPr="00BB5AFB">
        <w:rPr>
          <w:lang w:val="ru-RU"/>
        </w:rPr>
        <w:t>то его чистая справедливая стоимость признается как актив или обязательство на дату принятия на себя соответствующих обязательств по договору</w:t>
      </w:r>
      <w:r w:rsidRPr="00170D8F">
        <w:rPr>
          <w:lang w:val="ru-RU"/>
        </w:rPr>
        <w:t xml:space="preserve"> (см. пункт В4.1.30(с)). </w:t>
      </w:r>
      <w:r w:rsidR="00BB5AFB" w:rsidRPr="00BB5AFB">
        <w:rPr>
          <w:lang w:val="ru-RU"/>
        </w:rPr>
        <w:t>Кроме того, если ранее непризнанное твердое договорное обязательство определяется по усмотрению организации в качестве объекта хеджирования в отношениях хеджирования справедливой стоимости, то изменение чистой справедливой стоимости, связанное с хеджируемым риском, признается как актив или обязательство после начала хеджирования</w:t>
      </w:r>
      <w:r w:rsidRPr="00170D8F">
        <w:rPr>
          <w:lang w:val="ru-RU"/>
        </w:rPr>
        <w:t xml:space="preserve"> (см. пункты 6.5.8(</w:t>
      </w:r>
      <w:r w:rsidRPr="00170D8F">
        <w:t>b</w:t>
      </w:r>
      <w:r w:rsidRPr="00170D8F">
        <w:rPr>
          <w:lang w:val="ru-RU"/>
        </w:rPr>
        <w:t>) и 6.5.9).</w:t>
      </w:r>
      <w:bookmarkEnd w:id="206"/>
    </w:p>
    <w:p w:rsidR="00B643A3" w:rsidRPr="00170D8F" w:rsidRDefault="00B643A3" w:rsidP="00B643A3">
      <w:pPr>
        <w:pStyle w:val="IASBNormalnparaL1"/>
        <w:rPr>
          <w:lang w:val="ru-RU"/>
        </w:rPr>
      </w:pPr>
      <w:r w:rsidRPr="00170D8F">
        <w:rPr>
          <w:lang w:val="ru-RU"/>
        </w:rPr>
        <w:t>(c)</w:t>
      </w:r>
      <w:r w:rsidRPr="00170D8F">
        <w:rPr>
          <w:lang w:val="ru-RU"/>
        </w:rPr>
        <w:tab/>
        <w:t xml:space="preserve">Форвардный договор, относящийся к сфере применения настоящего стандарта (см. пункт 2.1), </w:t>
      </w:r>
      <w:r w:rsidR="00BB5AFB" w:rsidRPr="00BB5AFB">
        <w:rPr>
          <w:lang w:val="ru-RU"/>
        </w:rPr>
        <w:t>признается как актив или обязательство на дату принятия на себя соответствующего обязательства, а не на дату осуществления расчетов. Когда организация становится стороной по форвардному договору, справедливая стоимость ее права зачастую равна справедливой стоимости ее обязанности, следовательно, нетто-величина справедливой стоимости данного форварда равна нулю. Если нетто-величина справедливой стоимости таких прав и обязанностей не равна нулю, то договор признается как актив или обязательство</w:t>
      </w:r>
      <w:r w:rsidRPr="00170D8F">
        <w:rPr>
          <w:lang w:val="ru-RU"/>
        </w:rPr>
        <w:t>.</w:t>
      </w:r>
    </w:p>
    <w:p w:rsidR="00B643A3" w:rsidRPr="00170D8F" w:rsidRDefault="00B643A3" w:rsidP="00B643A3">
      <w:pPr>
        <w:pStyle w:val="IASBNormalnparaL1"/>
        <w:rPr>
          <w:lang w:val="ru-RU"/>
        </w:rPr>
      </w:pPr>
      <w:r w:rsidRPr="00170D8F">
        <w:rPr>
          <w:lang w:val="ru-RU"/>
        </w:rPr>
        <w:t>(d)</w:t>
      </w:r>
      <w:r w:rsidRPr="00170D8F">
        <w:rPr>
          <w:lang w:val="ru-RU"/>
        </w:rPr>
        <w:tab/>
      </w:r>
      <w:bookmarkStart w:id="207" w:name="F32570829"/>
      <w:r w:rsidRPr="00170D8F">
        <w:rPr>
          <w:lang w:val="ru-RU"/>
        </w:rPr>
        <w:t>Договоры опциона, которые</w:t>
      </w:r>
      <w:bookmarkStart w:id="208" w:name="F32570831"/>
      <w:bookmarkEnd w:id="207"/>
      <w:r w:rsidRPr="00170D8F">
        <w:rPr>
          <w:lang w:val="ru-RU"/>
        </w:rPr>
        <w:t xml:space="preserve"> относятся к сфере применения настоящего стандарта (см. пункт 2.1), </w:t>
      </w:r>
      <w:r w:rsidR="00BB5AFB" w:rsidRPr="00BB5AFB">
        <w:rPr>
          <w:lang w:val="ru-RU"/>
        </w:rPr>
        <w:t>признаются в качестве активов или обязательств, когда держатель или продавец опциона становится стороной по соответствующему договору</w:t>
      </w:r>
      <w:r w:rsidRPr="00170D8F">
        <w:rPr>
          <w:lang w:val="ru-RU"/>
        </w:rPr>
        <w:t>.</w:t>
      </w:r>
      <w:bookmarkEnd w:id="208"/>
    </w:p>
    <w:p w:rsidR="00B643A3" w:rsidRPr="00170D8F" w:rsidRDefault="00B643A3" w:rsidP="00B643A3">
      <w:pPr>
        <w:pStyle w:val="IASBNormalnparaL1"/>
        <w:rPr>
          <w:lang w:val="ru-RU"/>
        </w:rPr>
      </w:pPr>
      <w:bookmarkStart w:id="209" w:name="F32570833"/>
      <w:r w:rsidRPr="00170D8F">
        <w:rPr>
          <w:lang w:val="ru-RU"/>
        </w:rPr>
        <w:t>(e)</w:t>
      </w:r>
      <w:r w:rsidRPr="00170D8F">
        <w:rPr>
          <w:lang w:val="ru-RU"/>
        </w:rPr>
        <w:tab/>
      </w:r>
      <w:r w:rsidR="00BB5AFB" w:rsidRPr="00BB5AFB">
        <w:rPr>
          <w:lang w:val="ru-RU"/>
        </w:rPr>
        <w:t>Запланированные будущие сделки, независимо от того, насколько высока вероятность их осуществления, не являются активами и обязательствами, так как организация не стала стороной по договору</w:t>
      </w:r>
      <w:r w:rsidRPr="00170D8F">
        <w:rPr>
          <w:lang w:val="ru-RU"/>
        </w:rPr>
        <w:t>.</w:t>
      </w:r>
    </w:p>
    <w:p w:rsidR="00B643A3" w:rsidRPr="00170D8F" w:rsidRDefault="00B643A3" w:rsidP="00B643A3">
      <w:pPr>
        <w:pStyle w:val="IASBSectionTitle3Ind"/>
        <w:rPr>
          <w:lang w:val="ru-RU"/>
        </w:rPr>
      </w:pPr>
      <w:r w:rsidRPr="00170D8F">
        <w:rPr>
          <w:lang w:val="ru-RU"/>
        </w:rPr>
        <w:t>Покупка или продажа финансовых активов на стандартных условиях</w:t>
      </w:r>
      <w:bookmarkEnd w:id="209"/>
    </w:p>
    <w:p w:rsidR="00B643A3" w:rsidRPr="00170D8F" w:rsidRDefault="00B643A3" w:rsidP="00B643A3">
      <w:pPr>
        <w:pStyle w:val="IASBNormalnpara"/>
        <w:rPr>
          <w:lang w:val="ru-RU"/>
        </w:rPr>
      </w:pPr>
      <w:r w:rsidRPr="00170D8F">
        <w:rPr>
          <w:lang w:val="ru-RU"/>
        </w:rPr>
        <w:t>B3.1.3</w:t>
      </w:r>
      <w:r w:rsidRPr="00170D8F">
        <w:rPr>
          <w:lang w:val="ru-RU"/>
        </w:rPr>
        <w:tab/>
        <w:t>Покупка или продажа финансовых активов, осуществленная на стандартных условиях, признается с использованием либо метода учета по дате заключения сделки, либо метода учета по дате расчетов, как описано в пунктах B3.1.5 и B3.1.6. Используемый метод должен применяться последовательно для всех сделок покупки и продажи финансовых активов, классифицируемых одинаково в соответствии с настоящим стандартом. Для этих целей активы, которые в обязательном порядке оцениваются по справедливой стоимости через прибыль или убыток, классифицируются в отдельную категорию, отличную от категории активов, которые по усмотрению организации классифицируются как оцениваемые по справедливой стоимости ч</w:t>
      </w:r>
      <w:r w:rsidR="00CB7446">
        <w:rPr>
          <w:lang w:val="ru-RU"/>
        </w:rPr>
        <w:t xml:space="preserve">ерез прибыль или убыток. Кроме </w:t>
      </w:r>
      <w:r w:rsidRPr="00170D8F">
        <w:rPr>
          <w:lang w:val="ru-RU"/>
        </w:rPr>
        <w:t>того, инвестиции в долевые инструменты, учитываемые с использованием опции, предусмотренной пунктом 5.7.5, составляют отдельную категорию.</w:t>
      </w:r>
    </w:p>
    <w:p w:rsidR="00B643A3" w:rsidRPr="00170D8F" w:rsidRDefault="00B643A3" w:rsidP="00B643A3">
      <w:pPr>
        <w:pStyle w:val="IASBNormalnpara"/>
        <w:rPr>
          <w:lang w:val="ru-RU"/>
        </w:rPr>
      </w:pPr>
      <w:r w:rsidRPr="00170D8F">
        <w:rPr>
          <w:lang w:val="ru-RU"/>
        </w:rPr>
        <w:t>B3.1.4</w:t>
      </w:r>
      <w:r w:rsidRPr="00170D8F">
        <w:rPr>
          <w:lang w:val="ru-RU"/>
        </w:rPr>
        <w:tab/>
        <w:t xml:space="preserve">Договор, который </w:t>
      </w:r>
      <w:r w:rsidRPr="00170D8F">
        <w:rPr>
          <w:lang w:val="ru-RU" w:eastAsia="ru-RU" w:bidi="ru-RU"/>
        </w:rPr>
        <w:t>требует</w:t>
      </w:r>
      <w:r w:rsidRPr="00170D8F">
        <w:rPr>
          <w:lang w:val="ru-RU"/>
        </w:rPr>
        <w:t xml:space="preserve"> или </w:t>
      </w:r>
      <w:r w:rsidRPr="00170D8F">
        <w:rPr>
          <w:lang w:val="ru-RU" w:eastAsia="ru-RU" w:bidi="ru-RU"/>
        </w:rPr>
        <w:t xml:space="preserve">разрешает, чтобы расчеты </w:t>
      </w:r>
      <w:r w:rsidRPr="00170D8F">
        <w:rPr>
          <w:lang w:val="ru-RU"/>
        </w:rPr>
        <w:t>по изменившейся стоимости договора осуществлялись на нетто-основе, не представляет собой договор покупки или продажи на стандартных условиях. Вместо этого такой договор учитывается как производный инструмент в течение периода между датой заключения сделки и датой расчетов.</w:t>
      </w:r>
    </w:p>
    <w:p w:rsidR="00B643A3" w:rsidRPr="00170D8F" w:rsidRDefault="00B851B5" w:rsidP="00B643A3">
      <w:pPr>
        <w:pStyle w:val="IASBNormalnpara"/>
        <w:rPr>
          <w:lang w:val="ru-RU"/>
        </w:rPr>
      </w:pPr>
      <w:r>
        <w:rPr>
          <w:lang w:val="ru-RU"/>
        </w:rPr>
        <w:t>B3.1.5</w:t>
      </w:r>
      <w:r>
        <w:rPr>
          <w:lang w:val="ru-RU"/>
        </w:rPr>
        <w:tab/>
        <w:t xml:space="preserve">Дата заключения сделки </w:t>
      </w:r>
      <w:r w:rsidRPr="00170D8F">
        <w:rPr>
          <w:lang w:val="ru-RU"/>
        </w:rPr>
        <w:t>–</w:t>
      </w:r>
      <w:r w:rsidR="00B643A3" w:rsidRPr="00170D8F">
        <w:rPr>
          <w:lang w:val="ru-RU"/>
        </w:rPr>
        <w:t xml:space="preserve"> это дата, на которую организация принимает на себя обязательство купить или продать актив. Метод учета по дате заключения сделки предусматривает (a) признание актива, подлежащего получению, и обязательства по его оплате – в день заключения сделки, и (b) прекращение признания актива, который был продан, признание прибыли или убытка от выбытия и признание дебиторской задолженности покупателя по оплате – в день заключения сделки. Как правило, начисление процентов по активу и соответствующему обязательству не начинается до даты осуществления расчетов, когда переходит право собственности.</w:t>
      </w:r>
    </w:p>
    <w:p w:rsidR="00B643A3" w:rsidRPr="00170D8F" w:rsidRDefault="00B851B5" w:rsidP="00B643A3">
      <w:pPr>
        <w:pStyle w:val="IASBNormalnpara"/>
        <w:rPr>
          <w:lang w:val="ru-RU"/>
        </w:rPr>
      </w:pPr>
      <w:r>
        <w:rPr>
          <w:lang w:val="ru-RU"/>
        </w:rPr>
        <w:t>B3.1.6</w:t>
      </w:r>
      <w:r>
        <w:rPr>
          <w:lang w:val="ru-RU"/>
        </w:rPr>
        <w:tab/>
        <w:t xml:space="preserve">Дата расчетов </w:t>
      </w:r>
      <w:r w:rsidRPr="00170D8F">
        <w:rPr>
          <w:lang w:val="ru-RU"/>
        </w:rPr>
        <w:t>–</w:t>
      </w:r>
      <w:r w:rsidR="00B643A3" w:rsidRPr="00170D8F">
        <w:rPr>
          <w:lang w:val="ru-RU"/>
        </w:rPr>
        <w:t xml:space="preserve"> это дата, на которую актив поставляется организации или организацией. Метод учета по дате расчетов предусматривает (a) признание актива в день его получения организацией и (b) прекращение признания актива и признание прибыли или убытка от выбытия в день его поставки организацией. Когда организация применяет метод учета по дате расчетов, она учитывает изменение справедливой стоимости подлежащего получению актива, которое возникает в течение периода между датой заключения сделки и датой расчетов, точно так же, как она учитывает приобретенный актив. Другими словами, применительно к активам, оцениваемым по амортизированной стоимости, изменение стоимости не признается; применительно к активам, классифицируемым как финансовые активы, оцениваемые по справедливой стоимости через прибыль или убыток, оно признается в составе прибыли или убытка; и такое изменение признается в составе прочего совокупного дохода применительно к финансовым активам, оцениваемым по справедливой стоимости через прочий совокупный доход в соответствии с пунктом 4.1.2A, и к инвестициям в долевые инструменты, учитываемым в соответствии с пунктом 5.7.5.</w:t>
      </w:r>
    </w:p>
    <w:p w:rsidR="00B643A3" w:rsidRPr="00170D8F" w:rsidRDefault="00B643A3" w:rsidP="00B643A3">
      <w:pPr>
        <w:pStyle w:val="IASBSectionTitle2Ind"/>
        <w:rPr>
          <w:lang w:val="ru-RU"/>
        </w:rPr>
      </w:pPr>
      <w:r w:rsidRPr="00170D8F">
        <w:rPr>
          <w:lang w:val="ru-RU"/>
        </w:rPr>
        <w:t>Прекращение признани</w:t>
      </w:r>
      <w:r w:rsidR="00C25F1D">
        <w:rPr>
          <w:lang w:val="ru-RU"/>
        </w:rPr>
        <w:t>я финансовых активов (Р</w:t>
      </w:r>
      <w:r w:rsidRPr="00170D8F">
        <w:rPr>
          <w:lang w:val="ru-RU"/>
        </w:rPr>
        <w:t>аздел 3.2)</w:t>
      </w:r>
    </w:p>
    <w:p w:rsidR="007D4BCC" w:rsidRPr="0049187C" w:rsidRDefault="00B643A3" w:rsidP="00A876BE">
      <w:pPr>
        <w:autoSpaceDE w:val="0"/>
        <w:autoSpaceDN w:val="0"/>
        <w:adjustRightInd w:val="0"/>
        <w:ind w:left="709" w:hanging="709"/>
        <w:jc w:val="both"/>
        <w:rPr>
          <w:sz w:val="19"/>
          <w:szCs w:val="20"/>
          <w:lang w:val="ru-RU"/>
        </w:rPr>
      </w:pPr>
      <w:r w:rsidRPr="00170D8F">
        <w:rPr>
          <w:sz w:val="19"/>
          <w:szCs w:val="20"/>
          <w:lang w:val="ru-RU"/>
        </w:rPr>
        <w:t>B3.2.1</w:t>
      </w:r>
      <w:r w:rsidRPr="00170D8F">
        <w:rPr>
          <w:sz w:val="19"/>
          <w:szCs w:val="20"/>
          <w:lang w:val="ru-RU"/>
        </w:rPr>
        <w:tab/>
        <w:t>Представленная ниже блок-схема иллюстрирует подход к решению вопроса о том, следует ли прекращать признание финансового актива и, если следует, то в каком объеме</w:t>
      </w:r>
      <w:bookmarkEnd w:id="204"/>
      <w:r w:rsidR="007D4BCC" w:rsidRPr="0049187C">
        <w:rPr>
          <w:sz w:val="19"/>
          <w:szCs w:val="20"/>
          <w:lang w:val="ru-RU"/>
        </w:rPr>
        <w:t>.</w:t>
      </w:r>
    </w:p>
    <w:p w:rsidR="007D4BCC" w:rsidRPr="0049187C" w:rsidRDefault="007D4BCC" w:rsidP="007D4BCC">
      <w:pPr>
        <w:pStyle w:val="IASBNormalnpara"/>
        <w:rPr>
          <w:lang w:val="ru-RU"/>
        </w:rPr>
      </w:pPr>
      <w:bookmarkStart w:id="210" w:name="F32570878"/>
      <w:r w:rsidRPr="0049187C">
        <w:rPr>
          <w:lang w:val="ru-RU"/>
        </w:rPr>
        <w:br w:type="page"/>
      </w:r>
      <w:r w:rsidRPr="0049187C">
        <w:rPr>
          <w:lang w:val="ru-RU" w:eastAsia="en-GB"/>
        </w:rPr>
        <w:pict>
          <v:group id="_x0000_s1106" style="position:absolute;left:0;text-align:left;margin-left:75.6pt;margin-top:9.95pt;width:245.15pt;height:27pt;z-index:3" coordorigin="3036,3075" coordsize="4903,540">
            <v:rect id="Rectangle 19" o:spid="_x0000_s1107" style="position:absolute;left:3036;top:3075;width:4903;height: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" filled="f"/>
            <v:shapetype id="_x0000_t202" coordsize="21600,21600" o:spt="202" path="m,l,21600r21600,l21600,xe">
              <v:stroke joinstyle="miter"/>
              <v:path gradientshapeok="t" o:connecttype="rect"/>
            </v:shapetype>
            <v:shape id="Text Box 20" o:spid="_x0000_s1108" type="#_x0000_t202" style="position:absolute;left:3082;top:3075;width:4677;height: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2mv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" filled="f" stroked="f">
              <v:textbox style="mso-next-textbox:#Text Box 20">
                <w:txbxContent>
                  <w:p w:rsidR="002C2144" w:rsidRPr="004C055E" w:rsidRDefault="002C2144" w:rsidP="007D4BCC">
                    <w:pPr>
                      <w:jc w:val="center"/>
                      <w:rPr>
                        <w:lang w:val="ru-RU"/>
                      </w:rPr>
                    </w:pPr>
                    <w:r>
                      <w:rPr>
                        <w:rFonts w:ascii="Arial" w:hAnsi="Arial"/>
                        <w:sz w:val="15"/>
                        <w:szCs w:val="15"/>
                        <w:lang w:val="ru-RU"/>
                      </w:rPr>
                      <w:t>Консолидировать все дочерние организации</w:t>
                    </w:r>
                    <w:r w:rsidRPr="004C055E">
                      <w:rPr>
                        <w:rFonts w:ascii="Arial" w:hAnsi="Arial"/>
                        <w:sz w:val="15"/>
                        <w:szCs w:val="15"/>
                        <w:lang w:val="ru-RU"/>
                      </w:rPr>
                      <w:t xml:space="preserve"> [</w:t>
                    </w:r>
                    <w:r>
                      <w:rPr>
                        <w:rFonts w:ascii="Arial" w:hAnsi="Arial"/>
                        <w:sz w:val="15"/>
                        <w:szCs w:val="15"/>
                        <w:lang w:val="ru-RU"/>
                      </w:rPr>
                      <w:t>пункт</w:t>
                    </w:r>
                    <w:r w:rsidRPr="004C055E">
                      <w:rPr>
                        <w:rFonts w:ascii="Arial" w:hAnsi="Arial"/>
                        <w:sz w:val="15"/>
                        <w:szCs w:val="15"/>
                        <w:lang w:val="ru-RU"/>
                      </w:rPr>
                      <w:t xml:space="preserve"> 3.2.1]</w:t>
                    </w:r>
                  </w:p>
                </w:txbxContent>
              </v:textbox>
            </v:shape>
          </v:group>
        </w:pict>
      </w:r>
      <w:r w:rsidRPr="0049187C">
        <w:rPr>
          <w:lang w:val="ru-RU" w:eastAsia="en-GB"/>
        </w:rPr>
        <w:pict>
          <v:rect id="_x0000_s1105" style="position:absolute;left:0;text-align:left;margin-left:38.55pt;margin-top:5.05pt;width:430.85pt;height:612.6pt;z-index:2" filled="f" stroked="f"/>
        </w:pict>
      </w:r>
    </w:p>
    <w:p w:rsidR="007D4BCC" w:rsidRPr="0049187C" w:rsidRDefault="007D4BCC" w:rsidP="007D4BCC">
      <w:pPr>
        <w:pStyle w:val="IASBNormalnpara"/>
        <w:rPr>
          <w:lang w:val="ru-RU"/>
        </w:rPr>
      </w:pPr>
    </w:p>
    <w:p w:rsidR="007D4BCC" w:rsidRPr="0049187C" w:rsidRDefault="007D4BCC" w:rsidP="007D4BCC">
      <w:pPr>
        <w:pStyle w:val="IASBNormal"/>
        <w:rPr>
          <w:lang w:val="ru-RU"/>
        </w:rPr>
      </w:pPr>
      <w:r w:rsidRPr="0049187C">
        <w:rPr>
          <w:lang w:val="ru-RU" w:eastAsia="en-GB"/>
        </w:rPr>
        <w:pict>
          <v:shapetype id="_x0000_t32" coordsize="21600,21600" o:spt="32" o:oned="t" path="m,l21600,21600e" filled="f">
            <v:path arrowok="t" fillok="f" o:connecttype="none"/>
            <o:lock v:ext="edit" shapetype="t"/>
          </v:shapetype>
          <v:shape id="Straight Arrow Connector 10" o:spid="_x0000_s1119" type="#_x0000_t32" style="position:absolute;left:0;text-align:left;margin-left:198.35pt;margin-top:5.1pt;width:0;height:18.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">
            <v:stroke endarrow="block"/>
          </v:shape>
        </w:pict>
      </w:r>
    </w:p>
    <w:p w:rsidR="007D4BCC" w:rsidRPr="0049187C" w:rsidRDefault="007D4BCC" w:rsidP="007D4BCC">
      <w:pPr>
        <w:pStyle w:val="IASBNormal"/>
        <w:rPr>
          <w:lang w:val="ru-RU"/>
        </w:rPr>
      </w:pPr>
      <w:r w:rsidRPr="0049187C">
        <w:rPr>
          <w:lang w:val="ru-RU" w:eastAsia="en-GB"/>
        </w:rPr>
        <w:pict>
          <v:group id="_x0000_s1109" style="position:absolute;left:0;text-align:left;margin-left:74.35pt;margin-top:4.05pt;width:246.4pt;height:39.1pt;z-index:4" coordorigin="2451,4026" coordsize="4928,782">
            <v:rect id="Rectangle 21" o:spid="_x0000_s1110" style="position:absolute;left:2451;top:4026;width:4914;height:7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" filled="f"/>
            <v:shape id="Text Box 22" o:spid="_x0000_s1111" type="#_x0000_t202" style="position:absolute;left:2522;top:4089;width:4857;height:7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" filled="f" stroked="f">
              <v:textbox style="mso-next-textbox:#Text Box 22">
                <w:txbxContent>
                  <w:p w:rsidR="002C2144" w:rsidRPr="004C055E" w:rsidRDefault="002C2144" w:rsidP="007D4BCC">
                    <w:pPr>
                      <w:jc w:val="center"/>
                      <w:rPr>
                        <w:rFonts w:ascii="Arial" w:hAnsi="Arial"/>
                        <w:sz w:val="15"/>
                        <w:szCs w:val="15"/>
                        <w:lang w:val="ru-RU"/>
                      </w:rPr>
                    </w:pPr>
                    <w:r>
                      <w:rPr>
                        <w:rFonts w:ascii="Arial" w:hAnsi="Arial"/>
                        <w:sz w:val="15"/>
                        <w:szCs w:val="15"/>
                        <w:lang w:val="ru-RU"/>
                      </w:rPr>
                      <w:t>Определить, применять ли описанные ниже принципы прекращения признания к части актива или к активу в целом</w:t>
                    </w:r>
                    <w:r w:rsidRPr="004C055E">
                      <w:rPr>
                        <w:rFonts w:ascii="Arial" w:hAnsi="Arial"/>
                        <w:sz w:val="15"/>
                        <w:szCs w:val="15"/>
                        <w:lang w:val="ru-RU"/>
                      </w:rPr>
                      <w:t xml:space="preserve"> (</w:t>
                    </w:r>
                    <w:r>
                      <w:rPr>
                        <w:rFonts w:ascii="Arial" w:hAnsi="Arial"/>
                        <w:sz w:val="15"/>
                        <w:szCs w:val="15"/>
                        <w:lang w:val="ru-RU"/>
                      </w:rPr>
                      <w:t>или к группе аналогичных активов</w:t>
                    </w:r>
                    <w:r w:rsidRPr="004C055E">
                      <w:rPr>
                        <w:rFonts w:ascii="Arial" w:hAnsi="Arial"/>
                        <w:sz w:val="15"/>
                        <w:szCs w:val="15"/>
                        <w:lang w:val="ru-RU"/>
                      </w:rPr>
                      <w:t>) [</w:t>
                    </w:r>
                    <w:r>
                      <w:rPr>
                        <w:rFonts w:ascii="Arial" w:hAnsi="Arial"/>
                        <w:sz w:val="15"/>
                        <w:szCs w:val="15"/>
                        <w:lang w:val="ru-RU"/>
                      </w:rPr>
                      <w:t>пункт</w:t>
                    </w:r>
                    <w:r w:rsidRPr="004C055E">
                      <w:rPr>
                        <w:rFonts w:ascii="Arial" w:hAnsi="Arial"/>
                        <w:sz w:val="15"/>
                        <w:szCs w:val="15"/>
                        <w:lang w:val="ru-RU"/>
                      </w:rPr>
                      <w:t xml:space="preserve"> 3.2.2]</w:t>
                    </w:r>
                  </w:p>
                  <w:p w:rsidR="002C2144" w:rsidRPr="004C055E" w:rsidRDefault="002C2144" w:rsidP="007D4BCC">
                    <w:pPr>
                      <w:rPr>
                        <w:lang w:val="ru-RU"/>
                      </w:rPr>
                    </w:pPr>
                  </w:p>
                </w:txbxContent>
              </v:textbox>
            </v:shape>
          </v:group>
        </w:pict>
      </w:r>
    </w:p>
    <w:p w:rsidR="007D4BCC" w:rsidRPr="0049187C" w:rsidRDefault="007D4BCC" w:rsidP="007D4BCC">
      <w:pPr>
        <w:pStyle w:val="IASBNormal"/>
        <w:rPr>
          <w:lang w:val="ru-RU"/>
        </w:rPr>
      </w:pPr>
      <w:r w:rsidRPr="0049187C">
        <w:rPr>
          <w:lang w:val="ru-RU" w:eastAsia="en-GB"/>
        </w:rPr>
        <w:pict>
          <v:shape id="_x0000_s1144" type="#_x0000_t32" style="position:absolute;left:0;text-align:left;margin-left:198.75pt;margin-top:19.4pt;width:0;height:18.7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">
            <v:stroke endarrow="block"/>
          </v:shape>
        </w:pict>
      </w:r>
    </w:p>
    <w:p w:rsidR="007D4BCC" w:rsidRPr="0049187C" w:rsidRDefault="007D4BCC" w:rsidP="007D4BCC">
      <w:pPr>
        <w:pStyle w:val="IASBNormal"/>
        <w:rPr>
          <w:lang w:val="ru-RU"/>
        </w:rPr>
      </w:pPr>
      <w:r w:rsidRPr="0049187C">
        <w:rPr>
          <w:lang w:val="ru-RU" w:eastAsia="en-GB"/>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6" o:spid="_x0000_s1104" type="#_x0000_t120" style="position:absolute;left:0;text-align:left;margin-left:117.9pt;margin-top:18.25pt;width:160.3pt;height:51.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" filled="f">
            <v:textbox style="mso-next-textbox:#Flowchart: Connector 66">
              <w:txbxContent>
                <w:p w:rsidR="002C2144" w:rsidRPr="00B62E0F" w:rsidRDefault="002C2144" w:rsidP="007D4BCC">
                  <w:pPr>
                    <w:rPr>
                      <w:rFonts w:ascii="Arial" w:hAnsi="Arial"/>
                      <w:sz w:val="15"/>
                      <w:szCs w:val="15"/>
                      <w:lang w:val="en-US"/>
                    </w:rPr>
                  </w:pPr>
                </w:p>
              </w:txbxContent>
            </v:textbox>
          </v:shape>
        </w:pict>
      </w:r>
    </w:p>
    <w:p w:rsidR="007D4BCC" w:rsidRPr="0049187C" w:rsidRDefault="007D4BCC" w:rsidP="007D4BCC">
      <w:pPr>
        <w:pStyle w:val="IASBNormal"/>
        <w:rPr>
          <w:lang w:val="ru-RU"/>
        </w:rPr>
      </w:pPr>
      <w:r w:rsidRPr="0049187C">
        <w:rPr>
          <w:lang w:val="ru-RU" w:eastAsia="ru-RU"/>
        </w:rPr>
        <w:pict>
          <v:group id="_x0000_s1150" style="position:absolute;left:0;text-align:left;margin-left:347.1pt;margin-top:2.6pt;width:102.8pt;height:33.65pt;z-index:25" coordorigin="8386,5346" coordsize="2056,538">
            <v:rect id="Rectangle 6" o:spid="_x0000_s1151" style="position:absolute;left:8461;top:5346;width:1981;height:5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" filled="f"/>
            <v:shape id="Text Box 14" o:spid="_x0000_s1152" type="#_x0000_t202" style="position:absolute;left:8386;top:5459;width:2056;height:4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GftwIAAMI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" filled="f" stroked="f">
              <v:textbox style="mso-next-textbox:#Text Box 14">
                <w:txbxContent>
                  <w:p w:rsidR="002C2144" w:rsidRPr="002E7DC7" w:rsidRDefault="002C2144" w:rsidP="007D4BCC">
                    <w:pPr>
                      <w:jc w:val="center"/>
                      <w:rPr>
                        <w:lang w:val="ru-RU"/>
                      </w:rPr>
                    </w:pPr>
                    <w:r>
                      <w:rPr>
                        <w:rFonts w:ascii="Arial" w:hAnsi="Arial"/>
                        <w:sz w:val="15"/>
                        <w:szCs w:val="15"/>
                        <w:lang w:val="ru-RU"/>
                      </w:rPr>
                      <w:t>Прекратить признание актива</w:t>
                    </w:r>
                  </w:p>
                </w:txbxContent>
              </v:textbox>
            </v:shape>
          </v:group>
        </w:pict>
      </w:r>
      <w:r w:rsidRPr="0049187C">
        <w:rPr>
          <w:lang w:val="ru-RU" w:eastAsia="ru-RU"/>
        </w:rPr>
        <w:pict>
          <v:group id="_x0000_s1162" style="position:absolute;left:0;text-align:left;margin-left:279.1pt;margin-top:13.75pt;width:70.85pt;height:18.75pt;z-index:29" coordorigin="6998,5450" coordsize="1417,375">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9" o:spid="_x0000_s1163" type="#_x0000_t34" style="position:absolute;left:6998;top:5649;width:1417;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" adj=",-20487600,-94112">
              <v:stroke endarrow="block"/>
            </v:shape>
            <v:shape id="Text Box 16" o:spid="_x0000_s1164" type="#_x0000_t202" style="position:absolute;left:7411;top:5450;width:624;height:3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PA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" filled="f" stroked="f">
              <v:textbox style="mso-next-textbox:#Text Box 16">
                <w:txbxContent>
                  <w:p w:rsidR="002C2144" w:rsidRPr="002E7DC7" w:rsidRDefault="002C2144" w:rsidP="007D4BCC">
                    <w:pPr>
                      <w:shd w:val="clear" w:color="auto" w:fill="FFFFFF"/>
                      <w:jc w:val="center"/>
                      <w:rPr>
                        <w:lang w:val="ru-RU"/>
                      </w:rPr>
                    </w:pPr>
                    <w:r>
                      <w:rPr>
                        <w:rFonts w:ascii="Arial" w:hAnsi="Arial"/>
                        <w:sz w:val="15"/>
                        <w:szCs w:val="15"/>
                        <w:lang w:val="ru-RU"/>
                      </w:rPr>
                      <w:t>Да</w:t>
                    </w:r>
                  </w:p>
                </w:txbxContent>
              </v:textbox>
            </v:shape>
          </v:group>
        </w:pict>
      </w:r>
      <w:r w:rsidRPr="0049187C">
        <w:rPr>
          <w:lang w:val="ru-RU" w:eastAsia="en-GB"/>
        </w:rPr>
        <w:pict>
          <v:shape id="Text Box 7" o:spid="_x0000_s1147" type="#_x0000_t202" style="position:absolute;left:0;text-align:left;margin-left:135.75pt;margin-top:6.65pt;width:133.75pt;height:44.4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1RtwIAAMA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" filled="f" stroked="f">
            <v:textbox style="mso-next-textbox:#Text Box 7">
              <w:txbxContent>
                <w:p w:rsidR="002C2144" w:rsidRPr="002E7DC7" w:rsidRDefault="002C2144" w:rsidP="007D4BCC">
                  <w:pPr>
                    <w:jc w:val="center"/>
                    <w:rPr>
                      <w:rFonts w:ascii="Arial" w:hAnsi="Arial"/>
                      <w:sz w:val="15"/>
                      <w:szCs w:val="15"/>
                      <w:lang w:val="ru-RU"/>
                    </w:rPr>
                  </w:pPr>
                  <w:r>
                    <w:rPr>
                      <w:rFonts w:ascii="Arial" w:hAnsi="Arial"/>
                      <w:sz w:val="15"/>
                      <w:szCs w:val="15"/>
                      <w:lang w:val="ru-RU"/>
                    </w:rPr>
                    <w:t>Истек ли срок действия прав на денежные потоки от данного актива</w:t>
                  </w:r>
                  <w:r w:rsidRPr="002E7DC7">
                    <w:rPr>
                      <w:rFonts w:ascii="Arial" w:hAnsi="Arial"/>
                      <w:sz w:val="15"/>
                      <w:szCs w:val="15"/>
                      <w:lang w:val="ru-RU"/>
                    </w:rPr>
                    <w:t>?</w:t>
                  </w:r>
                  <w:r w:rsidRPr="002E7DC7">
                    <w:rPr>
                      <w:rFonts w:ascii="Arial" w:hAnsi="Arial"/>
                      <w:sz w:val="15"/>
                      <w:szCs w:val="15"/>
                      <w:lang w:val="ru-RU"/>
                    </w:rPr>
                    <w:br/>
                    <w:t>[</w:t>
                  </w:r>
                  <w:r>
                    <w:rPr>
                      <w:rFonts w:ascii="Arial" w:hAnsi="Arial"/>
                      <w:sz w:val="15"/>
                      <w:szCs w:val="15"/>
                      <w:lang w:val="ru-RU"/>
                    </w:rPr>
                    <w:t>пункт</w:t>
                  </w:r>
                  <w:r w:rsidRPr="002E7DC7">
                    <w:rPr>
                      <w:rFonts w:ascii="Arial" w:hAnsi="Arial"/>
                      <w:sz w:val="15"/>
                      <w:szCs w:val="15"/>
                      <w:lang w:val="ru-RU"/>
                    </w:rPr>
                    <w:t xml:space="preserve"> 3.2.3(</w:t>
                  </w:r>
                  <w:r>
                    <w:rPr>
                      <w:rFonts w:ascii="Arial" w:hAnsi="Arial"/>
                      <w:sz w:val="15"/>
                      <w:szCs w:val="15"/>
                    </w:rPr>
                    <w:t>a</w:t>
                  </w:r>
                  <w:r w:rsidRPr="002E7DC7">
                    <w:rPr>
                      <w:rFonts w:ascii="Arial" w:hAnsi="Arial"/>
                      <w:sz w:val="15"/>
                      <w:szCs w:val="15"/>
                      <w:lang w:val="ru-RU"/>
                    </w:rPr>
                    <w:t>)]</w:t>
                  </w:r>
                </w:p>
                <w:p w:rsidR="002C2144" w:rsidRPr="002E7DC7" w:rsidRDefault="002C2144" w:rsidP="007D4BCC">
                  <w:pPr>
                    <w:rPr>
                      <w:lang w:val="ru-RU"/>
                    </w:rPr>
                  </w:pPr>
                </w:p>
              </w:txbxContent>
            </v:textbox>
          </v:shape>
        </w:pict>
      </w:r>
    </w:p>
    <w:p w:rsidR="007D4BCC" w:rsidRPr="0049187C" w:rsidRDefault="007D4BCC" w:rsidP="007D4BCC">
      <w:pPr>
        <w:pStyle w:val="IASBNormal"/>
        <w:rPr>
          <w:lang w:val="ru-RU"/>
        </w:rPr>
      </w:pPr>
    </w:p>
    <w:p w:rsidR="007D4BCC" w:rsidRPr="0049187C" w:rsidRDefault="007D4BCC" w:rsidP="007D4BCC">
      <w:pPr>
        <w:pStyle w:val="IASBNormal"/>
        <w:rPr>
          <w:lang w:val="ru-RU"/>
        </w:rPr>
      </w:pPr>
      <w:r w:rsidRPr="0049187C">
        <w:rPr>
          <w:lang w:val="ru-RU" w:eastAsia="en-GB"/>
        </w:rPr>
        <w:pict>
          <v:group id="_x0000_s1116" style="position:absolute;left:0;text-align:left;margin-left:197.6pt;margin-top:8.85pt;width:32.8pt;height:23.75pt;z-index:7" coordorigin="5392,6201" coordsize="529,475">
            <v:shape id="Straight Arrow Connector 30" o:spid="_x0000_s1117" type="#_x0000_t34" style="position:absolute;left:5175;top:6438;width:475;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" adj="10777,102859200,-221912">
              <v:stroke endarrow="block"/>
            </v:shape>
            <v:shape id="Text Box 35" o:spid="_x0000_s1118" type="#_x0000_t202" style="position:absolute;left:5392;top:6216;width:529;height:3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" filled="f" stroked="f">
              <v:textbox style="mso-next-textbox:#Text Box 35">
                <w:txbxContent>
                  <w:p w:rsidR="002C2144" w:rsidRPr="002E7DC7" w:rsidRDefault="002C2144" w:rsidP="007D4BCC">
                    <w:pPr>
                      <w:jc w:val="center"/>
                      <w:rPr>
                        <w:lang w:val="ru-RU"/>
                      </w:rPr>
                    </w:pPr>
                    <w:r>
                      <w:rPr>
                        <w:rFonts w:ascii="Arial" w:hAnsi="Arial"/>
                        <w:sz w:val="15"/>
                        <w:szCs w:val="15"/>
                        <w:lang w:val="ru-RU"/>
                      </w:rPr>
                      <w:t>Нет</w:t>
                    </w:r>
                  </w:p>
                  <w:p w:rsidR="002C2144" w:rsidRDefault="002C2144" w:rsidP="007D4BCC"/>
                </w:txbxContent>
              </v:textbox>
            </v:shape>
          </v:group>
        </w:pict>
      </w:r>
    </w:p>
    <w:p w:rsidR="007D4BCC" w:rsidRPr="0049187C" w:rsidRDefault="007D4BCC" w:rsidP="007D4BCC">
      <w:pPr>
        <w:pStyle w:val="IASBNormal"/>
        <w:rPr>
          <w:lang w:val="ru-RU"/>
        </w:rPr>
      </w:pPr>
      <w:r w:rsidRPr="0049187C">
        <w:rPr>
          <w:lang w:val="ru-RU" w:eastAsia="en-GB"/>
        </w:rPr>
        <w:pict>
          <v:shape id="Flowchart: Connector 60" o:spid="_x0000_s1149" type="#_x0000_t120" style="position:absolute;left:0;text-align:left;margin-left:118.6pt;margin-top:11.7pt;width:160.3pt;height:51.8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" filled="f">
            <v:textbox style="mso-next-textbox:#Flowchart: Connector 60">
              <w:txbxContent>
                <w:p w:rsidR="002C2144" w:rsidRPr="00B62E0F" w:rsidRDefault="002C2144" w:rsidP="007D4BCC">
                  <w:pPr>
                    <w:rPr>
                      <w:rFonts w:ascii="Arial" w:hAnsi="Arial"/>
                      <w:sz w:val="15"/>
                      <w:szCs w:val="15"/>
                      <w:lang w:val="en-US"/>
                    </w:rPr>
                  </w:pPr>
                </w:p>
              </w:txbxContent>
            </v:textbox>
          </v:shape>
        </w:pict>
      </w:r>
    </w:p>
    <w:p w:rsidR="007D4BCC" w:rsidRPr="0049187C" w:rsidRDefault="007D4BCC" w:rsidP="007D4BCC">
      <w:pPr>
        <w:pStyle w:val="IASBNormal"/>
        <w:rPr>
          <w:lang w:val="ru-RU"/>
        </w:rPr>
      </w:pPr>
      <w:r w:rsidRPr="0049187C">
        <w:rPr>
          <w:lang w:val="ru-RU" w:eastAsia="en-GB"/>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45" type="#_x0000_t19" style="position:absolute;left:0;text-align:left;margin-left:33.9pt;margin-top:37.5pt;width:140.25pt;height:101.95pt;rotation:-78440202fd;flip:y;z-index:20" coordsize="39256,30469" adj="-9491395,1588847,17656" path="wr-3944,,39256,43200,,9157,37351,30469nfewr-3944,,39256,43200,,9157,37351,30469l17656,21600nsxe">
            <v:stroke endarrow="block"/>
            <v:path o:connectlocs="0,9157;37351,30469;17656,21600"/>
          </v:shape>
        </w:pict>
      </w:r>
      <w:r w:rsidRPr="0049187C">
        <w:rPr>
          <w:lang w:val="ru-RU" w:eastAsia="en-GB"/>
        </w:rPr>
        <w:pict>
          <v:shape id="Text Box 29" o:spid="_x0000_s1148" type="#_x0000_t202" style="position:absolute;left:0;text-align:left;margin-left:116.7pt;margin-top:3.4pt;width:164.7pt;height:44.4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6p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" filled="f" stroked="f">
            <v:textbox style="mso-next-textbox:#Text Box 29">
              <w:txbxContent>
                <w:p w:rsidR="002C2144" w:rsidRPr="002E7DC7" w:rsidRDefault="002C2144" w:rsidP="007D4BCC">
                  <w:pPr>
                    <w:jc w:val="center"/>
                    <w:rPr>
                      <w:rFonts w:ascii="Arial" w:hAnsi="Arial"/>
                      <w:sz w:val="15"/>
                      <w:szCs w:val="15"/>
                      <w:lang w:val="ru-RU"/>
                    </w:rPr>
                  </w:pPr>
                  <w:r>
                    <w:rPr>
                      <w:rFonts w:ascii="Arial" w:hAnsi="Arial"/>
                      <w:sz w:val="15"/>
                      <w:szCs w:val="15"/>
                      <w:lang w:val="ru-RU"/>
                    </w:rPr>
                    <w:t>Передала ли организация свои права на получение денежных потоков от данного актива</w:t>
                  </w:r>
                  <w:r w:rsidRPr="002E7DC7">
                    <w:rPr>
                      <w:rFonts w:ascii="Arial" w:hAnsi="Arial"/>
                      <w:sz w:val="15"/>
                      <w:szCs w:val="15"/>
                      <w:lang w:val="ru-RU"/>
                    </w:rPr>
                    <w:t>?</w:t>
                  </w:r>
                  <w:r w:rsidRPr="002E7DC7">
                    <w:rPr>
                      <w:rFonts w:ascii="Arial" w:hAnsi="Arial"/>
                      <w:sz w:val="15"/>
                      <w:szCs w:val="15"/>
                      <w:lang w:val="ru-RU"/>
                    </w:rPr>
                    <w:br/>
                    <w:t>[</w:t>
                  </w:r>
                  <w:r>
                    <w:rPr>
                      <w:rFonts w:ascii="Arial" w:hAnsi="Arial"/>
                      <w:sz w:val="15"/>
                      <w:szCs w:val="15"/>
                      <w:lang w:val="ru-RU"/>
                    </w:rPr>
                    <w:t>пункт</w:t>
                  </w:r>
                  <w:r w:rsidRPr="002E7DC7">
                    <w:rPr>
                      <w:rFonts w:ascii="Arial" w:hAnsi="Arial"/>
                      <w:sz w:val="15"/>
                      <w:szCs w:val="15"/>
                      <w:lang w:val="ru-RU"/>
                    </w:rPr>
                    <w:t xml:space="preserve"> 3.2.4(</w:t>
                  </w:r>
                  <w:r>
                    <w:rPr>
                      <w:rFonts w:ascii="Arial" w:hAnsi="Arial"/>
                      <w:sz w:val="15"/>
                      <w:szCs w:val="15"/>
                    </w:rPr>
                    <w:t>a</w:t>
                  </w:r>
                  <w:r w:rsidRPr="002E7DC7">
                    <w:rPr>
                      <w:rFonts w:ascii="Arial" w:hAnsi="Arial"/>
                      <w:sz w:val="15"/>
                      <w:szCs w:val="15"/>
                      <w:lang w:val="ru-RU"/>
                    </w:rPr>
                    <w:t>)]</w:t>
                  </w:r>
                </w:p>
                <w:p w:rsidR="002C2144" w:rsidRPr="002E7DC7" w:rsidRDefault="002C2144" w:rsidP="007D4BCC">
                  <w:pPr>
                    <w:rPr>
                      <w:lang w:val="ru-RU"/>
                    </w:rPr>
                  </w:pPr>
                </w:p>
              </w:txbxContent>
            </v:textbox>
          </v:shape>
        </w:pict>
      </w:r>
    </w:p>
    <w:p w:rsidR="007D4BCC" w:rsidRPr="0049187C" w:rsidRDefault="007D4BCC" w:rsidP="007D4BCC">
      <w:pPr>
        <w:pStyle w:val="IASBNormal"/>
        <w:rPr>
          <w:lang w:val="ru-RU"/>
        </w:rPr>
      </w:pPr>
      <w:r w:rsidRPr="0049187C">
        <w:rPr>
          <w:lang w:val="ru-RU" w:eastAsia="ru-RU"/>
        </w:rPr>
        <w:pict>
          <v:group id="_x0000_s1165" style="position:absolute;left:0;text-align:left;margin-left:279.7pt;margin-top:140.75pt;width:71.25pt;height:95.55pt;z-index:30" coordorigin="7010,10083" coordsize="1425,1911">
            <v:shape id="Straight Arrow Connector 9" o:spid="_x0000_s1166" type="#_x0000_t32" style="position:absolute;left:7018;top:11792;width:1417;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" adj="-114171,-1,-114171">
              <v:stroke endarrow="block"/>
            </v:shape>
            <v:group id="_x0000_s1167" style="position:absolute;left:7010;top:10083;width:1417;height:375" coordorigin="7010,10083" coordsize="1417,375">
              <v:shape id="Straight Arrow Connector 9" o:spid="_x0000_s1168" type="#_x0000_t34" style="position:absolute;left:7010;top:10283;width:1417;height: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" adj=",-39657600,-87932">
                <v:stroke endarrow="block"/>
              </v:shape>
              <v:shape id="Text Box 16" o:spid="_x0000_s1169" type="#_x0000_t202" style="position:absolute;left:7411;top:10083;width:624;height:3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PA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" filled="f" stroked="f">
                <v:textbox style="mso-next-textbox:#Text Box 16">
                  <w:txbxContent>
                    <w:p w:rsidR="002C2144" w:rsidRPr="006067FF" w:rsidRDefault="002C2144" w:rsidP="007D4BCC">
                      <w:pPr>
                        <w:shd w:val="clear" w:color="auto" w:fill="FFFFFF"/>
                        <w:jc w:val="center"/>
                        <w:rPr>
                          <w:lang w:val="ru-RU"/>
                        </w:rPr>
                      </w:pPr>
                      <w:r>
                        <w:rPr>
                          <w:rFonts w:ascii="Arial" w:hAnsi="Arial"/>
                          <w:sz w:val="15"/>
                          <w:szCs w:val="15"/>
                          <w:lang w:val="ru-RU"/>
                        </w:rPr>
                        <w:t>Да</w:t>
                      </w:r>
                    </w:p>
                  </w:txbxContent>
                </v:textbox>
              </v:shape>
            </v:group>
            <v:shape id="Text Box 16" o:spid="_x0000_s1170" type="#_x0000_t202" style="position:absolute;left:7423;top:11619;width:624;height:3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PA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" filled="f" stroked="f">
              <v:textbox style="mso-next-textbox:#Text Box 16">
                <w:txbxContent>
                  <w:p w:rsidR="002C2144" w:rsidRPr="006067FF" w:rsidRDefault="002C2144" w:rsidP="007D4BCC">
                    <w:pPr>
                      <w:shd w:val="clear" w:color="auto" w:fill="FFFFFF"/>
                      <w:jc w:val="center"/>
                      <w:rPr>
                        <w:lang w:val="ru-RU"/>
                      </w:rPr>
                    </w:pPr>
                    <w:r>
                      <w:rPr>
                        <w:rFonts w:ascii="Arial" w:hAnsi="Arial"/>
                        <w:sz w:val="15"/>
                        <w:szCs w:val="15"/>
                        <w:lang w:val="ru-RU"/>
                      </w:rPr>
                      <w:t>Да</w:t>
                    </w:r>
                  </w:p>
                </w:txbxContent>
              </v:textbox>
            </v:shape>
          </v:group>
        </w:pict>
      </w:r>
    </w:p>
    <w:p w:rsidR="007D4BCC" w:rsidRPr="0049187C" w:rsidRDefault="007D4BCC" w:rsidP="007D4BCC">
      <w:pPr>
        <w:pStyle w:val="IASBNormal"/>
        <w:rPr>
          <w:lang w:val="ru-RU"/>
        </w:rPr>
      </w:pPr>
      <w:r w:rsidRPr="0049187C">
        <w:rPr>
          <w:lang w:val="ru-RU" w:eastAsia="en-GB"/>
        </w:rPr>
        <w:pict>
          <v:group id="_x0000_s1141" style="position:absolute;left:0;text-align:left;margin-left:198.55pt;margin-top:3pt;width:31.25pt;height:21.85pt;z-index:18" coordorigin="5411,7758" coordsize="512,437">
            <v:shape id="Text Box 38" o:spid="_x0000_s1142" type="#_x0000_t202" style="position:absolute;left:5413;top:7830;width:510;height:3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iSuQ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" filled="f" stroked="f">
              <v:textbox style="mso-next-textbox:#Text Box 38">
                <w:txbxContent>
                  <w:p w:rsidR="002C2144" w:rsidRPr="002E7DC7" w:rsidRDefault="002C2144" w:rsidP="007D4BCC">
                    <w:pPr>
                      <w:jc w:val="center"/>
                      <w:rPr>
                        <w:lang w:val="ru-RU"/>
                      </w:rPr>
                    </w:pPr>
                    <w:r>
                      <w:rPr>
                        <w:rFonts w:ascii="Arial" w:hAnsi="Arial"/>
                        <w:sz w:val="15"/>
                        <w:szCs w:val="15"/>
                        <w:lang w:val="ru-RU"/>
                      </w:rPr>
                      <w:t>Нет</w:t>
                    </w:r>
                  </w:p>
                  <w:p w:rsidR="002C2144" w:rsidRDefault="002C2144" w:rsidP="007D4BCC"/>
                </w:txbxContent>
              </v:textbox>
            </v:shape>
            <v:shape id="Straight Arrow Connector 45" o:spid="_x0000_s1143" type="#_x0000_t34" style="position:absolute;left:5193;top:7976;width:43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" adj="10775,173988000,-240862">
              <v:stroke endarrow="block"/>
            </v:shape>
          </v:group>
        </w:pict>
      </w:r>
    </w:p>
    <w:p w:rsidR="007D4BCC" w:rsidRPr="0049187C" w:rsidRDefault="00B643A3" w:rsidP="007D4BCC">
      <w:pPr>
        <w:pStyle w:val="IASBNormal"/>
        <w:rPr>
          <w:lang w:val="ru-RU"/>
        </w:rPr>
      </w:pPr>
      <w:r w:rsidRPr="0049187C">
        <w:rPr>
          <w:lang w:val="ru-RU" w:eastAsia="en-GB"/>
        </w:rPr>
        <w:pict>
          <v:shape id="_x0000_s1126" type="#_x0000_t120" style="position:absolute;left:0;text-align:left;margin-left:104.8pt;margin-top:6.85pt;width:188.65pt;height:51.8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" filled="f">
            <v:textbox style="mso-next-textbox:#_x0000_s1126">
              <w:txbxContent>
                <w:p w:rsidR="002C2144" w:rsidRPr="00B62E0F" w:rsidRDefault="002C2144" w:rsidP="007D4BCC">
                  <w:pPr>
                    <w:rPr>
                      <w:rFonts w:ascii="Arial" w:hAnsi="Arial"/>
                      <w:sz w:val="15"/>
                      <w:szCs w:val="15"/>
                      <w:lang w:val="en-US"/>
                    </w:rPr>
                  </w:pPr>
                </w:p>
              </w:txbxContent>
            </v:textbox>
          </v:shape>
        </w:pict>
      </w:r>
      <w:r w:rsidR="007D4BCC" w:rsidRPr="0049187C">
        <w:rPr>
          <w:lang w:val="ru-RU" w:eastAsia="ru-RU"/>
        </w:rPr>
        <w:pict>
          <v:group id="_x0000_s1153" style="position:absolute;left:0;text-align:left;margin-left:350.55pt;margin-top:18.4pt;width:108.9pt;height:31.35pt;z-index:26" coordorigin="8154,8823" coordsize="2653,538">
            <v:rect id="Rectangle 6" o:spid="_x0000_s1154" style="position:absolute;left:8348;top:8823;width:2336;height:5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" filled="f"/>
            <v:shape id="Text Box 14" o:spid="_x0000_s1155" type="#_x0000_t202" style="position:absolute;left:8154;top:8936;width:2653;height:4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GftwIAAMI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" filled="f" stroked="f">
              <v:textbox style="mso-next-textbox:#Text Box 14">
                <w:txbxContent>
                  <w:p w:rsidR="002C2144" w:rsidRPr="006067FF" w:rsidRDefault="002C2144" w:rsidP="007D4BCC">
                    <w:pPr>
                      <w:jc w:val="center"/>
                      <w:rPr>
                        <w:sz w:val="15"/>
                        <w:szCs w:val="15"/>
                        <w:lang w:val="ru-RU"/>
                      </w:rPr>
                    </w:pPr>
                    <w:r>
                      <w:rPr>
                        <w:rFonts w:ascii="Arial" w:hAnsi="Arial"/>
                        <w:sz w:val="15"/>
                        <w:szCs w:val="15"/>
                        <w:lang w:val="ru-RU"/>
                      </w:rPr>
                      <w:t>Продолжить признание актива</w:t>
                    </w:r>
                  </w:p>
                </w:txbxContent>
              </v:textbox>
            </v:shape>
          </v:group>
        </w:pict>
      </w:r>
      <w:r w:rsidR="007D4BCC" w:rsidRPr="0049187C">
        <w:rPr>
          <w:lang w:val="ru-RU" w:eastAsia="en-GB"/>
        </w:rPr>
        <w:pict>
          <v:shape id="Text Box 37" o:spid="_x0000_s1115" type="#_x0000_t202" style="position:absolute;left:0;text-align:left;margin-left:111.05pt;margin-top:10.7pt;width:181.7pt;height:51.4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NuwIAAMM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" filled="f" stroked="f">
            <v:textbox style="mso-next-textbox:#Text Box 37">
              <w:txbxContent>
                <w:p w:rsidR="002C2144" w:rsidRPr="009A1121" w:rsidRDefault="002C2144" w:rsidP="007D4BCC">
                  <w:pPr>
                    <w:jc w:val="center"/>
                    <w:rPr>
                      <w:rFonts w:ascii="Arial" w:hAnsi="Arial"/>
                      <w:sz w:val="15"/>
                      <w:szCs w:val="15"/>
                      <w:lang w:val="ru-RU"/>
                    </w:rPr>
                  </w:pPr>
                  <w:r>
                    <w:rPr>
                      <w:rFonts w:ascii="Arial" w:hAnsi="Arial"/>
                      <w:sz w:val="15"/>
                      <w:szCs w:val="15"/>
                      <w:lang w:val="ru-RU"/>
                    </w:rPr>
                    <w:t>Обязана ли организация выплачивать денежные потоки от данного актива по соглашению, которое отвечает условиям, предусмотренным пунктом</w:t>
                  </w:r>
                  <w:r w:rsidRPr="00E04E28">
                    <w:rPr>
                      <w:rFonts w:ascii="Arial" w:hAnsi="Arial"/>
                      <w:sz w:val="15"/>
                      <w:szCs w:val="15"/>
                      <w:lang w:val="ru-RU"/>
                    </w:rPr>
                    <w:t xml:space="preserve"> 3.2.5?</w:t>
                  </w:r>
                  <w:r w:rsidRPr="00E04E28">
                    <w:rPr>
                      <w:rFonts w:ascii="Arial" w:hAnsi="Arial"/>
                      <w:sz w:val="15"/>
                      <w:szCs w:val="15"/>
                      <w:lang w:val="ru-RU"/>
                    </w:rPr>
                    <w:br/>
                  </w:r>
                  <w:r w:rsidRPr="009A1121">
                    <w:rPr>
                      <w:rFonts w:ascii="Arial" w:hAnsi="Arial"/>
                      <w:sz w:val="15"/>
                      <w:szCs w:val="15"/>
                      <w:lang w:val="ru-RU"/>
                    </w:rPr>
                    <w:t>[</w:t>
                  </w:r>
                  <w:r>
                    <w:rPr>
                      <w:rFonts w:ascii="Arial" w:hAnsi="Arial"/>
                      <w:sz w:val="15"/>
                      <w:szCs w:val="15"/>
                      <w:lang w:val="ru-RU"/>
                    </w:rPr>
                    <w:t>пункт</w:t>
                  </w:r>
                  <w:r w:rsidRPr="009A1121">
                    <w:rPr>
                      <w:rFonts w:ascii="Arial" w:hAnsi="Arial"/>
                      <w:sz w:val="15"/>
                      <w:szCs w:val="15"/>
                      <w:lang w:val="ru-RU"/>
                    </w:rPr>
                    <w:t xml:space="preserve"> 3.2.4(</w:t>
                  </w:r>
                  <w:r>
                    <w:rPr>
                      <w:rFonts w:ascii="Arial" w:hAnsi="Arial"/>
                      <w:sz w:val="15"/>
                      <w:szCs w:val="15"/>
                    </w:rPr>
                    <w:t>b</w:t>
                  </w:r>
                  <w:r w:rsidRPr="009A1121">
                    <w:rPr>
                      <w:rFonts w:ascii="Arial" w:hAnsi="Arial"/>
                      <w:sz w:val="15"/>
                      <w:szCs w:val="15"/>
                      <w:lang w:val="ru-RU"/>
                    </w:rPr>
                    <w:t>)]</w:t>
                  </w:r>
                </w:p>
                <w:p w:rsidR="002C2144" w:rsidRPr="009A1121" w:rsidRDefault="002C2144" w:rsidP="007D4BCC">
                  <w:pPr>
                    <w:rPr>
                      <w:lang w:val="ru-RU"/>
                    </w:rPr>
                  </w:pPr>
                </w:p>
              </w:txbxContent>
            </v:textbox>
          </v:shape>
        </w:pict>
      </w:r>
    </w:p>
    <w:p w:rsidR="007D4BCC" w:rsidRPr="0049187C" w:rsidRDefault="007D4BCC" w:rsidP="007D4BCC">
      <w:pPr>
        <w:pStyle w:val="IASBNormal"/>
        <w:rPr>
          <w:lang w:val="ru-RU"/>
        </w:rPr>
      </w:pPr>
      <w:r w:rsidRPr="0049187C">
        <w:rPr>
          <w:lang w:val="ru-RU" w:eastAsia="ru-RU"/>
        </w:rPr>
        <w:pict>
          <v:group id="_x0000_s1178" style="position:absolute;left:0;text-align:left;margin-left:292.95pt;margin-top:1.95pt;width:62.5pt;height:18.75pt;z-index:32" coordorigin="7010,8563" coordsize="1417,375">
            <v:shape id="Straight Arrow Connector 9" o:spid="_x0000_s1179" type="#_x0000_t32" style="position:absolute;left:7010;top:8761;width:1417;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" adj="-111770,-1,-111770">
              <v:stroke endarrow="block"/>
            </v:shape>
            <v:shape id="Text Box 16" o:spid="_x0000_s1180" type="#_x0000_t202" style="position:absolute;left:7397;top:8563;width:624;height:3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PA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" filled="f" stroked="f">
              <v:textbox style="mso-next-textbox:#Text Box 16">
                <w:txbxContent>
                  <w:p w:rsidR="002C2144" w:rsidRPr="006067FF" w:rsidRDefault="002C2144" w:rsidP="007D4BCC">
                    <w:pPr>
                      <w:shd w:val="clear" w:color="auto" w:fill="FFFFFF"/>
                      <w:jc w:val="center"/>
                      <w:rPr>
                        <w:lang w:val="ru-RU"/>
                      </w:rPr>
                    </w:pPr>
                    <w:r>
                      <w:rPr>
                        <w:rFonts w:ascii="Arial" w:hAnsi="Arial"/>
                        <w:sz w:val="15"/>
                        <w:szCs w:val="15"/>
                        <w:lang w:val="ru-RU"/>
                      </w:rPr>
                      <w:t>Нет</w:t>
                    </w:r>
                  </w:p>
                </w:txbxContent>
              </v:textbox>
            </v:shape>
          </v:group>
        </w:pict>
      </w:r>
      <w:r w:rsidRPr="0049187C">
        <w:rPr>
          <w:lang w:val="ru-RU" w:eastAsia="en-GB"/>
        </w:rPr>
        <w:pict>
          <v:shape id="Text Box 73" o:spid="_x0000_s1146" type="#_x0000_t202" style="position:absolute;left:0;text-align:left;margin-left:39.85pt;margin-top:5.8pt;width:28.35pt;height:15.9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Leug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" stroked="f">
            <v:textbox style="mso-next-textbox:#Text Box 73">
              <w:txbxContent>
                <w:p w:rsidR="002C2144" w:rsidRPr="002E7DC7" w:rsidRDefault="002C2144" w:rsidP="007D4BCC">
                  <w:pPr>
                    <w:shd w:val="clear" w:color="auto" w:fill="FFFFFF"/>
                    <w:jc w:val="center"/>
                    <w:rPr>
                      <w:lang w:val="ru-RU"/>
                    </w:rPr>
                  </w:pPr>
                  <w:r>
                    <w:rPr>
                      <w:rFonts w:ascii="Arial" w:hAnsi="Arial"/>
                      <w:sz w:val="15"/>
                      <w:szCs w:val="15"/>
                      <w:lang w:val="ru-RU"/>
                    </w:rPr>
                    <w:t>Да</w:t>
                  </w:r>
                </w:p>
                <w:p w:rsidR="002C2144" w:rsidRDefault="002C2144" w:rsidP="007D4BCC"/>
              </w:txbxContent>
            </v:textbox>
          </v:shape>
        </w:pict>
      </w:r>
    </w:p>
    <w:p w:rsidR="007D4BCC" w:rsidRPr="0049187C" w:rsidRDefault="007D4BCC" w:rsidP="007D4BCC">
      <w:pPr>
        <w:pStyle w:val="IASBNormal"/>
        <w:rPr>
          <w:lang w:val="ru-RU"/>
        </w:rPr>
      </w:pPr>
      <w:r w:rsidRPr="0049187C">
        <w:rPr>
          <w:lang w:val="ru-RU" w:eastAsia="en-GB"/>
        </w:rPr>
        <w:pict>
          <v:group id="_x0000_s1138" style="position:absolute;left:0;text-align:left;margin-left:198.05pt;margin-top:16.8pt;width:35.65pt;height:21.85pt;z-index:17" coordorigin="5401,9289" coordsize="713,437">
            <v:shape id="Text Box 44" o:spid="_x0000_s1139" type="#_x0000_t202" style="position:absolute;left:5401;top:9358;width:713;height:3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juQ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" filled="f" stroked="f">
              <v:textbox style="mso-next-textbox:#Text Box 44">
                <w:txbxContent>
                  <w:p w:rsidR="002C2144" w:rsidRPr="009A1121" w:rsidRDefault="002C2144" w:rsidP="007D4BCC">
                    <w:pPr>
                      <w:jc w:val="center"/>
                      <w:rPr>
                        <w:lang w:val="ru-RU"/>
                      </w:rPr>
                    </w:pPr>
                    <w:r>
                      <w:rPr>
                        <w:rFonts w:ascii="Arial" w:hAnsi="Arial"/>
                        <w:sz w:val="15"/>
                        <w:szCs w:val="15"/>
                        <w:lang w:val="ru-RU"/>
                      </w:rPr>
                      <w:t>Да</w:t>
                    </w:r>
                  </w:p>
                  <w:p w:rsidR="002C2144" w:rsidRDefault="002C2144" w:rsidP="007D4BCC"/>
                </w:txbxContent>
              </v:textbox>
            </v:shape>
            <v:shape id="Straight Arrow Connector 45" o:spid="_x0000_s1140" type="#_x0000_t34" style="position:absolute;left:5193;top:9507;width:43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" adj="10775,173988000,-240862">
              <v:stroke endarrow="block"/>
            </v:shape>
          </v:group>
        </w:pict>
      </w:r>
    </w:p>
    <w:p w:rsidR="007D4BCC" w:rsidRPr="0049187C" w:rsidRDefault="007D4BCC" w:rsidP="007D4BCC">
      <w:pPr>
        <w:pStyle w:val="IASBNormal"/>
        <w:rPr>
          <w:lang w:val="ru-RU"/>
        </w:rPr>
      </w:pPr>
      <w:r w:rsidRPr="0049187C">
        <w:rPr>
          <w:lang w:val="ru-RU" w:eastAsia="en-GB"/>
        </w:rPr>
        <w:pict>
          <v:group id="_x0000_s1120" style="position:absolute;left:0;text-align:left;margin-left:104.8pt;margin-top:19.2pt;width:188.1pt;height:55.95pt;z-index:9" coordorigin="3525,10190" coordsize="3773,1119">
            <v:shape id="Flowchart: Connector 67" o:spid="_x0000_s1121" type="#_x0000_t120" style="position:absolute;left:3811;top:10190;width:3206;height:10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" filled="f">
              <v:textbox style="mso-next-textbox:#Flowchart: Connector 67">
                <w:txbxContent>
                  <w:p w:rsidR="002C2144" w:rsidRPr="00B62E0F" w:rsidRDefault="002C2144" w:rsidP="007D4BCC">
                    <w:pPr>
                      <w:rPr>
                        <w:rFonts w:ascii="Arial" w:hAnsi="Arial"/>
                        <w:sz w:val="15"/>
                        <w:szCs w:val="15"/>
                        <w:lang w:val="en-US"/>
                      </w:rPr>
                    </w:pPr>
                  </w:p>
                </w:txbxContent>
              </v:textbox>
            </v:shape>
            <v:shape id="Text Box 43" o:spid="_x0000_s1122" type="#_x0000_t202" style="position:absolute;left:3525;top:10420;width:3773;height:8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4rugIAAMM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" filled="f" stroked="f">
              <v:textbox style="mso-next-textbox:#Text Box 43">
                <w:txbxContent>
                  <w:p w:rsidR="002C2144" w:rsidRPr="009A1121" w:rsidRDefault="002C2144" w:rsidP="007D4BCC">
                    <w:pPr>
                      <w:jc w:val="center"/>
                      <w:rPr>
                        <w:rFonts w:ascii="Arial" w:hAnsi="Arial"/>
                        <w:sz w:val="15"/>
                        <w:szCs w:val="15"/>
                        <w:lang w:val="ru-RU"/>
                      </w:rPr>
                    </w:pPr>
                    <w:r>
                      <w:rPr>
                        <w:rFonts w:ascii="Arial" w:hAnsi="Arial"/>
                        <w:sz w:val="15"/>
                        <w:szCs w:val="15"/>
                        <w:lang w:val="ru-RU"/>
                      </w:rPr>
                      <w:t>Передала ли организация практически</w:t>
                    </w:r>
                    <w:r>
                      <w:rPr>
                        <w:rFonts w:ascii="Arial" w:hAnsi="Arial"/>
                        <w:sz w:val="15"/>
                        <w:szCs w:val="15"/>
                        <w:lang w:val="ru-RU"/>
                      </w:rPr>
                      <w:br/>
                      <w:t>все риски и выгоды</w:t>
                    </w:r>
                    <w:r w:rsidRPr="009A1121">
                      <w:rPr>
                        <w:rFonts w:ascii="Arial" w:hAnsi="Arial"/>
                        <w:sz w:val="15"/>
                        <w:szCs w:val="15"/>
                        <w:lang w:val="ru-RU"/>
                      </w:rPr>
                      <w:t>?</w:t>
                    </w:r>
                    <w:r w:rsidRPr="009A1121">
                      <w:rPr>
                        <w:rFonts w:ascii="Arial" w:hAnsi="Arial"/>
                        <w:sz w:val="15"/>
                        <w:szCs w:val="15"/>
                        <w:lang w:val="ru-RU"/>
                      </w:rPr>
                      <w:br/>
                      <w:t>[</w:t>
                    </w:r>
                    <w:r>
                      <w:rPr>
                        <w:rFonts w:ascii="Arial" w:hAnsi="Arial"/>
                        <w:sz w:val="15"/>
                        <w:szCs w:val="15"/>
                        <w:lang w:val="ru-RU"/>
                      </w:rPr>
                      <w:t>пункт</w:t>
                    </w:r>
                    <w:r w:rsidRPr="009A1121">
                      <w:rPr>
                        <w:rFonts w:ascii="Arial" w:hAnsi="Arial"/>
                        <w:sz w:val="15"/>
                        <w:szCs w:val="15"/>
                        <w:lang w:val="ru-RU"/>
                      </w:rPr>
                      <w:t xml:space="preserve"> 3.2.6(</w:t>
                    </w:r>
                    <w:r>
                      <w:rPr>
                        <w:rFonts w:ascii="Arial" w:hAnsi="Arial"/>
                        <w:sz w:val="15"/>
                        <w:szCs w:val="15"/>
                      </w:rPr>
                      <w:t>a</w:t>
                    </w:r>
                    <w:r w:rsidRPr="009A1121">
                      <w:rPr>
                        <w:rFonts w:ascii="Arial" w:hAnsi="Arial"/>
                        <w:sz w:val="15"/>
                        <w:szCs w:val="15"/>
                        <w:lang w:val="ru-RU"/>
                      </w:rPr>
                      <w:t>)]</w:t>
                    </w:r>
                  </w:p>
                  <w:p w:rsidR="002C2144" w:rsidRPr="009A1121" w:rsidRDefault="002C2144" w:rsidP="007D4BCC">
                    <w:pPr>
                      <w:rPr>
                        <w:lang w:val="ru-RU"/>
                      </w:rPr>
                    </w:pPr>
                  </w:p>
                </w:txbxContent>
              </v:textbox>
            </v:shape>
          </v:group>
        </w:pict>
      </w:r>
    </w:p>
    <w:p w:rsidR="007D4BCC" w:rsidRPr="0049187C" w:rsidRDefault="007D4BCC" w:rsidP="007D4BCC">
      <w:pPr>
        <w:pStyle w:val="IASBNormal"/>
        <w:rPr>
          <w:lang w:val="ru-RU"/>
        </w:rPr>
      </w:pPr>
      <w:r w:rsidRPr="0049187C">
        <w:rPr>
          <w:lang w:val="ru-RU" w:eastAsia="ru-RU"/>
        </w:rPr>
        <w:pict>
          <v:group id="_x0000_s1156" style="position:absolute;left:0;text-align:left;margin-left:347.1pt;margin-top:12.1pt;width:102.8pt;height:32.75pt;z-index:27" coordorigin="8540,10441" coordsize="2056,538">
            <v:rect id="Rectangle 6" o:spid="_x0000_s1157" style="position:absolute;left:8615;top:10441;width:1981;height:5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" filled="f"/>
            <v:shape id="Text Box 14" o:spid="_x0000_s1158" type="#_x0000_t202" style="position:absolute;left:8540;top:10554;width:2056;height:4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GftwIAAMI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" filled="f" stroked="f">
              <v:textbox style="mso-next-textbox:#Text Box 14">
                <w:txbxContent>
                  <w:p w:rsidR="002C2144" w:rsidRPr="002E7DC7" w:rsidRDefault="002C2144" w:rsidP="007D4BCC">
                    <w:pPr>
                      <w:jc w:val="center"/>
                      <w:rPr>
                        <w:lang w:val="ru-RU"/>
                      </w:rPr>
                    </w:pPr>
                    <w:r>
                      <w:rPr>
                        <w:rFonts w:ascii="Arial" w:hAnsi="Arial"/>
                        <w:sz w:val="15"/>
                        <w:szCs w:val="15"/>
                        <w:lang w:val="ru-RU"/>
                      </w:rPr>
                      <w:t>Прекратить признание актива</w:t>
                    </w:r>
                  </w:p>
                  <w:p w:rsidR="002C2144" w:rsidRPr="00B62E0F" w:rsidRDefault="002C2144" w:rsidP="007D4BCC">
                    <w:pPr>
                      <w:jc w:val="center"/>
                      <w:rPr>
                        <w:lang w:val="en-US"/>
                      </w:rPr>
                    </w:pPr>
                  </w:p>
                </w:txbxContent>
              </v:textbox>
            </v:shape>
          </v:group>
        </w:pict>
      </w:r>
    </w:p>
    <w:p w:rsidR="007D4BCC" w:rsidRPr="0049187C" w:rsidRDefault="007D4BCC" w:rsidP="007D4BCC">
      <w:pPr>
        <w:pStyle w:val="IASBNormal"/>
        <w:rPr>
          <w:lang w:val="ru-RU"/>
        </w:rPr>
      </w:pPr>
    </w:p>
    <w:p w:rsidR="007D4BCC" w:rsidRPr="0049187C" w:rsidRDefault="007D4BCC" w:rsidP="007D4BCC">
      <w:pPr>
        <w:pStyle w:val="IASBNormal"/>
        <w:rPr>
          <w:lang w:val="ru-RU"/>
        </w:rPr>
      </w:pPr>
      <w:r w:rsidRPr="0049187C">
        <w:rPr>
          <w:lang w:val="ru-RU" w:eastAsia="en-GB"/>
        </w:rPr>
        <w:pict>
          <v:group id="_x0000_s1129" style="position:absolute;left:0;text-align:left;margin-left:198.35pt;margin-top:8.55pt;width:35.35pt;height:21.85pt;z-index:14" coordorigin="5407,10798" coordsize="558,437">
            <v:shape id="Text Box 48" o:spid="_x0000_s1130" type="#_x0000_t202" style="position:absolute;left:5425;top:10875;width:540;height:3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yx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" filled="f" stroked="f">
              <v:textbox style="mso-next-textbox:#Text Box 48">
                <w:txbxContent>
                  <w:p w:rsidR="002C2144" w:rsidRPr="009A1121" w:rsidRDefault="002C2144" w:rsidP="007D4BCC">
                    <w:pPr>
                      <w:jc w:val="center"/>
                      <w:rPr>
                        <w:lang w:val="ru-RU"/>
                      </w:rPr>
                    </w:pPr>
                    <w:r>
                      <w:rPr>
                        <w:rFonts w:ascii="Arial" w:hAnsi="Arial"/>
                        <w:sz w:val="15"/>
                        <w:szCs w:val="15"/>
                        <w:lang w:val="ru-RU"/>
                      </w:rPr>
                      <w:t>Нет</w:t>
                    </w:r>
                  </w:p>
                  <w:p w:rsidR="002C2144" w:rsidRDefault="002C2144" w:rsidP="007D4BCC"/>
                </w:txbxContent>
              </v:textbox>
            </v:shape>
            <v:shape id="Straight Arrow Connector 45" o:spid="_x0000_s1131" type="#_x0000_t34" style="position:absolute;left:5189;top:11016;width:43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" adj="10775,173988000,-240862">
              <v:stroke endarrow="block"/>
            </v:shape>
          </v:group>
        </w:pict>
      </w:r>
    </w:p>
    <w:p w:rsidR="007D4BCC" w:rsidRPr="0049187C" w:rsidRDefault="007D4BCC" w:rsidP="007D4BCC">
      <w:pPr>
        <w:pStyle w:val="IASBNormal"/>
        <w:rPr>
          <w:lang w:val="ru-RU"/>
        </w:rPr>
      </w:pPr>
      <w:r w:rsidRPr="0049187C">
        <w:rPr>
          <w:lang w:val="ru-RU" w:eastAsia="en-GB"/>
        </w:rPr>
        <w:pict>
          <v:group id="_x0000_s1112" style="position:absolute;left:0;text-align:left;margin-left:104.1pt;margin-top:11.4pt;width:188.65pt;height:56.05pt;z-index:5" coordorigin="3046,11848" coordsize="3773,1121">
            <v:shape id="Flowchart: Connector 68" o:spid="_x0000_s1113" type="#_x0000_t120" style="position:absolute;left:3336;top:11848;width:3206;height:10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" filled="f">
              <v:textbox style="mso-next-textbox:#Flowchart: Connector 68">
                <w:txbxContent>
                  <w:p w:rsidR="002C2144" w:rsidRPr="00B62E0F" w:rsidRDefault="002C2144" w:rsidP="007D4BCC">
                    <w:pPr>
                      <w:rPr>
                        <w:rFonts w:ascii="Arial" w:hAnsi="Arial"/>
                        <w:sz w:val="15"/>
                        <w:szCs w:val="15"/>
                        <w:lang w:val="en-US"/>
                      </w:rPr>
                    </w:pPr>
                  </w:p>
                </w:txbxContent>
              </v:textbox>
            </v:shape>
            <v:shape id="Text Box 47" o:spid="_x0000_s1114" type="#_x0000_t202" style="position:absolute;left:3046;top:12080;width:3773;height:8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FZugIAAMM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" filled="f" stroked="f">
              <v:textbox style="mso-next-textbox:#Text Box 47">
                <w:txbxContent>
                  <w:p w:rsidR="002C2144" w:rsidRPr="009A1121" w:rsidRDefault="002C2144" w:rsidP="007D4BCC">
                    <w:pPr>
                      <w:jc w:val="center"/>
                      <w:rPr>
                        <w:rFonts w:ascii="Arial" w:hAnsi="Arial"/>
                        <w:sz w:val="15"/>
                        <w:szCs w:val="15"/>
                        <w:lang w:val="ru-RU"/>
                      </w:rPr>
                    </w:pPr>
                    <w:r>
                      <w:rPr>
                        <w:rFonts w:ascii="Arial" w:hAnsi="Arial"/>
                        <w:sz w:val="15"/>
                        <w:szCs w:val="15"/>
                        <w:lang w:val="ru-RU"/>
                      </w:rPr>
                      <w:t>Сохранила</w:t>
                    </w:r>
                    <w:r w:rsidRPr="009A1121">
                      <w:rPr>
                        <w:rFonts w:ascii="Arial" w:hAnsi="Arial"/>
                        <w:sz w:val="15"/>
                        <w:szCs w:val="15"/>
                        <w:lang w:val="ru-RU"/>
                      </w:rPr>
                      <w:t xml:space="preserve"> </w:t>
                    </w:r>
                    <w:r>
                      <w:rPr>
                        <w:rFonts w:ascii="Arial" w:hAnsi="Arial"/>
                        <w:sz w:val="15"/>
                        <w:szCs w:val="15"/>
                        <w:lang w:val="ru-RU"/>
                      </w:rPr>
                      <w:t>ли</w:t>
                    </w:r>
                    <w:r w:rsidRPr="009A1121">
                      <w:rPr>
                        <w:rFonts w:ascii="Arial" w:hAnsi="Arial"/>
                        <w:sz w:val="15"/>
                        <w:szCs w:val="15"/>
                        <w:lang w:val="ru-RU"/>
                      </w:rPr>
                      <w:t xml:space="preserve"> </w:t>
                    </w:r>
                    <w:r>
                      <w:rPr>
                        <w:rFonts w:ascii="Arial" w:hAnsi="Arial"/>
                        <w:sz w:val="15"/>
                        <w:szCs w:val="15"/>
                        <w:lang w:val="ru-RU"/>
                      </w:rPr>
                      <w:t>организация</w:t>
                    </w:r>
                    <w:r w:rsidRPr="009A1121">
                      <w:rPr>
                        <w:rFonts w:ascii="Arial" w:hAnsi="Arial"/>
                        <w:sz w:val="15"/>
                        <w:szCs w:val="15"/>
                        <w:lang w:val="ru-RU"/>
                      </w:rPr>
                      <w:t xml:space="preserve"> </w:t>
                    </w:r>
                    <w:r>
                      <w:rPr>
                        <w:rFonts w:ascii="Arial" w:hAnsi="Arial"/>
                        <w:sz w:val="15"/>
                        <w:szCs w:val="15"/>
                        <w:lang w:val="ru-RU"/>
                      </w:rPr>
                      <w:t>практически</w:t>
                    </w:r>
                    <w:r w:rsidRPr="009A1121">
                      <w:rPr>
                        <w:rFonts w:ascii="Arial" w:hAnsi="Arial"/>
                        <w:sz w:val="15"/>
                        <w:szCs w:val="15"/>
                        <w:lang w:val="ru-RU"/>
                      </w:rPr>
                      <w:br/>
                    </w:r>
                    <w:r>
                      <w:rPr>
                        <w:rFonts w:ascii="Arial" w:hAnsi="Arial"/>
                        <w:sz w:val="15"/>
                        <w:szCs w:val="15"/>
                        <w:lang w:val="ru-RU"/>
                      </w:rPr>
                      <w:t>все риски и выгоды</w:t>
                    </w:r>
                    <w:r w:rsidRPr="009A1121">
                      <w:rPr>
                        <w:rFonts w:ascii="Arial" w:hAnsi="Arial"/>
                        <w:sz w:val="15"/>
                        <w:szCs w:val="15"/>
                        <w:lang w:val="ru-RU"/>
                      </w:rPr>
                      <w:t>?</w:t>
                    </w:r>
                    <w:r w:rsidRPr="009A1121">
                      <w:rPr>
                        <w:rFonts w:ascii="Arial" w:hAnsi="Arial"/>
                        <w:sz w:val="15"/>
                        <w:szCs w:val="15"/>
                        <w:lang w:val="ru-RU"/>
                      </w:rPr>
                      <w:br/>
                      <w:t>[</w:t>
                    </w:r>
                    <w:r>
                      <w:rPr>
                        <w:rFonts w:ascii="Arial" w:hAnsi="Arial"/>
                        <w:sz w:val="15"/>
                        <w:szCs w:val="15"/>
                        <w:lang w:val="ru-RU"/>
                      </w:rPr>
                      <w:t>пункт</w:t>
                    </w:r>
                    <w:r w:rsidRPr="009A1121">
                      <w:rPr>
                        <w:rFonts w:ascii="Arial" w:hAnsi="Arial"/>
                        <w:sz w:val="15"/>
                        <w:szCs w:val="15"/>
                        <w:lang w:val="ru-RU"/>
                      </w:rPr>
                      <w:t xml:space="preserve"> 3.2.6(</w:t>
                    </w:r>
                    <w:r>
                      <w:rPr>
                        <w:rFonts w:ascii="Arial" w:hAnsi="Arial"/>
                        <w:sz w:val="15"/>
                        <w:szCs w:val="15"/>
                      </w:rPr>
                      <w:t>b</w:t>
                    </w:r>
                    <w:r w:rsidRPr="009A1121">
                      <w:rPr>
                        <w:rFonts w:ascii="Arial" w:hAnsi="Arial"/>
                        <w:sz w:val="15"/>
                        <w:szCs w:val="15"/>
                        <w:lang w:val="ru-RU"/>
                      </w:rPr>
                      <w:t>)]</w:t>
                    </w:r>
                  </w:p>
                  <w:p w:rsidR="002C2144" w:rsidRPr="009A1121" w:rsidRDefault="002C2144" w:rsidP="007D4BCC">
                    <w:pPr>
                      <w:rPr>
                        <w:lang w:val="ru-RU"/>
                      </w:rPr>
                    </w:pPr>
                  </w:p>
                </w:txbxContent>
              </v:textbox>
            </v:shape>
          </v:group>
        </w:pict>
      </w:r>
    </w:p>
    <w:p w:rsidR="007D4BCC" w:rsidRPr="0049187C" w:rsidRDefault="007D4BCC" w:rsidP="007D4BCC">
      <w:pPr>
        <w:pStyle w:val="IASBNormal"/>
        <w:rPr>
          <w:lang w:val="ru-RU"/>
        </w:rPr>
      </w:pPr>
      <w:r w:rsidRPr="0049187C">
        <w:rPr>
          <w:lang w:val="ru-RU" w:eastAsia="ru-RU"/>
        </w:rPr>
        <w:pict>
          <v:group id="_x0000_s1159" style="position:absolute;left:0;text-align:left;margin-left:341.05pt;margin-top:2.1pt;width:113.35pt;height:32.4pt;z-index:28" coordorigin="7803,12131" coordsize="2653,538">
            <v:rect id="Rectangle 6" o:spid="_x0000_s1160" style="position:absolute;left:7997;top:12131;width:2336;height:5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" filled="f"/>
            <v:shape id="Text Box 14" o:spid="_x0000_s1161" type="#_x0000_t202" style="position:absolute;left:7803;top:12244;width:2653;height:4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GftwIAAMI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" filled="f" stroked="f">
              <v:textbox style="mso-next-textbox:#Text Box 14">
                <w:txbxContent>
                  <w:p w:rsidR="002C2144" w:rsidRPr="006067FF" w:rsidRDefault="002C2144" w:rsidP="007D4BCC">
                    <w:pPr>
                      <w:jc w:val="center"/>
                      <w:rPr>
                        <w:sz w:val="15"/>
                        <w:szCs w:val="15"/>
                        <w:lang w:val="ru-RU"/>
                      </w:rPr>
                    </w:pPr>
                    <w:r>
                      <w:rPr>
                        <w:rFonts w:ascii="Arial" w:hAnsi="Arial"/>
                        <w:sz w:val="15"/>
                        <w:szCs w:val="15"/>
                        <w:lang w:val="ru-RU"/>
                      </w:rPr>
                      <w:t>Продолжить признание актива</w:t>
                    </w:r>
                  </w:p>
                  <w:p w:rsidR="002C2144" w:rsidRPr="007F6460" w:rsidRDefault="002C2144" w:rsidP="007D4BCC">
                    <w:pPr>
                      <w:jc w:val="center"/>
                      <w:rPr>
                        <w:sz w:val="15"/>
                        <w:szCs w:val="15"/>
                        <w:lang w:val="en-US"/>
                      </w:rPr>
                    </w:pPr>
                  </w:p>
                </w:txbxContent>
              </v:textbox>
            </v:shape>
          </v:group>
        </w:pict>
      </w:r>
    </w:p>
    <w:p w:rsidR="007D4BCC" w:rsidRPr="0049187C" w:rsidRDefault="007D4BCC" w:rsidP="007D4BCC">
      <w:pPr>
        <w:pStyle w:val="IASBNormal"/>
        <w:rPr>
          <w:lang w:val="ru-RU"/>
        </w:rPr>
      </w:pPr>
    </w:p>
    <w:p w:rsidR="007D4BCC" w:rsidRPr="0049187C" w:rsidRDefault="007D4BCC" w:rsidP="007D4BCC">
      <w:pPr>
        <w:pStyle w:val="IASBNormal"/>
        <w:rPr>
          <w:lang w:val="ru-RU"/>
        </w:rPr>
      </w:pPr>
      <w:r w:rsidRPr="0049187C">
        <w:rPr>
          <w:lang w:val="ru-RU" w:eastAsia="en-GB"/>
        </w:rPr>
        <w:pict>
          <v:group id="_x0000_s1132" style="position:absolute;left:0;text-align:left;margin-left:198.9pt;margin-top:1pt;width:34.8pt;height:21.85pt;z-index:15" coordorigin="5418,12321" coordsize="540,437">
            <v:shape id="Text Box 52" o:spid="_x0000_s1133" type="#_x0000_t202" style="position:absolute;left:5418;top:12394;width:540;height:3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Yyug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" filled="f" stroked="f">
              <v:textbox style="mso-next-textbox:#Text Box 52">
                <w:txbxContent>
                  <w:p w:rsidR="002C2144" w:rsidRPr="009A1121" w:rsidRDefault="002C2144" w:rsidP="007D4BCC">
                    <w:pPr>
                      <w:jc w:val="center"/>
                      <w:rPr>
                        <w:lang w:val="ru-RU"/>
                      </w:rPr>
                    </w:pPr>
                    <w:r>
                      <w:rPr>
                        <w:rFonts w:ascii="Arial" w:hAnsi="Arial"/>
                        <w:sz w:val="15"/>
                        <w:szCs w:val="15"/>
                        <w:lang w:val="ru-RU"/>
                      </w:rPr>
                      <w:t>Нет</w:t>
                    </w:r>
                  </w:p>
                  <w:p w:rsidR="002C2144" w:rsidRDefault="002C2144" w:rsidP="007D4BCC"/>
                </w:txbxContent>
              </v:textbox>
            </v:shape>
            <v:shape id="Straight Arrow Connector 45" o:spid="_x0000_s1134" type="#_x0000_t34" style="position:absolute;left:5201;top:12539;width:43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" adj="10775,173988000,-240862">
              <v:stroke endarrow="block"/>
            </v:shape>
          </v:group>
        </w:pict>
      </w:r>
    </w:p>
    <w:p w:rsidR="007D4BCC" w:rsidRPr="0049187C" w:rsidRDefault="007D4BCC" w:rsidP="007D4BCC">
      <w:pPr>
        <w:pStyle w:val="IASBNormal"/>
        <w:rPr>
          <w:lang w:val="ru-RU"/>
        </w:rPr>
      </w:pPr>
      <w:r w:rsidRPr="0049187C">
        <w:rPr>
          <w:lang w:val="ru-RU" w:eastAsia="ru-RU"/>
        </w:rPr>
        <w:pict>
          <v:group id="_x0000_s1171" style="position:absolute;left:0;text-align:left;margin-left:280.3pt;margin-top:18.9pt;width:169.55pt;height:34.35pt;z-index:31" coordorigin="7022,13087" coordsize="3391,538">
            <v:group id="_x0000_s1172" style="position:absolute;left:8356;top:13087;width:2057;height:538" coordorigin="8608,13661" coordsize="2057,538">
              <v:rect id="Rectangle 6" o:spid="_x0000_s1173" style="position:absolute;left:8684;top:13661;width:1981;height:5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" filled="f"/>
              <v:shape id="Text Box 14" o:spid="_x0000_s1174" type="#_x0000_t202" style="position:absolute;left:8608;top:13774;width:2056;height:4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GftwIAAMI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" filled="f" stroked="f">
                <v:textbox style="mso-next-textbox:#Text Box 14">
                  <w:txbxContent>
                    <w:p w:rsidR="002C2144" w:rsidRPr="002E7DC7" w:rsidRDefault="002C2144" w:rsidP="007D4BCC">
                      <w:pPr>
                        <w:jc w:val="center"/>
                        <w:rPr>
                          <w:lang w:val="ru-RU"/>
                        </w:rPr>
                      </w:pPr>
                      <w:r>
                        <w:rPr>
                          <w:rFonts w:ascii="Arial" w:hAnsi="Arial"/>
                          <w:sz w:val="15"/>
                          <w:szCs w:val="15"/>
                          <w:lang w:val="ru-RU"/>
                        </w:rPr>
                        <w:t>Прекратить признание актива</w:t>
                      </w:r>
                    </w:p>
                    <w:p w:rsidR="002C2144" w:rsidRPr="00B62E0F" w:rsidRDefault="002C2144" w:rsidP="007D4BCC">
                      <w:pPr>
                        <w:jc w:val="center"/>
                        <w:rPr>
                          <w:lang w:val="en-US"/>
                        </w:rPr>
                      </w:pPr>
                    </w:p>
                  </w:txbxContent>
                </v:textbox>
              </v:shape>
            </v:group>
            <v:group id="_x0000_s1175" style="position:absolute;left:7022;top:13163;width:1417;height:375" coordorigin="7022,13163" coordsize="1417,375">
              <v:shape id="Straight Arrow Connector 9" o:spid="_x0000_s1176" type="#_x0000_t34" style="position:absolute;left:7022;top:13357;width:1417;height: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" adj=",-46656000,-87932">
                <v:stroke endarrow="block"/>
              </v:shape>
              <v:shape id="Text Box 16" o:spid="_x0000_s1177" type="#_x0000_t202" style="position:absolute;left:7414;top:13163;width:624;height:3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PA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" filled="f" stroked="f">
                <v:textbox style="mso-next-textbox:#Text Box 16">
                  <w:txbxContent>
                    <w:p w:rsidR="002C2144" w:rsidRPr="006067FF" w:rsidRDefault="002C2144" w:rsidP="007D4BCC">
                      <w:pPr>
                        <w:shd w:val="clear" w:color="auto" w:fill="FFFFFF"/>
                        <w:jc w:val="center"/>
                        <w:rPr>
                          <w:lang w:val="ru-RU"/>
                        </w:rPr>
                      </w:pPr>
                      <w:r>
                        <w:rPr>
                          <w:rFonts w:ascii="Arial" w:hAnsi="Arial"/>
                          <w:sz w:val="15"/>
                          <w:szCs w:val="15"/>
                          <w:lang w:val="ru-RU"/>
                        </w:rPr>
                        <w:t>Нет</w:t>
                      </w:r>
                    </w:p>
                  </w:txbxContent>
                </v:textbox>
              </v:shape>
            </v:group>
          </v:group>
        </w:pict>
      </w:r>
      <w:r w:rsidRPr="0049187C">
        <w:rPr>
          <w:lang w:val="ru-RU" w:eastAsia="en-GB"/>
        </w:rPr>
        <w:pict>
          <v:shape id="Flowchart: Connector 69" o:spid="_x0000_s1127" type="#_x0000_t120" style="position:absolute;left:0;text-align:left;margin-left:118.6pt;margin-top:5.25pt;width:160.3pt;height:51.8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" filled="f">
            <v:textbox style="mso-next-textbox:#Flowchart: Connector 69">
              <w:txbxContent>
                <w:p w:rsidR="002C2144" w:rsidRPr="00B62E0F" w:rsidRDefault="002C2144" w:rsidP="007D4BCC">
                  <w:pPr>
                    <w:rPr>
                      <w:rFonts w:ascii="Arial" w:hAnsi="Arial"/>
                      <w:sz w:val="15"/>
                      <w:szCs w:val="15"/>
                    </w:rPr>
                  </w:pPr>
                </w:p>
              </w:txbxContent>
            </v:textbox>
          </v:shape>
        </w:pict>
      </w:r>
      <w:r w:rsidRPr="0049187C">
        <w:rPr>
          <w:lang w:val="ru-RU" w:eastAsia="en-GB"/>
        </w:rPr>
        <w:pict>
          <v:shape id="Text Box 51" o:spid="_x0000_s1128" type="#_x0000_t202" style="position:absolute;left:0;text-align:left;margin-left:104.8pt;margin-top:13.7pt;width:188.65pt;height:44.4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HvuQ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" filled="f" stroked="f">
            <v:textbox style="mso-next-textbox:#Text Box 51">
              <w:txbxContent>
                <w:p w:rsidR="002C2144" w:rsidRPr="009A1121" w:rsidRDefault="002C2144" w:rsidP="007D4BCC">
                  <w:pPr>
                    <w:jc w:val="center"/>
                    <w:rPr>
                      <w:rFonts w:ascii="Arial" w:hAnsi="Arial"/>
                      <w:sz w:val="15"/>
                      <w:szCs w:val="15"/>
                      <w:lang w:val="ru-RU"/>
                    </w:rPr>
                  </w:pPr>
                  <w:r>
                    <w:rPr>
                      <w:rFonts w:ascii="Arial" w:hAnsi="Arial"/>
                      <w:sz w:val="15"/>
                      <w:szCs w:val="15"/>
                      <w:lang w:val="ru-RU"/>
                    </w:rPr>
                    <w:t>Сохранила</w:t>
                  </w:r>
                  <w:r w:rsidRPr="009A1121">
                    <w:rPr>
                      <w:rFonts w:ascii="Arial" w:hAnsi="Arial"/>
                      <w:sz w:val="15"/>
                      <w:szCs w:val="15"/>
                      <w:lang w:val="ru-RU"/>
                    </w:rPr>
                    <w:t xml:space="preserve"> </w:t>
                  </w:r>
                  <w:r>
                    <w:rPr>
                      <w:rFonts w:ascii="Arial" w:hAnsi="Arial"/>
                      <w:sz w:val="15"/>
                      <w:szCs w:val="15"/>
                      <w:lang w:val="ru-RU"/>
                    </w:rPr>
                    <w:t>ли</w:t>
                  </w:r>
                  <w:r w:rsidRPr="009A1121">
                    <w:rPr>
                      <w:rFonts w:ascii="Arial" w:hAnsi="Arial"/>
                      <w:sz w:val="15"/>
                      <w:szCs w:val="15"/>
                      <w:lang w:val="ru-RU"/>
                    </w:rPr>
                    <w:t xml:space="preserve"> </w:t>
                  </w:r>
                  <w:r>
                    <w:rPr>
                      <w:rFonts w:ascii="Arial" w:hAnsi="Arial"/>
                      <w:sz w:val="15"/>
                      <w:szCs w:val="15"/>
                      <w:lang w:val="ru-RU"/>
                    </w:rPr>
                    <w:t>организация</w:t>
                  </w:r>
                  <w:r w:rsidRPr="009A1121">
                    <w:rPr>
                      <w:rFonts w:ascii="Arial" w:hAnsi="Arial"/>
                      <w:sz w:val="15"/>
                      <w:szCs w:val="15"/>
                      <w:lang w:val="ru-RU"/>
                    </w:rPr>
                    <w:br/>
                  </w:r>
                  <w:r>
                    <w:rPr>
                      <w:rFonts w:ascii="Arial" w:hAnsi="Arial"/>
                      <w:sz w:val="15"/>
                      <w:szCs w:val="15"/>
                      <w:lang w:val="ru-RU"/>
                    </w:rPr>
                    <w:t>контроль над активом</w:t>
                  </w:r>
                  <w:r w:rsidRPr="009A1121">
                    <w:rPr>
                      <w:rFonts w:ascii="Arial" w:hAnsi="Arial"/>
                      <w:sz w:val="15"/>
                      <w:szCs w:val="15"/>
                      <w:lang w:val="ru-RU"/>
                    </w:rPr>
                    <w:t>?</w:t>
                  </w:r>
                  <w:r w:rsidRPr="009A1121">
                    <w:rPr>
                      <w:rFonts w:ascii="Arial" w:hAnsi="Arial"/>
                      <w:sz w:val="15"/>
                      <w:szCs w:val="15"/>
                      <w:lang w:val="ru-RU"/>
                    </w:rPr>
                    <w:br/>
                    <w:t>[</w:t>
                  </w:r>
                  <w:r>
                    <w:rPr>
                      <w:rFonts w:ascii="Arial" w:hAnsi="Arial"/>
                      <w:sz w:val="15"/>
                      <w:szCs w:val="15"/>
                      <w:lang w:val="ru-RU"/>
                    </w:rPr>
                    <w:t>пункт</w:t>
                  </w:r>
                  <w:r w:rsidRPr="009A1121">
                    <w:rPr>
                      <w:rFonts w:ascii="Arial" w:hAnsi="Arial"/>
                      <w:sz w:val="15"/>
                      <w:szCs w:val="15"/>
                      <w:lang w:val="ru-RU"/>
                    </w:rPr>
                    <w:t xml:space="preserve"> 3.2.6(</w:t>
                  </w:r>
                  <w:r>
                    <w:rPr>
                      <w:rFonts w:ascii="Arial" w:hAnsi="Arial"/>
                      <w:sz w:val="15"/>
                      <w:szCs w:val="15"/>
                    </w:rPr>
                    <w:t>c</w:t>
                  </w:r>
                  <w:r w:rsidRPr="009A1121">
                    <w:rPr>
                      <w:rFonts w:ascii="Arial" w:hAnsi="Arial"/>
                      <w:sz w:val="15"/>
                      <w:szCs w:val="15"/>
                      <w:lang w:val="ru-RU"/>
                    </w:rPr>
                    <w:t>)]</w:t>
                  </w:r>
                </w:p>
                <w:p w:rsidR="002C2144" w:rsidRPr="009A1121" w:rsidRDefault="002C2144" w:rsidP="007D4BCC">
                  <w:pPr>
                    <w:rPr>
                      <w:lang w:val="ru-RU"/>
                    </w:rPr>
                  </w:pPr>
                </w:p>
              </w:txbxContent>
            </v:textbox>
          </v:shape>
        </w:pict>
      </w:r>
    </w:p>
    <w:p w:rsidR="007D4BCC" w:rsidRPr="0049187C" w:rsidRDefault="007D4BCC" w:rsidP="007D4BCC">
      <w:pPr>
        <w:pStyle w:val="IASBNormal"/>
        <w:rPr>
          <w:lang w:val="ru-RU"/>
        </w:rPr>
      </w:pPr>
    </w:p>
    <w:p w:rsidR="007D4BCC" w:rsidRPr="0049187C" w:rsidRDefault="007D4BCC" w:rsidP="007D4BCC">
      <w:pPr>
        <w:pStyle w:val="IASBNormal"/>
        <w:rPr>
          <w:lang w:val="ru-RU"/>
        </w:rPr>
      </w:pPr>
      <w:r w:rsidRPr="0049187C">
        <w:rPr>
          <w:lang w:val="ru-RU" w:eastAsia="en-GB"/>
        </w:rPr>
        <w:pict>
          <v:group id="_x0000_s1135" style="position:absolute;left:0;text-align:left;margin-left:197.85pt;margin-top:15.2pt;width:35.65pt;height:21.85pt;z-index:16" coordorigin="5397,13860" coordsize="713,437">
            <v:shape id="Text Box 71" o:spid="_x0000_s1136" type="#_x0000_t202" style="position:absolute;left:5397;top:13923;width:713;height:3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TMuQ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" filled="f" stroked="f">
              <v:textbox style="mso-next-textbox:#Text Box 71">
                <w:txbxContent>
                  <w:p w:rsidR="002C2144" w:rsidRPr="009A1121" w:rsidRDefault="002C2144" w:rsidP="007D4BCC">
                    <w:pPr>
                      <w:jc w:val="center"/>
                      <w:rPr>
                        <w:lang w:val="ru-RU"/>
                      </w:rPr>
                    </w:pPr>
                    <w:r>
                      <w:rPr>
                        <w:rFonts w:ascii="Arial" w:hAnsi="Arial"/>
                        <w:sz w:val="15"/>
                        <w:szCs w:val="15"/>
                        <w:lang w:val="ru-RU"/>
                      </w:rPr>
                      <w:t>Да</w:t>
                    </w:r>
                  </w:p>
                  <w:p w:rsidR="002C2144" w:rsidRDefault="002C2144" w:rsidP="007D4BCC"/>
                </w:txbxContent>
              </v:textbox>
            </v:shape>
            <v:shape id="Straight Arrow Connector 45" o:spid="_x0000_s1137" type="#_x0000_t34" style="position:absolute;left:5201;top:14078;width:43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" adj="10775,173988000,-240862">
              <v:stroke endarrow="block"/>
            </v:shape>
          </v:group>
        </w:pict>
      </w:r>
    </w:p>
    <w:p w:rsidR="007D4BCC" w:rsidRPr="0049187C" w:rsidRDefault="007D4BCC" w:rsidP="007D4BCC">
      <w:pPr>
        <w:pStyle w:val="IASBNormal"/>
        <w:rPr>
          <w:lang w:val="ru-RU"/>
        </w:rPr>
      </w:pPr>
      <w:r w:rsidRPr="0049187C">
        <w:rPr>
          <w:lang w:val="ru-RU" w:eastAsia="en-GB"/>
        </w:rPr>
        <w:pict>
          <v:group id="_x0000_s1123" style="position:absolute;left:0;text-align:left;margin-left:71.65pt;margin-top:18.2pt;width:253.85pt;height:27pt;z-index:10" coordorigin="2313,14913" coordsize="5077,540">
            <v:rect id="Rectangle 58" o:spid="_x0000_s1124" style="position:absolute;left:2392;top:14913;width:4903;height:5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" filled="f"/>
            <v:shape id="Text Box 59" o:spid="_x0000_s1125" type="#_x0000_t202" style="position:absolute;left:2313;top:14913;width:5077;height: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" filled="f" stroked="f">
              <v:textbox style="mso-next-textbox:#Text Box 59">
                <w:txbxContent>
                  <w:p w:rsidR="002C2144" w:rsidRPr="009A1121" w:rsidRDefault="002C2144" w:rsidP="007D4BCC">
                    <w:pPr>
                      <w:jc w:val="center"/>
                      <w:rPr>
                        <w:lang w:val="ru-RU"/>
                      </w:rPr>
                    </w:pPr>
                    <w:r>
                      <w:rPr>
                        <w:rFonts w:ascii="Arial" w:hAnsi="Arial"/>
                        <w:sz w:val="15"/>
                        <w:szCs w:val="15"/>
                        <w:lang w:val="ru-RU"/>
                      </w:rPr>
                      <w:t>Продолжить признание актива в объеме продолжающегося участия организации</w:t>
                    </w:r>
                  </w:p>
                </w:txbxContent>
              </v:textbox>
            </v:shape>
          </v:group>
        </w:pict>
      </w:r>
    </w:p>
    <w:p w:rsidR="007D4BCC" w:rsidRPr="0049187C" w:rsidRDefault="007D4BCC" w:rsidP="007D4BCC">
      <w:pPr>
        <w:pStyle w:val="IASBNormal"/>
        <w:rPr>
          <w:lang w:val="ru-RU"/>
        </w:rPr>
      </w:pPr>
    </w:p>
    <w:p w:rsidR="007D4BCC" w:rsidRPr="0049187C" w:rsidRDefault="007D4BCC" w:rsidP="007D4BCC">
      <w:pPr>
        <w:pStyle w:val="IASBNormal"/>
        <w:rPr>
          <w:lang w:val="ru-RU"/>
        </w:rPr>
      </w:pPr>
    </w:p>
    <w:bookmarkEnd w:id="210"/>
    <w:p w:rsidR="002502EB" w:rsidRPr="00170D8F" w:rsidRDefault="00831AD1" w:rsidP="002502EB">
      <w:pPr>
        <w:pStyle w:val="IASBSectionTitle4Ind"/>
        <w:rPr>
          <w:lang w:val="ru-RU"/>
        </w:rPr>
      </w:pPr>
      <w:r w:rsidRPr="007A6CF7">
        <w:rPr>
          <w:lang w:val="ru-RU"/>
        </w:rPr>
        <w:t>Соглашения, в рамках которых организация сохраняет предусмотренные договором права на получение денежных потоков от финансового актива, но принимает на себя предусмотренную договором обязанность выплачивать эти денежные потоки одному или нескольким получателям</w:t>
      </w:r>
      <w:r w:rsidR="002502EB" w:rsidRPr="00170D8F">
        <w:rPr>
          <w:lang w:val="ru-RU"/>
        </w:rPr>
        <w:t xml:space="preserve"> (пункт 3.2.4(b))</w:t>
      </w:r>
    </w:p>
    <w:p w:rsidR="002502EB" w:rsidRPr="00170D8F" w:rsidRDefault="002502EB" w:rsidP="002502EB">
      <w:pPr>
        <w:pStyle w:val="IASBNormalnpara"/>
        <w:rPr>
          <w:lang w:val="ru-RU"/>
        </w:rPr>
      </w:pPr>
      <w:r w:rsidRPr="00170D8F">
        <w:rPr>
          <w:lang w:val="ru-RU"/>
        </w:rPr>
        <w:t>B3.2.2</w:t>
      </w:r>
      <w:r w:rsidRPr="00170D8F">
        <w:rPr>
          <w:lang w:val="ru-RU"/>
        </w:rPr>
        <w:tab/>
        <w:t>Ситуация, описанная в пункте 3.2.4(b)</w:t>
      </w:r>
      <w:r w:rsidR="00831AD1">
        <w:rPr>
          <w:lang w:val="ru-RU"/>
        </w:rPr>
        <w:t>,</w:t>
      </w:r>
      <w:r w:rsidRPr="00170D8F">
        <w:rPr>
          <w:lang w:val="ru-RU"/>
        </w:rPr>
        <w:t xml:space="preserve"> </w:t>
      </w:r>
      <w:r w:rsidR="00831AD1" w:rsidRPr="00831AD1">
        <w:rPr>
          <w:lang w:val="ru-RU"/>
        </w:rPr>
        <w:t>когда организация сохраняет предусмотренные договором права на получение денежных потоков от финансового актива, но принимает на себя предусмотренную договором обязанность выплачивать эти денежные потоки одному или нескольким получателям, возникает, например, если организация является трастом и предоставляет инвесторам бенефициарные доли участия в принадлежащих ей базовых финансовых активах и обеспечивает обслуживание этих финансовых активов. В таком случае указанные финансовые активы удовлетворяют критериям прекращения признания, если выполняются условия, предусмотренные пунктами</w:t>
      </w:r>
      <w:r w:rsidRPr="00170D8F">
        <w:rPr>
          <w:lang w:val="ru-RU"/>
        </w:rPr>
        <w:t xml:space="preserve"> 3.2.5 и 3.2.6.</w:t>
      </w:r>
    </w:p>
    <w:p w:rsidR="002502EB" w:rsidRPr="00170D8F" w:rsidRDefault="002502EB" w:rsidP="002502EB">
      <w:pPr>
        <w:pStyle w:val="IASBNormalnpara"/>
        <w:rPr>
          <w:lang w:val="ru-RU"/>
        </w:rPr>
      </w:pPr>
      <w:r w:rsidRPr="00170D8F">
        <w:rPr>
          <w:lang w:val="ru-RU"/>
        </w:rPr>
        <w:t>B3.2.3</w:t>
      </w:r>
      <w:r w:rsidRPr="00170D8F">
        <w:rPr>
          <w:lang w:val="ru-RU"/>
        </w:rPr>
        <w:tab/>
        <w:t>Применительно к пункту 3.2.5 организация может быть, например, стороной, создавшей этот финансовый актив, или может представлять собой группу, включающую в себя дочернюю организацию, которая приобрела этот финансовый актив и передает денежные потоки от него сторонним инвесторам.</w:t>
      </w:r>
    </w:p>
    <w:p w:rsidR="002502EB" w:rsidRPr="00170D8F" w:rsidRDefault="002502EB" w:rsidP="002502EB">
      <w:pPr>
        <w:pStyle w:val="IASBSectionTitle4Ind"/>
        <w:rPr>
          <w:lang w:val="ru-RU"/>
        </w:rPr>
      </w:pPr>
      <w:r w:rsidRPr="00170D8F">
        <w:rPr>
          <w:lang w:val="ru-RU"/>
        </w:rPr>
        <w:t>Оценка передачи рисков и выгод, связанных с правом собственности</w:t>
      </w:r>
      <w:r w:rsidRPr="00170D8F">
        <w:rPr>
          <w:lang w:val="ru-RU"/>
        </w:rPr>
        <w:br/>
        <w:t>(пункт 3.2.6)</w:t>
      </w:r>
    </w:p>
    <w:p w:rsidR="002502EB" w:rsidRPr="00170D8F" w:rsidRDefault="002502EB" w:rsidP="002502EB">
      <w:pPr>
        <w:pStyle w:val="IASBNormalnpara"/>
        <w:rPr>
          <w:lang w:val="ru-RU"/>
        </w:rPr>
      </w:pPr>
      <w:r w:rsidRPr="00170D8F">
        <w:rPr>
          <w:lang w:val="ru-RU"/>
        </w:rPr>
        <w:t>B3.2.4</w:t>
      </w:r>
      <w:r w:rsidRPr="00170D8F">
        <w:rPr>
          <w:lang w:val="ru-RU"/>
        </w:rPr>
        <w:tab/>
        <w:t>Примерами ситуаций, когда организация передала практически все риски и выгоды, связанные с правом собственности, являются:</w:t>
      </w:r>
    </w:p>
    <w:p w:rsidR="002502EB" w:rsidRPr="00170D8F" w:rsidRDefault="002502EB" w:rsidP="002502EB">
      <w:pPr>
        <w:pStyle w:val="IASBNormalnparaL1"/>
        <w:rPr>
          <w:lang w:val="ru-RU"/>
        </w:rPr>
      </w:pPr>
      <w:r w:rsidRPr="00170D8F">
        <w:rPr>
          <w:lang w:val="ru-RU"/>
        </w:rPr>
        <w:t>(a)</w:t>
      </w:r>
      <w:r w:rsidRPr="00170D8F">
        <w:rPr>
          <w:lang w:val="ru-RU"/>
        </w:rPr>
        <w:tab/>
        <w:t>безусловная продажа финансового актива;</w:t>
      </w:r>
    </w:p>
    <w:p w:rsidR="002502EB" w:rsidRPr="00170D8F" w:rsidRDefault="002502EB" w:rsidP="002502EB">
      <w:pPr>
        <w:autoSpaceDE w:val="0"/>
        <w:autoSpaceDN w:val="0"/>
        <w:adjustRightInd w:val="0"/>
        <w:spacing w:before="100"/>
        <w:ind w:left="1564" w:hanging="782"/>
        <w:rPr>
          <w:sz w:val="19"/>
          <w:szCs w:val="20"/>
          <w:lang w:val="ru-RU"/>
        </w:rPr>
      </w:pPr>
      <w:r w:rsidRPr="00170D8F">
        <w:rPr>
          <w:sz w:val="19"/>
          <w:szCs w:val="20"/>
          <w:lang w:val="ru-RU"/>
        </w:rPr>
        <w:t>(b)</w:t>
      </w:r>
      <w:r w:rsidRPr="00170D8F">
        <w:rPr>
          <w:sz w:val="19"/>
          <w:szCs w:val="20"/>
          <w:lang w:val="ru-RU"/>
        </w:rPr>
        <w:tab/>
        <w:t>продажа финансового актива вместе с опционом на выкуп этого финансового актива по его справедливой стоимости на момент выкупа; и</w:t>
      </w:r>
    </w:p>
    <w:p w:rsidR="002502EB" w:rsidRPr="00170D8F" w:rsidRDefault="002502EB" w:rsidP="00831AD1">
      <w:pPr>
        <w:autoSpaceDE w:val="0"/>
        <w:autoSpaceDN w:val="0"/>
        <w:adjustRightInd w:val="0"/>
        <w:spacing w:before="100"/>
        <w:ind w:left="1564" w:hanging="782"/>
        <w:jc w:val="both"/>
        <w:rPr>
          <w:sz w:val="19"/>
          <w:szCs w:val="20"/>
          <w:lang w:val="ru-RU"/>
        </w:rPr>
      </w:pPr>
      <w:r w:rsidRPr="00170D8F">
        <w:rPr>
          <w:sz w:val="19"/>
          <w:szCs w:val="20"/>
          <w:lang w:val="ru-RU"/>
        </w:rPr>
        <w:t>(c)</w:t>
      </w:r>
      <w:r w:rsidRPr="00170D8F">
        <w:rPr>
          <w:sz w:val="19"/>
          <w:szCs w:val="20"/>
          <w:lang w:val="ru-RU"/>
        </w:rPr>
        <w:tab/>
        <w:t>продажа финансового актива вместе с пут-опционом или колл-опционом, имеющим</w:t>
      </w:r>
      <w:r w:rsidR="00831AD1">
        <w:rPr>
          <w:sz w:val="19"/>
          <w:szCs w:val="20"/>
          <w:lang w:val="ru-RU"/>
        </w:rPr>
        <w:t>и</w:t>
      </w:r>
      <w:r w:rsidRPr="00170D8F">
        <w:rPr>
          <w:sz w:val="19"/>
          <w:szCs w:val="20"/>
          <w:lang w:val="ru-RU"/>
        </w:rPr>
        <w:t xml:space="preserve"> статус «глубоко вне денег» (т. е. цена исполнения опциона настолько невыгодна в настоящий момент времени, что почти отсутствует </w:t>
      </w:r>
      <w:r w:rsidR="00A34BF4" w:rsidRPr="00170D8F">
        <w:rPr>
          <w:sz w:val="19"/>
          <w:szCs w:val="20"/>
          <w:lang w:val="ru-RU"/>
        </w:rPr>
        <w:t>вероятность</w:t>
      </w:r>
      <w:r w:rsidRPr="00170D8F">
        <w:rPr>
          <w:sz w:val="19"/>
          <w:szCs w:val="20"/>
          <w:lang w:val="ru-RU"/>
        </w:rPr>
        <w:t xml:space="preserve"> того, что до истечения срока действия этого опциона он станет выгодным для исполнения).</w:t>
      </w:r>
    </w:p>
    <w:p w:rsidR="002502EB" w:rsidRDefault="002502EB" w:rsidP="002502EB">
      <w:pPr>
        <w:pStyle w:val="IASBNormalnpara"/>
        <w:rPr>
          <w:lang w:val="ru-RU"/>
        </w:rPr>
      </w:pPr>
      <w:r w:rsidRPr="00170D8F">
        <w:rPr>
          <w:lang w:val="ru-RU"/>
        </w:rPr>
        <w:t>B3.2.5</w:t>
      </w:r>
      <w:r w:rsidRPr="00170D8F">
        <w:rPr>
          <w:lang w:val="ru-RU"/>
        </w:rPr>
        <w:tab/>
        <w:t>Примерами ситуаций, когда организация сохранила практически все риски и выгоды, связанные с правом собственности, являются:</w:t>
      </w:r>
    </w:p>
    <w:p w:rsidR="002502EB" w:rsidRPr="00170D8F" w:rsidRDefault="002502EB" w:rsidP="005C7916">
      <w:pPr>
        <w:pStyle w:val="IASBNormalnpara"/>
        <w:ind w:left="1560" w:hanging="709"/>
        <w:rPr>
          <w:lang w:val="ru-RU"/>
        </w:rPr>
      </w:pPr>
      <w:r w:rsidRPr="00170D8F">
        <w:rPr>
          <w:lang w:val="ru-RU"/>
        </w:rPr>
        <w:t>(a)</w:t>
      </w:r>
      <w:r w:rsidRPr="00170D8F">
        <w:rPr>
          <w:lang w:val="ru-RU"/>
        </w:rPr>
        <w:tab/>
        <w:t>сделка продажи с обратной покупкой, если цена обратной покупки является фиксированной или равна цене продажи плюс сумма, соответствующая доходу кредитора;</w:t>
      </w:r>
    </w:p>
    <w:p w:rsidR="002502EB" w:rsidRPr="00170D8F" w:rsidRDefault="002502EB" w:rsidP="002502EB">
      <w:pPr>
        <w:pStyle w:val="IASBNormalnparaL1"/>
        <w:ind w:left="1560" w:hanging="709"/>
        <w:rPr>
          <w:lang w:val="ru-RU"/>
        </w:rPr>
      </w:pPr>
      <w:r w:rsidRPr="00170D8F">
        <w:rPr>
          <w:lang w:val="ru-RU"/>
        </w:rPr>
        <w:t>(b)</w:t>
      </w:r>
      <w:r w:rsidRPr="00170D8F">
        <w:rPr>
          <w:lang w:val="ru-RU"/>
        </w:rPr>
        <w:tab/>
        <w:t>соглашение о предоставлении ценных бумаг по договору займа;</w:t>
      </w:r>
    </w:p>
    <w:p w:rsidR="002502EB" w:rsidRPr="00170D8F" w:rsidRDefault="002502EB" w:rsidP="002502EB">
      <w:pPr>
        <w:autoSpaceDE w:val="0"/>
        <w:autoSpaceDN w:val="0"/>
        <w:adjustRightInd w:val="0"/>
        <w:spacing w:before="100"/>
        <w:ind w:left="1560" w:hanging="709"/>
        <w:jc w:val="both"/>
        <w:rPr>
          <w:lang w:val="ru-RU"/>
        </w:rPr>
      </w:pPr>
      <w:r w:rsidRPr="00170D8F">
        <w:rPr>
          <w:sz w:val="19"/>
          <w:szCs w:val="20"/>
          <w:lang w:val="ru-RU"/>
        </w:rPr>
        <w:t>(c)</w:t>
      </w:r>
      <w:r w:rsidRPr="00170D8F">
        <w:rPr>
          <w:sz w:val="19"/>
          <w:szCs w:val="20"/>
          <w:lang w:val="ru-RU"/>
        </w:rPr>
        <w:tab/>
        <w:t>продажа финансового актива вместе со свопом совокупного дохода, который передает подверженность рыночному риску обратно организации;</w:t>
      </w:r>
    </w:p>
    <w:p w:rsidR="002502EB" w:rsidRPr="00170D8F" w:rsidRDefault="002502EB" w:rsidP="002502EB">
      <w:pPr>
        <w:autoSpaceDE w:val="0"/>
        <w:autoSpaceDN w:val="0"/>
        <w:adjustRightInd w:val="0"/>
        <w:spacing w:before="100"/>
        <w:ind w:left="1560" w:hanging="709"/>
        <w:jc w:val="both"/>
        <w:rPr>
          <w:lang w:val="ru-RU"/>
        </w:rPr>
      </w:pPr>
      <w:r w:rsidRPr="00170D8F">
        <w:rPr>
          <w:sz w:val="19"/>
          <w:szCs w:val="20"/>
          <w:lang w:val="ru-RU"/>
        </w:rPr>
        <w:t>(d)</w:t>
      </w:r>
      <w:r w:rsidRPr="00170D8F">
        <w:rPr>
          <w:sz w:val="19"/>
          <w:szCs w:val="20"/>
          <w:lang w:val="ru-RU"/>
        </w:rPr>
        <w:tab/>
        <w:t>продажа финансового актива вместе с пут-опционом или колл-опционом, имеющим</w:t>
      </w:r>
      <w:r w:rsidR="005C7916">
        <w:rPr>
          <w:sz w:val="19"/>
          <w:szCs w:val="20"/>
          <w:lang w:val="ru-RU"/>
        </w:rPr>
        <w:t>и</w:t>
      </w:r>
      <w:r w:rsidRPr="00170D8F">
        <w:rPr>
          <w:sz w:val="19"/>
          <w:szCs w:val="20"/>
          <w:lang w:val="ru-RU"/>
        </w:rPr>
        <w:t xml:space="preserve"> статус «глубоко в деньгах» (т. е. цена исполнения опциона настолько выгодна в настоящий момент времени, что почти отсутствует </w:t>
      </w:r>
      <w:r w:rsidR="00A34BF4" w:rsidRPr="00170D8F">
        <w:rPr>
          <w:sz w:val="19"/>
          <w:szCs w:val="20"/>
          <w:lang w:val="ru-RU"/>
        </w:rPr>
        <w:t>вероятность</w:t>
      </w:r>
      <w:r w:rsidRPr="00170D8F">
        <w:rPr>
          <w:sz w:val="19"/>
          <w:szCs w:val="20"/>
          <w:lang w:val="ru-RU"/>
        </w:rPr>
        <w:t xml:space="preserve"> того, что до истечения срока действия этого опциона он станет невыгодным для исполнения); и</w:t>
      </w:r>
    </w:p>
    <w:p w:rsidR="002502EB" w:rsidRPr="00170D8F" w:rsidRDefault="002502EB" w:rsidP="002502EB">
      <w:pPr>
        <w:autoSpaceDE w:val="0"/>
        <w:autoSpaceDN w:val="0"/>
        <w:adjustRightInd w:val="0"/>
        <w:spacing w:before="100"/>
        <w:ind w:left="1560" w:hanging="709"/>
        <w:jc w:val="both"/>
        <w:rPr>
          <w:lang w:val="ru-RU"/>
        </w:rPr>
      </w:pPr>
      <w:r w:rsidRPr="00170D8F">
        <w:rPr>
          <w:sz w:val="19"/>
          <w:szCs w:val="20"/>
          <w:lang w:val="ru-RU"/>
        </w:rPr>
        <w:t>(e)</w:t>
      </w:r>
      <w:r w:rsidRPr="00170D8F">
        <w:rPr>
          <w:sz w:val="19"/>
          <w:szCs w:val="20"/>
          <w:lang w:val="ru-RU"/>
        </w:rPr>
        <w:tab/>
        <w:t>продажа краткосрочной дебиторской задолженности, где организация гарантирует компенсацию кредитных убытков принимающей стороны, которые с высокой вероятностью возникнут.</w:t>
      </w:r>
    </w:p>
    <w:p w:rsidR="002502EB" w:rsidRPr="00170D8F" w:rsidRDefault="002502EB" w:rsidP="002502EB">
      <w:pPr>
        <w:pStyle w:val="IASBNormalnpara"/>
        <w:rPr>
          <w:lang w:val="ru-RU"/>
        </w:rPr>
      </w:pPr>
      <w:r w:rsidRPr="00170D8F">
        <w:rPr>
          <w:lang w:val="ru-RU"/>
        </w:rPr>
        <w:t>B3.2.6</w:t>
      </w:r>
      <w:r w:rsidRPr="00170D8F">
        <w:rPr>
          <w:lang w:val="ru-RU"/>
        </w:rPr>
        <w:tab/>
      </w:r>
      <w:r w:rsidR="005C7916" w:rsidRPr="005C7916">
        <w:rPr>
          <w:lang w:val="ru-RU"/>
        </w:rPr>
        <w:t>Если организация определяет, что в результате такой передачи она передала практически все риски и выгоды, связанные с правом собственности на переданный актив, она не признает этот актив снова в будущем периоде, кроме случаев, когда она вновь приобретает переданный актив в рамках какой-либо новой сделки</w:t>
      </w:r>
      <w:r w:rsidRPr="00170D8F">
        <w:rPr>
          <w:lang w:val="ru-RU"/>
        </w:rPr>
        <w:t>.</w:t>
      </w:r>
    </w:p>
    <w:p w:rsidR="002502EB" w:rsidRPr="00170D8F" w:rsidRDefault="002502EB" w:rsidP="002502EB">
      <w:pPr>
        <w:pStyle w:val="IASBSectionTitle4Ind"/>
        <w:rPr>
          <w:lang w:val="ru-RU"/>
        </w:rPr>
      </w:pPr>
      <w:r w:rsidRPr="00170D8F">
        <w:rPr>
          <w:lang w:val="ru-RU"/>
        </w:rPr>
        <w:t>Оценка передачи контроля</w:t>
      </w:r>
    </w:p>
    <w:p w:rsidR="002502EB" w:rsidRPr="00170D8F" w:rsidRDefault="002502EB" w:rsidP="002502EB">
      <w:pPr>
        <w:pStyle w:val="IASBNormalnpara"/>
        <w:rPr>
          <w:lang w:val="ru-RU"/>
        </w:rPr>
      </w:pPr>
      <w:r w:rsidRPr="00170D8F">
        <w:rPr>
          <w:lang w:val="ru-RU"/>
        </w:rPr>
        <w:t>B3.2.7</w:t>
      </w:r>
      <w:r w:rsidRPr="00170D8F">
        <w:rPr>
          <w:lang w:val="ru-RU"/>
        </w:rPr>
        <w:tab/>
      </w:r>
      <w:r w:rsidR="005C7916" w:rsidRPr="005C7916">
        <w:rPr>
          <w:lang w:val="ru-RU"/>
        </w:rPr>
        <w:t>Считается, что организация не сохранила контроль над переданным активом, если принимающая сторона имеет практическую возможность продать переданный ей актив. Считается, что организация сохранила контроль над переданным активом, если у принимающей стороны нет практической возможности продать переданный ей актив. Принимающая сторона имеет практическую возможность продать переданный ей актив, если он обращается на активном рынке, так как принимающая сторона могла бы вновь купить переданный актив на этом рынке, если ей нужно будет вернуть данный актив организации. Например, принимающая сторона может иметь практическую возможность продать переданный ей актив, если в его отношении действует опцион, дающий организации возможность купить переданный актив обратно, но при этом принимающая сторона может свободно приобрести переданный актив на рынке в случае, если этот опцион будет исполнен. У принимающей стороны нет практической возможности продать переданный актив, если организация оставляет за собой такой опцион и при этом принимающая сторона не может свободно приобрести переданный актив на рынке в случае, если организация исполнит свой опцион</w:t>
      </w:r>
      <w:r w:rsidRPr="00170D8F">
        <w:rPr>
          <w:lang w:val="ru-RU"/>
        </w:rPr>
        <w:t>.</w:t>
      </w:r>
    </w:p>
    <w:p w:rsidR="002502EB" w:rsidRPr="00170D8F" w:rsidRDefault="002502EB" w:rsidP="002502EB">
      <w:pPr>
        <w:pStyle w:val="IASBNormalnpara"/>
        <w:rPr>
          <w:lang w:val="ru-RU"/>
        </w:rPr>
      </w:pPr>
      <w:r w:rsidRPr="00170D8F">
        <w:rPr>
          <w:lang w:val="ru-RU"/>
        </w:rPr>
        <w:t>B3.2.8</w:t>
      </w:r>
      <w:r w:rsidRPr="00170D8F">
        <w:rPr>
          <w:lang w:val="ru-RU"/>
        </w:rPr>
        <w:tab/>
      </w:r>
      <w:r w:rsidR="005C7916" w:rsidRPr="005C7916">
        <w:rPr>
          <w:lang w:val="ru-RU"/>
        </w:rPr>
        <w:t xml:space="preserve">Принимающая сторона имеет практическую возможность продать переданный ей актив, только если принимающая сторона может продать независимой третьей стороне весь переданный актив и может использовать эту возможность в одностороннем порядке, не налагая дополнительных ограничений на такую передачу. Ключевым является вопрос о том, что принимающая сторона может сделать на практике, а не о том, какие права предусмотрены договором для принимающей стороны в отношении действий с переданным активов или какие запреты установлены этим договором. </w:t>
      </w:r>
      <w:r w:rsidR="005C7916" w:rsidRPr="007A6CF7">
        <w:t>В</w:t>
      </w:r>
      <w:r w:rsidR="005C7916" w:rsidRPr="007A6CF7">
        <w:rPr>
          <w:lang w:val="en-GB"/>
        </w:rPr>
        <w:t> </w:t>
      </w:r>
      <w:r w:rsidR="005C7916" w:rsidRPr="007A6CF7">
        <w:t>частности</w:t>
      </w:r>
      <w:r w:rsidRPr="00170D8F">
        <w:rPr>
          <w:lang w:val="ru-RU"/>
        </w:rPr>
        <w:t>:</w:t>
      </w:r>
    </w:p>
    <w:p w:rsidR="002502EB" w:rsidRPr="00170D8F" w:rsidRDefault="002502EB" w:rsidP="002502EB">
      <w:pPr>
        <w:autoSpaceDE w:val="0"/>
        <w:autoSpaceDN w:val="0"/>
        <w:adjustRightInd w:val="0"/>
        <w:spacing w:before="120"/>
        <w:ind w:left="1560" w:hanging="709"/>
        <w:jc w:val="both"/>
        <w:rPr>
          <w:sz w:val="19"/>
          <w:szCs w:val="20"/>
          <w:lang w:val="ru-RU"/>
        </w:rPr>
      </w:pPr>
      <w:r w:rsidRPr="00170D8F">
        <w:rPr>
          <w:sz w:val="19"/>
          <w:szCs w:val="20"/>
          <w:lang w:val="ru-RU"/>
        </w:rPr>
        <w:t>(a)</w:t>
      </w:r>
      <w:r w:rsidRPr="00170D8F">
        <w:rPr>
          <w:sz w:val="19"/>
          <w:szCs w:val="20"/>
          <w:lang w:val="ru-RU"/>
        </w:rPr>
        <w:tab/>
        <w:t>предусмотренное договором право распорядиться переданным активом практически не имеет смысла, если для переданного актива нет рынка; и</w:t>
      </w:r>
    </w:p>
    <w:p w:rsidR="002502EB" w:rsidRPr="00170D8F" w:rsidRDefault="002502EB" w:rsidP="002502EB">
      <w:pPr>
        <w:autoSpaceDE w:val="0"/>
        <w:autoSpaceDN w:val="0"/>
        <w:adjustRightInd w:val="0"/>
        <w:spacing w:before="120"/>
        <w:ind w:left="1560" w:hanging="709"/>
        <w:jc w:val="both"/>
        <w:rPr>
          <w:sz w:val="19"/>
          <w:szCs w:val="20"/>
          <w:lang w:val="ru-RU"/>
        </w:rPr>
      </w:pPr>
      <w:r w:rsidRPr="00170D8F">
        <w:rPr>
          <w:sz w:val="19"/>
          <w:szCs w:val="20"/>
          <w:lang w:val="ru-RU"/>
        </w:rPr>
        <w:t>(b)</w:t>
      </w:r>
      <w:r w:rsidRPr="00170D8F">
        <w:rPr>
          <w:sz w:val="19"/>
          <w:szCs w:val="20"/>
          <w:lang w:val="ru-RU"/>
        </w:rPr>
        <w:tab/>
        <w:t>возможность распорядиться переданным активом практически не имеет смысла, если эту возможность нельзя свободно реализовать. По этой причине:</w:t>
      </w:r>
    </w:p>
    <w:p w:rsidR="002502EB" w:rsidRPr="00170D8F" w:rsidRDefault="002502EB" w:rsidP="002502EB">
      <w:pPr>
        <w:autoSpaceDE w:val="0"/>
        <w:autoSpaceDN w:val="0"/>
        <w:adjustRightInd w:val="0"/>
        <w:spacing w:before="120"/>
        <w:ind w:left="1985" w:hanging="284"/>
        <w:jc w:val="both"/>
        <w:rPr>
          <w:sz w:val="19"/>
          <w:szCs w:val="20"/>
          <w:lang w:val="ru-RU"/>
        </w:rPr>
      </w:pPr>
      <w:r w:rsidRPr="00170D8F">
        <w:rPr>
          <w:sz w:val="19"/>
          <w:szCs w:val="20"/>
          <w:lang w:val="ru-RU"/>
        </w:rPr>
        <w:t>(i)</w:t>
      </w:r>
      <w:r w:rsidRPr="00170D8F">
        <w:rPr>
          <w:sz w:val="19"/>
          <w:szCs w:val="20"/>
          <w:lang w:val="ru-RU"/>
        </w:rPr>
        <w:tab/>
        <w:t>возможность принимающей стороны распоряжаться переданным ей активом не должна зависеть от действий других сторон (т. е. необходимо, чтобы эта возможность могла быть реализована в одностороннем порядке); и</w:t>
      </w:r>
    </w:p>
    <w:p w:rsidR="002502EB" w:rsidRPr="00170D8F" w:rsidRDefault="002502EB" w:rsidP="002502EB">
      <w:pPr>
        <w:autoSpaceDE w:val="0"/>
        <w:autoSpaceDN w:val="0"/>
        <w:adjustRightInd w:val="0"/>
        <w:spacing w:before="120"/>
        <w:ind w:left="1985" w:hanging="284"/>
        <w:jc w:val="both"/>
        <w:rPr>
          <w:sz w:val="19"/>
          <w:szCs w:val="20"/>
          <w:lang w:val="ru-RU"/>
        </w:rPr>
      </w:pPr>
      <w:r w:rsidRPr="00170D8F">
        <w:rPr>
          <w:sz w:val="19"/>
          <w:szCs w:val="20"/>
          <w:lang w:val="ru-RU"/>
        </w:rPr>
        <w:t>(ii)</w:t>
      </w:r>
      <w:r w:rsidRPr="00170D8F">
        <w:rPr>
          <w:sz w:val="19"/>
          <w:szCs w:val="20"/>
          <w:lang w:val="ru-RU"/>
        </w:rPr>
        <w:tab/>
      </w:r>
      <w:r w:rsidR="005C7916" w:rsidRPr="007A6CF7">
        <w:rPr>
          <w:sz w:val="19"/>
          <w:lang w:val="ru-RU"/>
        </w:rPr>
        <w:t>принимающая сторона должна иметь возможность распоряжаться переданным ей активом без необходимости наложения ограничений или иных обременяющих условий на эту передачу (например, условий касательно порядка обслуживания кредитного актива или включение опциона, дающего принимающей стороне право купить этот актив обратно)</w:t>
      </w:r>
      <w:r w:rsidRPr="00170D8F">
        <w:rPr>
          <w:sz w:val="19"/>
          <w:szCs w:val="20"/>
          <w:lang w:val="ru-RU"/>
        </w:rPr>
        <w:t>.</w:t>
      </w:r>
    </w:p>
    <w:p w:rsidR="002502EB" w:rsidRPr="00170D8F" w:rsidRDefault="002502EB" w:rsidP="002502EB">
      <w:pPr>
        <w:pStyle w:val="IASBNormalnpara"/>
        <w:rPr>
          <w:lang w:val="ru-RU"/>
        </w:rPr>
      </w:pPr>
      <w:r w:rsidRPr="00170D8F">
        <w:rPr>
          <w:lang w:val="ru-RU"/>
        </w:rPr>
        <w:t>B3.2.9</w:t>
      </w:r>
      <w:r w:rsidRPr="00170D8F">
        <w:rPr>
          <w:lang w:val="ru-RU"/>
        </w:rPr>
        <w:tab/>
      </w:r>
      <w:r w:rsidR="005C7916" w:rsidRPr="005C7916">
        <w:rPr>
          <w:lang w:val="ru-RU"/>
        </w:rPr>
        <w:t>То обстоятельство, что принимающая сторона вряд ли продаст переданный ей актив, не означает само по себе, что передающая сторона сохранила контроль над переданным активом. Однако если пут-опцион или гарантия удерживает принимающую сторону от продажи переданного ей актива, то следует считать, что передающая сторона сохранила контроль над переданным активом. Например, если ценность пут-опциона или гарантии достаточно высока, то этот пут-опцион или гарантия будут удерживать принимающую сторону от продажи переданного ей актива, поскольку на практике принимающая сторона не продала бы переданный актив третьей стороне, не предусмотрев при этом аналогичный опцион или другие ограничивающие условия. Вместо этого принимающая сторона удерживала бы переданный ей актив, с тем чтобы получить выплаты по гарантии или пут-опциону. При таких обстоятельствах следует считать, что передающая сторона сохранила контроль над переданным активом</w:t>
      </w:r>
      <w:r w:rsidRPr="00170D8F">
        <w:rPr>
          <w:lang w:val="ru-RU"/>
        </w:rPr>
        <w:t>.</w:t>
      </w:r>
    </w:p>
    <w:p w:rsidR="002502EB" w:rsidRPr="00170D8F" w:rsidRDefault="002502EB" w:rsidP="002502EB">
      <w:pPr>
        <w:pStyle w:val="IASBSectionTitle3Ind"/>
        <w:rPr>
          <w:lang w:val="ru-RU"/>
        </w:rPr>
      </w:pPr>
      <w:r w:rsidRPr="00170D8F">
        <w:rPr>
          <w:lang w:val="ru-RU"/>
        </w:rPr>
        <w:t>Передачи активов, соответствующие требованиям для прекращения признания</w:t>
      </w:r>
    </w:p>
    <w:p w:rsidR="002502EB" w:rsidRPr="00170D8F" w:rsidRDefault="002502EB" w:rsidP="002502EB">
      <w:pPr>
        <w:pStyle w:val="IASBNormalnpara"/>
        <w:rPr>
          <w:lang w:val="ru-RU"/>
        </w:rPr>
      </w:pPr>
      <w:r w:rsidRPr="00170D8F">
        <w:rPr>
          <w:lang w:val="ru-RU"/>
        </w:rPr>
        <w:t>B3.2.10</w:t>
      </w:r>
      <w:r w:rsidRPr="00170D8F">
        <w:rPr>
          <w:lang w:val="ru-RU"/>
        </w:rPr>
        <w:tab/>
      </w:r>
      <w:r w:rsidR="005C7916" w:rsidRPr="005C7916">
        <w:rPr>
          <w:lang w:val="ru-RU"/>
        </w:rPr>
        <w:t>Возможно, что организация сохраняет за собой право на часть процентных выплат по переданным активам в качестве компенсации за обслуживание этих активов. Та часть процентных выплат, которой организация лишилась бы в случае расторжения договора на обслуживание или его передачи, относится на соответствующий актив по обслуживанию или обязательство по обслуживанию. Та часть процентных выплат, которой организация не лишилась бы, представляет собой процентный стрип к получению. Например, если организация не лишилась бы никаких процентов в случае расторжения договора на обслуживание или его передачи, то весь процентный спрэд является процентным стрипом к получению. Для целей применения пункта</w:t>
      </w:r>
      <w:r w:rsidRPr="00170D8F">
        <w:rPr>
          <w:lang w:val="ru-RU"/>
        </w:rPr>
        <w:t xml:space="preserve"> 3.2.13 </w:t>
      </w:r>
      <w:r w:rsidR="005C7916" w:rsidRPr="005C7916">
        <w:rPr>
          <w:lang w:val="ru-RU"/>
        </w:rPr>
        <w:t>используются величины справедливой стоимости актива по обслуживанию и процентного стрипа к получению, чтобы распределить балансовую стоимость этой дебиторской задолженности между той частью актива, которая прекращает признаваться, и той его частью, которая продолжает признаваться. Если плата за обслуживание не установлена или организация предполагает, что подлежащее получению вознаграждение не является достаточной компенсацией за предоставленные услуги по обслуживанию, то обязательство в отношении обязанности оказывать обслуживание признается по справедливой стоимости</w:t>
      </w:r>
      <w:r w:rsidRPr="00170D8F">
        <w:rPr>
          <w:lang w:val="ru-RU"/>
        </w:rPr>
        <w:t>.</w:t>
      </w:r>
    </w:p>
    <w:p w:rsidR="002502EB" w:rsidRPr="00170D8F" w:rsidRDefault="002502EB" w:rsidP="002502EB">
      <w:pPr>
        <w:pStyle w:val="IASBNormalnpara"/>
        <w:rPr>
          <w:lang w:val="ru-RU"/>
        </w:rPr>
      </w:pPr>
      <w:r w:rsidRPr="00170D8F">
        <w:rPr>
          <w:lang w:val="ru-RU"/>
        </w:rPr>
        <w:t>B3.2.1</w:t>
      </w:r>
      <w:r w:rsidR="00CF3D88">
        <w:rPr>
          <w:lang w:val="ru-RU"/>
        </w:rPr>
        <w:t>1</w:t>
      </w:r>
      <w:r w:rsidR="00CF3D88">
        <w:rPr>
          <w:lang w:val="ru-RU"/>
        </w:rPr>
        <w:tab/>
        <w:t xml:space="preserve">Когда организация </w:t>
      </w:r>
      <w:r w:rsidRPr="00170D8F">
        <w:rPr>
          <w:lang w:val="ru-RU"/>
        </w:rPr>
        <w:t xml:space="preserve">для </w:t>
      </w:r>
      <w:r w:rsidR="00CF3D88">
        <w:rPr>
          <w:lang w:val="ru-RU"/>
        </w:rPr>
        <w:t>целей применения пункта 3.2.13 </w:t>
      </w:r>
      <w:r w:rsidR="005C7916" w:rsidRPr="005C7916">
        <w:rPr>
          <w:lang w:val="ru-RU"/>
        </w:rPr>
        <w:t>оценивает справедливую стоимости части, которая продолжает признаваться, и части, которая прекращает признаваться, организация применяет требования МСФО (</w:t>
      </w:r>
      <w:r w:rsidR="005C7916" w:rsidRPr="007A6CF7">
        <w:t>IFRS</w:t>
      </w:r>
      <w:r w:rsidR="005C7916" w:rsidRPr="005C7916">
        <w:rPr>
          <w:lang w:val="ru-RU"/>
        </w:rPr>
        <w:t>) 13</w:t>
      </w:r>
      <w:r w:rsidR="00015E5A">
        <w:rPr>
          <w:lang w:val="ru-RU"/>
        </w:rPr>
        <w:t xml:space="preserve"> </w:t>
      </w:r>
      <w:r w:rsidR="00015E5A" w:rsidRPr="00015E5A">
        <w:rPr>
          <w:i/>
          <w:lang w:val="ru-RU"/>
        </w:rPr>
        <w:t>«Оценка справедливой стоимости»</w:t>
      </w:r>
      <w:r w:rsidR="005C7916" w:rsidRPr="005C7916">
        <w:rPr>
          <w:lang w:val="ru-RU"/>
        </w:rPr>
        <w:t>, касающиеся оценки справедливой стоимости, в дополнение к требованиям пункта</w:t>
      </w:r>
      <w:r w:rsidRPr="00170D8F">
        <w:rPr>
          <w:lang w:val="ru-RU"/>
        </w:rPr>
        <w:t xml:space="preserve"> 3.2.14</w:t>
      </w:r>
    </w:p>
    <w:p w:rsidR="002502EB" w:rsidRPr="00170D8F" w:rsidRDefault="002502EB" w:rsidP="002502EB">
      <w:pPr>
        <w:pStyle w:val="IASBSectionTitle3Ind"/>
        <w:rPr>
          <w:lang w:val="ru-RU"/>
        </w:rPr>
      </w:pPr>
      <w:r w:rsidRPr="00170D8F">
        <w:rPr>
          <w:lang w:val="ru-RU"/>
        </w:rPr>
        <w:t>Передачи активов, не соответствующие требованиям для прекращения признания</w:t>
      </w:r>
    </w:p>
    <w:p w:rsidR="002502EB" w:rsidRPr="00170D8F" w:rsidRDefault="002502EB" w:rsidP="002502EB">
      <w:pPr>
        <w:pStyle w:val="IASBNormalnpara"/>
        <w:rPr>
          <w:lang w:val="ru-RU"/>
        </w:rPr>
      </w:pPr>
      <w:r w:rsidRPr="00170D8F">
        <w:rPr>
          <w:lang w:val="ru-RU"/>
        </w:rPr>
        <w:t>B3.2.12</w:t>
      </w:r>
      <w:r w:rsidRPr="00170D8F">
        <w:rPr>
          <w:lang w:val="ru-RU"/>
        </w:rPr>
        <w:tab/>
        <w:t xml:space="preserve">Применение принципа, изложенного в пункте 3.2.15, </w:t>
      </w:r>
      <w:r w:rsidR="005C7916" w:rsidRPr="005C7916">
        <w:rPr>
          <w:lang w:val="ru-RU"/>
        </w:rPr>
        <w:t>иллюстрирует следующий пример. Если предоставленная организацией гарантия компенсации убытков от дефолта по переданному активу препятствует прекращению признания этого переданного актива, поскольку организация сохранила практически все риски и выгоды, связанные с правом собственности на него, весь переданный актив продолжает признаваться целиком, а полученное возмещение признается как обязательство</w:t>
      </w:r>
      <w:r w:rsidRPr="00170D8F">
        <w:rPr>
          <w:lang w:val="ru-RU"/>
        </w:rPr>
        <w:t>.</w:t>
      </w:r>
    </w:p>
    <w:p w:rsidR="002502EB" w:rsidRPr="00170D8F" w:rsidRDefault="002502EB" w:rsidP="002502EB">
      <w:pPr>
        <w:pStyle w:val="IASBSectionTitle3Ind"/>
        <w:rPr>
          <w:lang w:val="ru-RU"/>
        </w:rPr>
      </w:pPr>
      <w:r w:rsidRPr="00170D8F">
        <w:rPr>
          <w:lang w:val="ru-RU"/>
        </w:rPr>
        <w:t>Продолжающееся участие в переданных активах</w:t>
      </w:r>
    </w:p>
    <w:p w:rsidR="002502EB" w:rsidRPr="00170D8F" w:rsidRDefault="002502EB" w:rsidP="002502EB">
      <w:pPr>
        <w:pStyle w:val="IASBNormalnpara"/>
        <w:rPr>
          <w:lang w:val="ru-RU"/>
        </w:rPr>
      </w:pPr>
      <w:r w:rsidRPr="00170D8F">
        <w:rPr>
          <w:lang w:val="ru-RU"/>
        </w:rPr>
        <w:t>B3.2.13</w:t>
      </w:r>
      <w:r w:rsidRPr="00170D8F">
        <w:rPr>
          <w:lang w:val="ru-RU"/>
        </w:rPr>
        <w:tab/>
      </w:r>
      <w:r w:rsidR="005C7916" w:rsidRPr="005C7916">
        <w:rPr>
          <w:lang w:val="ru-RU"/>
        </w:rPr>
        <w:t>Ниже приводятся примеры оценки организацией переданного актива и связанного с ним обязательства согласно пункту</w:t>
      </w:r>
      <w:r w:rsidRPr="00170D8F">
        <w:rPr>
          <w:lang w:val="ru-RU"/>
        </w:rPr>
        <w:t xml:space="preserve"> 3.2.16.</w:t>
      </w:r>
    </w:p>
    <w:p w:rsidR="002502EB" w:rsidRPr="00170D8F" w:rsidRDefault="002502EB" w:rsidP="002502EB">
      <w:pPr>
        <w:pStyle w:val="IASBSectionTitle4Ind"/>
        <w:rPr>
          <w:lang w:val="ru-RU"/>
        </w:rPr>
      </w:pPr>
      <w:r w:rsidRPr="00170D8F">
        <w:rPr>
          <w:lang w:val="ru-RU"/>
        </w:rPr>
        <w:t>Все активы</w:t>
      </w:r>
    </w:p>
    <w:p w:rsidR="002502EB" w:rsidRPr="00170D8F" w:rsidRDefault="002502EB" w:rsidP="002502EB">
      <w:pPr>
        <w:autoSpaceDE w:val="0"/>
        <w:autoSpaceDN w:val="0"/>
        <w:adjustRightInd w:val="0"/>
        <w:ind w:left="1560" w:hanging="709"/>
        <w:jc w:val="both"/>
        <w:rPr>
          <w:sz w:val="19"/>
          <w:szCs w:val="20"/>
          <w:lang w:val="ru-RU"/>
        </w:rPr>
      </w:pPr>
      <w:r w:rsidRPr="00170D8F">
        <w:rPr>
          <w:sz w:val="19"/>
          <w:szCs w:val="20"/>
          <w:lang w:val="ru-RU"/>
        </w:rPr>
        <w:t>(a)</w:t>
      </w:r>
      <w:r w:rsidRPr="00170D8F">
        <w:rPr>
          <w:sz w:val="19"/>
          <w:szCs w:val="20"/>
          <w:lang w:val="ru-RU"/>
        </w:rPr>
        <w:tab/>
      </w:r>
      <w:r w:rsidR="005C7916" w:rsidRPr="007A6CF7">
        <w:rPr>
          <w:sz w:val="19"/>
          <w:lang w:val="ru-RU"/>
        </w:rPr>
        <w:t>Если следствием гарантии, предоставленной организацией в отношении компенсации убытков от дефолта по переданному активу, является невозможность прекращения признания переданного актива в части, соответствующей объему сохраняющегося участия в нем, то переданный актив оценивается на дату передачи по наименьшей из двух величин: (i) балансовой стоимости этого актива и (ii) максимальной суммы полученного от передачи возмещения, которую организация может быть обязана вернуть («сумма гарантии»). Связанное с активом обязательство первоначально оценивается в сумме гарантии плюс справедливая стоимость данной гарантии (которая обычно представляет собой величину полученного за гарантию возмещения)</w:t>
      </w:r>
      <w:r w:rsidRPr="00170D8F">
        <w:rPr>
          <w:sz w:val="19"/>
          <w:szCs w:val="20"/>
          <w:lang w:val="ru-RU"/>
        </w:rPr>
        <w:t xml:space="preserve">. Впоследствии эта первоначальная справедливая стоимость гарантии признается в составе прибыли или убытка в момент (или по мере) выполнения организацией своей обязанности (в соответствии с принципами МСФО (IFRS) 15), а балансовая стоимость актива уменьшается на сумму оценочного резерва под убытки. </w:t>
      </w:r>
    </w:p>
    <w:p w:rsidR="002502EB" w:rsidRPr="00170D8F" w:rsidRDefault="002502EB" w:rsidP="002502EB">
      <w:pPr>
        <w:pStyle w:val="IASBSectionTitle4Ind"/>
        <w:rPr>
          <w:lang w:val="ru-RU"/>
        </w:rPr>
      </w:pPr>
      <w:r w:rsidRPr="00170D8F">
        <w:rPr>
          <w:lang w:val="ru-RU"/>
        </w:rPr>
        <w:t>Активы, оцениваемые по амортизированной стоимости</w:t>
      </w:r>
    </w:p>
    <w:p w:rsidR="002502EB" w:rsidRPr="00170D8F" w:rsidRDefault="002502EB" w:rsidP="002502EB">
      <w:pPr>
        <w:autoSpaceDE w:val="0"/>
        <w:autoSpaceDN w:val="0"/>
        <w:adjustRightInd w:val="0"/>
        <w:ind w:left="1560" w:hanging="709"/>
        <w:jc w:val="both"/>
        <w:rPr>
          <w:sz w:val="19"/>
          <w:szCs w:val="20"/>
          <w:lang w:val="ru-RU"/>
        </w:rPr>
      </w:pPr>
      <w:r w:rsidRPr="00170D8F">
        <w:rPr>
          <w:sz w:val="19"/>
          <w:szCs w:val="20"/>
          <w:lang w:val="ru-RU"/>
        </w:rPr>
        <w:t>(b)</w:t>
      </w:r>
      <w:r w:rsidRPr="00170D8F">
        <w:rPr>
          <w:sz w:val="19"/>
          <w:szCs w:val="20"/>
          <w:lang w:val="ru-RU"/>
        </w:rPr>
        <w:tab/>
        <w:t>Если вследствие имеющейся у организации обязанности по выпущенному пут-опциону или имеющегося у нее права по колл-опциону не может быть прекраще</w:t>
      </w:r>
      <w:r w:rsidR="005C7916">
        <w:rPr>
          <w:sz w:val="19"/>
          <w:szCs w:val="20"/>
          <w:lang w:val="ru-RU"/>
        </w:rPr>
        <w:t>но признание переданного актива</w:t>
      </w:r>
      <w:r w:rsidRPr="00170D8F">
        <w:rPr>
          <w:sz w:val="19"/>
          <w:szCs w:val="20"/>
          <w:lang w:val="ru-RU"/>
        </w:rPr>
        <w:t xml:space="preserve"> и при этом организация оценивает переданный актив по амортизированной стоимости, то связанное с активом обязательство оценивается по своей </w:t>
      </w:r>
      <w:r w:rsidR="006F4910">
        <w:rPr>
          <w:sz w:val="19"/>
          <w:szCs w:val="20"/>
          <w:lang w:val="ru-RU"/>
        </w:rPr>
        <w:t>первоначальной стоимости (т. </w:t>
      </w:r>
      <w:r w:rsidRPr="00170D8F">
        <w:rPr>
          <w:sz w:val="19"/>
          <w:szCs w:val="20"/>
          <w:lang w:val="ru-RU"/>
        </w:rPr>
        <w:t xml:space="preserve">е. в сумме полученного возмещения), скорректированной на амортизацию разницы между этой </w:t>
      </w:r>
      <w:r w:rsidR="006F4910">
        <w:rPr>
          <w:sz w:val="19"/>
          <w:szCs w:val="20"/>
          <w:lang w:val="ru-RU"/>
        </w:rPr>
        <w:t>первоначальной</w:t>
      </w:r>
      <w:r w:rsidRPr="00170D8F">
        <w:rPr>
          <w:sz w:val="19"/>
          <w:szCs w:val="20"/>
          <w:lang w:val="ru-RU"/>
        </w:rPr>
        <w:t xml:space="preserve"> стоимостью и валовой балансовой стоимостью переданного актива на дату истечения срока действия соответствующего опциона. Например, предположим, что на дату передачи валовая балансовая стоимость актива составляет 98 </w:t>
      </w:r>
      <w:r w:rsidR="00730672">
        <w:rPr>
          <w:sz w:val="19"/>
          <w:szCs w:val="20"/>
          <w:lang w:val="ru-RU"/>
        </w:rPr>
        <w:t>д. е.</w:t>
      </w:r>
      <w:r w:rsidRPr="00170D8F">
        <w:rPr>
          <w:sz w:val="19"/>
          <w:szCs w:val="20"/>
          <w:lang w:val="ru-RU"/>
        </w:rPr>
        <w:t>, а полученное возмещение равно 95 </w:t>
      </w:r>
      <w:r w:rsidR="00730672">
        <w:rPr>
          <w:sz w:val="19"/>
          <w:szCs w:val="20"/>
          <w:lang w:val="ru-RU"/>
        </w:rPr>
        <w:t>д. е.</w:t>
      </w:r>
      <w:r w:rsidRPr="00170D8F">
        <w:rPr>
          <w:sz w:val="19"/>
          <w:szCs w:val="20"/>
          <w:lang w:val="ru-RU"/>
        </w:rPr>
        <w:t xml:space="preserve"> Валовая балансовая стоимость данного актива на дату исполнения опциона составит 100 </w:t>
      </w:r>
      <w:r w:rsidR="00730672">
        <w:rPr>
          <w:sz w:val="19"/>
          <w:szCs w:val="20"/>
          <w:lang w:val="ru-RU"/>
        </w:rPr>
        <w:t>д. е.</w:t>
      </w:r>
      <w:r w:rsidRPr="00170D8F">
        <w:rPr>
          <w:sz w:val="19"/>
          <w:szCs w:val="20"/>
          <w:lang w:val="ru-RU"/>
        </w:rPr>
        <w:t xml:space="preserve"> Первоначальная балансовая стоимость связанного с активом обязательства равна 95 </w:t>
      </w:r>
      <w:r w:rsidR="00730672">
        <w:rPr>
          <w:sz w:val="19"/>
          <w:szCs w:val="20"/>
          <w:lang w:val="ru-RU"/>
        </w:rPr>
        <w:t>д. е.</w:t>
      </w:r>
      <w:r w:rsidRPr="00170D8F">
        <w:rPr>
          <w:sz w:val="19"/>
          <w:szCs w:val="20"/>
          <w:lang w:val="ru-RU"/>
        </w:rPr>
        <w:t>, и разница между 95 </w:t>
      </w:r>
      <w:r w:rsidR="00730672">
        <w:rPr>
          <w:sz w:val="19"/>
          <w:szCs w:val="20"/>
          <w:lang w:val="ru-RU"/>
        </w:rPr>
        <w:t>д. е.</w:t>
      </w:r>
      <w:r w:rsidRPr="00170D8F">
        <w:rPr>
          <w:sz w:val="19"/>
          <w:szCs w:val="20"/>
          <w:lang w:val="ru-RU"/>
        </w:rPr>
        <w:t xml:space="preserve"> и 100 </w:t>
      </w:r>
      <w:r w:rsidR="00730672">
        <w:rPr>
          <w:sz w:val="19"/>
          <w:szCs w:val="20"/>
          <w:lang w:val="ru-RU"/>
        </w:rPr>
        <w:t>д. е.</w:t>
      </w:r>
      <w:r w:rsidRPr="00170D8F">
        <w:rPr>
          <w:sz w:val="19"/>
          <w:szCs w:val="20"/>
          <w:lang w:val="ru-RU"/>
        </w:rPr>
        <w:t xml:space="preserve"> признается в составе прибыли или убытка с использованием метода эффективной процентной ставки. В случае исполнения опциона разница между балансовой стоимостью связанного с активом обязательства и ценой исполнения этого опциона будет признана в составе прибыли или убытка.</w:t>
      </w:r>
    </w:p>
    <w:p w:rsidR="002502EB" w:rsidRPr="00170D8F" w:rsidRDefault="002502EB" w:rsidP="002502EB">
      <w:pPr>
        <w:pStyle w:val="IASBSectionTitle4Ind"/>
        <w:rPr>
          <w:lang w:val="ru-RU"/>
        </w:rPr>
      </w:pPr>
      <w:r w:rsidRPr="00170D8F">
        <w:rPr>
          <w:lang w:val="ru-RU"/>
        </w:rPr>
        <w:t>Активы, оцениваемые по справедливой стоимости</w:t>
      </w:r>
    </w:p>
    <w:p w:rsidR="002502EB" w:rsidRPr="00170D8F" w:rsidRDefault="002502EB" w:rsidP="002502EB">
      <w:pPr>
        <w:autoSpaceDE w:val="0"/>
        <w:autoSpaceDN w:val="0"/>
        <w:adjustRightInd w:val="0"/>
        <w:spacing w:before="120"/>
        <w:ind w:left="1560" w:hanging="709"/>
        <w:jc w:val="both"/>
        <w:rPr>
          <w:sz w:val="19"/>
          <w:szCs w:val="20"/>
          <w:lang w:val="ru-RU"/>
        </w:rPr>
      </w:pPr>
      <w:r w:rsidRPr="00170D8F">
        <w:rPr>
          <w:sz w:val="19"/>
          <w:szCs w:val="20"/>
          <w:lang w:val="ru-RU"/>
        </w:rPr>
        <w:t>(c)</w:t>
      </w:r>
      <w:r w:rsidRPr="00170D8F">
        <w:rPr>
          <w:sz w:val="19"/>
          <w:szCs w:val="20"/>
          <w:lang w:val="ru-RU"/>
        </w:rPr>
        <w:tab/>
      </w:r>
      <w:r w:rsidR="005C7916" w:rsidRPr="007A6CF7">
        <w:rPr>
          <w:sz w:val="19"/>
          <w:lang w:val="ru-RU"/>
        </w:rPr>
        <w:t>Если право, которое организация сохранила вследствие колл-опциона, препятствует прекращен</w:t>
      </w:r>
      <w:r w:rsidR="005C7916">
        <w:rPr>
          <w:sz w:val="19"/>
          <w:lang w:val="ru-RU"/>
        </w:rPr>
        <w:t>ию признания переданного актива</w:t>
      </w:r>
      <w:r w:rsidR="005C7916" w:rsidRPr="007A6CF7">
        <w:rPr>
          <w:sz w:val="19"/>
          <w:lang w:val="ru-RU"/>
        </w:rPr>
        <w:t xml:space="preserve"> и при этом организация оценивает переданный актив по справедливой стоимости, то этот актив продолжает оцениваться по справедливой стоимости. Связанное с ним обязательство оценивается (i) по цене исполнения указанного опциона за вычетом его временнóй стоимости, если этот опцион имеет статус «в деньгах» или «при своих», или (ii) по справедливой стоимости переданного актива за вычетом временнóй стоимости указанного опциона, если этот опцион имеет статус «вне денег». Такая стоимостная корректировка связанного с активом обязательства нужна для того, чтобы в нетто-величине балансовая стоимость актива и связанного с ним обязательства была равна справедливой стоимости права, обеспечиваемого колл-опционом. Например, если справедливая стоимость базового актива равна 80 д. е., цена исполнения соответствующего опциона равна 95 д. е. и временнáя стоимость этого опциона равна 5 д. е., то балансовая стоимость связанного с активом обязательства составит 75 д. е. (80 д. е. – 5 д. е.), а балансовая стоимость переданного актива составит 80 д. е. (т. е. будет соответствовать его справедливой стоимости)</w:t>
      </w:r>
      <w:r w:rsidRPr="00170D8F">
        <w:rPr>
          <w:sz w:val="19"/>
          <w:szCs w:val="20"/>
          <w:lang w:val="ru-RU"/>
        </w:rPr>
        <w:t>.</w:t>
      </w:r>
    </w:p>
    <w:p w:rsidR="002502EB" w:rsidRPr="00170D8F" w:rsidRDefault="002502EB" w:rsidP="002502EB">
      <w:pPr>
        <w:autoSpaceDE w:val="0"/>
        <w:autoSpaceDN w:val="0"/>
        <w:adjustRightInd w:val="0"/>
        <w:spacing w:before="120"/>
        <w:ind w:left="1560" w:hanging="709"/>
        <w:jc w:val="both"/>
        <w:rPr>
          <w:sz w:val="19"/>
          <w:szCs w:val="20"/>
          <w:lang w:val="ru-RU"/>
        </w:rPr>
      </w:pPr>
      <w:r w:rsidRPr="00170D8F">
        <w:rPr>
          <w:sz w:val="19"/>
          <w:szCs w:val="20"/>
          <w:lang w:val="ru-RU"/>
        </w:rPr>
        <w:t>(d)</w:t>
      </w:r>
      <w:r w:rsidRPr="00170D8F">
        <w:rPr>
          <w:sz w:val="19"/>
          <w:szCs w:val="20"/>
          <w:lang w:val="ru-RU"/>
        </w:rPr>
        <w:tab/>
      </w:r>
      <w:r w:rsidR="005C7916" w:rsidRPr="007A6CF7">
        <w:rPr>
          <w:sz w:val="19"/>
          <w:lang w:val="ru-RU"/>
        </w:rPr>
        <w:t>Если выпущенный организацией пут-опцион препятствует прекращен</w:t>
      </w:r>
      <w:r w:rsidR="005C7916">
        <w:rPr>
          <w:sz w:val="19"/>
          <w:lang w:val="ru-RU"/>
        </w:rPr>
        <w:t>ию признания переданного актива</w:t>
      </w:r>
      <w:r w:rsidR="005C7916" w:rsidRPr="007A6CF7">
        <w:rPr>
          <w:sz w:val="19"/>
          <w:lang w:val="ru-RU"/>
        </w:rPr>
        <w:t xml:space="preserve"> и при этом организация оценивает переданный актив по справедливой стоимости, то связанное с активом обязательство оценивается по цене исполнения указанного опциона плюс временнáя стоимость этого опциона. При оценке актива по справедливой стоимости она ограничивается наименьшей из двух величин: справедливой стоимости и цены исполнения соответствующего опциона, поскольку организация не имеет права на ту часть прироста справедливой стоимости переданного актива, в которой эта стоимость превышает цену исполнения опциона. Такое ограничение нужно для того, чтобы разница между балансовыми стоимостями актива и связанного с ним обязательства была равна справедливой стоимости обязанности, предусмотренной пут-опционом. Например, если справедливая стоимость базового актива равна 120 д. е., цена исполнения соответствующего опциона равна 100 д. е. и временнáя стоимость этого опциона равна 5 д. е., то балансовая стоимость связанного с активом обязательства составит 105 д. е. (100 д. е. + 5 д. е.), а балансовая стоимость самого актива составит 100 д. е. (в данном случае это цена исполнения опциона)</w:t>
      </w:r>
      <w:r w:rsidRPr="00170D8F">
        <w:rPr>
          <w:sz w:val="19"/>
          <w:szCs w:val="20"/>
          <w:lang w:val="ru-RU"/>
        </w:rPr>
        <w:t>.</w:t>
      </w:r>
    </w:p>
    <w:p w:rsidR="002502EB" w:rsidRPr="00170D8F" w:rsidRDefault="002502EB" w:rsidP="002502EB">
      <w:pPr>
        <w:autoSpaceDE w:val="0"/>
        <w:autoSpaceDN w:val="0"/>
        <w:adjustRightInd w:val="0"/>
        <w:spacing w:before="120"/>
        <w:ind w:left="1560" w:hanging="709"/>
        <w:jc w:val="both"/>
        <w:rPr>
          <w:sz w:val="19"/>
          <w:szCs w:val="20"/>
          <w:lang w:val="ru-RU"/>
        </w:rPr>
      </w:pPr>
      <w:r w:rsidRPr="00170D8F">
        <w:rPr>
          <w:sz w:val="19"/>
          <w:szCs w:val="20"/>
          <w:lang w:val="ru-RU"/>
        </w:rPr>
        <w:t>(e)</w:t>
      </w:r>
      <w:r w:rsidRPr="00170D8F">
        <w:rPr>
          <w:sz w:val="19"/>
          <w:szCs w:val="20"/>
          <w:lang w:val="ru-RU"/>
        </w:rPr>
        <w:tab/>
      </w:r>
      <w:r w:rsidR="005C7916" w:rsidRPr="007A6CF7">
        <w:rPr>
          <w:sz w:val="19"/>
          <w:lang w:val="ru-RU"/>
        </w:rPr>
        <w:t>Если коллар, возникший в форме приобретенного колл-опциона и выпущенного пут-опциона, препятствует прекращен</w:t>
      </w:r>
      <w:r w:rsidR="005C7916">
        <w:rPr>
          <w:sz w:val="19"/>
          <w:lang w:val="ru-RU"/>
        </w:rPr>
        <w:t>ию признания переданного актива</w:t>
      </w:r>
      <w:r w:rsidR="005C7916" w:rsidRPr="007A6CF7">
        <w:rPr>
          <w:sz w:val="19"/>
          <w:lang w:val="ru-RU"/>
        </w:rPr>
        <w:t xml:space="preserve"> и при этом организация оценивает этот актив по справедливой стоимости, то она продолжает оценивать указанный актив по справедливой стоимости. Связанное с ним обязательство оценивается (i) в алгебраической сумме цены исполнения колл-опциона и справедливой стоимости пут-опциона за вычетом временнóй стоимости колл-опциона, если этот колл-опцион имеет статус «в деньгах» или «при своих», или (ii) в алгебраической сумме справедливой стоимости актива и справедливой стоимости пут-опциона за вычетом временнóй стоимости колл-опциона, если этот колл-опцион имеет статус «вне денег». Корректировка связанного с активом обязательства нужна для того, чтобы разница между балансовыми стоимостями актива и связанного с ним обязательства была равна справедливой стоимости соответствующих опционов, приобретенных и выпущенных организацией. Например, предположим, что организация передает финансовый актив, который оценивается по справедливой стоимости, и одновременно с этим покупает колл-опцион с ценой исполнения 120 д. е. и выпускает пут-опцион с ценой исполнения 80 д. е. Предположим также, что справедливая стоимость указанного актива на дату передачи составляет 100 д. е. Временнáя стоимость пут-опциона и колл-опциона составляет 1 д. е. и 5 д. е. соответственно. В данном случае организация признает актив в размере 100 д. е. (справедливая стоимость переданного актива) и обязательство в размере 96 д. е. [(100 д. е. + 1 д. е.) – 5 д. е.]. В результате превышение стоимости актива над стоимостью обязательства составляет 4 д. е., что соответствует справедливой стоимости опционов, приобретенных и выпущенных организацией</w:t>
      </w:r>
      <w:r w:rsidRPr="00170D8F">
        <w:rPr>
          <w:sz w:val="19"/>
          <w:szCs w:val="20"/>
          <w:lang w:val="ru-RU"/>
        </w:rPr>
        <w:t>.</w:t>
      </w:r>
    </w:p>
    <w:p w:rsidR="002502EB" w:rsidRPr="00170D8F" w:rsidRDefault="002502EB" w:rsidP="002502EB">
      <w:pPr>
        <w:pStyle w:val="IASBSectionTitle3Ind"/>
        <w:rPr>
          <w:lang w:val="ru-RU"/>
        </w:rPr>
      </w:pPr>
      <w:r w:rsidRPr="00170D8F">
        <w:rPr>
          <w:lang w:val="ru-RU"/>
        </w:rPr>
        <w:t>Все передачи</w:t>
      </w:r>
      <w:r w:rsidRPr="00E00C40">
        <w:rPr>
          <w:lang w:val="ru-RU"/>
        </w:rPr>
        <w:t xml:space="preserve"> </w:t>
      </w:r>
      <w:r w:rsidRPr="00170D8F">
        <w:rPr>
          <w:lang w:val="ru-RU"/>
        </w:rPr>
        <w:t>активов</w:t>
      </w:r>
    </w:p>
    <w:p w:rsidR="002502EB" w:rsidRPr="00170D8F" w:rsidRDefault="002502EB" w:rsidP="002502EB">
      <w:pPr>
        <w:pStyle w:val="IASBNormalnpara"/>
        <w:rPr>
          <w:lang w:val="ru-RU"/>
        </w:rPr>
      </w:pPr>
      <w:r w:rsidRPr="00170D8F">
        <w:rPr>
          <w:lang w:val="ru-RU"/>
        </w:rPr>
        <w:t>B3.2.14</w:t>
      </w:r>
      <w:r w:rsidRPr="00170D8F">
        <w:rPr>
          <w:lang w:val="ru-RU"/>
        </w:rPr>
        <w:tab/>
      </w:r>
      <w:r w:rsidR="000449D4" w:rsidRPr="000449D4">
        <w:rPr>
          <w:lang w:val="ru-RU"/>
        </w:rPr>
        <w:t>Когда передача финансового актива не соответствует требованиям для прекращения признания, права или обязанности передающей стороны, возникающие при передаче, не учитываются отдельно как производные инструменты, если признание и производного инструмента, и либо переданного актива, либо обязательства, возникшего в связи с передачей актива, привело бы к тому, что одни и те же права или обязанности были признаны дважды. Например, оставшийся у передающей стороны колл-опцион может препятствовать тому, чтобы передача финансового актива учитывалась как продажа. В этом случае такой колл-опцион не признается отдельно как производный актив</w:t>
      </w:r>
      <w:r w:rsidRPr="00170D8F">
        <w:rPr>
          <w:lang w:val="ru-RU"/>
        </w:rPr>
        <w:t>.</w:t>
      </w:r>
    </w:p>
    <w:p w:rsidR="002502EB" w:rsidRPr="00170D8F" w:rsidRDefault="002502EB" w:rsidP="002502EB">
      <w:pPr>
        <w:pStyle w:val="IASBNormalnpara"/>
        <w:rPr>
          <w:lang w:val="ru-RU"/>
        </w:rPr>
      </w:pPr>
      <w:r w:rsidRPr="00170D8F">
        <w:rPr>
          <w:lang w:val="ru-RU"/>
        </w:rPr>
        <w:t>B3.2.15</w:t>
      </w:r>
      <w:r w:rsidRPr="00170D8F">
        <w:rPr>
          <w:lang w:val="ru-RU"/>
        </w:rPr>
        <w:tab/>
      </w:r>
      <w:r w:rsidR="000449D4" w:rsidRPr="000449D4">
        <w:rPr>
          <w:lang w:val="ru-RU"/>
        </w:rPr>
        <w:t>Когда передача финансового актива не соответствует требованиям для прекращения признания, принимающая сторона не признает переданный ей актив в качестве своего актива. Принимающая сторона прекращает признание денежных средств или иного выплаченного возмещения и признает дебиторскую задолженность передающей стороны. Если передающая сторона имеет как право, так и обязанность заново приобрести контроль над переданным активом, уплатив фиксированную сумму, (например, в рамках сделки РЕПО), то принимающая сторона</w:t>
      </w:r>
      <w:r w:rsidRPr="00170D8F">
        <w:rPr>
          <w:lang w:val="ru-RU"/>
        </w:rPr>
        <w:t xml:space="preserve"> может оценивать свою дебиторскую задолженность по амортизированной стоимости, если эта задолженность удовлетворяет критериям, изложенным в пункте 4.1.2.</w:t>
      </w:r>
    </w:p>
    <w:p w:rsidR="002502EB" w:rsidRPr="00170D8F" w:rsidRDefault="002502EB" w:rsidP="002502EB">
      <w:pPr>
        <w:pStyle w:val="IASBSectionTitle3Ind"/>
        <w:rPr>
          <w:lang w:val="ru-RU"/>
        </w:rPr>
      </w:pPr>
      <w:r w:rsidRPr="00170D8F">
        <w:rPr>
          <w:lang w:val="ru-RU"/>
        </w:rPr>
        <w:t>Примеры</w:t>
      </w:r>
    </w:p>
    <w:p w:rsidR="002502EB" w:rsidRPr="00170D8F" w:rsidRDefault="002502EB" w:rsidP="002502EB">
      <w:pPr>
        <w:pStyle w:val="IASBNormalnpara"/>
        <w:rPr>
          <w:lang w:val="ru-RU"/>
        </w:rPr>
      </w:pPr>
      <w:r w:rsidRPr="00170D8F">
        <w:rPr>
          <w:lang w:val="ru-RU"/>
        </w:rPr>
        <w:t>B3.2.16</w:t>
      </w:r>
      <w:r w:rsidRPr="00170D8F">
        <w:rPr>
          <w:lang w:val="ru-RU"/>
        </w:rPr>
        <w:tab/>
        <w:t>Представленные ниже примеры иллюстрируют применение принципов прекращения признания, изложенных в настоящем стандарте.</w:t>
      </w:r>
    </w:p>
    <w:p w:rsidR="000449D4" w:rsidRPr="000449D4" w:rsidRDefault="000449D4" w:rsidP="000449D4">
      <w:pPr>
        <w:pStyle w:val="IASBNormalnparaL1"/>
        <w:numPr>
          <w:ilvl w:val="0"/>
          <w:numId w:val="30"/>
        </w:numPr>
        <w:ind w:left="1418" w:hanging="709"/>
        <w:rPr>
          <w:lang w:val="ru-RU"/>
        </w:rPr>
      </w:pPr>
      <w:r w:rsidRPr="000449D4">
        <w:rPr>
          <w:i/>
          <w:lang w:val="ru-RU"/>
        </w:rPr>
        <w:t>Договоры обратной покупки (РЕПО) и предоставление ценных бумаг по договору займа</w:t>
      </w:r>
      <w:r w:rsidRPr="000449D4">
        <w:rPr>
          <w:lang w:val="ru-RU"/>
        </w:rPr>
        <w:t xml:space="preserve">. Если финансовый актив был продан в рамках договора, предусматривающего его обратную покупку по фиксированной цене или по цене продажи плюс сумма, соответствующая доходу кредитора, или если он был передан по договору займа с условием его возврата передающей стороне, то его признание не прекращается, поскольку передающая сторона сохраняет практически все риски и выгоды, связанные с правом собственности. Если принимающая сторона получает право продать или заложить этот актив, то передающая сторона реклассифицирует этот актив в своем отчете о финансовом положении, например, как актив, переданный по договору займа, или как дебиторскую задолженность по обратной покупке переданного актива. </w:t>
      </w:r>
    </w:p>
    <w:p w:rsidR="000449D4" w:rsidRPr="000449D4" w:rsidRDefault="000449D4" w:rsidP="000449D4">
      <w:pPr>
        <w:pStyle w:val="IASBNormalnparaL1"/>
        <w:numPr>
          <w:ilvl w:val="0"/>
          <w:numId w:val="30"/>
        </w:numPr>
        <w:autoSpaceDE w:val="0"/>
        <w:autoSpaceDN w:val="0"/>
        <w:adjustRightInd w:val="0"/>
        <w:ind w:left="1418" w:hanging="709"/>
        <w:rPr>
          <w:lang w:val="ru-RU"/>
        </w:rPr>
      </w:pPr>
      <w:r w:rsidRPr="000449D4">
        <w:rPr>
          <w:i/>
          <w:lang w:val="ru-RU"/>
        </w:rPr>
        <w:t>Договоры РЕПО и предоставление ценных бумаг по договору займа – активы, являющиеся по существу одинаковыми.</w:t>
      </w:r>
      <w:r w:rsidRPr="000449D4">
        <w:rPr>
          <w:lang w:val="ru-RU"/>
        </w:rPr>
        <w:t xml:space="preserve"> Если финансовый актив был продан в рамках договора, предусматривающего обратную покупку такого же или по существу такого же актива по фиксированной цене или по цене продажи плюс сумма, соответствующая доходу кредитора, или если финансовый актив получен или предоставлен по договору займа на условиях возврата передающей стороне</w:t>
      </w:r>
      <w:r w:rsidRPr="000449D4" w:rsidDel="00E53F2B">
        <w:rPr>
          <w:lang w:val="ru-RU"/>
        </w:rPr>
        <w:t xml:space="preserve"> </w:t>
      </w:r>
      <w:r w:rsidRPr="000449D4">
        <w:rPr>
          <w:lang w:val="ru-RU"/>
        </w:rPr>
        <w:t>такого же или по существу такого же актива, то его признание не прекращается, поскольку передающая сторона сохраняет практически все риски и выгоды, связанные с правом собственности.</w:t>
      </w:r>
    </w:p>
    <w:p w:rsidR="000449D4" w:rsidRPr="000449D4" w:rsidRDefault="000449D4" w:rsidP="000449D4">
      <w:pPr>
        <w:pStyle w:val="IASBNormalnparaL1"/>
        <w:numPr>
          <w:ilvl w:val="0"/>
          <w:numId w:val="30"/>
        </w:numPr>
        <w:ind w:left="1418" w:hanging="709"/>
        <w:rPr>
          <w:lang w:val="ru-RU"/>
        </w:rPr>
      </w:pPr>
      <w:r w:rsidRPr="000449D4">
        <w:rPr>
          <w:i/>
          <w:lang w:val="ru-RU"/>
        </w:rPr>
        <w:t xml:space="preserve">Договоры РЕПО и предоставление ценных бумаг по договору займа </w:t>
      </w:r>
      <w:r w:rsidRPr="000449D4">
        <w:rPr>
          <w:lang w:val="ru-RU"/>
        </w:rPr>
        <w:t>–</w:t>
      </w:r>
      <w:r w:rsidRPr="000449D4">
        <w:rPr>
          <w:i/>
          <w:lang w:val="ru-RU"/>
        </w:rPr>
        <w:t xml:space="preserve"> право на аналогичную замену.</w:t>
      </w:r>
      <w:r w:rsidRPr="000449D4">
        <w:rPr>
          <w:lang w:val="ru-RU"/>
        </w:rPr>
        <w:t xml:space="preserve"> Если договор РЕПО, предусматривающий обратную покупку по фиксированной цене или цене, равной цене продажи плюс сумма, соответствующая доходу кредитора, либо аналогичная сделка, предусматривающая предоставление ценных бумаг в заем, дает принимающей стороне право вернуть вместо переданных ей активов другие, которые аналогичны им и имеют равную справедливую стоимость на дату обратной покупки, то передающая сторона не прекращает признание актива, проданного в рамках сделки РЕПО или предоставленного в рамках сделки предоставления ценных бумаг в заем, поскольку передающая сторона сохраняет практически все риски и выгоды, связанные с правом собственности.</w:t>
      </w:r>
    </w:p>
    <w:p w:rsidR="000449D4" w:rsidRPr="000449D4" w:rsidRDefault="000449D4" w:rsidP="000449D4">
      <w:pPr>
        <w:pStyle w:val="IASBNormalnparaL1"/>
        <w:numPr>
          <w:ilvl w:val="0"/>
          <w:numId w:val="30"/>
        </w:numPr>
        <w:ind w:left="1418" w:hanging="709"/>
        <w:rPr>
          <w:lang w:val="ru-RU"/>
        </w:rPr>
      </w:pPr>
      <w:r w:rsidRPr="000449D4">
        <w:rPr>
          <w:i/>
          <w:lang w:val="ru-RU"/>
        </w:rPr>
        <w:t>Преимущественное право обратной покупки по справедливой стоимости.</w:t>
      </w:r>
      <w:r w:rsidRPr="000449D4">
        <w:rPr>
          <w:lang w:val="ru-RU"/>
        </w:rPr>
        <w:t xml:space="preserve"> Если организация продает финансовый актив и сохраняет за собой только преимущественное право купить переданный актив обратно по справедливой стоимости, если принимающая сторона впоследствии решит его продать, то организация прекращает признание этого актива, поскольку она передала практически все риски и выгоды, связанные с правом собственности.</w:t>
      </w:r>
    </w:p>
    <w:p w:rsidR="000449D4" w:rsidRPr="000449D4" w:rsidRDefault="000449D4" w:rsidP="000449D4">
      <w:pPr>
        <w:pStyle w:val="IASBNormalnparaL1"/>
        <w:numPr>
          <w:ilvl w:val="0"/>
          <w:numId w:val="30"/>
        </w:numPr>
        <w:autoSpaceDE w:val="0"/>
        <w:autoSpaceDN w:val="0"/>
        <w:adjustRightInd w:val="0"/>
        <w:ind w:left="1418" w:hanging="709"/>
        <w:rPr>
          <w:lang w:val="ru-RU"/>
        </w:rPr>
      </w:pPr>
      <w:r w:rsidRPr="000449D4">
        <w:rPr>
          <w:i/>
          <w:lang w:val="ru-RU"/>
        </w:rPr>
        <w:t>Продажа с последующей покупкой аналогичного актива через короткий промежуток времени.</w:t>
      </w:r>
      <w:r w:rsidRPr="000449D4">
        <w:rPr>
          <w:lang w:val="ru-RU"/>
        </w:rPr>
        <w:t xml:space="preserve"> Иногда осуществление обратной покупки финансового актива вскоре после его продажи называют «недействительной продажей». Такая обратная покупка не препятствует прекращению признания актива при условии, что первоначальная сделка отвечала требованиям для прекращения признания. Однако если договор о продаже финансового актива заключается одновременно с договором об обратной покупке того же самого актива по фиксированной цене или по цене продажи плюс сумма, соответствующая доходу кредитора, то признание этого актива не прекращается.</w:t>
      </w:r>
    </w:p>
    <w:p w:rsidR="002502EB" w:rsidRPr="00170D8F" w:rsidRDefault="000449D4" w:rsidP="000449D4">
      <w:pPr>
        <w:pStyle w:val="IASBNormalnparaL1"/>
        <w:numPr>
          <w:ilvl w:val="0"/>
          <w:numId w:val="30"/>
        </w:numPr>
        <w:ind w:left="1418" w:hanging="709"/>
        <w:rPr>
          <w:lang w:val="ru-RU"/>
        </w:rPr>
      </w:pPr>
      <w:r w:rsidRPr="000449D4">
        <w:rPr>
          <w:i/>
          <w:lang w:val="ru-RU"/>
        </w:rPr>
        <w:t>Пут-опционы и колл-опционы, имеющие статус «глубоко в деньгах».</w:t>
      </w:r>
      <w:r w:rsidRPr="000449D4">
        <w:rPr>
          <w:lang w:val="ru-RU"/>
        </w:rPr>
        <w:t xml:space="preserve"> Если передающая сторона имеет право обратно купить переданный финансовый актив по колл-опциону и этот опцион имеет статус «глубоко в деньгах», то такая передача актива не соответствует требованиям для прекращения признания, поскольку передающая сторона сохранила практически все риски и выгоды, связанные с правом собственности. Аналогично, если принимающая сторона имеет право продать этот финансовый актив обратно по пут-опциону и этот опцион имеет статус «глубоко в деньгах», то такая передача актива не соответствует требованиям для прекращения признания, поскольку передающая сторона сохранила практически все риски и выгоды, связанные с правом собственности</w:t>
      </w:r>
      <w:r w:rsidR="002502EB" w:rsidRPr="00170D8F">
        <w:rPr>
          <w:lang w:val="ru-RU"/>
        </w:rPr>
        <w:t>.</w:t>
      </w:r>
    </w:p>
    <w:p w:rsidR="000449D4" w:rsidRPr="000449D4" w:rsidRDefault="000449D4" w:rsidP="000449D4">
      <w:pPr>
        <w:pStyle w:val="IASBNormalnparaL1"/>
        <w:numPr>
          <w:ilvl w:val="0"/>
          <w:numId w:val="30"/>
        </w:numPr>
        <w:ind w:left="1418" w:hanging="709"/>
        <w:rPr>
          <w:lang w:val="ru-RU"/>
        </w:rPr>
      </w:pPr>
      <w:r w:rsidRPr="000449D4">
        <w:rPr>
          <w:i/>
          <w:lang w:val="ru-RU"/>
        </w:rPr>
        <w:t>Пут-опционы и колл-опционы, имеющие статус «глубоко вне денег».</w:t>
      </w:r>
      <w:r w:rsidRPr="000449D4">
        <w:rPr>
          <w:lang w:val="ru-RU"/>
        </w:rPr>
        <w:t xml:space="preserve"> Если передача финансового актива сопряжена только с наличием пут-опциона у принимающей стороны или колл-опциона у передающей стороны, которые имеют статус «глубоко вне денег», то признание переданного финансового актива прекращается. Это связано с тем, что передающая сторона передала практически все риски и выгоды, связанные с правом собственности.</w:t>
      </w:r>
    </w:p>
    <w:p w:rsidR="000449D4" w:rsidRPr="000449D4" w:rsidRDefault="000449D4" w:rsidP="000449D4">
      <w:pPr>
        <w:pStyle w:val="IASBNormalnparaL1"/>
        <w:numPr>
          <w:ilvl w:val="0"/>
          <w:numId w:val="30"/>
        </w:numPr>
        <w:ind w:left="1418" w:hanging="709"/>
        <w:rPr>
          <w:lang w:val="ru-RU"/>
        </w:rPr>
      </w:pPr>
      <w:r w:rsidRPr="000449D4">
        <w:rPr>
          <w:i/>
          <w:lang w:val="ru-RU"/>
        </w:rPr>
        <w:t>Свободно обращающиеся на рынке активы, в отношении которых действует колл-опцион, статусом которого не является ни «глубоко в деньгах», ни «глубоко вне денег».</w:t>
      </w:r>
      <w:r w:rsidRPr="000449D4">
        <w:rPr>
          <w:lang w:val="ru-RU"/>
        </w:rPr>
        <w:t xml:space="preserve"> Если организация является держателем колл-опциона в отношении актива, свободно обращающегося на рынке, и этот опцион не имеет ни статуса «глубоко в деньгах», ни статуса «глубоко вне денег», то признание указанного актива прекращается. Это связано с тем, что организация (</w:t>
      </w:r>
      <w:r w:rsidRPr="007A6CF7">
        <w:t>i</w:t>
      </w:r>
      <w:r w:rsidRPr="000449D4">
        <w:rPr>
          <w:lang w:val="ru-RU"/>
        </w:rPr>
        <w:t>) ни сохранила, ни передала практически все риски и выгоды, связанные с правом собственности, и (</w:t>
      </w:r>
      <w:r w:rsidRPr="007A6CF7">
        <w:t>ii</w:t>
      </w:r>
      <w:r w:rsidRPr="000449D4">
        <w:rPr>
          <w:lang w:val="ru-RU"/>
        </w:rPr>
        <w:t>) не сохранила контроль. Однако если данный актив нельзя свободно приобрести на рынке, то прекращение его признания невозможно в отношении той его величины, которая предусмотрена указанным колл-опционом, поскольку организация сохранила контроль над данным активом.</w:t>
      </w:r>
    </w:p>
    <w:p w:rsidR="002502EB" w:rsidRPr="00170D8F" w:rsidRDefault="000449D4" w:rsidP="000449D4">
      <w:pPr>
        <w:pStyle w:val="IASBNormalnparaL1"/>
        <w:numPr>
          <w:ilvl w:val="0"/>
          <w:numId w:val="30"/>
        </w:numPr>
        <w:autoSpaceDE w:val="0"/>
        <w:autoSpaceDN w:val="0"/>
        <w:adjustRightInd w:val="0"/>
        <w:ind w:left="1418" w:hanging="709"/>
        <w:rPr>
          <w:lang w:val="ru-RU"/>
        </w:rPr>
      </w:pPr>
      <w:r w:rsidRPr="000449D4">
        <w:rPr>
          <w:i/>
          <w:lang w:val="ru-RU"/>
        </w:rPr>
        <w:t>Не обращающийся свободно актив, в отношении которого действует выпущенный организацией пут-опцион, статусом которого не является ни «глубоко в деньгах», ни «глубоко вне денег».</w:t>
      </w:r>
      <w:r w:rsidRPr="000449D4">
        <w:rPr>
          <w:lang w:val="ru-RU"/>
        </w:rPr>
        <w:t xml:space="preserve"> Если организация передает финансовый актив, который нельзя свободно приобрести на рынке, и при этом выпускает пут-опцион, статусом которого не является «глубоко вне денег», то наличие у организации этого опциона не приводит ни к сохранению, ни к передаче ею практически всех рисков и выгод, связанных с правом собственности. Организация сохраняет контроль над переданным активом, если указанный пут-опцион является достаточно ценным, чтобы принимающая сторона воздержалась от продажи данного актива, и в этом случае актив продолжает признаваться в объеме продолжающегося участия передающей стороны</w:t>
      </w:r>
      <w:r w:rsidR="002502EB" w:rsidRPr="00170D8F">
        <w:rPr>
          <w:lang w:val="ru-RU"/>
        </w:rPr>
        <w:t xml:space="preserve"> (см. пункт B3.2.9). </w:t>
      </w:r>
      <w:r w:rsidRPr="000449D4">
        <w:rPr>
          <w:lang w:val="ru-RU"/>
        </w:rPr>
        <w:t>Организация передает контроль над этим активом, если указанный пут-опцион не является достаточно ценным, чтобы принимающая сторона воздержалась от продажи данного актива, и в этом случае признание актива прекращается</w:t>
      </w:r>
      <w:r w:rsidR="002502EB" w:rsidRPr="00170D8F">
        <w:rPr>
          <w:lang w:val="ru-RU"/>
        </w:rPr>
        <w:t>.</w:t>
      </w:r>
    </w:p>
    <w:p w:rsidR="000449D4" w:rsidRPr="000449D4" w:rsidRDefault="000449D4" w:rsidP="000449D4">
      <w:pPr>
        <w:pStyle w:val="IASBNormalnparaL1"/>
        <w:numPr>
          <w:ilvl w:val="0"/>
          <w:numId w:val="30"/>
        </w:numPr>
        <w:ind w:left="1418" w:hanging="709"/>
        <w:rPr>
          <w:lang w:val="ru-RU"/>
        </w:rPr>
      </w:pPr>
      <w:r w:rsidRPr="000449D4">
        <w:rPr>
          <w:i/>
          <w:lang w:val="ru-RU"/>
        </w:rPr>
        <w:t>Активы, в отношении которых действует пут-опцион, колл-опцион или форвардный договор на обратную покупку по справедливой стоимости</w:t>
      </w:r>
      <w:r w:rsidRPr="000449D4">
        <w:rPr>
          <w:lang w:val="ru-RU"/>
        </w:rPr>
        <w:t>. Передача финансового актива, в отношении которого действует только пут-опцион, колл-опцион или форвардный договор на обратную покупку, предусматривающий цену исполнения или цену обратной покупки, равную справедливой стоимости этого финансового актива на момент обратной покупки, приводит к прекращению его признания, поскольку были переданы практически все риски и выгоды, связанные с правом собственности.</w:t>
      </w:r>
    </w:p>
    <w:p w:rsidR="002502EB" w:rsidRPr="00170D8F" w:rsidRDefault="000449D4" w:rsidP="000449D4">
      <w:pPr>
        <w:pStyle w:val="IASBNormalnparaL1"/>
        <w:numPr>
          <w:ilvl w:val="0"/>
          <w:numId w:val="30"/>
        </w:numPr>
        <w:ind w:left="1418" w:hanging="709"/>
        <w:rPr>
          <w:lang w:val="ru-RU"/>
        </w:rPr>
      </w:pPr>
      <w:r w:rsidRPr="000449D4">
        <w:rPr>
          <w:i/>
          <w:lang w:val="ru-RU"/>
        </w:rPr>
        <w:t>Пут-опционы или колл-опционы, предусматривающие урегулирование денежными средствами</w:t>
      </w:r>
      <w:r w:rsidRPr="000449D4">
        <w:rPr>
          <w:lang w:val="ru-RU"/>
        </w:rPr>
        <w:t>. Организация оценивает обстоятельства передачи финансового актива, в отношении которого действуют пут-опцион, колл-опцион или форвардный договор на обратную покупку, предусматривающие урегулирование на нетто-основе денежными средствами, чтобы определить, сохранила ли она или передала практически все риски и выгоды, связанные с правом собственности. Если организация не сохранила практически все риски и выгоды, связанные с правом собственности на переданный актив, то она должна определить, сохранила ли она контроль над переданным активом. То обстоятельство, что этот пут-опцион, колл-опцион или форвардный договор на обратную покупку будут урегулированы на нетто-основе денежными средствами, не является признаком, автоматически указывающим на то, что организация передала контроль</w:t>
      </w:r>
      <w:r w:rsidR="002502EB" w:rsidRPr="00170D8F">
        <w:rPr>
          <w:lang w:val="ru-RU"/>
        </w:rPr>
        <w:t xml:space="preserve"> (см. пункт B3.2.9 и подпункты (g), (h) и (i) выше).</w:t>
      </w:r>
    </w:p>
    <w:p w:rsidR="000449D4" w:rsidRPr="000449D4" w:rsidRDefault="000449D4" w:rsidP="000449D4">
      <w:pPr>
        <w:pStyle w:val="IASBNormalnparaL1"/>
        <w:numPr>
          <w:ilvl w:val="0"/>
          <w:numId w:val="30"/>
        </w:numPr>
        <w:autoSpaceDE w:val="0"/>
        <w:autoSpaceDN w:val="0"/>
        <w:adjustRightInd w:val="0"/>
        <w:ind w:left="1418" w:hanging="709"/>
        <w:rPr>
          <w:lang w:val="ru-RU"/>
        </w:rPr>
      </w:pPr>
      <w:r w:rsidRPr="000449D4">
        <w:rPr>
          <w:i/>
          <w:lang w:val="ru-RU"/>
        </w:rPr>
        <w:t>Договорное условие о последующем выкупе части активов.</w:t>
      </w:r>
      <w:r w:rsidRPr="000449D4">
        <w:rPr>
          <w:lang w:val="ru-RU"/>
        </w:rPr>
        <w:t xml:space="preserve"> Такое договорное условие представляет собой безусловный (колл-)опцион на обратную покупку, который дает организации право требовать, с учетом некоторых ограничений, возврата переданных ею активов. Если эффект подобного опциона таков, что организация ни сохраняет, ни передает практически все риски и выгоды, связанные с правом собственности, то этот опцион препятствует прекращению признания актива, но только в объеме предусмотренного выкупа (при допущении, что принимающая сторона не имеет возможности продать эти активы). Например, если балансовая стоимость кредитных активов и сумма поступлений от их передачи составляет 100</w:t>
      </w:r>
      <w:r w:rsidRPr="007A6CF7">
        <w:t> </w:t>
      </w:r>
      <w:r w:rsidRPr="000449D4">
        <w:rPr>
          <w:lang w:val="ru-RU"/>
        </w:rPr>
        <w:t>000 д.</w:t>
      </w:r>
      <w:r w:rsidRPr="007A6CF7">
        <w:t> </w:t>
      </w:r>
      <w:r w:rsidRPr="000449D4">
        <w:rPr>
          <w:lang w:val="ru-RU"/>
        </w:rPr>
        <w:t>е., при этом любой отдельно взятый кредит может быть впоследствии выкуплен, но совокупная величина кредитов, которые могут быть впоследствии выкуплены, не может превышать 10</w:t>
      </w:r>
      <w:r w:rsidRPr="007A6CF7">
        <w:t> </w:t>
      </w:r>
      <w:r w:rsidRPr="000449D4">
        <w:rPr>
          <w:lang w:val="ru-RU"/>
        </w:rPr>
        <w:t>000 д.</w:t>
      </w:r>
      <w:r w:rsidRPr="007A6CF7">
        <w:t> </w:t>
      </w:r>
      <w:r w:rsidRPr="000449D4">
        <w:rPr>
          <w:lang w:val="ru-RU"/>
        </w:rPr>
        <w:t>е., то требованиям для прекращения признания будут соответствовать 90</w:t>
      </w:r>
      <w:r w:rsidRPr="007A6CF7">
        <w:t> </w:t>
      </w:r>
      <w:r w:rsidRPr="000449D4">
        <w:rPr>
          <w:lang w:val="ru-RU"/>
        </w:rPr>
        <w:t>000 д.</w:t>
      </w:r>
      <w:r w:rsidRPr="007A6CF7">
        <w:t> </w:t>
      </w:r>
      <w:r w:rsidRPr="000449D4">
        <w:rPr>
          <w:lang w:val="ru-RU"/>
        </w:rPr>
        <w:t>е. переданных кредитных активов.</w:t>
      </w:r>
    </w:p>
    <w:p w:rsidR="000449D4" w:rsidRPr="000449D4" w:rsidRDefault="000449D4" w:rsidP="000449D4">
      <w:pPr>
        <w:pStyle w:val="IASBNormalnparaL1"/>
        <w:numPr>
          <w:ilvl w:val="0"/>
          <w:numId w:val="30"/>
        </w:numPr>
        <w:autoSpaceDE w:val="0"/>
        <w:autoSpaceDN w:val="0"/>
        <w:adjustRightInd w:val="0"/>
        <w:ind w:left="1418" w:hanging="709"/>
        <w:rPr>
          <w:lang w:val="ru-RU"/>
        </w:rPr>
      </w:pPr>
      <w:r w:rsidRPr="000449D4">
        <w:rPr>
          <w:i/>
          <w:lang w:val="ru-RU"/>
        </w:rPr>
        <w:t>Колл-опционы на оставшиеся активы.</w:t>
      </w:r>
      <w:r w:rsidRPr="000449D4">
        <w:rPr>
          <w:lang w:val="ru-RU"/>
        </w:rPr>
        <w:t xml:space="preserve"> Организация, обслуживающая переданные активы (которая может быть и передающей стороной), может держать колл-опцион, дающий ей право купить оставшуюся часть переданных активов, когда объем непогашенных активов снижается до некоторого уровня, при котором затраты на обслуживание этих активов начинают перевешивать выгоды от их обслуживания. Если эффект подобного колл-опциона таков, что организация ни сохраняет, ни передает практически все риски и выгоды, связанные с правом собственности, и при этом принимающая сторона не имеет возможности продать соответствующие активы, то этот колл-опцион препятствует прекращению признания активов только в том объеме, на который распространяется его действие.</w:t>
      </w:r>
    </w:p>
    <w:p w:rsidR="000449D4" w:rsidRPr="000449D4" w:rsidRDefault="000449D4" w:rsidP="000449D4">
      <w:pPr>
        <w:pStyle w:val="IASBNormalnparaL1"/>
        <w:numPr>
          <w:ilvl w:val="0"/>
          <w:numId w:val="30"/>
        </w:numPr>
        <w:autoSpaceDE w:val="0"/>
        <w:autoSpaceDN w:val="0"/>
        <w:adjustRightInd w:val="0"/>
        <w:ind w:left="1418" w:hanging="709"/>
        <w:rPr>
          <w:lang w:val="ru-RU"/>
        </w:rPr>
      </w:pPr>
      <w:r w:rsidRPr="000449D4">
        <w:rPr>
          <w:i/>
          <w:lang w:val="ru-RU"/>
        </w:rPr>
        <w:t>Субординированные оставшиеся доли участия и кредитные гарантии.</w:t>
      </w:r>
      <w:r w:rsidRPr="000449D4">
        <w:rPr>
          <w:lang w:val="ru-RU"/>
        </w:rPr>
        <w:t xml:space="preserve"> Организация может предоставить принимающей стороне средства повышения кредитного качества путем субординирования некоторых или всех оставшихся у нее долей участия в переданном активе. Организация также может предоставить принимающей стороне средства повышения кредитного качества в форме кредитной гарантии, которая может ограничиваться или не ограничиваться определенной суммой. Если организация сохраняет практически все риски и выгоды, связанные с правом собственности на переданный актив, то этот актив продолжает признаваться целиком. Если организация сохраняет некоторые риски и выгоды, связанные с правом собственности, но они не составляют практически все такие риски и выгоды, и при этом организация сохранила контроль, то прекратить признание актива нельзя в пределах той суммы денежных средств или иных активов, которую организация может быть обязана заплатить.</w:t>
      </w:r>
    </w:p>
    <w:p w:rsidR="000449D4" w:rsidRPr="007A6CF7" w:rsidRDefault="000449D4" w:rsidP="000449D4">
      <w:pPr>
        <w:pStyle w:val="IASBNormalnparaL1"/>
        <w:numPr>
          <w:ilvl w:val="0"/>
          <w:numId w:val="30"/>
        </w:numPr>
        <w:autoSpaceDE w:val="0"/>
        <w:autoSpaceDN w:val="0"/>
        <w:adjustRightInd w:val="0"/>
        <w:ind w:left="1418" w:hanging="709"/>
      </w:pPr>
      <w:r w:rsidRPr="000449D4">
        <w:rPr>
          <w:i/>
          <w:lang w:val="ru-RU"/>
        </w:rPr>
        <w:t>Свопы совокупного дохода.</w:t>
      </w:r>
      <w:r w:rsidRPr="000449D4">
        <w:rPr>
          <w:lang w:val="ru-RU"/>
        </w:rPr>
        <w:t xml:space="preserve"> Организация может продать финансовый актив принимающей стороне и заключить с ней своп совокупного дохода, в соответствии с которым все процентные платежи, поступающие от базового актива, будут перечисляться организации в обмен на фиксированную плату или плату с переменной ставкой, и при этом все риски, связанные с повышением или понижением справедливой стоимости этого базового актива, организация принимает на себя. </w:t>
      </w:r>
      <w:r w:rsidRPr="007A6CF7">
        <w:t>В таком случае прекращать признание всего актива запрещается.</w:t>
      </w:r>
    </w:p>
    <w:p w:rsidR="000449D4" w:rsidRPr="000449D4" w:rsidRDefault="000449D4" w:rsidP="000449D4">
      <w:pPr>
        <w:pStyle w:val="IASBNormalnparaL1"/>
        <w:numPr>
          <w:ilvl w:val="0"/>
          <w:numId w:val="30"/>
        </w:numPr>
        <w:autoSpaceDE w:val="0"/>
        <w:autoSpaceDN w:val="0"/>
        <w:adjustRightInd w:val="0"/>
        <w:ind w:left="1418" w:hanging="709"/>
        <w:rPr>
          <w:lang w:val="ru-RU"/>
        </w:rPr>
      </w:pPr>
      <w:r w:rsidRPr="000449D4">
        <w:rPr>
          <w:i/>
          <w:lang w:val="ru-RU"/>
        </w:rPr>
        <w:t>Процентные свопы.</w:t>
      </w:r>
      <w:r w:rsidRPr="000449D4">
        <w:rPr>
          <w:lang w:val="ru-RU"/>
        </w:rPr>
        <w:t xml:space="preserve"> Организация может передать принимающей стороне финансовый актив с фиксированной процентной ставкой и заключить с этой принимающей стороной процентный своп, по условиям которого организация будет получать проценты по фиксированной ставке и выплачивать проценты по переменной ставке, при этом базой для их расчета является условная сумма, равная основной сумме по переданному финансовому активу. Такой процентный своп не препятствует прекращению признания переданного актива при условии, что выплаты по этому свопу не зависят от поступления платежей по переданному активу.</w:t>
      </w:r>
    </w:p>
    <w:p w:rsidR="002502EB" w:rsidRPr="00170D8F" w:rsidRDefault="000449D4" w:rsidP="000449D4">
      <w:pPr>
        <w:pStyle w:val="IASBNormalnparaL1"/>
        <w:numPr>
          <w:ilvl w:val="0"/>
          <w:numId w:val="30"/>
        </w:numPr>
        <w:autoSpaceDE w:val="0"/>
        <w:autoSpaceDN w:val="0"/>
        <w:adjustRightInd w:val="0"/>
        <w:ind w:left="1418" w:hanging="709"/>
        <w:rPr>
          <w:lang w:val="ru-RU"/>
        </w:rPr>
      </w:pPr>
      <w:r w:rsidRPr="000449D4">
        <w:rPr>
          <w:i/>
          <w:lang w:val="ru-RU"/>
        </w:rPr>
        <w:t>Амортизируемые процентные свопы.</w:t>
      </w:r>
      <w:r w:rsidRPr="000449D4">
        <w:rPr>
          <w:lang w:val="ru-RU"/>
        </w:rPr>
        <w:t xml:space="preserve"> Организация может передать принимающей стороне финансовый актив с фиксированной процентной ставкой, который погашается на протяжении времени, и заключить с этой принимающей стороной амортизируемый процентный своп, чтобы получать проценты по фиксированной ставке и выплачивать проценты по переменной ставке, рассчитываемые на основе некоторой условной суммы. Если эта условная сумма свопа амортизируется таким образом, что в любой момент времени она равна непогашенной основной сумме по переданному финансовому активу, то такой своп обычно приводит к тому, что организация сохраняет значительный риск досрочного погашения, и в этом случае организация продолжает признавать весь переданный актив либо продолжает признавать его в объеме своего продолжающегося участия. И</w:t>
      </w:r>
      <w:r w:rsidRPr="007A6CF7">
        <w:t> </w:t>
      </w:r>
      <w:r w:rsidRPr="000449D4">
        <w:rPr>
          <w:lang w:val="ru-RU"/>
        </w:rPr>
        <w:t>наоборот, если амортизация условной суммы этого свопа не привязана к непогашенной основной сумме по переданному активу, такой своп не будет иметь своим следствием сохранение организацией риска досрочного погашения актива. Таким образом, он не будет препятствовать прекращению признания переданного актива при условии, что выплаты по свопу не будут ставиться в зависимость от поступления процентных платежей по переданному активу и сам своп не приводит к тому, что организация сохраняет иные значительные риски и выгоды, связанные с правом собственности на переданный актив</w:t>
      </w:r>
      <w:r w:rsidR="002502EB" w:rsidRPr="00170D8F">
        <w:rPr>
          <w:lang w:val="ru-RU"/>
        </w:rPr>
        <w:t>.</w:t>
      </w:r>
    </w:p>
    <w:p w:rsidR="002502EB" w:rsidRPr="00170D8F" w:rsidRDefault="002502EB" w:rsidP="002502EB">
      <w:pPr>
        <w:pStyle w:val="IASBNormalnparaL1"/>
        <w:numPr>
          <w:ilvl w:val="0"/>
          <w:numId w:val="30"/>
        </w:numPr>
        <w:ind w:left="1418" w:hanging="709"/>
        <w:rPr>
          <w:lang w:val="ru-RU"/>
        </w:rPr>
      </w:pPr>
      <w:r w:rsidRPr="00170D8F">
        <w:rPr>
          <w:i/>
          <w:lang w:val="ru-RU"/>
        </w:rPr>
        <w:t>Списание актива.</w:t>
      </w:r>
      <w:r w:rsidRPr="00170D8F">
        <w:rPr>
          <w:lang w:val="ru-RU"/>
        </w:rPr>
        <w:t xml:space="preserve"> Организация не имеет оснований ожидать возмещения предусмотренных договором денежных потоков по финансовому активу в целом или в какой-либо его части.</w:t>
      </w:r>
    </w:p>
    <w:p w:rsidR="002502EB" w:rsidRPr="00170D8F" w:rsidRDefault="002502EB" w:rsidP="002502EB">
      <w:pPr>
        <w:pStyle w:val="IASBNormalnpara"/>
        <w:rPr>
          <w:lang w:val="ru-RU"/>
        </w:rPr>
      </w:pPr>
      <w:r w:rsidRPr="00170D8F">
        <w:rPr>
          <w:lang w:val="ru-RU"/>
        </w:rPr>
        <w:t>B3.2.17</w:t>
      </w:r>
      <w:r w:rsidRPr="00170D8F">
        <w:rPr>
          <w:lang w:val="ru-RU"/>
        </w:rPr>
        <w:tab/>
        <w:t>В данном пункте иллюстрируется применение подхода продолжающегося участия в активе, когда продолжающееся участие организации относится только к части финансового актива.</w:t>
      </w:r>
    </w:p>
    <w:p w:rsidR="002502EB" w:rsidRPr="00170D8F" w:rsidRDefault="002502EB" w:rsidP="002502EB">
      <w:pPr>
        <w:pStyle w:val="IASBNormalnpara"/>
        <w:rPr>
          <w:lang w:val="ru-RU"/>
        </w:rPr>
      </w:pPr>
    </w:p>
    <w:tbl>
      <w:tblPr>
        <w:tblW w:w="0" w:type="auto"/>
        <w:tblInd w:w="964" w:type="dxa"/>
        <w:tblLayout w:type="fixed"/>
        <w:tblLook w:val="0000" w:firstRow="0" w:lastRow="0" w:firstColumn="0" w:lastColumn="0" w:noHBand="0" w:noVBand="0"/>
      </w:tblPr>
      <w:tblGrid>
        <w:gridCol w:w="2784"/>
        <w:gridCol w:w="1547"/>
        <w:gridCol w:w="273"/>
        <w:gridCol w:w="1225"/>
        <w:gridCol w:w="283"/>
        <w:gridCol w:w="39"/>
        <w:gridCol w:w="273"/>
        <w:gridCol w:w="1547"/>
        <w:gridCol w:w="273"/>
      </w:tblGrid>
      <w:tr w:rsidR="002502EB" w:rsidRPr="00A925BF" w:rsidTr="00075571">
        <w:trPr>
          <w:cantSplit/>
        </w:trPr>
        <w:tc>
          <w:tcPr>
            <w:tcW w:w="8244" w:type="dxa"/>
            <w:gridSpan w:val="9"/>
            <w:tcBorders>
              <w:top w:val="single" w:sz="4" w:space="0" w:color="auto"/>
              <w:left w:val="single" w:sz="4" w:space="0" w:color="auto"/>
              <w:right w:val="single" w:sz="4" w:space="0" w:color="auto"/>
            </w:tcBorders>
            <w:vAlign w:val="bottom"/>
          </w:tcPr>
          <w:p w:rsidR="002502EB" w:rsidRPr="00170D8F" w:rsidRDefault="000449D4" w:rsidP="005C653C">
            <w:pPr>
              <w:autoSpaceDE w:val="0"/>
              <w:autoSpaceDN w:val="0"/>
              <w:adjustRightInd w:val="0"/>
              <w:jc w:val="both"/>
              <w:rPr>
                <w:lang w:val="ru-RU"/>
              </w:rPr>
            </w:pPr>
            <w:r w:rsidRPr="000449D4">
              <w:rPr>
                <w:sz w:val="19"/>
                <w:szCs w:val="20"/>
                <w:lang w:val="ru-RU" w:eastAsia="en-GB"/>
              </w:rPr>
              <w:t>Предположим, что организация имеет портфель займов, предусматривающих возможность досрочного погашения, по которым купонная и эффективная процентная ставка составляют 10 процентов, а основная сумма и амортизированная стоимость равны 10 000 д. е. Организация заключает сделку, по условиям которой принимающая сторона платит 9 115 д. е. и взамен приобретает право на 9 000 д. е. из поступающих платежей по основной сумме указанных займов плюс процент в размере 9,5%. Организация сохраняет права на 1 000 д. е. из поступлений по основной сумме займов плюс процент в размере 10% плюс спрэд в размере 0,5% на остальные 9 000 д. е. основной суммы. Поступления, возникающие при досрочном погашении, распределяются между организацией и принимающей стороной в пропорции 1:9, но при этом убытки от дефолта уменьшают долю организации, составляющую 1 000 д. е., до тех пор, пока она не стане равна нулю. Справедливая стоимость указанных займов на дату заключения сделки составляет 10 100 д. е., а справедливая стоимость спрэда в размере 0,5% составляет 40 д. е</w:t>
            </w:r>
            <w:r w:rsidR="00730672">
              <w:rPr>
                <w:sz w:val="19"/>
                <w:szCs w:val="20"/>
                <w:lang w:val="ru-RU" w:eastAsia="en-GB"/>
              </w:rPr>
              <w:t>.</w:t>
            </w:r>
          </w:p>
        </w:tc>
      </w:tr>
      <w:tr w:rsidR="002502EB" w:rsidRPr="00A06E35" w:rsidTr="00075571">
        <w:trPr>
          <w:cantSplit/>
        </w:trPr>
        <w:tc>
          <w:tcPr>
            <w:tcW w:w="8244" w:type="dxa"/>
            <w:gridSpan w:val="9"/>
            <w:tcBorders>
              <w:top w:val="nil"/>
              <w:left w:val="single" w:sz="4" w:space="0" w:color="auto"/>
              <w:right w:val="single" w:sz="4" w:space="0" w:color="auto"/>
            </w:tcBorders>
            <w:vAlign w:val="bottom"/>
          </w:tcPr>
          <w:p w:rsidR="002502EB" w:rsidRPr="00170D8F" w:rsidRDefault="000449D4" w:rsidP="005C653C">
            <w:pPr>
              <w:autoSpaceDE w:val="0"/>
              <w:autoSpaceDN w:val="0"/>
              <w:adjustRightInd w:val="0"/>
              <w:spacing w:before="120"/>
              <w:jc w:val="both"/>
              <w:rPr>
                <w:lang w:val="ru-RU"/>
              </w:rPr>
            </w:pPr>
            <w:r w:rsidRPr="000449D4">
              <w:rPr>
                <w:sz w:val="19"/>
                <w:szCs w:val="20"/>
                <w:lang w:val="ru-RU" w:eastAsia="en-GB"/>
              </w:rPr>
              <w:t>Организация определяет, что некоторые значительные риски и выгоды, связанные с правом собственности (например, значительный риск досрочного погашения), она передала, но также сохранила некоторые риски и выгоды, связанные с правом собственности (вследствие того, что оставшаяся у нее доля участия является субординированной), и сохранила контроль. Поэтому она применяет подход продолжающегося участия в активе</w:t>
            </w:r>
            <w:r w:rsidR="002502EB" w:rsidRPr="00170D8F">
              <w:rPr>
                <w:sz w:val="19"/>
                <w:szCs w:val="20"/>
                <w:lang w:val="ru-RU" w:eastAsia="en-GB"/>
              </w:rPr>
              <w:t>.</w:t>
            </w:r>
          </w:p>
        </w:tc>
      </w:tr>
      <w:tr w:rsidR="002502EB" w:rsidRPr="00A925BF" w:rsidTr="00075571">
        <w:trPr>
          <w:cantSplit/>
        </w:trPr>
        <w:tc>
          <w:tcPr>
            <w:tcW w:w="8244" w:type="dxa"/>
            <w:gridSpan w:val="9"/>
            <w:tcBorders>
              <w:top w:val="nil"/>
              <w:left w:val="single" w:sz="4" w:space="0" w:color="auto"/>
              <w:right w:val="single" w:sz="4" w:space="0" w:color="auto"/>
            </w:tcBorders>
            <w:vAlign w:val="bottom"/>
          </w:tcPr>
          <w:p w:rsidR="002502EB" w:rsidRPr="00170D8F" w:rsidRDefault="002502EB" w:rsidP="005C653C">
            <w:pPr>
              <w:autoSpaceDE w:val="0"/>
              <w:autoSpaceDN w:val="0"/>
              <w:adjustRightInd w:val="0"/>
              <w:spacing w:before="120"/>
              <w:jc w:val="both"/>
              <w:rPr>
                <w:lang w:val="ru-RU"/>
              </w:rPr>
            </w:pPr>
            <w:r w:rsidRPr="00170D8F">
              <w:rPr>
                <w:sz w:val="19"/>
                <w:szCs w:val="20"/>
                <w:lang w:val="ru-RU" w:eastAsia="en-GB"/>
              </w:rPr>
              <w:t xml:space="preserve">В рамках настоящего стандарта организация анализирует данную сделку как (a) сохранение пропорциональной оставшейся доли участия в размере 1 000 </w:t>
            </w:r>
            <w:r w:rsidR="00730672">
              <w:rPr>
                <w:sz w:val="19"/>
                <w:szCs w:val="20"/>
                <w:lang w:val="ru-RU" w:eastAsia="en-GB"/>
              </w:rPr>
              <w:t>д. е.</w:t>
            </w:r>
            <w:r w:rsidRPr="00170D8F">
              <w:rPr>
                <w:sz w:val="19"/>
                <w:szCs w:val="20"/>
                <w:lang w:val="ru-RU" w:eastAsia="en-GB"/>
              </w:rPr>
              <w:t xml:space="preserve"> плюс (b) субординирование этой оставшейся доли участия, чтобы предоставить принимающей стороне средства повышения кредитного качества на случай возникновения кредитных убытков.</w:t>
            </w:r>
          </w:p>
        </w:tc>
      </w:tr>
      <w:tr w:rsidR="002502EB" w:rsidRPr="00A925BF" w:rsidTr="00075571">
        <w:trPr>
          <w:cantSplit/>
        </w:trPr>
        <w:tc>
          <w:tcPr>
            <w:tcW w:w="8244" w:type="dxa"/>
            <w:gridSpan w:val="9"/>
            <w:tcBorders>
              <w:top w:val="nil"/>
              <w:left w:val="single" w:sz="4" w:space="0" w:color="auto"/>
              <w:right w:val="single" w:sz="4" w:space="0" w:color="auto"/>
            </w:tcBorders>
            <w:vAlign w:val="bottom"/>
          </w:tcPr>
          <w:p w:rsidR="002502EB" w:rsidRPr="00170D8F" w:rsidRDefault="002502EB" w:rsidP="005C653C">
            <w:pPr>
              <w:autoSpaceDE w:val="0"/>
              <w:autoSpaceDN w:val="0"/>
              <w:adjustRightInd w:val="0"/>
              <w:spacing w:before="120"/>
              <w:jc w:val="both"/>
              <w:rPr>
                <w:lang w:val="ru-RU"/>
              </w:rPr>
            </w:pPr>
            <w:r w:rsidRPr="00170D8F">
              <w:rPr>
                <w:sz w:val="19"/>
                <w:szCs w:val="20"/>
                <w:lang w:val="ru-RU" w:eastAsia="en-GB"/>
              </w:rPr>
              <w:t>Организация</w:t>
            </w:r>
            <w:r w:rsidR="00A06E35">
              <w:rPr>
                <w:sz w:val="19"/>
                <w:szCs w:val="20"/>
                <w:lang w:val="ru-RU" w:eastAsia="en-GB"/>
              </w:rPr>
              <w:t xml:space="preserve"> рассчитала, что 9 090 </w:t>
            </w:r>
            <w:r w:rsidR="00730672">
              <w:rPr>
                <w:sz w:val="19"/>
                <w:szCs w:val="20"/>
                <w:lang w:val="ru-RU" w:eastAsia="en-GB"/>
              </w:rPr>
              <w:t>д. е.</w:t>
            </w:r>
            <w:r w:rsidR="00A06E35">
              <w:rPr>
                <w:sz w:val="19"/>
                <w:szCs w:val="20"/>
                <w:lang w:val="ru-RU" w:eastAsia="en-GB"/>
              </w:rPr>
              <w:t xml:space="preserve"> (90</w:t>
            </w:r>
            <w:r w:rsidR="000449D4">
              <w:rPr>
                <w:sz w:val="19"/>
                <w:szCs w:val="20"/>
                <w:lang w:val="ru-RU" w:eastAsia="en-GB"/>
              </w:rPr>
              <w:t xml:space="preserve"> процентов</w:t>
            </w:r>
            <w:r w:rsidRPr="00170D8F">
              <w:rPr>
                <w:sz w:val="19"/>
                <w:szCs w:val="20"/>
                <w:lang w:val="ru-RU" w:eastAsia="en-GB"/>
              </w:rPr>
              <w:t xml:space="preserve"> от 10 100 </w:t>
            </w:r>
            <w:r w:rsidR="00730672">
              <w:rPr>
                <w:sz w:val="19"/>
                <w:szCs w:val="20"/>
                <w:lang w:val="ru-RU" w:eastAsia="en-GB"/>
              </w:rPr>
              <w:t>д. е.</w:t>
            </w:r>
            <w:r w:rsidRPr="00170D8F">
              <w:rPr>
                <w:sz w:val="19"/>
                <w:szCs w:val="20"/>
                <w:lang w:val="ru-RU" w:eastAsia="en-GB"/>
              </w:rPr>
              <w:t xml:space="preserve">) из полученного возмещения в размере 9 115 </w:t>
            </w:r>
            <w:r w:rsidR="00730672">
              <w:rPr>
                <w:sz w:val="19"/>
                <w:szCs w:val="20"/>
                <w:lang w:val="ru-RU" w:eastAsia="en-GB"/>
              </w:rPr>
              <w:t>д. е.</w:t>
            </w:r>
            <w:r w:rsidRPr="00170D8F">
              <w:rPr>
                <w:sz w:val="19"/>
                <w:szCs w:val="20"/>
                <w:lang w:val="ru-RU" w:eastAsia="en-GB"/>
              </w:rPr>
              <w:t xml:space="preserve">, представляют собой возмещение за пропорциональную 90-процентную долю. Остальная часть полученного возмещения (25 </w:t>
            </w:r>
            <w:r w:rsidR="00730672">
              <w:rPr>
                <w:sz w:val="19"/>
                <w:szCs w:val="20"/>
                <w:lang w:val="ru-RU" w:eastAsia="en-GB"/>
              </w:rPr>
              <w:t>д. е.</w:t>
            </w:r>
            <w:r w:rsidRPr="00170D8F">
              <w:rPr>
                <w:sz w:val="19"/>
                <w:szCs w:val="20"/>
                <w:lang w:val="ru-RU" w:eastAsia="en-GB"/>
              </w:rPr>
              <w:t>) представляет собой возмещение, полученное за субординирование оставшейся у организации доли участия с целью предоставления принимающей стороне средств повышения кредитного качества на случай возникновения кредитных убытков. Кроме того, спрэд в размере 0,5% представляет собой возмещение, полученное за предоставление средств повышения кредит</w:t>
            </w:r>
            <w:r w:rsidR="000449D4">
              <w:rPr>
                <w:sz w:val="19"/>
                <w:szCs w:val="20"/>
                <w:lang w:val="ru-RU" w:eastAsia="en-GB"/>
              </w:rPr>
              <w:t>ного качества. Следовательно</w:t>
            </w:r>
            <w:r w:rsidRPr="00170D8F">
              <w:rPr>
                <w:sz w:val="19"/>
                <w:szCs w:val="20"/>
                <w:lang w:val="ru-RU" w:eastAsia="en-GB"/>
              </w:rPr>
              <w:t xml:space="preserve">, общая величина возмещения, полученного за предоставление средств повышения кредитного качества, составляет 65 </w:t>
            </w:r>
            <w:r w:rsidR="00730672">
              <w:rPr>
                <w:sz w:val="19"/>
                <w:szCs w:val="20"/>
                <w:lang w:val="ru-RU" w:eastAsia="en-GB"/>
              </w:rPr>
              <w:t>д. е.</w:t>
            </w:r>
            <w:r w:rsidRPr="00170D8F">
              <w:rPr>
                <w:sz w:val="19"/>
                <w:szCs w:val="20"/>
                <w:lang w:val="ru-RU" w:eastAsia="en-GB"/>
              </w:rPr>
              <w:t xml:space="preserve"> (25 </w:t>
            </w:r>
            <w:r w:rsidR="00730672">
              <w:rPr>
                <w:sz w:val="19"/>
                <w:szCs w:val="20"/>
                <w:lang w:val="ru-RU" w:eastAsia="en-GB"/>
              </w:rPr>
              <w:t>д. е.</w:t>
            </w:r>
            <w:r w:rsidRPr="00170D8F">
              <w:rPr>
                <w:sz w:val="19"/>
                <w:szCs w:val="20"/>
                <w:lang w:val="ru-RU" w:eastAsia="en-GB"/>
              </w:rPr>
              <w:t xml:space="preserve"> + 40 </w:t>
            </w:r>
            <w:r w:rsidR="00730672">
              <w:rPr>
                <w:sz w:val="19"/>
                <w:szCs w:val="20"/>
                <w:lang w:val="ru-RU" w:eastAsia="en-GB"/>
              </w:rPr>
              <w:t>д. е.</w:t>
            </w:r>
            <w:r w:rsidRPr="00170D8F">
              <w:rPr>
                <w:sz w:val="19"/>
                <w:szCs w:val="20"/>
                <w:lang w:val="ru-RU" w:eastAsia="en-GB"/>
              </w:rPr>
              <w:t>).</w:t>
            </w:r>
          </w:p>
        </w:tc>
      </w:tr>
      <w:tr w:rsidR="002502EB" w:rsidRPr="00A925BF" w:rsidTr="00075571">
        <w:trPr>
          <w:cantSplit/>
        </w:trPr>
        <w:tc>
          <w:tcPr>
            <w:tcW w:w="8244" w:type="dxa"/>
            <w:gridSpan w:val="9"/>
            <w:tcBorders>
              <w:top w:val="nil"/>
              <w:left w:val="single" w:sz="4" w:space="0" w:color="auto"/>
              <w:right w:val="single" w:sz="4" w:space="0" w:color="auto"/>
            </w:tcBorders>
            <w:vAlign w:val="bottom"/>
          </w:tcPr>
          <w:p w:rsidR="002502EB" w:rsidRPr="00170D8F" w:rsidRDefault="002502EB" w:rsidP="005C653C">
            <w:pPr>
              <w:autoSpaceDE w:val="0"/>
              <w:autoSpaceDN w:val="0"/>
              <w:adjustRightInd w:val="0"/>
              <w:spacing w:before="120"/>
              <w:jc w:val="both"/>
              <w:rPr>
                <w:lang w:val="ru-RU"/>
              </w:rPr>
            </w:pPr>
            <w:r w:rsidRPr="00170D8F">
              <w:rPr>
                <w:sz w:val="19"/>
                <w:szCs w:val="20"/>
                <w:lang w:val="ru-RU" w:eastAsia="en-GB"/>
              </w:rPr>
              <w:t>Организация рассчитывает величину прибыли или убытка от продажи 90-процентной доли соответствующих денежных потоков. При допущении, что на дату передачи отсутствует отдельная информация о справедливой стоимости переданных 90 процентов и справедливой стоимости оставшихся 10 процентов, организация распределяет балансовую стоимость рассматриваемого актива следующим образом согласно пункту 3.2.14 МСФО (IFRS) 9:</w:t>
            </w:r>
          </w:p>
        </w:tc>
      </w:tr>
      <w:tr w:rsidR="002502EB" w:rsidRPr="00A925BF" w:rsidTr="00075571">
        <w:trPr>
          <w:cantSplit/>
        </w:trPr>
        <w:tc>
          <w:tcPr>
            <w:tcW w:w="8244" w:type="dxa"/>
            <w:gridSpan w:val="9"/>
            <w:tcBorders>
              <w:top w:val="nil"/>
              <w:left w:val="single" w:sz="4" w:space="0" w:color="auto"/>
              <w:right w:val="single" w:sz="4" w:space="0" w:color="auto"/>
            </w:tcBorders>
            <w:vAlign w:val="bottom"/>
          </w:tcPr>
          <w:p w:rsidR="002502EB" w:rsidRPr="00170D8F" w:rsidRDefault="002502EB" w:rsidP="00075571">
            <w:pPr>
              <w:pStyle w:val="IASBTableArial"/>
              <w:rPr>
                <w:lang w:val="ru-RU"/>
              </w:rPr>
            </w:pPr>
          </w:p>
        </w:tc>
      </w:tr>
      <w:tr w:rsidR="002502EB" w:rsidRPr="00170D8F" w:rsidTr="00075571">
        <w:trPr>
          <w:cantSplit/>
        </w:trPr>
        <w:tc>
          <w:tcPr>
            <w:tcW w:w="2784" w:type="dxa"/>
            <w:tcBorders>
              <w:top w:val="nil"/>
              <w:left w:val="single" w:sz="4" w:space="0" w:color="auto"/>
            </w:tcBorders>
            <w:vAlign w:val="bottom"/>
          </w:tcPr>
          <w:p w:rsidR="002502EB" w:rsidRPr="00170D8F" w:rsidRDefault="002502EB" w:rsidP="00075571">
            <w:pPr>
              <w:pStyle w:val="IASBTableArial"/>
              <w:rPr>
                <w:lang w:val="ru-RU"/>
              </w:rPr>
            </w:pPr>
          </w:p>
        </w:tc>
        <w:tc>
          <w:tcPr>
            <w:tcW w:w="1547" w:type="dxa"/>
            <w:tcBorders>
              <w:top w:val="nil"/>
              <w:left w:val="nil"/>
            </w:tcBorders>
          </w:tcPr>
          <w:p w:rsidR="002502EB" w:rsidRPr="00170D8F" w:rsidRDefault="002502EB" w:rsidP="00075571">
            <w:pPr>
              <w:pStyle w:val="IASBTableArial"/>
              <w:jc w:val="right"/>
              <w:rPr>
                <w:lang w:val="ru-RU"/>
              </w:rPr>
            </w:pPr>
            <w:r w:rsidRPr="00170D8F">
              <w:rPr>
                <w:i/>
                <w:lang w:val="ru-RU"/>
              </w:rPr>
              <w:t>Справедливая стоимость</w:t>
            </w:r>
          </w:p>
        </w:tc>
        <w:tc>
          <w:tcPr>
            <w:tcW w:w="1498" w:type="dxa"/>
            <w:gridSpan w:val="2"/>
            <w:tcBorders>
              <w:top w:val="nil"/>
              <w:left w:val="nil"/>
            </w:tcBorders>
          </w:tcPr>
          <w:p w:rsidR="002502EB" w:rsidRPr="00170D8F" w:rsidRDefault="002502EB" w:rsidP="00075571">
            <w:pPr>
              <w:pStyle w:val="IASBTableArial"/>
              <w:jc w:val="right"/>
              <w:rPr>
                <w:lang w:val="ru-RU"/>
              </w:rPr>
            </w:pPr>
            <w:r w:rsidRPr="00170D8F">
              <w:rPr>
                <w:i/>
                <w:lang w:val="ru-RU"/>
              </w:rPr>
              <w:t>Процент</w:t>
            </w:r>
          </w:p>
        </w:tc>
        <w:tc>
          <w:tcPr>
            <w:tcW w:w="283" w:type="dxa"/>
            <w:tcBorders>
              <w:top w:val="nil"/>
              <w:left w:val="nil"/>
            </w:tcBorders>
            <w:vAlign w:val="bottom"/>
          </w:tcPr>
          <w:p w:rsidR="002502EB" w:rsidRPr="00170D8F" w:rsidRDefault="002502EB" w:rsidP="00075571">
            <w:pPr>
              <w:pStyle w:val="IASBTableArial"/>
              <w:rPr>
                <w:lang w:val="ru-RU"/>
              </w:rPr>
            </w:pPr>
          </w:p>
        </w:tc>
        <w:tc>
          <w:tcPr>
            <w:tcW w:w="1859" w:type="dxa"/>
            <w:gridSpan w:val="3"/>
            <w:tcBorders>
              <w:top w:val="nil"/>
              <w:left w:val="nil"/>
            </w:tcBorders>
          </w:tcPr>
          <w:p w:rsidR="002502EB" w:rsidRPr="00170D8F" w:rsidRDefault="002502EB" w:rsidP="00075571">
            <w:pPr>
              <w:pStyle w:val="IASBTableArial"/>
              <w:jc w:val="right"/>
              <w:rPr>
                <w:lang w:val="ru-RU"/>
              </w:rPr>
            </w:pPr>
            <w:r w:rsidRPr="00170D8F">
              <w:rPr>
                <w:i/>
                <w:lang w:val="ru-RU"/>
              </w:rPr>
              <w:t>Распределенная величина балансовой стоимости</w:t>
            </w:r>
          </w:p>
        </w:tc>
        <w:tc>
          <w:tcPr>
            <w:tcW w:w="273" w:type="dxa"/>
            <w:tcBorders>
              <w:top w:val="nil"/>
              <w:left w:val="nil"/>
              <w:right w:val="single" w:sz="4" w:space="0" w:color="auto"/>
            </w:tcBorders>
            <w:vAlign w:val="bottom"/>
          </w:tcPr>
          <w:p w:rsidR="002502EB" w:rsidRPr="00170D8F" w:rsidRDefault="002502EB" w:rsidP="00075571">
            <w:pPr>
              <w:pStyle w:val="IASBTableArial"/>
              <w:rPr>
                <w:lang w:val="ru-RU"/>
              </w:rPr>
            </w:pPr>
          </w:p>
        </w:tc>
      </w:tr>
      <w:tr w:rsidR="002502EB" w:rsidRPr="00170D8F" w:rsidTr="00075571">
        <w:trPr>
          <w:cantSplit/>
        </w:trPr>
        <w:tc>
          <w:tcPr>
            <w:tcW w:w="2784" w:type="dxa"/>
            <w:tcBorders>
              <w:top w:val="nil"/>
              <w:left w:val="single" w:sz="4" w:space="0" w:color="auto"/>
            </w:tcBorders>
            <w:vAlign w:val="bottom"/>
          </w:tcPr>
          <w:p w:rsidR="002502EB" w:rsidRPr="00170D8F" w:rsidRDefault="002502EB" w:rsidP="00075571">
            <w:pPr>
              <w:pStyle w:val="IASBTableArial"/>
              <w:rPr>
                <w:lang w:val="ru-RU"/>
              </w:rPr>
            </w:pPr>
            <w:r w:rsidRPr="00170D8F">
              <w:rPr>
                <w:lang w:val="ru-RU"/>
              </w:rPr>
              <w:t>Переданная часть</w:t>
            </w:r>
          </w:p>
        </w:tc>
        <w:tc>
          <w:tcPr>
            <w:tcW w:w="1547" w:type="dxa"/>
            <w:tcBorders>
              <w:top w:val="nil"/>
              <w:left w:val="nil"/>
            </w:tcBorders>
            <w:vAlign w:val="bottom"/>
          </w:tcPr>
          <w:p w:rsidR="002502EB" w:rsidRPr="00170D8F" w:rsidRDefault="002502EB" w:rsidP="00075571">
            <w:pPr>
              <w:pStyle w:val="IASBTableArial"/>
              <w:jc w:val="right"/>
              <w:rPr>
                <w:lang w:val="ru-RU"/>
              </w:rPr>
            </w:pPr>
            <w:r w:rsidRPr="00170D8F">
              <w:rPr>
                <w:lang w:val="ru-RU"/>
              </w:rPr>
              <w:t>9 090</w:t>
            </w:r>
          </w:p>
        </w:tc>
        <w:tc>
          <w:tcPr>
            <w:tcW w:w="273" w:type="dxa"/>
            <w:tcBorders>
              <w:top w:val="nil"/>
              <w:left w:val="nil"/>
            </w:tcBorders>
            <w:vAlign w:val="bottom"/>
          </w:tcPr>
          <w:p w:rsidR="002502EB" w:rsidRPr="00170D8F" w:rsidRDefault="002502EB" w:rsidP="00075571">
            <w:pPr>
              <w:pStyle w:val="IASBTableArial"/>
              <w:jc w:val="right"/>
              <w:rPr>
                <w:lang w:val="ru-RU"/>
              </w:rPr>
            </w:pPr>
          </w:p>
        </w:tc>
        <w:tc>
          <w:tcPr>
            <w:tcW w:w="1225" w:type="dxa"/>
            <w:tcBorders>
              <w:top w:val="nil"/>
              <w:left w:val="nil"/>
            </w:tcBorders>
            <w:vAlign w:val="bottom"/>
          </w:tcPr>
          <w:p w:rsidR="002502EB" w:rsidRPr="00170D8F" w:rsidRDefault="002502EB" w:rsidP="00075571">
            <w:pPr>
              <w:pStyle w:val="IASBTableArial"/>
              <w:jc w:val="right"/>
              <w:rPr>
                <w:lang w:val="ru-RU"/>
              </w:rPr>
            </w:pPr>
            <w:r w:rsidRPr="00170D8F">
              <w:rPr>
                <w:lang w:val="ru-RU"/>
              </w:rPr>
              <w:t>90%</w:t>
            </w:r>
          </w:p>
        </w:tc>
        <w:tc>
          <w:tcPr>
            <w:tcW w:w="283" w:type="dxa"/>
            <w:tcBorders>
              <w:top w:val="nil"/>
              <w:left w:val="nil"/>
            </w:tcBorders>
            <w:vAlign w:val="bottom"/>
          </w:tcPr>
          <w:p w:rsidR="002502EB" w:rsidRPr="00170D8F" w:rsidRDefault="002502EB" w:rsidP="00075571">
            <w:pPr>
              <w:pStyle w:val="IASBTableArial"/>
              <w:rPr>
                <w:lang w:val="ru-RU"/>
              </w:rPr>
            </w:pPr>
          </w:p>
        </w:tc>
        <w:tc>
          <w:tcPr>
            <w:tcW w:w="1859" w:type="dxa"/>
            <w:gridSpan w:val="3"/>
            <w:tcBorders>
              <w:top w:val="nil"/>
              <w:left w:val="nil"/>
            </w:tcBorders>
            <w:vAlign w:val="bottom"/>
          </w:tcPr>
          <w:p w:rsidR="002502EB" w:rsidRPr="00170D8F" w:rsidRDefault="002502EB" w:rsidP="00075571">
            <w:pPr>
              <w:pStyle w:val="IASBTableArial"/>
              <w:jc w:val="right"/>
              <w:rPr>
                <w:lang w:val="ru-RU"/>
              </w:rPr>
            </w:pPr>
            <w:r w:rsidRPr="00170D8F">
              <w:rPr>
                <w:lang w:val="ru-RU"/>
              </w:rPr>
              <w:t>9 000</w:t>
            </w:r>
          </w:p>
        </w:tc>
        <w:tc>
          <w:tcPr>
            <w:tcW w:w="273" w:type="dxa"/>
            <w:tcBorders>
              <w:top w:val="nil"/>
              <w:left w:val="nil"/>
              <w:right w:val="single" w:sz="4" w:space="0" w:color="auto"/>
            </w:tcBorders>
            <w:vAlign w:val="bottom"/>
          </w:tcPr>
          <w:p w:rsidR="002502EB" w:rsidRPr="00170D8F" w:rsidRDefault="002502EB" w:rsidP="00075571">
            <w:pPr>
              <w:pStyle w:val="IASBTableArial"/>
              <w:rPr>
                <w:lang w:val="ru-RU"/>
              </w:rPr>
            </w:pPr>
          </w:p>
        </w:tc>
      </w:tr>
      <w:tr w:rsidR="002502EB" w:rsidRPr="00170D8F" w:rsidTr="00075571">
        <w:trPr>
          <w:cantSplit/>
        </w:trPr>
        <w:tc>
          <w:tcPr>
            <w:tcW w:w="2784" w:type="dxa"/>
            <w:tcBorders>
              <w:top w:val="nil"/>
              <w:left w:val="single" w:sz="4" w:space="0" w:color="auto"/>
            </w:tcBorders>
            <w:vAlign w:val="bottom"/>
          </w:tcPr>
          <w:p w:rsidR="002502EB" w:rsidRPr="00170D8F" w:rsidRDefault="002502EB" w:rsidP="00075571">
            <w:pPr>
              <w:pStyle w:val="IASBTableArial"/>
              <w:rPr>
                <w:lang w:val="ru-RU"/>
              </w:rPr>
            </w:pPr>
            <w:r w:rsidRPr="00170D8F">
              <w:rPr>
                <w:lang w:val="ru-RU"/>
              </w:rPr>
              <w:t>Оставшаяся часть</w:t>
            </w:r>
          </w:p>
        </w:tc>
        <w:tc>
          <w:tcPr>
            <w:tcW w:w="1547" w:type="dxa"/>
            <w:tcBorders>
              <w:top w:val="nil"/>
              <w:left w:val="nil"/>
              <w:bottom w:val="single" w:sz="4" w:space="0" w:color="auto"/>
            </w:tcBorders>
            <w:vAlign w:val="bottom"/>
          </w:tcPr>
          <w:p w:rsidR="002502EB" w:rsidRPr="00170D8F" w:rsidRDefault="002502EB" w:rsidP="00075571">
            <w:pPr>
              <w:pStyle w:val="IASBTableArial"/>
              <w:jc w:val="right"/>
              <w:rPr>
                <w:lang w:val="ru-RU"/>
              </w:rPr>
            </w:pPr>
            <w:r w:rsidRPr="00170D8F">
              <w:rPr>
                <w:lang w:val="ru-RU"/>
              </w:rPr>
              <w:t>1 010</w:t>
            </w:r>
          </w:p>
        </w:tc>
        <w:tc>
          <w:tcPr>
            <w:tcW w:w="273" w:type="dxa"/>
            <w:tcBorders>
              <w:top w:val="nil"/>
              <w:left w:val="nil"/>
            </w:tcBorders>
            <w:vAlign w:val="bottom"/>
          </w:tcPr>
          <w:p w:rsidR="002502EB" w:rsidRPr="00170D8F" w:rsidRDefault="002502EB" w:rsidP="00075571">
            <w:pPr>
              <w:pStyle w:val="IASBTableArial"/>
              <w:jc w:val="right"/>
              <w:rPr>
                <w:lang w:val="ru-RU"/>
              </w:rPr>
            </w:pPr>
          </w:p>
        </w:tc>
        <w:tc>
          <w:tcPr>
            <w:tcW w:w="1225" w:type="dxa"/>
            <w:tcBorders>
              <w:top w:val="nil"/>
              <w:left w:val="nil"/>
            </w:tcBorders>
            <w:vAlign w:val="bottom"/>
          </w:tcPr>
          <w:p w:rsidR="002502EB" w:rsidRPr="00170D8F" w:rsidRDefault="002502EB" w:rsidP="00075571">
            <w:pPr>
              <w:pStyle w:val="IASBTableArial"/>
              <w:jc w:val="right"/>
              <w:rPr>
                <w:lang w:val="ru-RU"/>
              </w:rPr>
            </w:pPr>
            <w:r w:rsidRPr="00170D8F">
              <w:rPr>
                <w:lang w:val="ru-RU"/>
              </w:rPr>
              <w:t>10%</w:t>
            </w:r>
          </w:p>
        </w:tc>
        <w:tc>
          <w:tcPr>
            <w:tcW w:w="283" w:type="dxa"/>
            <w:tcBorders>
              <w:top w:val="nil"/>
              <w:left w:val="nil"/>
            </w:tcBorders>
            <w:vAlign w:val="bottom"/>
          </w:tcPr>
          <w:p w:rsidR="002502EB" w:rsidRPr="00170D8F" w:rsidRDefault="002502EB" w:rsidP="00075571">
            <w:pPr>
              <w:pStyle w:val="IASBTableArial"/>
              <w:rPr>
                <w:lang w:val="ru-RU"/>
              </w:rPr>
            </w:pPr>
          </w:p>
        </w:tc>
        <w:tc>
          <w:tcPr>
            <w:tcW w:w="1859" w:type="dxa"/>
            <w:gridSpan w:val="3"/>
            <w:tcBorders>
              <w:top w:val="nil"/>
              <w:left w:val="nil"/>
              <w:bottom w:val="single" w:sz="4" w:space="0" w:color="auto"/>
            </w:tcBorders>
            <w:vAlign w:val="bottom"/>
          </w:tcPr>
          <w:p w:rsidR="002502EB" w:rsidRPr="00170D8F" w:rsidRDefault="002502EB" w:rsidP="00075571">
            <w:pPr>
              <w:pStyle w:val="IASBTableArial"/>
              <w:jc w:val="right"/>
              <w:rPr>
                <w:lang w:val="ru-RU"/>
              </w:rPr>
            </w:pPr>
            <w:r w:rsidRPr="00170D8F">
              <w:rPr>
                <w:lang w:val="ru-RU"/>
              </w:rPr>
              <w:t>1 000</w:t>
            </w:r>
          </w:p>
        </w:tc>
        <w:tc>
          <w:tcPr>
            <w:tcW w:w="273" w:type="dxa"/>
            <w:tcBorders>
              <w:top w:val="nil"/>
              <w:left w:val="nil"/>
              <w:right w:val="single" w:sz="4" w:space="0" w:color="auto"/>
            </w:tcBorders>
            <w:vAlign w:val="bottom"/>
          </w:tcPr>
          <w:p w:rsidR="002502EB" w:rsidRPr="00170D8F" w:rsidRDefault="002502EB" w:rsidP="00075571">
            <w:pPr>
              <w:pStyle w:val="IASBTableArial"/>
              <w:rPr>
                <w:lang w:val="ru-RU"/>
              </w:rPr>
            </w:pPr>
          </w:p>
        </w:tc>
      </w:tr>
      <w:tr w:rsidR="002502EB" w:rsidRPr="00170D8F" w:rsidTr="00075571">
        <w:trPr>
          <w:cantSplit/>
        </w:trPr>
        <w:tc>
          <w:tcPr>
            <w:tcW w:w="2784" w:type="dxa"/>
            <w:tcBorders>
              <w:top w:val="nil"/>
              <w:left w:val="single" w:sz="4" w:space="0" w:color="auto"/>
            </w:tcBorders>
            <w:vAlign w:val="bottom"/>
          </w:tcPr>
          <w:p w:rsidR="002502EB" w:rsidRPr="00170D8F" w:rsidRDefault="002502EB" w:rsidP="00075571">
            <w:pPr>
              <w:pStyle w:val="IASBTableArial"/>
              <w:rPr>
                <w:lang w:val="ru-RU"/>
              </w:rPr>
            </w:pPr>
            <w:r w:rsidRPr="00170D8F">
              <w:rPr>
                <w:b/>
                <w:lang w:val="ru-RU"/>
              </w:rPr>
              <w:t>Итого</w:t>
            </w:r>
          </w:p>
        </w:tc>
        <w:tc>
          <w:tcPr>
            <w:tcW w:w="1547" w:type="dxa"/>
            <w:tcBorders>
              <w:top w:val="nil"/>
              <w:left w:val="nil"/>
              <w:bottom w:val="double" w:sz="4" w:space="0" w:color="auto"/>
            </w:tcBorders>
            <w:vAlign w:val="bottom"/>
          </w:tcPr>
          <w:p w:rsidR="002502EB" w:rsidRPr="00170D8F" w:rsidRDefault="002502EB" w:rsidP="00075571">
            <w:pPr>
              <w:pStyle w:val="IASBTableArial"/>
              <w:jc w:val="right"/>
              <w:rPr>
                <w:lang w:val="ru-RU"/>
              </w:rPr>
            </w:pPr>
            <w:r w:rsidRPr="00170D8F">
              <w:rPr>
                <w:b/>
                <w:lang w:val="ru-RU"/>
              </w:rPr>
              <w:t>10 100</w:t>
            </w:r>
          </w:p>
        </w:tc>
        <w:tc>
          <w:tcPr>
            <w:tcW w:w="273" w:type="dxa"/>
            <w:tcBorders>
              <w:top w:val="nil"/>
              <w:left w:val="nil"/>
            </w:tcBorders>
            <w:vAlign w:val="bottom"/>
          </w:tcPr>
          <w:p w:rsidR="002502EB" w:rsidRPr="00170D8F" w:rsidRDefault="002502EB" w:rsidP="00075571">
            <w:pPr>
              <w:pStyle w:val="IASBTableArial"/>
              <w:rPr>
                <w:lang w:val="ru-RU"/>
              </w:rPr>
            </w:pPr>
          </w:p>
        </w:tc>
        <w:tc>
          <w:tcPr>
            <w:tcW w:w="1225" w:type="dxa"/>
            <w:tcBorders>
              <w:top w:val="nil"/>
              <w:left w:val="nil"/>
            </w:tcBorders>
            <w:vAlign w:val="bottom"/>
          </w:tcPr>
          <w:p w:rsidR="002502EB" w:rsidRPr="00170D8F" w:rsidRDefault="002502EB" w:rsidP="00075571">
            <w:pPr>
              <w:pStyle w:val="IASBTableArial"/>
              <w:jc w:val="right"/>
              <w:rPr>
                <w:lang w:val="ru-RU"/>
              </w:rPr>
            </w:pPr>
          </w:p>
        </w:tc>
        <w:tc>
          <w:tcPr>
            <w:tcW w:w="283" w:type="dxa"/>
            <w:tcBorders>
              <w:top w:val="nil"/>
              <w:left w:val="nil"/>
            </w:tcBorders>
            <w:vAlign w:val="bottom"/>
          </w:tcPr>
          <w:p w:rsidR="002502EB" w:rsidRPr="00170D8F" w:rsidRDefault="002502EB" w:rsidP="00075571">
            <w:pPr>
              <w:pStyle w:val="IASBTableArial"/>
              <w:rPr>
                <w:lang w:val="ru-RU"/>
              </w:rPr>
            </w:pPr>
          </w:p>
        </w:tc>
        <w:tc>
          <w:tcPr>
            <w:tcW w:w="1859" w:type="dxa"/>
            <w:gridSpan w:val="3"/>
            <w:tcBorders>
              <w:top w:val="nil"/>
              <w:left w:val="nil"/>
              <w:bottom w:val="double" w:sz="4" w:space="0" w:color="auto"/>
            </w:tcBorders>
            <w:vAlign w:val="bottom"/>
          </w:tcPr>
          <w:p w:rsidR="002502EB" w:rsidRPr="00170D8F" w:rsidRDefault="002502EB" w:rsidP="00075571">
            <w:pPr>
              <w:pStyle w:val="IASBTableArial"/>
              <w:jc w:val="right"/>
              <w:rPr>
                <w:lang w:val="ru-RU"/>
              </w:rPr>
            </w:pPr>
            <w:r w:rsidRPr="00170D8F">
              <w:rPr>
                <w:b/>
                <w:lang w:val="ru-RU"/>
              </w:rPr>
              <w:t>10 000</w:t>
            </w:r>
          </w:p>
        </w:tc>
        <w:tc>
          <w:tcPr>
            <w:tcW w:w="273" w:type="dxa"/>
            <w:tcBorders>
              <w:top w:val="nil"/>
              <w:left w:val="nil"/>
              <w:right w:val="single" w:sz="4" w:space="0" w:color="auto"/>
            </w:tcBorders>
            <w:vAlign w:val="bottom"/>
          </w:tcPr>
          <w:p w:rsidR="002502EB" w:rsidRPr="00170D8F" w:rsidRDefault="002502EB" w:rsidP="00075571">
            <w:pPr>
              <w:pStyle w:val="IASBTableArial"/>
              <w:rPr>
                <w:lang w:val="ru-RU"/>
              </w:rPr>
            </w:pPr>
          </w:p>
        </w:tc>
      </w:tr>
      <w:tr w:rsidR="002502EB" w:rsidRPr="00170D8F" w:rsidTr="00075571">
        <w:trPr>
          <w:cantSplit/>
        </w:trPr>
        <w:tc>
          <w:tcPr>
            <w:tcW w:w="8244" w:type="dxa"/>
            <w:gridSpan w:val="9"/>
            <w:tcBorders>
              <w:top w:val="nil"/>
              <w:left w:val="single" w:sz="4" w:space="0" w:color="auto"/>
              <w:right w:val="single" w:sz="4" w:space="0" w:color="auto"/>
            </w:tcBorders>
            <w:vAlign w:val="bottom"/>
          </w:tcPr>
          <w:p w:rsidR="002502EB" w:rsidRPr="00170D8F" w:rsidRDefault="002502EB" w:rsidP="00075571">
            <w:pPr>
              <w:pStyle w:val="IASBTableArial"/>
              <w:rPr>
                <w:lang w:val="ru-RU"/>
              </w:rPr>
            </w:pPr>
          </w:p>
        </w:tc>
      </w:tr>
      <w:tr w:rsidR="002502EB" w:rsidRPr="00170D8F" w:rsidTr="00075571">
        <w:trPr>
          <w:cantSplit/>
        </w:trPr>
        <w:tc>
          <w:tcPr>
            <w:tcW w:w="8244" w:type="dxa"/>
            <w:gridSpan w:val="9"/>
            <w:tcBorders>
              <w:top w:val="nil"/>
              <w:left w:val="single" w:sz="4" w:space="0" w:color="auto"/>
              <w:right w:val="single" w:sz="4" w:space="0" w:color="auto"/>
            </w:tcBorders>
            <w:vAlign w:val="bottom"/>
          </w:tcPr>
          <w:p w:rsidR="002502EB" w:rsidRPr="00170D8F" w:rsidRDefault="002502EB" w:rsidP="005C653C">
            <w:pPr>
              <w:autoSpaceDE w:val="0"/>
              <w:autoSpaceDN w:val="0"/>
              <w:adjustRightInd w:val="0"/>
              <w:spacing w:before="120"/>
              <w:jc w:val="both"/>
              <w:rPr>
                <w:sz w:val="19"/>
                <w:szCs w:val="20"/>
                <w:lang w:val="ru-RU" w:eastAsia="en-GB"/>
              </w:rPr>
            </w:pPr>
            <w:r w:rsidRPr="00170D8F">
              <w:rPr>
                <w:sz w:val="19"/>
                <w:szCs w:val="20"/>
                <w:lang w:val="ru-RU" w:eastAsia="en-GB"/>
              </w:rPr>
              <w:t xml:space="preserve">Организация рассчитывает прибыль или убыток от продажи указанной 90-процентной доли денежных потоков путем вычитания балансовой стоимости, распределенной на переданную часть, из суммы полученного возмещения, т. е. как 90 </w:t>
            </w:r>
            <w:r w:rsidR="00730672">
              <w:rPr>
                <w:sz w:val="19"/>
                <w:szCs w:val="20"/>
                <w:lang w:val="ru-RU" w:eastAsia="en-GB"/>
              </w:rPr>
              <w:t>д. е.</w:t>
            </w:r>
            <w:r w:rsidRPr="00170D8F">
              <w:rPr>
                <w:sz w:val="19"/>
                <w:szCs w:val="20"/>
                <w:lang w:val="ru-RU" w:eastAsia="en-GB"/>
              </w:rPr>
              <w:t xml:space="preserve"> (9 090 </w:t>
            </w:r>
            <w:r w:rsidR="00730672">
              <w:rPr>
                <w:sz w:val="19"/>
                <w:szCs w:val="20"/>
                <w:lang w:val="ru-RU" w:eastAsia="en-GB"/>
              </w:rPr>
              <w:t>д. е.</w:t>
            </w:r>
            <w:r w:rsidRPr="00170D8F">
              <w:rPr>
                <w:sz w:val="19"/>
                <w:szCs w:val="20"/>
                <w:lang w:val="ru-RU" w:eastAsia="en-GB"/>
              </w:rPr>
              <w:t xml:space="preserve"> – 9 000 </w:t>
            </w:r>
            <w:r w:rsidR="00730672">
              <w:rPr>
                <w:sz w:val="19"/>
                <w:szCs w:val="20"/>
                <w:lang w:val="ru-RU" w:eastAsia="en-GB"/>
              </w:rPr>
              <w:t>д. е.</w:t>
            </w:r>
            <w:r w:rsidRPr="00170D8F">
              <w:rPr>
                <w:sz w:val="19"/>
                <w:szCs w:val="20"/>
                <w:lang w:val="ru-RU" w:eastAsia="en-GB"/>
              </w:rPr>
              <w:t xml:space="preserve">). Балансовая стоимость оставшейся у организации части равна 1 000 </w:t>
            </w:r>
            <w:r w:rsidR="00730672">
              <w:rPr>
                <w:sz w:val="19"/>
                <w:szCs w:val="20"/>
                <w:lang w:val="ru-RU" w:eastAsia="en-GB"/>
              </w:rPr>
              <w:t>д. е.</w:t>
            </w:r>
          </w:p>
        </w:tc>
      </w:tr>
      <w:tr w:rsidR="002502EB" w:rsidRPr="00A925BF" w:rsidTr="00075571">
        <w:trPr>
          <w:cantSplit/>
        </w:trPr>
        <w:tc>
          <w:tcPr>
            <w:tcW w:w="8244" w:type="dxa"/>
            <w:gridSpan w:val="9"/>
            <w:tcBorders>
              <w:top w:val="nil"/>
              <w:left w:val="single" w:sz="4" w:space="0" w:color="auto"/>
              <w:right w:val="single" w:sz="4" w:space="0" w:color="auto"/>
            </w:tcBorders>
            <w:vAlign w:val="bottom"/>
          </w:tcPr>
          <w:p w:rsidR="002502EB" w:rsidRPr="00170D8F" w:rsidRDefault="002502EB" w:rsidP="005C653C">
            <w:pPr>
              <w:autoSpaceDE w:val="0"/>
              <w:autoSpaceDN w:val="0"/>
              <w:adjustRightInd w:val="0"/>
              <w:spacing w:before="120"/>
              <w:jc w:val="both"/>
              <w:rPr>
                <w:sz w:val="19"/>
                <w:szCs w:val="20"/>
                <w:lang w:val="ru-RU" w:eastAsia="en-GB"/>
              </w:rPr>
            </w:pPr>
            <w:r w:rsidRPr="00170D8F">
              <w:rPr>
                <w:sz w:val="19"/>
                <w:szCs w:val="20"/>
                <w:lang w:val="ru-RU" w:eastAsia="en-GB"/>
              </w:rPr>
              <w:t xml:space="preserve">Кроме того, организация признает свое продолжающееся участие, являющееся результатом субординирования оставшейся у нее доли участия в отношении кредитных убытков. Соответственно, организация признает актив в размере 1 000 </w:t>
            </w:r>
            <w:r w:rsidR="00730672">
              <w:rPr>
                <w:sz w:val="19"/>
                <w:szCs w:val="20"/>
                <w:lang w:val="ru-RU" w:eastAsia="en-GB"/>
              </w:rPr>
              <w:t>д. е.</w:t>
            </w:r>
            <w:r w:rsidRPr="00170D8F">
              <w:rPr>
                <w:sz w:val="19"/>
                <w:szCs w:val="20"/>
                <w:lang w:val="ru-RU" w:eastAsia="en-GB"/>
              </w:rPr>
              <w:t xml:space="preserve"> (максимальная сумма денежных средств, которые она не получила бы в результате субординирования) и связанное с ним обязательство в размере 1 065 </w:t>
            </w:r>
            <w:r w:rsidR="00730672">
              <w:rPr>
                <w:sz w:val="19"/>
                <w:szCs w:val="20"/>
                <w:lang w:val="ru-RU" w:eastAsia="en-GB"/>
              </w:rPr>
              <w:t>д. е.</w:t>
            </w:r>
            <w:r w:rsidRPr="00170D8F">
              <w:rPr>
                <w:sz w:val="19"/>
                <w:szCs w:val="20"/>
                <w:lang w:val="ru-RU" w:eastAsia="en-GB"/>
              </w:rPr>
              <w:t xml:space="preserve"> (представляющее собой максимальную сумму денежных средств, которые она может не получить в результате субординирования, т. е. 1 000 </w:t>
            </w:r>
            <w:r w:rsidR="00730672">
              <w:rPr>
                <w:sz w:val="19"/>
                <w:szCs w:val="20"/>
                <w:lang w:val="ru-RU" w:eastAsia="en-GB"/>
              </w:rPr>
              <w:t>д. е.</w:t>
            </w:r>
            <w:r w:rsidRPr="00170D8F">
              <w:rPr>
                <w:sz w:val="19"/>
                <w:szCs w:val="20"/>
                <w:lang w:val="ru-RU" w:eastAsia="en-GB"/>
              </w:rPr>
              <w:t xml:space="preserve"> плюс справедливая стоимость механизма субординирования, составляющая 65 </w:t>
            </w:r>
            <w:r w:rsidR="00730672">
              <w:rPr>
                <w:sz w:val="19"/>
                <w:szCs w:val="20"/>
                <w:lang w:val="ru-RU" w:eastAsia="en-GB"/>
              </w:rPr>
              <w:t>д. е.</w:t>
            </w:r>
            <w:r w:rsidRPr="00170D8F">
              <w:rPr>
                <w:sz w:val="19"/>
                <w:szCs w:val="20"/>
                <w:lang w:val="ru-RU" w:eastAsia="en-GB"/>
              </w:rPr>
              <w:t>).</w:t>
            </w:r>
          </w:p>
        </w:tc>
      </w:tr>
      <w:tr w:rsidR="002502EB" w:rsidRPr="00A925BF" w:rsidTr="00075571">
        <w:trPr>
          <w:cantSplit/>
        </w:trPr>
        <w:tc>
          <w:tcPr>
            <w:tcW w:w="8244" w:type="dxa"/>
            <w:gridSpan w:val="9"/>
            <w:tcBorders>
              <w:top w:val="nil"/>
              <w:left w:val="single" w:sz="4" w:space="0" w:color="auto"/>
              <w:right w:val="single" w:sz="4" w:space="0" w:color="auto"/>
            </w:tcBorders>
            <w:vAlign w:val="bottom"/>
          </w:tcPr>
          <w:p w:rsidR="002502EB" w:rsidRPr="00170D8F" w:rsidRDefault="002502EB" w:rsidP="005C653C">
            <w:pPr>
              <w:autoSpaceDE w:val="0"/>
              <w:autoSpaceDN w:val="0"/>
              <w:adjustRightInd w:val="0"/>
              <w:spacing w:before="120"/>
              <w:jc w:val="both"/>
              <w:rPr>
                <w:sz w:val="19"/>
                <w:szCs w:val="20"/>
                <w:lang w:val="ru-RU" w:eastAsia="en-GB"/>
              </w:rPr>
            </w:pPr>
            <w:r w:rsidRPr="00170D8F">
              <w:rPr>
                <w:sz w:val="19"/>
                <w:szCs w:val="20"/>
                <w:lang w:val="ru-RU" w:eastAsia="en-GB"/>
              </w:rPr>
              <w:t>Организация использует всю вышеуказанную информацию для отражения в учете данной сделки следующим образом:</w:t>
            </w:r>
          </w:p>
        </w:tc>
      </w:tr>
      <w:tr w:rsidR="002502EB" w:rsidRPr="00170D8F" w:rsidTr="00075571">
        <w:trPr>
          <w:cantSplit/>
        </w:trPr>
        <w:tc>
          <w:tcPr>
            <w:tcW w:w="2784" w:type="dxa"/>
            <w:tcBorders>
              <w:top w:val="nil"/>
              <w:left w:val="single" w:sz="4" w:space="0" w:color="auto"/>
            </w:tcBorders>
            <w:vAlign w:val="bottom"/>
          </w:tcPr>
          <w:p w:rsidR="002502EB" w:rsidRPr="00170D8F" w:rsidRDefault="002502EB" w:rsidP="00075571">
            <w:pPr>
              <w:pStyle w:val="IASBTableArial"/>
              <w:rPr>
                <w:lang w:val="ru-RU"/>
              </w:rPr>
            </w:pPr>
          </w:p>
        </w:tc>
        <w:tc>
          <w:tcPr>
            <w:tcW w:w="1547" w:type="dxa"/>
            <w:tcBorders>
              <w:top w:val="nil"/>
              <w:left w:val="nil"/>
            </w:tcBorders>
            <w:vAlign w:val="bottom"/>
          </w:tcPr>
          <w:p w:rsidR="002502EB" w:rsidRPr="00170D8F" w:rsidRDefault="002502EB" w:rsidP="00075571">
            <w:pPr>
              <w:pStyle w:val="IASBTableArial"/>
              <w:rPr>
                <w:lang w:val="ru-RU"/>
              </w:rPr>
            </w:pPr>
          </w:p>
        </w:tc>
        <w:tc>
          <w:tcPr>
            <w:tcW w:w="273" w:type="dxa"/>
            <w:tcBorders>
              <w:top w:val="nil"/>
              <w:left w:val="nil"/>
            </w:tcBorders>
            <w:vAlign w:val="bottom"/>
          </w:tcPr>
          <w:p w:rsidR="002502EB" w:rsidRPr="00170D8F" w:rsidRDefault="002502EB" w:rsidP="00075571">
            <w:pPr>
              <w:pStyle w:val="IASBTableArial"/>
              <w:jc w:val="right"/>
              <w:rPr>
                <w:lang w:val="ru-RU"/>
              </w:rPr>
            </w:pPr>
          </w:p>
        </w:tc>
        <w:tc>
          <w:tcPr>
            <w:tcW w:w="1547" w:type="dxa"/>
            <w:gridSpan w:val="3"/>
            <w:tcBorders>
              <w:top w:val="nil"/>
              <w:left w:val="nil"/>
            </w:tcBorders>
          </w:tcPr>
          <w:p w:rsidR="002502EB" w:rsidRPr="00170D8F" w:rsidRDefault="002502EB" w:rsidP="00075571">
            <w:pPr>
              <w:pStyle w:val="IASBTableArial"/>
              <w:jc w:val="right"/>
              <w:rPr>
                <w:lang w:val="ru-RU"/>
              </w:rPr>
            </w:pPr>
            <w:r w:rsidRPr="00170D8F">
              <w:rPr>
                <w:i/>
                <w:lang w:val="ru-RU"/>
              </w:rPr>
              <w:t>Дебет</w:t>
            </w:r>
          </w:p>
        </w:tc>
        <w:tc>
          <w:tcPr>
            <w:tcW w:w="273" w:type="dxa"/>
            <w:tcBorders>
              <w:top w:val="nil"/>
              <w:left w:val="nil"/>
            </w:tcBorders>
            <w:vAlign w:val="bottom"/>
          </w:tcPr>
          <w:p w:rsidR="002502EB" w:rsidRPr="00170D8F" w:rsidRDefault="002502EB" w:rsidP="00075571">
            <w:pPr>
              <w:pStyle w:val="IASBTableArial"/>
              <w:rPr>
                <w:lang w:val="ru-RU"/>
              </w:rPr>
            </w:pPr>
          </w:p>
        </w:tc>
        <w:tc>
          <w:tcPr>
            <w:tcW w:w="1547" w:type="dxa"/>
            <w:tcBorders>
              <w:top w:val="nil"/>
              <w:left w:val="nil"/>
            </w:tcBorders>
          </w:tcPr>
          <w:p w:rsidR="002502EB" w:rsidRPr="00170D8F" w:rsidRDefault="002502EB" w:rsidP="00075571">
            <w:pPr>
              <w:pStyle w:val="IASBTableArial"/>
              <w:jc w:val="right"/>
              <w:rPr>
                <w:lang w:val="ru-RU"/>
              </w:rPr>
            </w:pPr>
            <w:r w:rsidRPr="00170D8F">
              <w:rPr>
                <w:i/>
                <w:lang w:val="ru-RU"/>
              </w:rPr>
              <w:t>Кредит</w:t>
            </w:r>
          </w:p>
        </w:tc>
        <w:tc>
          <w:tcPr>
            <w:tcW w:w="273" w:type="dxa"/>
            <w:tcBorders>
              <w:top w:val="nil"/>
              <w:left w:val="nil"/>
              <w:right w:val="single" w:sz="4" w:space="0" w:color="auto"/>
            </w:tcBorders>
            <w:vAlign w:val="bottom"/>
          </w:tcPr>
          <w:p w:rsidR="002502EB" w:rsidRPr="00170D8F" w:rsidRDefault="002502EB" w:rsidP="00075571">
            <w:pPr>
              <w:pStyle w:val="IASBTableArial"/>
              <w:rPr>
                <w:lang w:val="ru-RU"/>
              </w:rPr>
            </w:pPr>
          </w:p>
        </w:tc>
      </w:tr>
      <w:tr w:rsidR="002502EB" w:rsidRPr="00170D8F" w:rsidTr="00075571">
        <w:trPr>
          <w:cantSplit/>
        </w:trPr>
        <w:tc>
          <w:tcPr>
            <w:tcW w:w="2784" w:type="dxa"/>
            <w:tcBorders>
              <w:top w:val="nil"/>
              <w:left w:val="single" w:sz="4" w:space="0" w:color="auto"/>
            </w:tcBorders>
            <w:vAlign w:val="bottom"/>
          </w:tcPr>
          <w:p w:rsidR="002502EB" w:rsidRPr="00170D8F" w:rsidRDefault="002502EB" w:rsidP="00075571">
            <w:pPr>
              <w:pStyle w:val="IASBTableArial"/>
              <w:rPr>
                <w:lang w:val="ru-RU"/>
              </w:rPr>
            </w:pPr>
            <w:r w:rsidRPr="00170D8F">
              <w:rPr>
                <w:lang w:val="ru-RU"/>
              </w:rPr>
              <w:t>Первоначальный актив</w:t>
            </w:r>
          </w:p>
        </w:tc>
        <w:tc>
          <w:tcPr>
            <w:tcW w:w="1547" w:type="dxa"/>
            <w:tcBorders>
              <w:top w:val="nil"/>
              <w:left w:val="nil"/>
            </w:tcBorders>
            <w:vAlign w:val="bottom"/>
          </w:tcPr>
          <w:p w:rsidR="002502EB" w:rsidRPr="00170D8F" w:rsidRDefault="002502EB" w:rsidP="00075571">
            <w:pPr>
              <w:pStyle w:val="IASBTableArial"/>
              <w:rPr>
                <w:lang w:val="ru-RU"/>
              </w:rPr>
            </w:pPr>
          </w:p>
        </w:tc>
        <w:tc>
          <w:tcPr>
            <w:tcW w:w="273" w:type="dxa"/>
            <w:tcBorders>
              <w:top w:val="nil"/>
              <w:left w:val="nil"/>
            </w:tcBorders>
            <w:vAlign w:val="bottom"/>
          </w:tcPr>
          <w:p w:rsidR="002502EB" w:rsidRPr="00170D8F" w:rsidRDefault="002502EB" w:rsidP="00075571">
            <w:pPr>
              <w:pStyle w:val="IASBTableArial"/>
              <w:jc w:val="right"/>
              <w:rPr>
                <w:lang w:val="ru-RU"/>
              </w:rPr>
            </w:pPr>
          </w:p>
        </w:tc>
        <w:tc>
          <w:tcPr>
            <w:tcW w:w="1547" w:type="dxa"/>
            <w:gridSpan w:val="3"/>
            <w:tcBorders>
              <w:top w:val="nil"/>
              <w:left w:val="nil"/>
            </w:tcBorders>
            <w:vAlign w:val="bottom"/>
          </w:tcPr>
          <w:p w:rsidR="002502EB" w:rsidRPr="00170D8F" w:rsidRDefault="002502EB" w:rsidP="00075571">
            <w:pPr>
              <w:pStyle w:val="IASBTableArial"/>
              <w:jc w:val="right"/>
              <w:rPr>
                <w:lang w:val="ru-RU"/>
              </w:rPr>
            </w:pPr>
            <w:r w:rsidRPr="00170D8F">
              <w:rPr>
                <w:lang w:val="ru-RU"/>
              </w:rPr>
              <w:t>—</w:t>
            </w:r>
          </w:p>
        </w:tc>
        <w:tc>
          <w:tcPr>
            <w:tcW w:w="273" w:type="dxa"/>
            <w:tcBorders>
              <w:top w:val="nil"/>
              <w:left w:val="nil"/>
            </w:tcBorders>
            <w:vAlign w:val="bottom"/>
          </w:tcPr>
          <w:p w:rsidR="002502EB" w:rsidRPr="00170D8F" w:rsidRDefault="002502EB" w:rsidP="00075571">
            <w:pPr>
              <w:pStyle w:val="IASBTableArial"/>
              <w:rPr>
                <w:lang w:val="ru-RU"/>
              </w:rPr>
            </w:pPr>
          </w:p>
        </w:tc>
        <w:tc>
          <w:tcPr>
            <w:tcW w:w="1547" w:type="dxa"/>
            <w:tcBorders>
              <w:top w:val="nil"/>
              <w:left w:val="nil"/>
            </w:tcBorders>
            <w:vAlign w:val="bottom"/>
          </w:tcPr>
          <w:p w:rsidR="002502EB" w:rsidRPr="00170D8F" w:rsidRDefault="002502EB" w:rsidP="00075571">
            <w:pPr>
              <w:pStyle w:val="IASBTableArial"/>
              <w:jc w:val="right"/>
              <w:rPr>
                <w:lang w:val="ru-RU"/>
              </w:rPr>
            </w:pPr>
            <w:r w:rsidRPr="00170D8F">
              <w:rPr>
                <w:lang w:val="ru-RU"/>
              </w:rPr>
              <w:t>9 000</w:t>
            </w:r>
          </w:p>
        </w:tc>
        <w:tc>
          <w:tcPr>
            <w:tcW w:w="273" w:type="dxa"/>
            <w:tcBorders>
              <w:top w:val="nil"/>
              <w:left w:val="nil"/>
              <w:right w:val="single" w:sz="4" w:space="0" w:color="auto"/>
            </w:tcBorders>
            <w:vAlign w:val="bottom"/>
          </w:tcPr>
          <w:p w:rsidR="002502EB" w:rsidRPr="00170D8F" w:rsidRDefault="002502EB" w:rsidP="00075571">
            <w:pPr>
              <w:pStyle w:val="IASBTableArial"/>
              <w:rPr>
                <w:lang w:val="ru-RU"/>
              </w:rPr>
            </w:pPr>
          </w:p>
        </w:tc>
      </w:tr>
      <w:tr w:rsidR="002502EB" w:rsidRPr="00170D8F" w:rsidTr="00075571">
        <w:trPr>
          <w:cantSplit/>
        </w:trPr>
        <w:tc>
          <w:tcPr>
            <w:tcW w:w="4331" w:type="dxa"/>
            <w:gridSpan w:val="2"/>
            <w:tcBorders>
              <w:top w:val="nil"/>
              <w:left w:val="single" w:sz="4" w:space="0" w:color="auto"/>
            </w:tcBorders>
            <w:vAlign w:val="bottom"/>
          </w:tcPr>
          <w:p w:rsidR="002502EB" w:rsidRPr="00170D8F" w:rsidRDefault="002502EB" w:rsidP="00075571">
            <w:pPr>
              <w:pStyle w:val="IASBTableArial"/>
              <w:rPr>
                <w:lang w:val="ru-RU"/>
              </w:rPr>
            </w:pPr>
            <w:r w:rsidRPr="00170D8F">
              <w:rPr>
                <w:lang w:val="ru-RU"/>
              </w:rPr>
              <w:t>Актив, признанный вследствие субординирования оставшейся доли</w:t>
            </w:r>
          </w:p>
        </w:tc>
        <w:tc>
          <w:tcPr>
            <w:tcW w:w="273" w:type="dxa"/>
            <w:tcBorders>
              <w:top w:val="nil"/>
              <w:left w:val="nil"/>
            </w:tcBorders>
            <w:vAlign w:val="bottom"/>
          </w:tcPr>
          <w:p w:rsidR="002502EB" w:rsidRPr="00170D8F" w:rsidRDefault="002502EB" w:rsidP="00075571">
            <w:pPr>
              <w:pStyle w:val="IASBTableArial"/>
              <w:jc w:val="right"/>
              <w:rPr>
                <w:lang w:val="ru-RU"/>
              </w:rPr>
            </w:pPr>
          </w:p>
        </w:tc>
        <w:tc>
          <w:tcPr>
            <w:tcW w:w="1547" w:type="dxa"/>
            <w:gridSpan w:val="3"/>
            <w:tcBorders>
              <w:top w:val="nil"/>
              <w:left w:val="nil"/>
            </w:tcBorders>
            <w:vAlign w:val="bottom"/>
          </w:tcPr>
          <w:p w:rsidR="002502EB" w:rsidRPr="00170D8F" w:rsidRDefault="002502EB" w:rsidP="00075571">
            <w:pPr>
              <w:pStyle w:val="IASBTableArial"/>
              <w:jc w:val="right"/>
              <w:rPr>
                <w:lang w:val="ru-RU"/>
              </w:rPr>
            </w:pPr>
            <w:r w:rsidRPr="00170D8F">
              <w:rPr>
                <w:lang w:val="ru-RU"/>
              </w:rPr>
              <w:t>1 000</w:t>
            </w:r>
          </w:p>
        </w:tc>
        <w:tc>
          <w:tcPr>
            <w:tcW w:w="273" w:type="dxa"/>
            <w:tcBorders>
              <w:top w:val="nil"/>
              <w:left w:val="nil"/>
            </w:tcBorders>
            <w:vAlign w:val="bottom"/>
          </w:tcPr>
          <w:p w:rsidR="002502EB" w:rsidRPr="00170D8F" w:rsidRDefault="002502EB" w:rsidP="00075571">
            <w:pPr>
              <w:pStyle w:val="IASBTableArial"/>
              <w:rPr>
                <w:lang w:val="ru-RU"/>
              </w:rPr>
            </w:pPr>
          </w:p>
        </w:tc>
        <w:tc>
          <w:tcPr>
            <w:tcW w:w="1547" w:type="dxa"/>
            <w:tcBorders>
              <w:top w:val="nil"/>
              <w:left w:val="nil"/>
            </w:tcBorders>
            <w:vAlign w:val="bottom"/>
          </w:tcPr>
          <w:p w:rsidR="002502EB" w:rsidRPr="00170D8F" w:rsidRDefault="002502EB" w:rsidP="00075571">
            <w:pPr>
              <w:pStyle w:val="IASBTableArial"/>
              <w:jc w:val="right"/>
              <w:rPr>
                <w:lang w:val="ru-RU"/>
              </w:rPr>
            </w:pPr>
            <w:r w:rsidRPr="00170D8F">
              <w:rPr>
                <w:lang w:val="ru-RU"/>
              </w:rPr>
              <w:t>—</w:t>
            </w:r>
          </w:p>
        </w:tc>
        <w:tc>
          <w:tcPr>
            <w:tcW w:w="273" w:type="dxa"/>
            <w:tcBorders>
              <w:top w:val="nil"/>
              <w:left w:val="nil"/>
              <w:right w:val="single" w:sz="4" w:space="0" w:color="auto"/>
            </w:tcBorders>
            <w:vAlign w:val="bottom"/>
          </w:tcPr>
          <w:p w:rsidR="002502EB" w:rsidRPr="00170D8F" w:rsidRDefault="002502EB" w:rsidP="00075571">
            <w:pPr>
              <w:pStyle w:val="IASBTableArial"/>
              <w:rPr>
                <w:lang w:val="ru-RU"/>
              </w:rPr>
            </w:pPr>
          </w:p>
        </w:tc>
      </w:tr>
      <w:tr w:rsidR="002502EB" w:rsidRPr="00170D8F" w:rsidTr="00075571">
        <w:trPr>
          <w:cantSplit/>
        </w:trPr>
        <w:tc>
          <w:tcPr>
            <w:tcW w:w="4331" w:type="dxa"/>
            <w:gridSpan w:val="2"/>
            <w:tcBorders>
              <w:top w:val="nil"/>
              <w:left w:val="single" w:sz="4" w:space="0" w:color="auto"/>
            </w:tcBorders>
            <w:vAlign w:val="bottom"/>
          </w:tcPr>
          <w:p w:rsidR="002502EB" w:rsidRPr="00170D8F" w:rsidRDefault="002502EB" w:rsidP="00075571">
            <w:pPr>
              <w:pStyle w:val="IASBTableArial"/>
              <w:rPr>
                <w:lang w:val="ru-RU"/>
              </w:rPr>
            </w:pPr>
            <w:r w:rsidRPr="00170D8F">
              <w:rPr>
                <w:lang w:val="ru-RU"/>
              </w:rPr>
              <w:t>Актив в отношении возмещения, полученного в форме спрэда</w:t>
            </w:r>
          </w:p>
        </w:tc>
        <w:tc>
          <w:tcPr>
            <w:tcW w:w="273" w:type="dxa"/>
            <w:tcBorders>
              <w:top w:val="nil"/>
              <w:left w:val="nil"/>
            </w:tcBorders>
            <w:vAlign w:val="bottom"/>
          </w:tcPr>
          <w:p w:rsidR="002502EB" w:rsidRPr="00170D8F" w:rsidRDefault="002502EB" w:rsidP="00075571">
            <w:pPr>
              <w:pStyle w:val="IASBTableArial"/>
              <w:jc w:val="right"/>
              <w:rPr>
                <w:lang w:val="ru-RU"/>
              </w:rPr>
            </w:pPr>
          </w:p>
        </w:tc>
        <w:tc>
          <w:tcPr>
            <w:tcW w:w="1547" w:type="dxa"/>
            <w:gridSpan w:val="3"/>
            <w:tcBorders>
              <w:top w:val="nil"/>
              <w:left w:val="nil"/>
            </w:tcBorders>
            <w:vAlign w:val="bottom"/>
          </w:tcPr>
          <w:p w:rsidR="002502EB" w:rsidRPr="00170D8F" w:rsidRDefault="002502EB" w:rsidP="00075571">
            <w:pPr>
              <w:pStyle w:val="IASBTableArial"/>
              <w:jc w:val="right"/>
              <w:rPr>
                <w:lang w:val="ru-RU"/>
              </w:rPr>
            </w:pPr>
            <w:r w:rsidRPr="00170D8F">
              <w:rPr>
                <w:lang w:val="ru-RU"/>
              </w:rPr>
              <w:t>40</w:t>
            </w:r>
          </w:p>
        </w:tc>
        <w:tc>
          <w:tcPr>
            <w:tcW w:w="273" w:type="dxa"/>
            <w:tcBorders>
              <w:top w:val="nil"/>
              <w:left w:val="nil"/>
            </w:tcBorders>
            <w:vAlign w:val="bottom"/>
          </w:tcPr>
          <w:p w:rsidR="002502EB" w:rsidRPr="00170D8F" w:rsidRDefault="002502EB" w:rsidP="00075571">
            <w:pPr>
              <w:pStyle w:val="IASBTableArial"/>
              <w:rPr>
                <w:lang w:val="ru-RU"/>
              </w:rPr>
            </w:pPr>
          </w:p>
        </w:tc>
        <w:tc>
          <w:tcPr>
            <w:tcW w:w="1547" w:type="dxa"/>
            <w:tcBorders>
              <w:top w:val="nil"/>
              <w:left w:val="nil"/>
            </w:tcBorders>
            <w:vAlign w:val="bottom"/>
          </w:tcPr>
          <w:p w:rsidR="002502EB" w:rsidRPr="00170D8F" w:rsidRDefault="002502EB" w:rsidP="00075571">
            <w:pPr>
              <w:pStyle w:val="IASBTableArial"/>
              <w:jc w:val="right"/>
              <w:rPr>
                <w:lang w:val="ru-RU"/>
              </w:rPr>
            </w:pPr>
            <w:r w:rsidRPr="00170D8F">
              <w:rPr>
                <w:lang w:val="ru-RU"/>
              </w:rPr>
              <w:t>—</w:t>
            </w:r>
          </w:p>
        </w:tc>
        <w:tc>
          <w:tcPr>
            <w:tcW w:w="273" w:type="dxa"/>
            <w:tcBorders>
              <w:top w:val="nil"/>
              <w:left w:val="nil"/>
              <w:right w:val="single" w:sz="4" w:space="0" w:color="auto"/>
            </w:tcBorders>
            <w:vAlign w:val="bottom"/>
          </w:tcPr>
          <w:p w:rsidR="002502EB" w:rsidRPr="00170D8F" w:rsidRDefault="002502EB" w:rsidP="00075571">
            <w:pPr>
              <w:pStyle w:val="IASBTableArial"/>
              <w:rPr>
                <w:lang w:val="ru-RU"/>
              </w:rPr>
            </w:pPr>
          </w:p>
        </w:tc>
      </w:tr>
      <w:tr w:rsidR="002502EB" w:rsidRPr="00170D8F" w:rsidTr="00075571">
        <w:trPr>
          <w:cantSplit/>
        </w:trPr>
        <w:tc>
          <w:tcPr>
            <w:tcW w:w="4331" w:type="dxa"/>
            <w:gridSpan w:val="2"/>
            <w:tcBorders>
              <w:top w:val="nil"/>
              <w:left w:val="single" w:sz="4" w:space="0" w:color="auto"/>
            </w:tcBorders>
            <w:vAlign w:val="bottom"/>
          </w:tcPr>
          <w:p w:rsidR="002502EB" w:rsidRPr="00170D8F" w:rsidRDefault="002502EB" w:rsidP="00075571">
            <w:pPr>
              <w:pStyle w:val="IASBTableArial"/>
              <w:rPr>
                <w:lang w:val="ru-RU"/>
              </w:rPr>
            </w:pPr>
            <w:r w:rsidRPr="00170D8F">
              <w:rPr>
                <w:lang w:val="ru-RU"/>
              </w:rPr>
              <w:t>Прибыль или убыток (прибыль при передаче)</w:t>
            </w:r>
          </w:p>
        </w:tc>
        <w:tc>
          <w:tcPr>
            <w:tcW w:w="273" w:type="dxa"/>
            <w:tcBorders>
              <w:top w:val="nil"/>
              <w:left w:val="nil"/>
            </w:tcBorders>
            <w:vAlign w:val="bottom"/>
          </w:tcPr>
          <w:p w:rsidR="002502EB" w:rsidRPr="00170D8F" w:rsidRDefault="002502EB" w:rsidP="00075571">
            <w:pPr>
              <w:pStyle w:val="IASBTableArial"/>
              <w:jc w:val="right"/>
              <w:rPr>
                <w:lang w:val="ru-RU"/>
              </w:rPr>
            </w:pPr>
          </w:p>
        </w:tc>
        <w:tc>
          <w:tcPr>
            <w:tcW w:w="1547" w:type="dxa"/>
            <w:gridSpan w:val="3"/>
            <w:tcBorders>
              <w:top w:val="nil"/>
              <w:left w:val="nil"/>
            </w:tcBorders>
            <w:vAlign w:val="bottom"/>
          </w:tcPr>
          <w:p w:rsidR="002502EB" w:rsidRPr="00170D8F" w:rsidRDefault="002502EB" w:rsidP="00075571">
            <w:pPr>
              <w:pStyle w:val="IASBTableArial"/>
              <w:jc w:val="right"/>
              <w:rPr>
                <w:lang w:val="ru-RU"/>
              </w:rPr>
            </w:pPr>
            <w:r w:rsidRPr="00170D8F">
              <w:rPr>
                <w:lang w:val="ru-RU"/>
              </w:rPr>
              <w:t>—</w:t>
            </w:r>
          </w:p>
        </w:tc>
        <w:tc>
          <w:tcPr>
            <w:tcW w:w="273" w:type="dxa"/>
            <w:tcBorders>
              <w:top w:val="nil"/>
              <w:left w:val="nil"/>
            </w:tcBorders>
            <w:vAlign w:val="bottom"/>
          </w:tcPr>
          <w:p w:rsidR="002502EB" w:rsidRPr="00170D8F" w:rsidRDefault="002502EB" w:rsidP="00075571">
            <w:pPr>
              <w:pStyle w:val="IASBTableArial"/>
              <w:rPr>
                <w:lang w:val="ru-RU"/>
              </w:rPr>
            </w:pPr>
          </w:p>
        </w:tc>
        <w:tc>
          <w:tcPr>
            <w:tcW w:w="1547" w:type="dxa"/>
            <w:tcBorders>
              <w:top w:val="nil"/>
              <w:left w:val="nil"/>
            </w:tcBorders>
            <w:vAlign w:val="bottom"/>
          </w:tcPr>
          <w:p w:rsidR="002502EB" w:rsidRPr="00170D8F" w:rsidRDefault="002502EB" w:rsidP="00075571">
            <w:pPr>
              <w:pStyle w:val="IASBTableArial"/>
              <w:jc w:val="right"/>
              <w:rPr>
                <w:lang w:val="ru-RU"/>
              </w:rPr>
            </w:pPr>
            <w:r w:rsidRPr="00170D8F">
              <w:rPr>
                <w:lang w:val="ru-RU"/>
              </w:rPr>
              <w:t>90</w:t>
            </w:r>
          </w:p>
        </w:tc>
        <w:tc>
          <w:tcPr>
            <w:tcW w:w="273" w:type="dxa"/>
            <w:tcBorders>
              <w:top w:val="nil"/>
              <w:left w:val="nil"/>
              <w:right w:val="single" w:sz="4" w:space="0" w:color="auto"/>
            </w:tcBorders>
            <w:vAlign w:val="bottom"/>
          </w:tcPr>
          <w:p w:rsidR="002502EB" w:rsidRPr="00170D8F" w:rsidRDefault="002502EB" w:rsidP="00075571">
            <w:pPr>
              <w:pStyle w:val="IASBTableArial"/>
              <w:rPr>
                <w:lang w:val="ru-RU"/>
              </w:rPr>
            </w:pPr>
          </w:p>
        </w:tc>
      </w:tr>
      <w:tr w:rsidR="002502EB" w:rsidRPr="00170D8F" w:rsidTr="00075571">
        <w:trPr>
          <w:cantSplit/>
        </w:trPr>
        <w:tc>
          <w:tcPr>
            <w:tcW w:w="2784" w:type="dxa"/>
            <w:tcBorders>
              <w:top w:val="nil"/>
              <w:left w:val="single" w:sz="4" w:space="0" w:color="auto"/>
            </w:tcBorders>
            <w:vAlign w:val="bottom"/>
          </w:tcPr>
          <w:p w:rsidR="002502EB" w:rsidRPr="00170D8F" w:rsidRDefault="002502EB" w:rsidP="00075571">
            <w:pPr>
              <w:pStyle w:val="IASBTableArial"/>
              <w:rPr>
                <w:lang w:val="ru-RU"/>
              </w:rPr>
            </w:pPr>
            <w:r w:rsidRPr="00170D8F">
              <w:rPr>
                <w:lang w:val="ru-RU"/>
              </w:rPr>
              <w:t>Обязательство</w:t>
            </w:r>
          </w:p>
        </w:tc>
        <w:tc>
          <w:tcPr>
            <w:tcW w:w="1547" w:type="dxa"/>
            <w:tcBorders>
              <w:top w:val="nil"/>
              <w:left w:val="nil"/>
            </w:tcBorders>
            <w:vAlign w:val="bottom"/>
          </w:tcPr>
          <w:p w:rsidR="002502EB" w:rsidRPr="00170D8F" w:rsidRDefault="002502EB" w:rsidP="00075571">
            <w:pPr>
              <w:pStyle w:val="IASBTableArial"/>
              <w:rPr>
                <w:lang w:val="ru-RU"/>
              </w:rPr>
            </w:pPr>
          </w:p>
        </w:tc>
        <w:tc>
          <w:tcPr>
            <w:tcW w:w="273" w:type="dxa"/>
            <w:tcBorders>
              <w:top w:val="nil"/>
              <w:left w:val="nil"/>
            </w:tcBorders>
            <w:vAlign w:val="bottom"/>
          </w:tcPr>
          <w:p w:rsidR="002502EB" w:rsidRPr="00170D8F" w:rsidRDefault="002502EB" w:rsidP="00075571">
            <w:pPr>
              <w:pStyle w:val="IASBTableArial"/>
              <w:jc w:val="right"/>
              <w:rPr>
                <w:lang w:val="ru-RU"/>
              </w:rPr>
            </w:pPr>
          </w:p>
        </w:tc>
        <w:tc>
          <w:tcPr>
            <w:tcW w:w="1547" w:type="dxa"/>
            <w:gridSpan w:val="3"/>
            <w:tcBorders>
              <w:top w:val="nil"/>
              <w:left w:val="nil"/>
            </w:tcBorders>
            <w:vAlign w:val="bottom"/>
          </w:tcPr>
          <w:p w:rsidR="002502EB" w:rsidRPr="00170D8F" w:rsidRDefault="002502EB" w:rsidP="00075571">
            <w:pPr>
              <w:pStyle w:val="IASBTableArial"/>
              <w:jc w:val="right"/>
              <w:rPr>
                <w:lang w:val="ru-RU"/>
              </w:rPr>
            </w:pPr>
            <w:r w:rsidRPr="00170D8F">
              <w:rPr>
                <w:lang w:val="ru-RU"/>
              </w:rPr>
              <w:t>—</w:t>
            </w:r>
          </w:p>
        </w:tc>
        <w:tc>
          <w:tcPr>
            <w:tcW w:w="273" w:type="dxa"/>
            <w:tcBorders>
              <w:top w:val="nil"/>
              <w:left w:val="nil"/>
            </w:tcBorders>
            <w:vAlign w:val="bottom"/>
          </w:tcPr>
          <w:p w:rsidR="002502EB" w:rsidRPr="00170D8F" w:rsidRDefault="002502EB" w:rsidP="00075571">
            <w:pPr>
              <w:pStyle w:val="IASBTableArial"/>
              <w:rPr>
                <w:lang w:val="ru-RU"/>
              </w:rPr>
            </w:pPr>
          </w:p>
        </w:tc>
        <w:tc>
          <w:tcPr>
            <w:tcW w:w="1547" w:type="dxa"/>
            <w:tcBorders>
              <w:top w:val="nil"/>
              <w:left w:val="nil"/>
            </w:tcBorders>
            <w:vAlign w:val="bottom"/>
          </w:tcPr>
          <w:p w:rsidR="002502EB" w:rsidRPr="00170D8F" w:rsidRDefault="002502EB" w:rsidP="00075571">
            <w:pPr>
              <w:pStyle w:val="IASBTableArial"/>
              <w:jc w:val="right"/>
              <w:rPr>
                <w:lang w:val="ru-RU"/>
              </w:rPr>
            </w:pPr>
            <w:r w:rsidRPr="00170D8F">
              <w:rPr>
                <w:lang w:val="ru-RU"/>
              </w:rPr>
              <w:t>1 065</w:t>
            </w:r>
          </w:p>
        </w:tc>
        <w:tc>
          <w:tcPr>
            <w:tcW w:w="273" w:type="dxa"/>
            <w:tcBorders>
              <w:top w:val="nil"/>
              <w:left w:val="nil"/>
              <w:right w:val="single" w:sz="4" w:space="0" w:color="auto"/>
            </w:tcBorders>
            <w:vAlign w:val="bottom"/>
          </w:tcPr>
          <w:p w:rsidR="002502EB" w:rsidRPr="00170D8F" w:rsidRDefault="002502EB" w:rsidP="00075571">
            <w:pPr>
              <w:pStyle w:val="IASBTableArial"/>
              <w:rPr>
                <w:lang w:val="ru-RU"/>
              </w:rPr>
            </w:pPr>
          </w:p>
        </w:tc>
      </w:tr>
      <w:tr w:rsidR="000449D4" w:rsidRPr="00170D8F" w:rsidTr="000538E6">
        <w:trPr>
          <w:cantSplit/>
        </w:trPr>
        <w:tc>
          <w:tcPr>
            <w:tcW w:w="4331" w:type="dxa"/>
            <w:gridSpan w:val="2"/>
            <w:tcBorders>
              <w:top w:val="nil"/>
              <w:left w:val="single" w:sz="4" w:space="0" w:color="auto"/>
            </w:tcBorders>
            <w:vAlign w:val="bottom"/>
          </w:tcPr>
          <w:p w:rsidR="000449D4" w:rsidRPr="00170D8F" w:rsidRDefault="000449D4" w:rsidP="00075571">
            <w:pPr>
              <w:pStyle w:val="IASBTableArial"/>
              <w:rPr>
                <w:lang w:val="ru-RU"/>
              </w:rPr>
            </w:pPr>
            <w:r w:rsidRPr="00170D8F">
              <w:rPr>
                <w:lang w:val="ru-RU"/>
              </w:rPr>
              <w:t>Полученные денежные средства</w:t>
            </w:r>
          </w:p>
        </w:tc>
        <w:tc>
          <w:tcPr>
            <w:tcW w:w="273" w:type="dxa"/>
            <w:tcBorders>
              <w:top w:val="nil"/>
              <w:left w:val="nil"/>
            </w:tcBorders>
            <w:vAlign w:val="bottom"/>
          </w:tcPr>
          <w:p w:rsidR="000449D4" w:rsidRPr="00170D8F" w:rsidRDefault="000449D4" w:rsidP="00075571">
            <w:pPr>
              <w:pStyle w:val="IASBTableArial"/>
              <w:jc w:val="right"/>
              <w:rPr>
                <w:lang w:val="ru-RU"/>
              </w:rPr>
            </w:pPr>
          </w:p>
        </w:tc>
        <w:tc>
          <w:tcPr>
            <w:tcW w:w="1547" w:type="dxa"/>
            <w:gridSpan w:val="3"/>
            <w:tcBorders>
              <w:top w:val="nil"/>
              <w:left w:val="nil"/>
              <w:bottom w:val="single" w:sz="4" w:space="0" w:color="auto"/>
            </w:tcBorders>
            <w:vAlign w:val="bottom"/>
          </w:tcPr>
          <w:p w:rsidR="000449D4" w:rsidRPr="00170D8F" w:rsidRDefault="000449D4" w:rsidP="00075571">
            <w:pPr>
              <w:pStyle w:val="IASBTableArial"/>
              <w:jc w:val="right"/>
              <w:rPr>
                <w:lang w:val="ru-RU"/>
              </w:rPr>
            </w:pPr>
            <w:r w:rsidRPr="00170D8F">
              <w:rPr>
                <w:lang w:val="ru-RU"/>
              </w:rPr>
              <w:t>9 115</w:t>
            </w:r>
          </w:p>
        </w:tc>
        <w:tc>
          <w:tcPr>
            <w:tcW w:w="273" w:type="dxa"/>
            <w:tcBorders>
              <w:top w:val="nil"/>
              <w:left w:val="nil"/>
            </w:tcBorders>
            <w:vAlign w:val="bottom"/>
          </w:tcPr>
          <w:p w:rsidR="000449D4" w:rsidRPr="00170D8F" w:rsidRDefault="000449D4" w:rsidP="00075571">
            <w:pPr>
              <w:pStyle w:val="IASBTableArial"/>
              <w:rPr>
                <w:lang w:val="ru-RU"/>
              </w:rPr>
            </w:pPr>
          </w:p>
        </w:tc>
        <w:tc>
          <w:tcPr>
            <w:tcW w:w="1547" w:type="dxa"/>
            <w:tcBorders>
              <w:top w:val="nil"/>
              <w:left w:val="nil"/>
              <w:bottom w:val="single" w:sz="4" w:space="0" w:color="auto"/>
            </w:tcBorders>
            <w:vAlign w:val="bottom"/>
          </w:tcPr>
          <w:p w:rsidR="000449D4" w:rsidRPr="00170D8F" w:rsidRDefault="000449D4" w:rsidP="00075571">
            <w:pPr>
              <w:pStyle w:val="IASBTableArial"/>
              <w:jc w:val="right"/>
              <w:rPr>
                <w:lang w:val="ru-RU"/>
              </w:rPr>
            </w:pPr>
            <w:r w:rsidRPr="00170D8F">
              <w:rPr>
                <w:lang w:val="ru-RU"/>
              </w:rPr>
              <w:t>—</w:t>
            </w:r>
          </w:p>
        </w:tc>
        <w:tc>
          <w:tcPr>
            <w:tcW w:w="273" w:type="dxa"/>
            <w:tcBorders>
              <w:top w:val="nil"/>
              <w:left w:val="nil"/>
              <w:right w:val="single" w:sz="4" w:space="0" w:color="auto"/>
            </w:tcBorders>
            <w:vAlign w:val="bottom"/>
          </w:tcPr>
          <w:p w:rsidR="000449D4" w:rsidRPr="00170D8F" w:rsidRDefault="000449D4" w:rsidP="00075571">
            <w:pPr>
              <w:pStyle w:val="IASBTableArial"/>
              <w:rPr>
                <w:lang w:val="ru-RU"/>
              </w:rPr>
            </w:pPr>
          </w:p>
        </w:tc>
      </w:tr>
      <w:tr w:rsidR="002502EB" w:rsidRPr="00170D8F" w:rsidTr="00075571">
        <w:trPr>
          <w:cantSplit/>
        </w:trPr>
        <w:tc>
          <w:tcPr>
            <w:tcW w:w="2784" w:type="dxa"/>
            <w:tcBorders>
              <w:top w:val="nil"/>
              <w:left w:val="single" w:sz="4" w:space="0" w:color="auto"/>
            </w:tcBorders>
            <w:vAlign w:val="bottom"/>
          </w:tcPr>
          <w:p w:rsidR="002502EB" w:rsidRPr="00170D8F" w:rsidRDefault="002502EB" w:rsidP="00075571">
            <w:pPr>
              <w:pStyle w:val="IASBTableArial"/>
              <w:rPr>
                <w:lang w:val="ru-RU"/>
              </w:rPr>
            </w:pPr>
            <w:r w:rsidRPr="00170D8F">
              <w:rPr>
                <w:b/>
                <w:lang w:val="ru-RU"/>
              </w:rPr>
              <w:t>Итого</w:t>
            </w:r>
          </w:p>
        </w:tc>
        <w:tc>
          <w:tcPr>
            <w:tcW w:w="1547" w:type="dxa"/>
            <w:tcBorders>
              <w:top w:val="nil"/>
              <w:left w:val="nil"/>
            </w:tcBorders>
            <w:vAlign w:val="bottom"/>
          </w:tcPr>
          <w:p w:rsidR="002502EB" w:rsidRPr="00170D8F" w:rsidRDefault="002502EB" w:rsidP="00075571">
            <w:pPr>
              <w:pStyle w:val="IASBTableArial"/>
              <w:rPr>
                <w:lang w:val="ru-RU"/>
              </w:rPr>
            </w:pPr>
          </w:p>
        </w:tc>
        <w:tc>
          <w:tcPr>
            <w:tcW w:w="273" w:type="dxa"/>
            <w:tcBorders>
              <w:top w:val="nil"/>
              <w:left w:val="nil"/>
            </w:tcBorders>
            <w:vAlign w:val="bottom"/>
          </w:tcPr>
          <w:p w:rsidR="002502EB" w:rsidRPr="00170D8F" w:rsidRDefault="002502EB" w:rsidP="00075571">
            <w:pPr>
              <w:pStyle w:val="IASBTableArial"/>
              <w:jc w:val="right"/>
              <w:rPr>
                <w:lang w:val="ru-RU"/>
              </w:rPr>
            </w:pPr>
          </w:p>
        </w:tc>
        <w:tc>
          <w:tcPr>
            <w:tcW w:w="1547" w:type="dxa"/>
            <w:gridSpan w:val="3"/>
            <w:tcBorders>
              <w:top w:val="nil"/>
              <w:left w:val="nil"/>
              <w:bottom w:val="double" w:sz="4" w:space="0" w:color="auto"/>
            </w:tcBorders>
            <w:vAlign w:val="bottom"/>
          </w:tcPr>
          <w:p w:rsidR="002502EB" w:rsidRPr="00170D8F" w:rsidRDefault="002502EB" w:rsidP="00075571">
            <w:pPr>
              <w:pStyle w:val="IASBTableArial"/>
              <w:jc w:val="right"/>
              <w:rPr>
                <w:lang w:val="ru-RU"/>
              </w:rPr>
            </w:pPr>
            <w:r w:rsidRPr="00170D8F">
              <w:rPr>
                <w:b/>
                <w:lang w:val="ru-RU"/>
              </w:rPr>
              <w:t>10 155</w:t>
            </w:r>
          </w:p>
        </w:tc>
        <w:tc>
          <w:tcPr>
            <w:tcW w:w="273" w:type="dxa"/>
            <w:tcBorders>
              <w:top w:val="nil"/>
              <w:left w:val="nil"/>
            </w:tcBorders>
            <w:vAlign w:val="bottom"/>
          </w:tcPr>
          <w:p w:rsidR="002502EB" w:rsidRPr="00170D8F" w:rsidRDefault="002502EB" w:rsidP="00075571">
            <w:pPr>
              <w:pStyle w:val="IASBTableArial"/>
              <w:rPr>
                <w:lang w:val="ru-RU"/>
              </w:rPr>
            </w:pPr>
          </w:p>
        </w:tc>
        <w:tc>
          <w:tcPr>
            <w:tcW w:w="1547" w:type="dxa"/>
            <w:tcBorders>
              <w:top w:val="nil"/>
              <w:left w:val="nil"/>
              <w:bottom w:val="double" w:sz="4" w:space="0" w:color="auto"/>
            </w:tcBorders>
            <w:vAlign w:val="bottom"/>
          </w:tcPr>
          <w:p w:rsidR="002502EB" w:rsidRPr="00170D8F" w:rsidRDefault="002502EB" w:rsidP="00075571">
            <w:pPr>
              <w:pStyle w:val="IASBTableArial"/>
              <w:jc w:val="right"/>
              <w:rPr>
                <w:lang w:val="ru-RU"/>
              </w:rPr>
            </w:pPr>
            <w:r w:rsidRPr="00170D8F">
              <w:rPr>
                <w:b/>
                <w:lang w:val="ru-RU"/>
              </w:rPr>
              <w:t>10 155</w:t>
            </w:r>
          </w:p>
        </w:tc>
        <w:tc>
          <w:tcPr>
            <w:tcW w:w="273" w:type="dxa"/>
            <w:tcBorders>
              <w:top w:val="nil"/>
              <w:left w:val="nil"/>
              <w:right w:val="single" w:sz="4" w:space="0" w:color="auto"/>
            </w:tcBorders>
            <w:vAlign w:val="bottom"/>
          </w:tcPr>
          <w:p w:rsidR="002502EB" w:rsidRPr="00170D8F" w:rsidRDefault="002502EB" w:rsidP="00075571">
            <w:pPr>
              <w:pStyle w:val="IASBTableArial"/>
              <w:rPr>
                <w:lang w:val="ru-RU"/>
              </w:rPr>
            </w:pPr>
          </w:p>
        </w:tc>
      </w:tr>
      <w:tr w:rsidR="002502EB" w:rsidRPr="00170D8F" w:rsidTr="00075571">
        <w:trPr>
          <w:cantSplit/>
        </w:trPr>
        <w:tc>
          <w:tcPr>
            <w:tcW w:w="8244" w:type="dxa"/>
            <w:gridSpan w:val="9"/>
            <w:tcBorders>
              <w:top w:val="nil"/>
              <w:left w:val="single" w:sz="4" w:space="0" w:color="auto"/>
              <w:right w:val="single" w:sz="4" w:space="0" w:color="auto"/>
            </w:tcBorders>
            <w:vAlign w:val="bottom"/>
          </w:tcPr>
          <w:p w:rsidR="002502EB" w:rsidRPr="00170D8F" w:rsidRDefault="002502EB" w:rsidP="00075571">
            <w:pPr>
              <w:pStyle w:val="IASBTableArial"/>
              <w:rPr>
                <w:lang w:val="ru-RU"/>
              </w:rPr>
            </w:pPr>
          </w:p>
        </w:tc>
      </w:tr>
      <w:tr w:rsidR="002502EB" w:rsidRPr="00A925BF" w:rsidTr="00075571">
        <w:trPr>
          <w:cantSplit/>
        </w:trPr>
        <w:tc>
          <w:tcPr>
            <w:tcW w:w="8244" w:type="dxa"/>
            <w:gridSpan w:val="9"/>
            <w:tcBorders>
              <w:top w:val="nil"/>
              <w:left w:val="single" w:sz="4" w:space="0" w:color="auto"/>
              <w:right w:val="single" w:sz="4" w:space="0" w:color="auto"/>
            </w:tcBorders>
            <w:vAlign w:val="bottom"/>
          </w:tcPr>
          <w:p w:rsidR="002502EB" w:rsidRPr="00170D8F" w:rsidRDefault="002502EB" w:rsidP="005C653C">
            <w:pPr>
              <w:autoSpaceDE w:val="0"/>
              <w:autoSpaceDN w:val="0"/>
              <w:adjustRightInd w:val="0"/>
              <w:jc w:val="both"/>
              <w:rPr>
                <w:lang w:val="ru-RU"/>
              </w:rPr>
            </w:pPr>
            <w:r w:rsidRPr="00170D8F">
              <w:rPr>
                <w:sz w:val="19"/>
                <w:szCs w:val="20"/>
                <w:lang w:val="ru-RU" w:eastAsia="en-GB"/>
              </w:rPr>
              <w:t xml:space="preserve">Сразу же после сделки балансовая стоимость актива составляет 2 040 </w:t>
            </w:r>
            <w:r w:rsidR="00730672">
              <w:rPr>
                <w:sz w:val="19"/>
                <w:szCs w:val="20"/>
                <w:lang w:val="ru-RU" w:eastAsia="en-GB"/>
              </w:rPr>
              <w:t>д. е.</w:t>
            </w:r>
            <w:r w:rsidRPr="00170D8F">
              <w:rPr>
                <w:sz w:val="19"/>
                <w:szCs w:val="20"/>
                <w:lang w:val="ru-RU" w:eastAsia="en-GB"/>
              </w:rPr>
              <w:t xml:space="preserve">, что включает 1 000 </w:t>
            </w:r>
            <w:r w:rsidR="00730672">
              <w:rPr>
                <w:sz w:val="19"/>
                <w:szCs w:val="20"/>
                <w:lang w:val="ru-RU" w:eastAsia="en-GB"/>
              </w:rPr>
              <w:t>д. е.</w:t>
            </w:r>
            <w:r w:rsidRPr="00170D8F">
              <w:rPr>
                <w:sz w:val="19"/>
                <w:szCs w:val="20"/>
                <w:lang w:val="ru-RU" w:eastAsia="en-GB"/>
              </w:rPr>
              <w:t xml:space="preserve">, представляющие собой часть стоимости, распределенную на оставшуюся часть, и 1 040 </w:t>
            </w:r>
            <w:r w:rsidR="00730672">
              <w:rPr>
                <w:sz w:val="19"/>
                <w:szCs w:val="20"/>
                <w:lang w:val="ru-RU" w:eastAsia="en-GB"/>
              </w:rPr>
              <w:t>д. е.</w:t>
            </w:r>
            <w:r w:rsidRPr="00170D8F">
              <w:rPr>
                <w:sz w:val="19"/>
                <w:szCs w:val="20"/>
                <w:lang w:val="ru-RU" w:eastAsia="en-GB"/>
              </w:rPr>
              <w:t xml:space="preserve">, представляющие собой дополнительное продолжающееся участие организации вследствие субординирования оставшейся у нее доли участия в отношении кредитных убытков (в том числе спрэд в размере 40 </w:t>
            </w:r>
            <w:r w:rsidR="00730672">
              <w:rPr>
                <w:sz w:val="19"/>
                <w:szCs w:val="20"/>
                <w:lang w:val="ru-RU" w:eastAsia="en-GB"/>
              </w:rPr>
              <w:t>д. е.</w:t>
            </w:r>
            <w:r w:rsidRPr="00170D8F">
              <w:rPr>
                <w:sz w:val="19"/>
                <w:szCs w:val="20"/>
                <w:lang w:val="ru-RU" w:eastAsia="en-GB"/>
              </w:rPr>
              <w:t>).</w:t>
            </w:r>
          </w:p>
        </w:tc>
      </w:tr>
      <w:tr w:rsidR="002502EB" w:rsidRPr="00A925BF" w:rsidTr="00075571">
        <w:trPr>
          <w:cantSplit/>
        </w:trPr>
        <w:tc>
          <w:tcPr>
            <w:tcW w:w="8244" w:type="dxa"/>
            <w:gridSpan w:val="9"/>
            <w:tcBorders>
              <w:top w:val="nil"/>
              <w:left w:val="single" w:sz="4" w:space="0" w:color="auto"/>
              <w:bottom w:val="single" w:sz="4" w:space="0" w:color="auto"/>
              <w:right w:val="single" w:sz="4" w:space="0" w:color="auto"/>
            </w:tcBorders>
            <w:vAlign w:val="bottom"/>
          </w:tcPr>
          <w:p w:rsidR="002502EB" w:rsidRPr="00170D8F" w:rsidRDefault="002502EB" w:rsidP="005C653C">
            <w:pPr>
              <w:pStyle w:val="IASBTableTNR"/>
              <w:jc w:val="both"/>
              <w:rPr>
                <w:lang w:val="ru-RU"/>
              </w:rPr>
            </w:pPr>
            <w:r w:rsidRPr="00170D8F">
              <w:rPr>
                <w:lang w:val="ru-RU"/>
              </w:rPr>
              <w:t xml:space="preserve">В последующие периоды организация признает возмещение, полученное за предоставление средств повышения кредитного качества (65 </w:t>
            </w:r>
            <w:r w:rsidR="00730672">
              <w:rPr>
                <w:lang w:val="ru-RU"/>
              </w:rPr>
              <w:t>д. е.</w:t>
            </w:r>
            <w:r w:rsidRPr="00170D8F">
              <w:rPr>
                <w:lang w:val="ru-RU"/>
              </w:rPr>
              <w:t xml:space="preserve">), на пропорционально-временнóй основе, начисляет процент на признанный актив с использованием метода эффективной процентной ставки и признает убытки от обесценения по признанным активам. В качестве примера, иллюстрирующего последнее, предположим, что на следующий год возник убыток от обесценения базовых займов в размере 300 </w:t>
            </w:r>
            <w:r w:rsidR="00730672">
              <w:rPr>
                <w:lang w:val="ru-RU"/>
              </w:rPr>
              <w:t>д. е.</w:t>
            </w:r>
            <w:r w:rsidRPr="00170D8F">
              <w:rPr>
                <w:lang w:val="ru-RU"/>
              </w:rPr>
              <w:t xml:space="preserve"> Организация уменьшает свой признанный актив на 600 </w:t>
            </w:r>
            <w:r w:rsidR="00730672">
              <w:rPr>
                <w:lang w:val="ru-RU"/>
              </w:rPr>
              <w:t>д. е.</w:t>
            </w:r>
            <w:r w:rsidRPr="00170D8F">
              <w:rPr>
                <w:lang w:val="ru-RU"/>
              </w:rPr>
              <w:t xml:space="preserve"> (300 </w:t>
            </w:r>
            <w:r w:rsidR="00730672">
              <w:rPr>
                <w:lang w:val="ru-RU"/>
              </w:rPr>
              <w:t>д. е.</w:t>
            </w:r>
            <w:r w:rsidRPr="00170D8F">
              <w:rPr>
                <w:lang w:val="ru-RU"/>
              </w:rPr>
              <w:t xml:space="preserve">, относящихся к оставшейся у нее доле участия, и 300 </w:t>
            </w:r>
            <w:r w:rsidR="00730672">
              <w:rPr>
                <w:lang w:val="ru-RU"/>
              </w:rPr>
              <w:t>д. е.</w:t>
            </w:r>
            <w:r w:rsidRPr="00170D8F">
              <w:rPr>
                <w:lang w:val="ru-RU"/>
              </w:rPr>
              <w:t xml:space="preserve">, относящихся к дополнительному продолжающемуся участию, которое возникает вследствие субординирования оставшейся у нее доли участия в отношении кредитных убытков) и уменьшает признанное ею обязательство на 300 </w:t>
            </w:r>
            <w:r w:rsidR="00730672">
              <w:rPr>
                <w:lang w:val="ru-RU"/>
              </w:rPr>
              <w:t>д. е.</w:t>
            </w:r>
            <w:r w:rsidRPr="00170D8F">
              <w:rPr>
                <w:lang w:val="ru-RU"/>
              </w:rPr>
              <w:t xml:space="preserve"> Нетто-результат представляет собой расход, признанный в составе прибыли или убытка, в отношении убытков от обесценения в размере 300 </w:t>
            </w:r>
            <w:r w:rsidR="00730672">
              <w:rPr>
                <w:lang w:val="ru-RU"/>
              </w:rPr>
              <w:t>д. е.</w:t>
            </w:r>
          </w:p>
        </w:tc>
      </w:tr>
    </w:tbl>
    <w:p w:rsidR="002502EB" w:rsidRPr="00170D8F" w:rsidRDefault="002502EB" w:rsidP="002502EB">
      <w:pPr>
        <w:pStyle w:val="IASBSectionTitle2Ind"/>
        <w:rPr>
          <w:lang w:val="ru-RU"/>
        </w:rPr>
      </w:pPr>
      <w:r w:rsidRPr="00170D8F">
        <w:rPr>
          <w:lang w:val="ru-RU"/>
        </w:rPr>
        <w:t>Прекращение приз</w:t>
      </w:r>
      <w:r w:rsidR="00C25F1D">
        <w:rPr>
          <w:lang w:val="ru-RU"/>
        </w:rPr>
        <w:t>нания финансовых обязательств</w:t>
      </w:r>
      <w:r w:rsidR="00C25F1D">
        <w:rPr>
          <w:lang w:val="ru-RU"/>
        </w:rPr>
        <w:br/>
        <w:t>(Р</w:t>
      </w:r>
      <w:r w:rsidRPr="00170D8F">
        <w:rPr>
          <w:lang w:val="ru-RU"/>
        </w:rPr>
        <w:t>аздел 3.3)</w:t>
      </w:r>
    </w:p>
    <w:p w:rsidR="002502EB" w:rsidRPr="00170D8F" w:rsidRDefault="002502EB" w:rsidP="002502EB">
      <w:pPr>
        <w:pStyle w:val="IASBNormalnpara"/>
        <w:rPr>
          <w:lang w:val="ru-RU"/>
        </w:rPr>
      </w:pPr>
      <w:r w:rsidRPr="00170D8F">
        <w:rPr>
          <w:lang w:val="ru-RU"/>
        </w:rPr>
        <w:t>B3.3.1</w:t>
      </w:r>
      <w:r w:rsidRPr="00170D8F">
        <w:rPr>
          <w:lang w:val="ru-RU"/>
        </w:rPr>
        <w:tab/>
        <w:t>Финансовое обязательство (или его часть) считается погашенным, когда должник:</w:t>
      </w:r>
    </w:p>
    <w:p w:rsidR="002502EB" w:rsidRPr="00170D8F" w:rsidRDefault="002502EB" w:rsidP="002502EB">
      <w:pPr>
        <w:pStyle w:val="IASBNormalnparaL1"/>
        <w:numPr>
          <w:ilvl w:val="0"/>
          <w:numId w:val="31"/>
        </w:numPr>
        <w:autoSpaceDE w:val="0"/>
        <w:autoSpaceDN w:val="0"/>
        <w:adjustRightInd w:val="0"/>
        <w:ind w:left="1418" w:hanging="567"/>
        <w:rPr>
          <w:lang w:val="ru-RU"/>
        </w:rPr>
      </w:pPr>
      <w:r w:rsidRPr="00170D8F">
        <w:rPr>
          <w:lang w:val="ru-RU"/>
        </w:rPr>
        <w:t xml:space="preserve">либо исполняет это обязательство (или его часть), расплатившись с кредитором, как правило, денежными средствами, иными финансовыми активами, товарами или услугами, </w:t>
      </w:r>
    </w:p>
    <w:p w:rsidR="002502EB" w:rsidRPr="00170D8F" w:rsidRDefault="002502EB" w:rsidP="002502EB">
      <w:pPr>
        <w:pStyle w:val="IASBNormalnparaL1"/>
        <w:numPr>
          <w:ilvl w:val="0"/>
          <w:numId w:val="31"/>
        </w:numPr>
        <w:ind w:left="1418" w:hanging="567"/>
        <w:rPr>
          <w:lang w:val="ru-RU"/>
        </w:rPr>
      </w:pPr>
      <w:r w:rsidRPr="00170D8F">
        <w:rPr>
          <w:lang w:val="ru-RU"/>
        </w:rPr>
        <w:t>либо юридически освобождается от первичной ответственности по этому обязате</w:t>
      </w:r>
      <w:r w:rsidR="000449D4">
        <w:rPr>
          <w:lang w:val="ru-RU"/>
        </w:rPr>
        <w:t xml:space="preserve">льству (или его части), </w:t>
      </w:r>
      <w:r w:rsidRPr="00170D8F">
        <w:rPr>
          <w:lang w:val="ru-RU"/>
        </w:rPr>
        <w:t>вследствие выполнения правовой процедуры или вследствие решения кредитора. (Если должник предоставил гарантию, данное условие, тем не менее, может выполняться.)</w:t>
      </w:r>
    </w:p>
    <w:p w:rsidR="002502EB" w:rsidRPr="00170D8F" w:rsidRDefault="002502EB" w:rsidP="002502EB">
      <w:pPr>
        <w:pStyle w:val="IASBNormalnpara"/>
        <w:rPr>
          <w:lang w:val="ru-RU"/>
        </w:rPr>
      </w:pPr>
      <w:r w:rsidRPr="00170D8F">
        <w:rPr>
          <w:lang w:val="ru-RU"/>
        </w:rPr>
        <w:t>B3.3.2</w:t>
      </w:r>
      <w:r w:rsidRPr="00170D8F">
        <w:rPr>
          <w:lang w:val="ru-RU"/>
        </w:rPr>
        <w:tab/>
      </w:r>
      <w:r w:rsidR="000449D4" w:rsidRPr="000449D4">
        <w:rPr>
          <w:lang w:val="ru-RU"/>
        </w:rPr>
        <w:t>Если эмитент долгового инструмента выкупает данный инструмент, то соответствующий долг погашается, даже если этот эмитент является маркет-мейкером по указанному инструменту или собирается перепродать его в ближайшем будущем</w:t>
      </w:r>
      <w:r w:rsidRPr="00170D8F">
        <w:rPr>
          <w:lang w:val="ru-RU"/>
        </w:rPr>
        <w:t>.</w:t>
      </w:r>
    </w:p>
    <w:p w:rsidR="002502EB" w:rsidRPr="00170D8F" w:rsidRDefault="002502EB" w:rsidP="002502EB">
      <w:pPr>
        <w:pStyle w:val="IASBNormalnpara"/>
        <w:rPr>
          <w:lang w:val="ru-RU"/>
        </w:rPr>
      </w:pPr>
      <w:r w:rsidRPr="00170D8F">
        <w:rPr>
          <w:lang w:val="ru-RU"/>
        </w:rPr>
        <w:t>B3.3.3</w:t>
      </w:r>
      <w:r w:rsidRPr="00170D8F">
        <w:rPr>
          <w:lang w:val="ru-RU"/>
        </w:rPr>
        <w:tab/>
      </w:r>
      <w:r w:rsidR="000449D4" w:rsidRPr="000449D4">
        <w:rPr>
          <w:lang w:val="ru-RU"/>
        </w:rPr>
        <w:t>Осуществление выплат третьей стороне, в том числе трасту (что иногда именуется «по существу аннулирование»), само по себе не освобождает должника от его первичной обязанности перед кредитором при отсутствии юридического освобождения</w:t>
      </w:r>
      <w:r w:rsidRPr="00170D8F">
        <w:rPr>
          <w:lang w:val="ru-RU"/>
        </w:rPr>
        <w:t xml:space="preserve">. </w:t>
      </w:r>
    </w:p>
    <w:p w:rsidR="002502EB" w:rsidRPr="00170D8F" w:rsidRDefault="002502EB" w:rsidP="002502EB">
      <w:pPr>
        <w:pStyle w:val="IASBNormalnpara"/>
        <w:rPr>
          <w:lang w:val="ru-RU"/>
        </w:rPr>
      </w:pPr>
      <w:r w:rsidRPr="00170D8F">
        <w:rPr>
          <w:lang w:val="ru-RU"/>
        </w:rPr>
        <w:t>B3.3.4</w:t>
      </w:r>
      <w:r w:rsidRPr="00170D8F">
        <w:rPr>
          <w:lang w:val="ru-RU"/>
        </w:rPr>
        <w:tab/>
        <w:t>Если должник платит третьей стороне за то, чтобы она приняла на себя обязанность по его долгу, а затем информирует своего кредитора о том, что передал свое долговое обязательство третьей стороне, то этот должник не прекращает признавать данное долговое обязательство, кроме случаев, когда выполняется условие, предусмотренное пунктом B3.3.1(b). Если должник платит третьей стороне за то, чтобы она приняла на себя обязанность по его долгу, и получает юридическое освобождение от своего кредитора, то считается, что должник погасил свой долг. Однако если должник соглашается осуществлять выплаты по своему долгу третьей стороне или непосредственно своему первоначальному кредитору, то он признает новое долговое обязательство перед этой третьей стороной.</w:t>
      </w:r>
    </w:p>
    <w:p w:rsidR="002502EB" w:rsidRDefault="002502EB" w:rsidP="002502EB">
      <w:pPr>
        <w:pStyle w:val="IASBNormalnpara"/>
        <w:rPr>
          <w:lang w:val="ru-RU"/>
        </w:rPr>
      </w:pPr>
      <w:r w:rsidRPr="00170D8F">
        <w:rPr>
          <w:lang w:val="ru-RU"/>
        </w:rPr>
        <w:t>B3.3.5</w:t>
      </w:r>
      <w:r w:rsidRPr="00170D8F">
        <w:rPr>
          <w:lang w:val="ru-RU"/>
        </w:rPr>
        <w:tab/>
      </w:r>
      <w:r w:rsidR="000449D4" w:rsidRPr="000449D4">
        <w:rPr>
          <w:lang w:val="ru-RU"/>
        </w:rPr>
        <w:t>Несмотря на то что юридическое освобождение, полученное в судебном порядке или по решению кредитора, приводит к прекращению признания обязательства, организация может признать новое обязательство, если в отношении переданных финансовых активов не выполняются предусмотренные пунктами</w:t>
      </w:r>
      <w:r w:rsidRPr="00170D8F">
        <w:rPr>
          <w:lang w:val="ru-RU"/>
        </w:rPr>
        <w:t xml:space="preserve"> 3.2.1–3.2.23 </w:t>
      </w:r>
      <w:r w:rsidR="000449D4" w:rsidRPr="000449D4">
        <w:rPr>
          <w:lang w:val="ru-RU"/>
        </w:rPr>
        <w:t>условия для прекращения их признания. Если эти условия не выполняются, то признание переданных активов не прекращается, а организация признает новое обязательство, связанное с переданными активами</w:t>
      </w:r>
      <w:r w:rsidRPr="00170D8F">
        <w:rPr>
          <w:lang w:val="ru-RU"/>
        </w:rPr>
        <w:t>.</w:t>
      </w:r>
    </w:p>
    <w:p w:rsidR="002D0B45" w:rsidRDefault="002D0B45" w:rsidP="002D0B45">
      <w:pPr>
        <w:spacing w:before="100"/>
        <w:ind w:left="782" w:hanging="782"/>
        <w:jc w:val="both"/>
        <w:rPr>
          <w:sz w:val="19"/>
          <w:szCs w:val="20"/>
          <w:lang w:val="ru-RU"/>
        </w:rPr>
      </w:pPr>
      <w:r w:rsidRPr="002D0B45">
        <w:rPr>
          <w:sz w:val="19"/>
          <w:szCs w:val="20"/>
          <w:lang w:val="ru-RU"/>
        </w:rPr>
        <w:t>B3.3.6</w:t>
      </w:r>
      <w:r w:rsidRPr="002D0B45">
        <w:rPr>
          <w:sz w:val="19"/>
          <w:szCs w:val="20"/>
          <w:lang w:val="ru-RU"/>
        </w:rPr>
        <w:tab/>
        <w:t>Применительно к целям пункта 3.3.2, условия считаются существенно отличающимися, если приведенная стоимость денежных потоков в соответствии с новыми условиями, включая выплаты комиссионного вознаграждения за вычетом полученного комиссионного вознаграждения, дисконтированных по первоначальной эффективной процентной ставке, отличается по меньшей мере на 10% от дисконтированной приведенной стоимости оставшихся денежных потоков по первоначальному финансовому обязательству. При определении величины указанных выплат комиссионного вознаграждения за вычетом полученного комиссионного вознаграждения заемщик учитывает только суммы комиссионного вознаграждения, выплата или получение которых производились между этим заемщиком и соответствующим кредитором, включая комиссионное вознаграждение, выплаченное или полученное заемщиком или кредитором от имени друг друга.</w:t>
      </w:r>
    </w:p>
    <w:p w:rsidR="002D0B45" w:rsidRPr="002D0B45" w:rsidRDefault="002D0B45" w:rsidP="002D0B45">
      <w:pPr>
        <w:spacing w:before="100"/>
        <w:ind w:left="782" w:hanging="782"/>
        <w:jc w:val="both"/>
        <w:rPr>
          <w:sz w:val="19"/>
          <w:szCs w:val="20"/>
          <w:lang w:val="ru-RU"/>
        </w:rPr>
      </w:pPr>
      <w:r w:rsidRPr="002D0B45">
        <w:rPr>
          <w:sz w:val="19"/>
          <w:szCs w:val="20"/>
          <w:lang w:val="ru-RU"/>
        </w:rPr>
        <w:t>B3.3.6A</w:t>
      </w:r>
      <w:r w:rsidRPr="002D0B45">
        <w:rPr>
          <w:sz w:val="19"/>
          <w:szCs w:val="20"/>
          <w:lang w:val="ru-RU"/>
        </w:rPr>
        <w:tab/>
        <w:t>Если замена одного долгового инструмента на другой или модификация его условий отражается в учете как его погашение, то все понесенные затраты или выплаченное комиссионное вознаграждение признаются как часть прибыли или убытка от погашения соответствующего долгового обязательства. Если замена одного долгового инструмента на другой или модификация его условий не отражается в учете как погашение, то на сумму всех понесенных затрат или выплаченного комиссионного вознаграждения корректируется балансовая стоимость соответствующего долгового обязательства, и эта корректировка амортизируется на протяжении оставшегося срока действия модифицированного обязательства.</w:t>
      </w:r>
    </w:p>
    <w:p w:rsidR="002502EB" w:rsidRPr="00170D8F" w:rsidRDefault="002502EB" w:rsidP="002502EB">
      <w:pPr>
        <w:pStyle w:val="IASBNormalnpara"/>
        <w:rPr>
          <w:lang w:val="ru-RU"/>
        </w:rPr>
      </w:pPr>
      <w:r w:rsidRPr="00170D8F">
        <w:rPr>
          <w:lang w:val="ru-RU"/>
        </w:rPr>
        <w:t>B3.3.7</w:t>
      </w:r>
      <w:r w:rsidRPr="00170D8F">
        <w:rPr>
          <w:lang w:val="ru-RU"/>
        </w:rPr>
        <w:tab/>
      </w:r>
      <w:r w:rsidR="000449D4" w:rsidRPr="000449D4">
        <w:rPr>
          <w:lang w:val="ru-RU"/>
        </w:rPr>
        <w:t xml:space="preserve">В некоторых случаях кредитор освобождает должника от существующей обязанности по осуществлению платежей, но при этом должник принимает на себя обязанность, гарантирующую осуществление выплат, если сторона, принявшая на себя первичную ответственность, допустит дефолт. </w:t>
      </w:r>
      <w:r w:rsidR="000449D4" w:rsidRPr="002D0B45">
        <w:rPr>
          <w:lang w:val="ru-RU"/>
        </w:rPr>
        <w:t>В этом случае должник</w:t>
      </w:r>
      <w:r w:rsidRPr="00170D8F">
        <w:rPr>
          <w:lang w:val="ru-RU"/>
        </w:rPr>
        <w:t>:</w:t>
      </w:r>
    </w:p>
    <w:p w:rsidR="000449D4" w:rsidRPr="000449D4" w:rsidRDefault="000449D4" w:rsidP="000449D4">
      <w:pPr>
        <w:pStyle w:val="IASBNormalnparaL1"/>
        <w:numPr>
          <w:ilvl w:val="0"/>
          <w:numId w:val="32"/>
        </w:numPr>
        <w:ind w:left="1418" w:hanging="567"/>
        <w:rPr>
          <w:lang w:val="ru-RU"/>
        </w:rPr>
      </w:pPr>
      <w:r w:rsidRPr="000449D4">
        <w:rPr>
          <w:lang w:val="ru-RU"/>
        </w:rPr>
        <w:t>признает новое финансовое обязательство, исходя из справедливой стоимости своей обязанности по указанной гарантии, и</w:t>
      </w:r>
    </w:p>
    <w:p w:rsidR="007D4BCC" w:rsidRPr="0049187C" w:rsidRDefault="000449D4" w:rsidP="000449D4">
      <w:pPr>
        <w:pStyle w:val="IASBNormalnparaL1"/>
        <w:numPr>
          <w:ilvl w:val="0"/>
          <w:numId w:val="32"/>
        </w:numPr>
        <w:ind w:left="1418" w:hanging="567"/>
        <w:rPr>
          <w:lang w:val="ru-RU"/>
        </w:rPr>
      </w:pPr>
      <w:r w:rsidRPr="000449D4">
        <w:rPr>
          <w:lang w:val="ru-RU"/>
        </w:rPr>
        <w:t>признает прибыль или убыток, исходя из разницы между (</w:t>
      </w:r>
      <w:r w:rsidRPr="007A6CF7">
        <w:t>i</w:t>
      </w:r>
      <w:r w:rsidRPr="000449D4">
        <w:rPr>
          <w:lang w:val="ru-RU"/>
        </w:rPr>
        <w:t>) суммой выплаченного вознаграждения и (</w:t>
      </w:r>
      <w:r w:rsidRPr="007A6CF7">
        <w:t>ii</w:t>
      </w:r>
      <w:r w:rsidRPr="000449D4">
        <w:rPr>
          <w:lang w:val="ru-RU"/>
        </w:rPr>
        <w:t>) балансовой стоимостью первоначального финансового обязательства за вычетом справедливой стоимости нового финансового обязательства</w:t>
      </w:r>
      <w:r w:rsidR="007D4BCC" w:rsidRPr="0049187C">
        <w:rPr>
          <w:lang w:val="ru-RU"/>
        </w:rPr>
        <w:t>.</w:t>
      </w:r>
    </w:p>
    <w:p w:rsidR="007D4BCC" w:rsidRPr="0049187C" w:rsidRDefault="007D4BCC" w:rsidP="007D4BCC">
      <w:pPr>
        <w:pStyle w:val="IASBSectionTitle1NonInd"/>
        <w:pBdr>
          <w:bottom w:val="single" w:sz="4" w:space="1" w:color="auto"/>
        </w:pBdr>
        <w:rPr>
          <w:lang w:val="ru-RU"/>
        </w:rPr>
      </w:pPr>
      <w:bookmarkStart w:id="211" w:name="F32570873"/>
      <w:r w:rsidRPr="0049187C">
        <w:rPr>
          <w:lang w:val="ru-RU"/>
        </w:rPr>
        <w:t>Классификация (</w:t>
      </w:r>
      <w:r w:rsidR="00C25F1D">
        <w:rPr>
          <w:lang w:val="ru-RU"/>
        </w:rPr>
        <w:t>Г</w:t>
      </w:r>
      <w:r w:rsidRPr="0049187C">
        <w:rPr>
          <w:lang w:val="ru-RU"/>
        </w:rPr>
        <w:t>лава 4)</w:t>
      </w:r>
      <w:bookmarkEnd w:id="211"/>
    </w:p>
    <w:p w:rsidR="007D4BCC" w:rsidRPr="0049187C" w:rsidRDefault="007D4BCC" w:rsidP="007D4BCC">
      <w:pPr>
        <w:pStyle w:val="IASBSectionTitle2Ind"/>
        <w:rPr>
          <w:lang w:val="ru-RU"/>
        </w:rPr>
      </w:pPr>
      <w:bookmarkStart w:id="212" w:name="F32571264"/>
      <w:r w:rsidRPr="0049187C">
        <w:rPr>
          <w:lang w:val="ru-RU"/>
        </w:rPr>
        <w:t>Кла</w:t>
      </w:r>
      <w:r w:rsidR="00C25F1D">
        <w:rPr>
          <w:lang w:val="ru-RU"/>
        </w:rPr>
        <w:t>ссификация финансовых активов (Р</w:t>
      </w:r>
      <w:r w:rsidRPr="0049187C">
        <w:rPr>
          <w:lang w:val="ru-RU"/>
        </w:rPr>
        <w:t>аздел 4.1)</w:t>
      </w:r>
      <w:bookmarkEnd w:id="212"/>
    </w:p>
    <w:p w:rsidR="007D4BCC" w:rsidRPr="0049187C" w:rsidRDefault="007D4BCC" w:rsidP="007D4BCC">
      <w:pPr>
        <w:pStyle w:val="IASBSectionTitle3Ind"/>
        <w:rPr>
          <w:lang w:val="ru-RU"/>
        </w:rPr>
      </w:pPr>
      <w:r w:rsidRPr="0049187C">
        <w:rPr>
          <w:lang w:val="ru-RU"/>
        </w:rPr>
        <w:t>Бизнес-модель</w:t>
      </w:r>
      <w:r w:rsidR="009030F0">
        <w:rPr>
          <w:lang w:val="ru-RU"/>
        </w:rPr>
        <w:t xml:space="preserve">, используемая </w:t>
      </w:r>
      <w:r w:rsidR="00F51BA5">
        <w:rPr>
          <w:lang w:val="ru-RU"/>
        </w:rPr>
        <w:t>организацией</w:t>
      </w:r>
      <w:r w:rsidRPr="0049187C">
        <w:rPr>
          <w:lang w:val="ru-RU"/>
        </w:rPr>
        <w:t xml:space="preserve"> для управления финансовыми активами</w:t>
      </w:r>
    </w:p>
    <w:p w:rsidR="007D4BCC" w:rsidRPr="0049187C" w:rsidRDefault="007D4BCC" w:rsidP="007D4BCC">
      <w:pPr>
        <w:pStyle w:val="IASBNormalnpara"/>
        <w:rPr>
          <w:lang w:val="ru-RU"/>
        </w:rPr>
      </w:pPr>
      <w:r w:rsidRPr="0049187C">
        <w:rPr>
          <w:lang w:val="ru-RU"/>
        </w:rPr>
        <w:t>B4.1.1</w:t>
      </w:r>
      <w:r w:rsidRPr="0049187C">
        <w:rPr>
          <w:lang w:val="ru-RU"/>
        </w:rPr>
        <w:tab/>
        <w:t>Пункт 4.1.1(a) содержит требование о том, чтобы организация классифицировала финансовые активы на основе бизнес-модели</w:t>
      </w:r>
      <w:r w:rsidR="008E1891">
        <w:rPr>
          <w:lang w:val="ru-RU"/>
        </w:rPr>
        <w:t xml:space="preserve">, применяемой ею </w:t>
      </w:r>
      <w:r w:rsidRPr="0049187C">
        <w:rPr>
          <w:lang w:val="ru-RU"/>
        </w:rPr>
        <w:t>для управления финансовыми активами, за исключением случаев применения пункта 4.1.5. Организация оценивает, отвечают ли</w:t>
      </w:r>
      <w:r w:rsidR="007E6E67">
        <w:rPr>
          <w:lang w:val="ru-RU"/>
        </w:rPr>
        <w:t xml:space="preserve"> ее финансовые активы условию </w:t>
      </w:r>
      <w:r w:rsidRPr="0049187C">
        <w:rPr>
          <w:lang w:val="ru-RU"/>
        </w:rPr>
        <w:t>пунк</w:t>
      </w:r>
      <w:r w:rsidR="007E6E67">
        <w:rPr>
          <w:lang w:val="ru-RU"/>
        </w:rPr>
        <w:t>та</w:t>
      </w:r>
      <w:r w:rsidRPr="0049187C">
        <w:rPr>
          <w:lang w:val="ru-RU"/>
        </w:rPr>
        <w:t xml:space="preserve"> 4.1.2(a)</w:t>
      </w:r>
      <w:r w:rsidR="007E6E67">
        <w:rPr>
          <w:lang w:val="ru-RU"/>
        </w:rPr>
        <w:t xml:space="preserve"> или условию пункта</w:t>
      </w:r>
      <w:r w:rsidRPr="0049187C">
        <w:rPr>
          <w:lang w:val="ru-RU"/>
        </w:rPr>
        <w:t xml:space="preserve"> 4.1.2A(a)</w:t>
      </w:r>
      <w:r w:rsidR="00FF53D8" w:rsidRPr="0049187C">
        <w:rPr>
          <w:lang w:val="ru-RU"/>
        </w:rPr>
        <w:t>,</w:t>
      </w:r>
      <w:r w:rsidRPr="0049187C">
        <w:rPr>
          <w:lang w:val="ru-RU"/>
        </w:rPr>
        <w:t xml:space="preserve"> на ос</w:t>
      </w:r>
      <w:r w:rsidR="009865AF">
        <w:rPr>
          <w:lang w:val="ru-RU"/>
        </w:rPr>
        <w:t xml:space="preserve">нове бизнес-модели, определяемой </w:t>
      </w:r>
      <w:r w:rsidRPr="0049187C">
        <w:rPr>
          <w:lang w:val="ru-RU"/>
        </w:rPr>
        <w:t>ключевым управленческим персоналом (</w:t>
      </w:r>
      <w:r w:rsidR="009865AF">
        <w:rPr>
          <w:lang w:val="ru-RU"/>
        </w:rPr>
        <w:t>как этот термин определен</w:t>
      </w:r>
      <w:r w:rsidR="00043C44">
        <w:rPr>
          <w:lang w:val="ru-RU"/>
        </w:rPr>
        <w:t xml:space="preserve"> </w:t>
      </w:r>
      <w:r w:rsidRPr="0049187C">
        <w:rPr>
          <w:lang w:val="ru-RU"/>
        </w:rPr>
        <w:t xml:space="preserve">в МСФО (IAS) 24 </w:t>
      </w:r>
      <w:r w:rsidRPr="0049187C">
        <w:rPr>
          <w:i/>
          <w:lang w:val="ru-RU"/>
        </w:rPr>
        <w:t>«Раскрытие информации о связанных сторонах»</w:t>
      </w:r>
      <w:r w:rsidRPr="0049187C">
        <w:rPr>
          <w:lang w:val="ru-RU"/>
        </w:rPr>
        <w:t>)</w:t>
      </w:r>
      <w:r w:rsidR="009865AF">
        <w:rPr>
          <w:lang w:val="ru-RU"/>
        </w:rPr>
        <w:t xml:space="preserve"> организации</w:t>
      </w:r>
      <w:r w:rsidRPr="0049187C">
        <w:rPr>
          <w:lang w:val="ru-RU"/>
        </w:rPr>
        <w:t>.</w:t>
      </w:r>
    </w:p>
    <w:p w:rsidR="007D4BCC" w:rsidRPr="0049187C" w:rsidRDefault="009865AF" w:rsidP="007D4BCC">
      <w:pPr>
        <w:pStyle w:val="IASBNormalnpara"/>
        <w:rPr>
          <w:lang w:val="ru-RU"/>
        </w:rPr>
      </w:pPr>
      <w:r>
        <w:rPr>
          <w:lang w:val="ru-RU"/>
        </w:rPr>
        <w:t>B4.1.2</w:t>
      </w:r>
      <w:r>
        <w:rPr>
          <w:lang w:val="ru-RU"/>
        </w:rPr>
        <w:tab/>
        <w:t>И</w:t>
      </w:r>
      <w:r w:rsidR="009030F0">
        <w:rPr>
          <w:lang w:val="ru-RU"/>
        </w:rPr>
        <w:t>спользуемая</w:t>
      </w:r>
      <w:r w:rsidR="007D4BCC" w:rsidRPr="0049187C">
        <w:rPr>
          <w:lang w:val="ru-RU"/>
        </w:rPr>
        <w:t xml:space="preserve"> орга</w:t>
      </w:r>
      <w:r w:rsidR="009030F0">
        <w:rPr>
          <w:lang w:val="ru-RU"/>
        </w:rPr>
        <w:t>низацией</w:t>
      </w:r>
      <w:r>
        <w:rPr>
          <w:lang w:val="ru-RU"/>
        </w:rPr>
        <w:t xml:space="preserve"> бизнес-модель</w:t>
      </w:r>
      <w:r w:rsidR="007D4BCC" w:rsidRPr="0049187C">
        <w:rPr>
          <w:lang w:val="ru-RU"/>
        </w:rPr>
        <w:t xml:space="preserve"> определяется на уровне, который отражает, каким образом</w:t>
      </w:r>
      <w:r>
        <w:rPr>
          <w:lang w:val="ru-RU"/>
        </w:rPr>
        <w:t xml:space="preserve"> осуществляется управление объединенными в группы финансовыми инструментами</w:t>
      </w:r>
      <w:r w:rsidR="007D4BCC" w:rsidRPr="0049187C">
        <w:rPr>
          <w:lang w:val="ru-RU"/>
        </w:rPr>
        <w:t xml:space="preserve"> для достижения определенной цели бизнеса. Бизнес-модель</w:t>
      </w:r>
      <w:r w:rsidR="009030F0">
        <w:rPr>
          <w:lang w:val="ru-RU"/>
        </w:rPr>
        <w:t>, используемая организацией,</w:t>
      </w:r>
      <w:r w:rsidR="007D4BCC" w:rsidRPr="0049187C">
        <w:rPr>
          <w:lang w:val="ru-RU"/>
        </w:rPr>
        <w:t xml:space="preserve"> не зависит от намерений руководства в отношении отдельного инструмента. Следовательно, это условие не является подходом к классификации отдельных инструментов и должно быть определено на более высоком уровне агрегирования. Однако одна организация может </w:t>
      </w:r>
      <w:r w:rsidR="009837FA">
        <w:rPr>
          <w:lang w:val="ru-RU"/>
        </w:rPr>
        <w:t>использовать</w:t>
      </w:r>
      <w:r w:rsidR="009837FA" w:rsidRPr="0049187C">
        <w:rPr>
          <w:lang w:val="ru-RU"/>
        </w:rPr>
        <w:t xml:space="preserve"> </w:t>
      </w:r>
      <w:r w:rsidR="007D4BCC" w:rsidRPr="0049187C">
        <w:rPr>
          <w:lang w:val="ru-RU"/>
        </w:rPr>
        <w:t xml:space="preserve">более </w:t>
      </w:r>
      <w:r w:rsidR="009837FA">
        <w:rPr>
          <w:lang w:val="ru-RU"/>
        </w:rPr>
        <w:t>чем одну</w:t>
      </w:r>
      <w:r w:rsidR="009837FA" w:rsidRPr="0049187C">
        <w:rPr>
          <w:lang w:val="ru-RU"/>
        </w:rPr>
        <w:t xml:space="preserve"> </w:t>
      </w:r>
      <w:r w:rsidR="007D4BCC" w:rsidRPr="0049187C">
        <w:rPr>
          <w:lang w:val="ru-RU"/>
        </w:rPr>
        <w:t>бизнес-</w:t>
      </w:r>
      <w:r w:rsidR="009837FA" w:rsidRPr="0049187C">
        <w:rPr>
          <w:lang w:val="ru-RU"/>
        </w:rPr>
        <w:t>модел</w:t>
      </w:r>
      <w:r w:rsidR="009837FA">
        <w:rPr>
          <w:lang w:val="ru-RU"/>
        </w:rPr>
        <w:t>ь</w:t>
      </w:r>
      <w:r w:rsidR="009837FA" w:rsidRPr="0049187C">
        <w:rPr>
          <w:lang w:val="ru-RU"/>
        </w:rPr>
        <w:t xml:space="preserve"> </w:t>
      </w:r>
      <w:r w:rsidR="007D4BCC" w:rsidRPr="0049187C">
        <w:rPr>
          <w:lang w:val="ru-RU"/>
        </w:rPr>
        <w:t>для управления своими финансовыми инструментами. Следовательно, нет необходимости устанавливать классификацию на уровне отчитывающейся организации. Например, организация может иметь портфель инвестиций, которым она управляет в целях получения предусмотренных договором денежных потоков, а также другой портфель инвестиций, которым она управляет в целях торговли для реализации изменений справедливой стоимости. Аналогичн</w:t>
      </w:r>
      <w:r w:rsidR="0096742F" w:rsidRPr="0049187C">
        <w:rPr>
          <w:lang w:val="ru-RU"/>
        </w:rPr>
        <w:t>ым образом</w:t>
      </w:r>
      <w:r w:rsidR="007D4BCC" w:rsidRPr="0049187C">
        <w:rPr>
          <w:lang w:val="ru-RU"/>
        </w:rPr>
        <w:t xml:space="preserve">, в некоторых обстоятельствах может быть </w:t>
      </w:r>
      <w:r w:rsidR="0096742F" w:rsidRPr="0049187C">
        <w:rPr>
          <w:lang w:val="ru-RU"/>
        </w:rPr>
        <w:t>целесообразно</w:t>
      </w:r>
      <w:r w:rsidR="007D4BCC" w:rsidRPr="0049187C">
        <w:rPr>
          <w:lang w:val="ru-RU"/>
        </w:rPr>
        <w:t xml:space="preserve"> разделить портфель финансовых активов на более мелкие портфели</w:t>
      </w:r>
      <w:r>
        <w:rPr>
          <w:lang w:val="ru-RU"/>
        </w:rPr>
        <w:t>, чтобы отразить</w:t>
      </w:r>
      <w:r w:rsidR="007D4BCC" w:rsidRPr="0049187C">
        <w:rPr>
          <w:lang w:val="ru-RU"/>
        </w:rPr>
        <w:t xml:space="preserve"> </w:t>
      </w:r>
      <w:r>
        <w:rPr>
          <w:lang w:val="ru-RU"/>
        </w:rPr>
        <w:t>тот уровень</w:t>
      </w:r>
      <w:r w:rsidR="007D4BCC" w:rsidRPr="0049187C">
        <w:rPr>
          <w:lang w:val="ru-RU"/>
        </w:rPr>
        <w:t xml:space="preserve">, на котором организация управляет этими финансовыми активами. Например, это может быть уместно в случае, если организация создает или </w:t>
      </w:r>
      <w:r>
        <w:rPr>
          <w:lang w:val="ru-RU"/>
        </w:rPr>
        <w:t>покупает</w:t>
      </w:r>
      <w:r w:rsidR="007D4BCC" w:rsidRPr="0049187C">
        <w:rPr>
          <w:lang w:val="ru-RU"/>
        </w:rPr>
        <w:t xml:space="preserve"> портфель </w:t>
      </w:r>
      <w:r w:rsidR="0096742F" w:rsidRPr="0049187C">
        <w:rPr>
          <w:lang w:val="ru-RU"/>
        </w:rPr>
        <w:t xml:space="preserve">ипотечных </w:t>
      </w:r>
      <w:r w:rsidR="007D4BCC" w:rsidRPr="0049187C">
        <w:rPr>
          <w:lang w:val="ru-RU"/>
        </w:rPr>
        <w:t xml:space="preserve">займов и управляет некоторыми из </w:t>
      </w:r>
      <w:r>
        <w:rPr>
          <w:lang w:val="ru-RU"/>
        </w:rPr>
        <w:t>этих займов</w:t>
      </w:r>
      <w:r w:rsidR="007D4BCC" w:rsidRPr="0049187C">
        <w:rPr>
          <w:lang w:val="ru-RU"/>
        </w:rPr>
        <w:t xml:space="preserve"> с целью получ</w:t>
      </w:r>
      <w:r w:rsidR="0096742F" w:rsidRPr="0049187C">
        <w:rPr>
          <w:lang w:val="ru-RU"/>
        </w:rPr>
        <w:t>ения</w:t>
      </w:r>
      <w:r w:rsidR="007D4BCC" w:rsidRPr="0049187C">
        <w:rPr>
          <w:lang w:val="ru-RU"/>
        </w:rPr>
        <w:t xml:space="preserve"> предусмотренны</w:t>
      </w:r>
      <w:r w:rsidR="0096742F" w:rsidRPr="0049187C">
        <w:rPr>
          <w:lang w:val="ru-RU"/>
        </w:rPr>
        <w:t>х</w:t>
      </w:r>
      <w:r w:rsidR="007D4BCC" w:rsidRPr="0049187C">
        <w:rPr>
          <w:lang w:val="ru-RU"/>
        </w:rPr>
        <w:t xml:space="preserve"> договором денежны</w:t>
      </w:r>
      <w:r w:rsidR="0096742F" w:rsidRPr="0049187C">
        <w:rPr>
          <w:lang w:val="ru-RU"/>
        </w:rPr>
        <w:t>х</w:t>
      </w:r>
      <w:r w:rsidR="007D4BCC" w:rsidRPr="0049187C">
        <w:rPr>
          <w:lang w:val="ru-RU"/>
        </w:rPr>
        <w:t xml:space="preserve"> поток</w:t>
      </w:r>
      <w:r w:rsidR="0096742F" w:rsidRPr="0049187C">
        <w:rPr>
          <w:lang w:val="ru-RU"/>
        </w:rPr>
        <w:t>ов</w:t>
      </w:r>
      <w:r w:rsidR="007D4BCC" w:rsidRPr="0049187C">
        <w:rPr>
          <w:lang w:val="ru-RU"/>
        </w:rPr>
        <w:t xml:space="preserve">, а </w:t>
      </w:r>
      <w:r>
        <w:rPr>
          <w:lang w:val="ru-RU"/>
        </w:rPr>
        <w:t>другими</w:t>
      </w:r>
      <w:r w:rsidR="007D4BCC" w:rsidRPr="0049187C">
        <w:rPr>
          <w:lang w:val="ru-RU"/>
        </w:rPr>
        <w:t xml:space="preserve"> – с целью их продажи.</w:t>
      </w:r>
    </w:p>
    <w:p w:rsidR="007D4BCC" w:rsidRPr="0049187C" w:rsidRDefault="007D4BCC" w:rsidP="007D4BCC">
      <w:pPr>
        <w:pStyle w:val="IASBNormalnpara"/>
        <w:rPr>
          <w:lang w:val="ru-RU"/>
        </w:rPr>
      </w:pPr>
      <w:r w:rsidRPr="0049187C">
        <w:rPr>
          <w:lang w:val="ru-RU"/>
        </w:rPr>
        <w:t>B4.1.2A</w:t>
      </w:r>
      <w:r w:rsidRPr="0049187C">
        <w:rPr>
          <w:lang w:val="ru-RU"/>
        </w:rPr>
        <w:tab/>
        <w:t>Бизнес-модель</w:t>
      </w:r>
      <w:r w:rsidR="009030F0">
        <w:rPr>
          <w:lang w:val="ru-RU"/>
        </w:rPr>
        <w:t>, используемая организацией,</w:t>
      </w:r>
      <w:r w:rsidRPr="0049187C">
        <w:rPr>
          <w:lang w:val="ru-RU"/>
        </w:rPr>
        <w:t xml:space="preserve"> </w:t>
      </w:r>
      <w:r w:rsidR="009837FA">
        <w:rPr>
          <w:lang w:val="ru-RU"/>
        </w:rPr>
        <w:t>описывает</w:t>
      </w:r>
      <w:r w:rsidR="009865AF">
        <w:rPr>
          <w:lang w:val="ru-RU"/>
        </w:rPr>
        <w:t xml:space="preserve"> способ, которым</w:t>
      </w:r>
      <w:r w:rsidRPr="0049187C">
        <w:rPr>
          <w:lang w:val="ru-RU"/>
        </w:rPr>
        <w:t xml:space="preserve"> организация управл</w:t>
      </w:r>
      <w:r w:rsidR="009865AF">
        <w:rPr>
          <w:lang w:val="ru-RU"/>
        </w:rPr>
        <w:t>яет</w:t>
      </w:r>
      <w:r w:rsidRPr="0049187C">
        <w:rPr>
          <w:lang w:val="ru-RU"/>
        </w:rPr>
        <w:t xml:space="preserve"> своими финансовыми активами с целью генерирования денежных потоков. Т</w:t>
      </w:r>
      <w:r w:rsidR="006D5C84" w:rsidRPr="0049187C">
        <w:rPr>
          <w:lang w:val="ru-RU"/>
        </w:rPr>
        <w:t>.</w:t>
      </w:r>
      <w:r w:rsidR="00A747D5">
        <w:rPr>
          <w:lang w:val="ru-RU"/>
        </w:rPr>
        <w:t> </w:t>
      </w:r>
      <w:r w:rsidRPr="0049187C">
        <w:rPr>
          <w:lang w:val="ru-RU"/>
        </w:rPr>
        <w:t>е</w:t>
      </w:r>
      <w:r w:rsidR="006D5C84" w:rsidRPr="0049187C">
        <w:rPr>
          <w:lang w:val="ru-RU"/>
        </w:rPr>
        <w:t>.</w:t>
      </w:r>
      <w:r w:rsidRPr="0049187C">
        <w:rPr>
          <w:lang w:val="ru-RU"/>
        </w:rPr>
        <w:t xml:space="preserve"> бизнес-модель организации определяет, будут ли денежные потоки следствием получения предусмотренных договором денежных потоков, продажи финансовых активов или и того, и другого. Соответственно, такая оценка не производится </w:t>
      </w:r>
      <w:r w:rsidR="009865AF">
        <w:rPr>
          <w:lang w:val="ru-RU"/>
        </w:rPr>
        <w:t>исходя из</w:t>
      </w:r>
      <w:r w:rsidRPr="0049187C">
        <w:rPr>
          <w:lang w:val="ru-RU"/>
        </w:rPr>
        <w:t xml:space="preserve"> сценариев, возникновение которых обоснованно не ожидается организацией, таких как </w:t>
      </w:r>
      <w:r w:rsidR="00A747D5">
        <w:rPr>
          <w:lang w:val="ru-RU"/>
        </w:rPr>
        <w:t>т. </w:t>
      </w:r>
      <w:r w:rsidR="009865AF">
        <w:rPr>
          <w:lang w:val="ru-RU"/>
        </w:rPr>
        <w:t>н.</w:t>
      </w:r>
      <w:r w:rsidRPr="0049187C">
        <w:rPr>
          <w:lang w:val="ru-RU"/>
        </w:rPr>
        <w:t xml:space="preserve"> «</w:t>
      </w:r>
      <w:r w:rsidR="009837FA">
        <w:rPr>
          <w:lang w:val="ru-RU"/>
        </w:rPr>
        <w:t>наи</w:t>
      </w:r>
      <w:r w:rsidRPr="0049187C">
        <w:rPr>
          <w:lang w:val="ru-RU"/>
        </w:rPr>
        <w:t>худший</w:t>
      </w:r>
      <w:r w:rsidR="00C41EF0" w:rsidRPr="0049187C">
        <w:rPr>
          <w:lang w:val="ru-RU"/>
        </w:rPr>
        <w:t>»</w:t>
      </w:r>
      <w:r w:rsidRPr="0049187C">
        <w:rPr>
          <w:lang w:val="ru-RU"/>
        </w:rPr>
        <w:t xml:space="preserve"> сценарий или «стрессовый</w:t>
      </w:r>
      <w:r w:rsidR="00C41EF0" w:rsidRPr="0049187C">
        <w:rPr>
          <w:lang w:val="ru-RU"/>
        </w:rPr>
        <w:t>»</w:t>
      </w:r>
      <w:r w:rsidRPr="0049187C">
        <w:rPr>
          <w:lang w:val="ru-RU"/>
        </w:rPr>
        <w:t xml:space="preserve"> сценарий. Например, если организация ожидает, что она продаст определенный портфель финансовых активов только при стрессовом сценарии, т</w:t>
      </w:r>
      <w:r w:rsidR="0096742F" w:rsidRPr="0049187C">
        <w:rPr>
          <w:lang w:val="ru-RU"/>
        </w:rPr>
        <w:t>акой с</w:t>
      </w:r>
      <w:r w:rsidR="00351948" w:rsidRPr="0049187C">
        <w:rPr>
          <w:lang w:val="ru-RU"/>
        </w:rPr>
        <w:t>ц</w:t>
      </w:r>
      <w:r w:rsidR="0096742F" w:rsidRPr="0049187C">
        <w:rPr>
          <w:lang w:val="ru-RU"/>
        </w:rPr>
        <w:t>енарий</w:t>
      </w:r>
      <w:r w:rsidRPr="0049187C">
        <w:rPr>
          <w:lang w:val="ru-RU"/>
        </w:rPr>
        <w:t xml:space="preserve"> не влияет на оценку организацией бизнес-модели для таких активов, если организация обоснованно ожидает, что такой сценарий не произойдет. Если денежные потоки реализованы способом, отличным от ожиданий организации на дату </w:t>
      </w:r>
      <w:r w:rsidR="009837FA">
        <w:rPr>
          <w:lang w:val="ru-RU"/>
        </w:rPr>
        <w:t xml:space="preserve">проводившейся ею </w:t>
      </w:r>
      <w:r w:rsidRPr="0049187C">
        <w:rPr>
          <w:lang w:val="ru-RU"/>
        </w:rPr>
        <w:t>оценки бизнес-модели (например, если организация продала больше или меньше финансовых активов, чем она ожидала при классификации данных активов), это н</w:t>
      </w:r>
      <w:r w:rsidR="0096742F" w:rsidRPr="0049187C">
        <w:rPr>
          <w:lang w:val="ru-RU"/>
        </w:rPr>
        <w:t>е</w:t>
      </w:r>
      <w:r w:rsidR="009865AF">
        <w:rPr>
          <w:lang w:val="ru-RU"/>
        </w:rPr>
        <w:t xml:space="preserve"> является основание</w:t>
      </w:r>
      <w:r w:rsidR="00A747D5">
        <w:rPr>
          <w:lang w:val="ru-RU"/>
        </w:rPr>
        <w:t>м</w:t>
      </w:r>
      <w:r w:rsidR="009865AF">
        <w:rPr>
          <w:lang w:val="ru-RU"/>
        </w:rPr>
        <w:t xml:space="preserve"> для отражения</w:t>
      </w:r>
      <w:r w:rsidRPr="0049187C">
        <w:rPr>
          <w:lang w:val="ru-RU"/>
        </w:rPr>
        <w:t xml:space="preserve"> ошибк</w:t>
      </w:r>
      <w:r w:rsidR="009837FA">
        <w:rPr>
          <w:lang w:val="ru-RU"/>
        </w:rPr>
        <w:t>и</w:t>
      </w:r>
      <w:r w:rsidRPr="0049187C">
        <w:rPr>
          <w:lang w:val="ru-RU"/>
        </w:rPr>
        <w:t xml:space="preserve"> предыдущих периодов в финансовой отчетности организации (см. МСФО (IAS) 8</w:t>
      </w:r>
      <w:r w:rsidR="00F55306">
        <w:rPr>
          <w:lang w:val="ru-RU"/>
        </w:rPr>
        <w:t xml:space="preserve"> </w:t>
      </w:r>
      <w:r w:rsidR="00F55306" w:rsidRPr="00F55306">
        <w:rPr>
          <w:i/>
          <w:lang w:val="ru-RU"/>
        </w:rPr>
        <w:t>«Учетная политика, изменения в бухгалтерских оценках и ошибки»</w:t>
      </w:r>
      <w:r w:rsidRPr="0049187C">
        <w:rPr>
          <w:lang w:val="ru-RU"/>
        </w:rPr>
        <w:t>)</w:t>
      </w:r>
      <w:r w:rsidR="00351948" w:rsidRPr="0049187C">
        <w:rPr>
          <w:lang w:val="ru-RU"/>
        </w:rPr>
        <w:t xml:space="preserve"> и</w:t>
      </w:r>
      <w:r w:rsidRPr="0049187C">
        <w:rPr>
          <w:lang w:val="ru-RU"/>
        </w:rPr>
        <w:t xml:space="preserve"> н</w:t>
      </w:r>
      <w:r w:rsidR="00351948" w:rsidRPr="0049187C">
        <w:rPr>
          <w:lang w:val="ru-RU"/>
        </w:rPr>
        <w:t>е</w:t>
      </w:r>
      <w:r w:rsidRPr="0049187C">
        <w:rPr>
          <w:lang w:val="ru-RU"/>
        </w:rPr>
        <w:t xml:space="preserve"> меняет классификацию оставшихся финансовых активов, удерживаемых в соответствии с данной бизнес-моделью (т. е. тех активов, которые организация признала в предыдущие периоды и удерживает до сих пор)</w:t>
      </w:r>
      <w:r w:rsidR="00351948" w:rsidRPr="0049187C">
        <w:rPr>
          <w:lang w:val="ru-RU"/>
        </w:rPr>
        <w:t>,</w:t>
      </w:r>
      <w:r w:rsidRPr="0049187C">
        <w:rPr>
          <w:lang w:val="ru-RU"/>
        </w:rPr>
        <w:t xml:space="preserve"> при условии, что организация приняла во внимания всю </w:t>
      </w:r>
      <w:r w:rsidR="00C41EF0" w:rsidRPr="0049187C">
        <w:rPr>
          <w:lang w:val="ru-RU"/>
        </w:rPr>
        <w:t xml:space="preserve">уместную </w:t>
      </w:r>
      <w:r w:rsidRPr="0049187C">
        <w:rPr>
          <w:lang w:val="ru-RU"/>
        </w:rPr>
        <w:t>информацию, доступную на момент оценки бизнес-модели. Однако</w:t>
      </w:r>
      <w:r w:rsidR="00A747D5">
        <w:rPr>
          <w:lang w:val="ru-RU"/>
        </w:rPr>
        <w:t>,</w:t>
      </w:r>
      <w:r w:rsidRPr="0049187C">
        <w:rPr>
          <w:lang w:val="ru-RU"/>
        </w:rPr>
        <w:t xml:space="preserve"> когда организация оценивает бизнес-модель для недавно </w:t>
      </w:r>
      <w:r w:rsidR="000B61C3">
        <w:rPr>
          <w:lang w:val="ru-RU"/>
        </w:rPr>
        <w:t>созданных</w:t>
      </w:r>
      <w:r w:rsidR="00351948" w:rsidRPr="0049187C">
        <w:rPr>
          <w:lang w:val="ru-RU"/>
        </w:rPr>
        <w:t xml:space="preserve"> </w:t>
      </w:r>
      <w:r w:rsidRPr="0049187C">
        <w:rPr>
          <w:lang w:val="ru-RU"/>
        </w:rPr>
        <w:t>или недавно приобретенных финансовых активов, она должна принять во внимание</w:t>
      </w:r>
      <w:r w:rsidR="009865AF">
        <w:rPr>
          <w:lang w:val="ru-RU"/>
        </w:rPr>
        <w:t xml:space="preserve"> информацию о способе реализации денежных потоков</w:t>
      </w:r>
      <w:r w:rsidRPr="0049187C">
        <w:rPr>
          <w:lang w:val="ru-RU"/>
        </w:rPr>
        <w:t xml:space="preserve"> в прошлом вместе со всей другой </w:t>
      </w:r>
      <w:r w:rsidR="00C41EF0" w:rsidRPr="0049187C">
        <w:rPr>
          <w:lang w:val="ru-RU"/>
        </w:rPr>
        <w:t xml:space="preserve">уместной </w:t>
      </w:r>
      <w:r w:rsidRPr="0049187C">
        <w:rPr>
          <w:lang w:val="ru-RU"/>
        </w:rPr>
        <w:t>информацией.</w:t>
      </w:r>
    </w:p>
    <w:p w:rsidR="007D4BCC" w:rsidRPr="0049187C" w:rsidRDefault="007D4BCC" w:rsidP="007D4BCC">
      <w:pPr>
        <w:pStyle w:val="IASBNormalnpara"/>
        <w:rPr>
          <w:lang w:val="ru-RU"/>
        </w:rPr>
      </w:pPr>
      <w:r w:rsidRPr="0049187C">
        <w:rPr>
          <w:lang w:val="ru-RU"/>
        </w:rPr>
        <w:t>B</w:t>
      </w:r>
      <w:r w:rsidR="009030F0">
        <w:rPr>
          <w:lang w:val="ru-RU"/>
        </w:rPr>
        <w:t>4.1.2B</w:t>
      </w:r>
      <w:r w:rsidR="009030F0">
        <w:rPr>
          <w:lang w:val="ru-RU"/>
        </w:rPr>
        <w:tab/>
        <w:t>Бизнес-модель</w:t>
      </w:r>
      <w:r w:rsidR="00814954">
        <w:rPr>
          <w:lang w:val="ru-RU"/>
        </w:rPr>
        <w:t>, используе</w:t>
      </w:r>
      <w:r w:rsidR="00A16E6E">
        <w:rPr>
          <w:lang w:val="ru-RU"/>
        </w:rPr>
        <w:t>м</w:t>
      </w:r>
      <w:r w:rsidR="00814954">
        <w:rPr>
          <w:lang w:val="ru-RU"/>
        </w:rPr>
        <w:t>ая</w:t>
      </w:r>
      <w:r w:rsidR="009030F0">
        <w:rPr>
          <w:lang w:val="ru-RU"/>
        </w:rPr>
        <w:t xml:space="preserve"> организацией</w:t>
      </w:r>
      <w:r w:rsidR="00814954">
        <w:rPr>
          <w:lang w:val="ru-RU"/>
        </w:rPr>
        <w:t xml:space="preserve"> </w:t>
      </w:r>
      <w:r w:rsidRPr="0049187C">
        <w:rPr>
          <w:lang w:val="ru-RU"/>
        </w:rPr>
        <w:t>для управления финансовыми активами</w:t>
      </w:r>
      <w:r w:rsidR="00F51BA5" w:rsidRPr="00F51BA5">
        <w:rPr>
          <w:lang w:val="ru-RU"/>
        </w:rPr>
        <w:t>,</w:t>
      </w:r>
      <w:r w:rsidR="00814954">
        <w:rPr>
          <w:lang w:val="ru-RU"/>
        </w:rPr>
        <w:t xml:space="preserve"> является фактом, а не просто утверждением</w:t>
      </w:r>
      <w:r w:rsidRPr="0049187C">
        <w:rPr>
          <w:lang w:val="ru-RU"/>
        </w:rPr>
        <w:t>. Она, как правило, наблюдается в деятельности, которую организация предпринимает для достижения цели бизнес-модели. При оценке бизнес-модели</w:t>
      </w:r>
      <w:r w:rsidR="00814954">
        <w:rPr>
          <w:lang w:val="ru-RU"/>
        </w:rPr>
        <w:t>, используемой</w:t>
      </w:r>
      <w:r w:rsidRPr="0049187C">
        <w:rPr>
          <w:lang w:val="ru-RU"/>
        </w:rPr>
        <w:t xml:space="preserve"> для управления финансовыми активами</w:t>
      </w:r>
      <w:r w:rsidR="00814954">
        <w:rPr>
          <w:lang w:val="ru-RU"/>
        </w:rPr>
        <w:t>,</w:t>
      </w:r>
      <w:r w:rsidRPr="0049187C">
        <w:rPr>
          <w:lang w:val="ru-RU"/>
        </w:rPr>
        <w:t xml:space="preserve"> организации будет необходимо применить суждение, и такая оценка не </w:t>
      </w:r>
      <w:r w:rsidR="00814954">
        <w:rPr>
          <w:lang w:val="ru-RU"/>
        </w:rPr>
        <w:t>производится</w:t>
      </w:r>
      <w:r w:rsidR="00814954" w:rsidRPr="0049187C">
        <w:rPr>
          <w:lang w:val="ru-RU"/>
        </w:rPr>
        <w:t xml:space="preserve"> </w:t>
      </w:r>
      <w:r w:rsidRPr="0049187C">
        <w:rPr>
          <w:lang w:val="ru-RU"/>
        </w:rPr>
        <w:t>на основе одного фактора или одной операции. Наоборот, органи</w:t>
      </w:r>
      <w:r w:rsidR="00FF5C97">
        <w:rPr>
          <w:lang w:val="ru-RU"/>
        </w:rPr>
        <w:t>зация должна принять во внимание</w:t>
      </w:r>
      <w:r w:rsidRPr="0049187C">
        <w:rPr>
          <w:lang w:val="ru-RU"/>
        </w:rPr>
        <w:t xml:space="preserve"> все </w:t>
      </w:r>
      <w:r w:rsidR="00C41EF0" w:rsidRPr="0049187C">
        <w:rPr>
          <w:lang w:val="ru-RU"/>
        </w:rPr>
        <w:t xml:space="preserve">уместные </w:t>
      </w:r>
      <w:r w:rsidRPr="0049187C">
        <w:rPr>
          <w:lang w:val="ru-RU"/>
        </w:rPr>
        <w:t xml:space="preserve">свидетельства, доступные на дату оценки. Такие </w:t>
      </w:r>
      <w:r w:rsidR="00C41EF0" w:rsidRPr="0049187C">
        <w:rPr>
          <w:lang w:val="ru-RU"/>
        </w:rPr>
        <w:t xml:space="preserve">уместные </w:t>
      </w:r>
      <w:r w:rsidRPr="0049187C">
        <w:rPr>
          <w:lang w:val="ru-RU"/>
        </w:rPr>
        <w:t>свидетельства включают</w:t>
      </w:r>
      <w:r w:rsidR="00351948" w:rsidRPr="0049187C">
        <w:rPr>
          <w:lang w:val="ru-RU"/>
        </w:rPr>
        <w:t>,</w:t>
      </w:r>
      <w:r w:rsidRPr="0049187C">
        <w:rPr>
          <w:lang w:val="ru-RU"/>
        </w:rPr>
        <w:t xml:space="preserve"> среди прочего:</w:t>
      </w:r>
    </w:p>
    <w:p w:rsidR="007D4BCC" w:rsidRPr="0049187C" w:rsidRDefault="00FF5C97" w:rsidP="007D4BCC">
      <w:pPr>
        <w:pStyle w:val="IASBNormalnparaL1"/>
        <w:tabs>
          <w:tab w:val="left" w:pos="851"/>
        </w:tabs>
        <w:ind w:hanging="571"/>
        <w:rPr>
          <w:lang w:val="ru-RU"/>
        </w:rPr>
      </w:pPr>
      <w:r>
        <w:rPr>
          <w:lang w:val="ru-RU"/>
        </w:rPr>
        <w:t>(a)</w:t>
      </w:r>
      <w:r>
        <w:rPr>
          <w:lang w:val="ru-RU"/>
        </w:rPr>
        <w:tab/>
        <w:t>каким образом оценивае</w:t>
      </w:r>
      <w:r w:rsidR="007D4BCC" w:rsidRPr="0049187C">
        <w:rPr>
          <w:lang w:val="ru-RU"/>
        </w:rPr>
        <w:t xml:space="preserve">тся </w:t>
      </w:r>
      <w:r>
        <w:rPr>
          <w:lang w:val="ru-RU"/>
        </w:rPr>
        <w:t>результативность</w:t>
      </w:r>
      <w:r w:rsidR="007D4BCC" w:rsidRPr="0049187C">
        <w:rPr>
          <w:lang w:val="ru-RU"/>
        </w:rPr>
        <w:t xml:space="preserve"> бизнес-модели и доходность финансовых активов, удерживаемых в рамках этой бизнес-модели, и как</w:t>
      </w:r>
      <w:r>
        <w:rPr>
          <w:lang w:val="ru-RU"/>
        </w:rPr>
        <w:t>им образом эта информация</w:t>
      </w:r>
      <w:r w:rsidR="007D4BCC" w:rsidRPr="0049187C">
        <w:rPr>
          <w:lang w:val="ru-RU"/>
        </w:rPr>
        <w:t xml:space="preserve"> </w:t>
      </w:r>
      <w:r>
        <w:rPr>
          <w:lang w:val="ru-RU"/>
        </w:rPr>
        <w:t>сообщае</w:t>
      </w:r>
      <w:r w:rsidR="007D4BCC" w:rsidRPr="0049187C">
        <w:rPr>
          <w:lang w:val="ru-RU"/>
        </w:rPr>
        <w:t>тся ключевому управленческому персоналу организации;</w:t>
      </w:r>
    </w:p>
    <w:p w:rsidR="007D4BCC" w:rsidRPr="0049187C" w:rsidRDefault="007D4BCC" w:rsidP="007D4BCC">
      <w:pPr>
        <w:pStyle w:val="IASBNormalnparaL1"/>
        <w:tabs>
          <w:tab w:val="left" w:pos="851"/>
        </w:tabs>
        <w:ind w:hanging="571"/>
        <w:rPr>
          <w:lang w:val="ru-RU"/>
        </w:rPr>
      </w:pPr>
      <w:r w:rsidRPr="0049187C">
        <w:rPr>
          <w:lang w:val="ru-RU"/>
        </w:rPr>
        <w:t>(b)</w:t>
      </w:r>
      <w:r w:rsidRPr="0049187C">
        <w:rPr>
          <w:lang w:val="ru-RU"/>
        </w:rPr>
        <w:tab/>
        <w:t xml:space="preserve">риски, которые влияют на </w:t>
      </w:r>
      <w:r w:rsidR="00FF5C97">
        <w:rPr>
          <w:lang w:val="ru-RU"/>
        </w:rPr>
        <w:t>результативность</w:t>
      </w:r>
      <w:r w:rsidRPr="0049187C">
        <w:rPr>
          <w:lang w:val="ru-RU"/>
        </w:rPr>
        <w:t xml:space="preserve"> бизнес-модели (и на доходность финансовых активов, удерживаемых в рамках этой бизнес-модели) и, в частности, способ управления данными рисками; и</w:t>
      </w:r>
    </w:p>
    <w:p w:rsidR="007D4BCC" w:rsidRPr="0049187C" w:rsidRDefault="007D4BCC" w:rsidP="007D4BCC">
      <w:pPr>
        <w:pStyle w:val="IASBNormalnparaL1"/>
        <w:tabs>
          <w:tab w:val="left" w:pos="851"/>
        </w:tabs>
        <w:ind w:hanging="571"/>
        <w:rPr>
          <w:lang w:val="ru-RU"/>
        </w:rPr>
      </w:pPr>
      <w:r w:rsidRPr="0049187C">
        <w:rPr>
          <w:lang w:val="ru-RU"/>
        </w:rPr>
        <w:t>(c)</w:t>
      </w:r>
      <w:r w:rsidRPr="0049187C">
        <w:rPr>
          <w:lang w:val="ru-RU"/>
        </w:rPr>
        <w:tab/>
        <w:t>каким образом вознаграждаются менеджеры, управляющие бизнесом (например, основано ли вознаграждение на справедливой стоимости управляемых активов или на полученных денежных потоках, предусмотренных договором).</w:t>
      </w:r>
    </w:p>
    <w:p w:rsidR="007D4BCC" w:rsidRPr="0049187C" w:rsidRDefault="007D4BCC" w:rsidP="007D4BCC">
      <w:pPr>
        <w:pStyle w:val="IASBSectionTitle4Ind"/>
        <w:rPr>
          <w:lang w:val="ru-RU"/>
        </w:rPr>
      </w:pPr>
      <w:r w:rsidRPr="0049187C">
        <w:rPr>
          <w:lang w:val="ru-RU"/>
        </w:rPr>
        <w:t>Бизнес-модель, целью которой является удержание активов для получения предусмотренных договором денежных потоков</w:t>
      </w:r>
    </w:p>
    <w:p w:rsidR="007D4BCC" w:rsidRPr="0049187C" w:rsidRDefault="007D4BCC" w:rsidP="007D4BCC">
      <w:pPr>
        <w:pStyle w:val="IASBNormalnpara"/>
        <w:rPr>
          <w:lang w:val="ru-RU"/>
        </w:rPr>
      </w:pPr>
      <w:r w:rsidRPr="0049187C">
        <w:rPr>
          <w:lang w:val="ru-RU"/>
        </w:rPr>
        <w:t>B4.1.2C</w:t>
      </w:r>
      <w:r w:rsidRPr="0049187C">
        <w:rPr>
          <w:lang w:val="ru-RU"/>
        </w:rPr>
        <w:tab/>
        <w:t xml:space="preserve">Финансовые активы, удерживаемые в рамках бизнес-модели, целью которой является удержание активов для получения предусмотренных договором денежных потоков, управляются для реализации денежных потоков путем получения предусмотренных договором платежей на протяжении срока действия инструмента. Другими словами, организация управляет активами, удерживаемыми в рамках портфеля, с целью получения определенных предусмотренных договором денежных потоков (вместо того, чтобы управлять </w:t>
      </w:r>
      <w:r w:rsidR="00814954" w:rsidRPr="0049187C">
        <w:rPr>
          <w:lang w:val="ru-RU"/>
        </w:rPr>
        <w:t>общ</w:t>
      </w:r>
      <w:r w:rsidR="00814954">
        <w:rPr>
          <w:lang w:val="ru-RU"/>
        </w:rPr>
        <w:t>ей</w:t>
      </w:r>
      <w:r w:rsidR="00814954" w:rsidRPr="0049187C">
        <w:rPr>
          <w:lang w:val="ru-RU"/>
        </w:rPr>
        <w:t xml:space="preserve"> </w:t>
      </w:r>
      <w:r w:rsidRPr="0049187C">
        <w:rPr>
          <w:lang w:val="ru-RU"/>
        </w:rPr>
        <w:t>доход</w:t>
      </w:r>
      <w:r w:rsidR="00814954">
        <w:rPr>
          <w:lang w:val="ru-RU"/>
        </w:rPr>
        <w:t>ностью</w:t>
      </w:r>
      <w:r w:rsidRPr="0049187C">
        <w:rPr>
          <w:lang w:val="ru-RU"/>
        </w:rPr>
        <w:t xml:space="preserve"> портфел</w:t>
      </w:r>
      <w:r w:rsidR="00814954">
        <w:rPr>
          <w:lang w:val="ru-RU"/>
        </w:rPr>
        <w:t>я</w:t>
      </w:r>
      <w:r w:rsidRPr="0049187C">
        <w:rPr>
          <w:lang w:val="ru-RU"/>
        </w:rPr>
        <w:t xml:space="preserve">, </w:t>
      </w:r>
      <w:r w:rsidR="00FF5C97">
        <w:rPr>
          <w:lang w:val="ru-RU"/>
        </w:rPr>
        <w:t xml:space="preserve">как </w:t>
      </w:r>
      <w:r w:rsidRPr="0049187C">
        <w:rPr>
          <w:lang w:val="ru-RU"/>
        </w:rPr>
        <w:t>удерживая</w:t>
      </w:r>
      <w:r w:rsidR="00FF5C97">
        <w:rPr>
          <w:lang w:val="ru-RU"/>
        </w:rPr>
        <w:t>, так</w:t>
      </w:r>
      <w:r w:rsidRPr="0049187C">
        <w:rPr>
          <w:lang w:val="ru-RU"/>
        </w:rPr>
        <w:t xml:space="preserve"> и продавая активы). При определении того, будут ли денежные потоки реализованы путем получения предусмотренных договором денежных потоков по финансовым активам, необходимо принят</w:t>
      </w:r>
      <w:r w:rsidR="00A82867">
        <w:rPr>
          <w:lang w:val="ru-RU"/>
        </w:rPr>
        <w:t>ь во внимание частоту, объемы</w:t>
      </w:r>
      <w:r w:rsidRPr="0049187C">
        <w:rPr>
          <w:lang w:val="ru-RU"/>
        </w:rPr>
        <w:t xml:space="preserve"> и сроки продаж в предыдущих периодах, причины таких продаж и ожидания в отношении будущей деятельности по </w:t>
      </w:r>
      <w:r w:rsidR="00814954" w:rsidRPr="0049187C">
        <w:rPr>
          <w:lang w:val="ru-RU"/>
        </w:rPr>
        <w:t>продаж</w:t>
      </w:r>
      <w:r w:rsidR="00814954">
        <w:rPr>
          <w:lang w:val="ru-RU"/>
        </w:rPr>
        <w:t>ам</w:t>
      </w:r>
      <w:r w:rsidRPr="0049187C">
        <w:rPr>
          <w:lang w:val="ru-RU"/>
        </w:rPr>
        <w:t xml:space="preserve">. Однако продажи сами по себе не определяют бизнес-модель и, соответственно, не могут рассматриваться </w:t>
      </w:r>
      <w:r w:rsidR="00814954">
        <w:rPr>
          <w:lang w:val="ru-RU"/>
        </w:rPr>
        <w:t>изолированно</w:t>
      </w:r>
      <w:r w:rsidRPr="0049187C">
        <w:rPr>
          <w:lang w:val="ru-RU"/>
        </w:rPr>
        <w:t xml:space="preserve">. </w:t>
      </w:r>
      <w:r w:rsidR="00327355">
        <w:rPr>
          <w:lang w:val="ru-RU"/>
        </w:rPr>
        <w:t>Вместо этого,</w:t>
      </w:r>
      <w:r w:rsidRPr="0049187C">
        <w:rPr>
          <w:lang w:val="ru-RU"/>
        </w:rPr>
        <w:t xml:space="preserve"> информаци</w:t>
      </w:r>
      <w:r w:rsidR="00FF5C97">
        <w:rPr>
          <w:lang w:val="ru-RU"/>
        </w:rPr>
        <w:t>я о прошлых продажах и ожидания</w:t>
      </w:r>
      <w:r w:rsidRPr="0049187C">
        <w:rPr>
          <w:lang w:val="ru-RU"/>
        </w:rPr>
        <w:t xml:space="preserve"> в отнош</w:t>
      </w:r>
      <w:r w:rsidR="00FF5C97">
        <w:rPr>
          <w:lang w:val="ru-RU"/>
        </w:rPr>
        <w:t>ении будущих продаж предоставляю</w:t>
      </w:r>
      <w:r w:rsidRPr="0049187C">
        <w:rPr>
          <w:lang w:val="ru-RU"/>
        </w:rPr>
        <w:t xml:space="preserve">т свидетельство того, как достигается заявленная организацией цель управления финансовыми активами и, в частности, как реализуются денежные потоки. Организация должна </w:t>
      </w:r>
      <w:r w:rsidR="00FF5C97">
        <w:rPr>
          <w:lang w:val="ru-RU"/>
        </w:rPr>
        <w:t>анализировать</w:t>
      </w:r>
      <w:r w:rsidRPr="0049187C">
        <w:rPr>
          <w:lang w:val="ru-RU"/>
        </w:rPr>
        <w:t xml:space="preserve"> информацию о прошлых продажах с учетом причин таких продаж и существовавших на тот момент условий по сравнению с текущими условиями.</w:t>
      </w:r>
    </w:p>
    <w:p w:rsidR="007D4BCC" w:rsidRPr="0049187C" w:rsidRDefault="007D4BCC" w:rsidP="007D4BCC">
      <w:pPr>
        <w:pStyle w:val="IASBNormalnpara"/>
        <w:rPr>
          <w:lang w:val="ru-RU"/>
        </w:rPr>
      </w:pPr>
      <w:r w:rsidRPr="0049187C">
        <w:rPr>
          <w:lang w:val="ru-RU"/>
        </w:rPr>
        <w:t>B4.1.3</w:t>
      </w:r>
      <w:r w:rsidRPr="0049187C">
        <w:rPr>
          <w:lang w:val="ru-RU"/>
        </w:rPr>
        <w:tab/>
        <w:t>Хотя целью бизнес-модели</w:t>
      </w:r>
      <w:r w:rsidR="009030F0">
        <w:rPr>
          <w:lang w:val="ru-RU"/>
        </w:rPr>
        <w:t>, используемой организацией,</w:t>
      </w:r>
      <w:r w:rsidRPr="0049187C">
        <w:rPr>
          <w:lang w:val="ru-RU"/>
        </w:rPr>
        <w:t xml:space="preserve"> может быть удерж</w:t>
      </w:r>
      <w:r w:rsidR="004F2AAD" w:rsidRPr="0049187C">
        <w:rPr>
          <w:lang w:val="ru-RU"/>
        </w:rPr>
        <w:t>а</w:t>
      </w:r>
      <w:r w:rsidRPr="0049187C">
        <w:rPr>
          <w:lang w:val="ru-RU"/>
        </w:rPr>
        <w:t xml:space="preserve">ние финансовых активов с целью получения предусмотренных договором денежных потоков, организация не </w:t>
      </w:r>
      <w:r w:rsidR="00327355">
        <w:rPr>
          <w:lang w:val="ru-RU"/>
        </w:rPr>
        <w:t xml:space="preserve">должна </w:t>
      </w:r>
      <w:r w:rsidRPr="0049187C">
        <w:rPr>
          <w:lang w:val="ru-RU"/>
        </w:rPr>
        <w:t xml:space="preserve">удерживать все эти инструменты до </w:t>
      </w:r>
      <w:r w:rsidR="00FF5C97">
        <w:rPr>
          <w:lang w:val="ru-RU"/>
        </w:rPr>
        <w:t xml:space="preserve">наступления срока </w:t>
      </w:r>
      <w:r w:rsidRPr="0049187C">
        <w:rPr>
          <w:lang w:val="ru-RU"/>
        </w:rPr>
        <w:t>погашения. Таким образом, бизнес-модель</w:t>
      </w:r>
      <w:r w:rsidR="009030F0">
        <w:rPr>
          <w:lang w:val="ru-RU"/>
        </w:rPr>
        <w:t>, используемая организацией,</w:t>
      </w:r>
      <w:r w:rsidRPr="0049187C">
        <w:rPr>
          <w:lang w:val="ru-RU"/>
        </w:rPr>
        <w:t xml:space="preserve"> может предусматривать удержание финансовых активов для получения предусмотренных договором денежных потоков, даже когда имеют место продажи финансовых активов или ожида</w:t>
      </w:r>
      <w:r w:rsidR="004F2AAD" w:rsidRPr="0049187C">
        <w:rPr>
          <w:lang w:val="ru-RU"/>
        </w:rPr>
        <w:t>ю</w:t>
      </w:r>
      <w:r w:rsidRPr="0049187C">
        <w:rPr>
          <w:lang w:val="ru-RU"/>
        </w:rPr>
        <w:t>тся их продажи в будущем.</w:t>
      </w:r>
    </w:p>
    <w:p w:rsidR="007D4BCC" w:rsidRPr="0049187C" w:rsidRDefault="007D4BCC" w:rsidP="007D4BCC">
      <w:pPr>
        <w:pStyle w:val="IASBNormalnpara"/>
        <w:rPr>
          <w:lang w:val="ru-RU"/>
        </w:rPr>
      </w:pPr>
      <w:r w:rsidRPr="0049187C">
        <w:rPr>
          <w:lang w:val="ru-RU"/>
        </w:rPr>
        <w:t>B4.1.3A</w:t>
      </w:r>
      <w:r w:rsidRPr="0049187C">
        <w:rPr>
          <w:lang w:val="ru-RU"/>
        </w:rPr>
        <w:tab/>
        <w:t>Бизнес-модель может предусматривать удержание финансовых активов для получения предусмотренных договором денежных потоков, даже если организация продает финансовые активы при увелич</w:t>
      </w:r>
      <w:r w:rsidR="00F762AA">
        <w:rPr>
          <w:lang w:val="ru-RU"/>
        </w:rPr>
        <w:t>ении кредитного риска по ним</w:t>
      </w:r>
      <w:r w:rsidRPr="0049187C">
        <w:rPr>
          <w:lang w:val="ru-RU"/>
        </w:rPr>
        <w:t xml:space="preserve">. Для определения </w:t>
      </w:r>
      <w:r w:rsidR="00327355">
        <w:rPr>
          <w:lang w:val="ru-RU"/>
        </w:rPr>
        <w:t>того, имело ли место</w:t>
      </w:r>
      <w:r w:rsidR="00327355" w:rsidRPr="0049187C">
        <w:rPr>
          <w:lang w:val="ru-RU"/>
        </w:rPr>
        <w:t xml:space="preserve"> </w:t>
      </w:r>
      <w:r w:rsidRPr="0049187C">
        <w:rPr>
          <w:lang w:val="ru-RU"/>
        </w:rPr>
        <w:t>увеличени</w:t>
      </w:r>
      <w:r w:rsidR="00327355">
        <w:rPr>
          <w:lang w:val="ru-RU"/>
        </w:rPr>
        <w:t>е</w:t>
      </w:r>
      <w:r w:rsidRPr="0049187C">
        <w:rPr>
          <w:lang w:val="ru-RU"/>
        </w:rPr>
        <w:t xml:space="preserve"> кредитного риска по активам</w:t>
      </w:r>
      <w:r w:rsidR="00566E5C">
        <w:rPr>
          <w:lang w:val="ru-RU"/>
        </w:rPr>
        <w:t>,</w:t>
      </w:r>
      <w:r w:rsidRPr="0049187C">
        <w:rPr>
          <w:lang w:val="ru-RU"/>
        </w:rPr>
        <w:t xml:space="preserve"> организация анализирует обоснованную и </w:t>
      </w:r>
      <w:r w:rsidR="00327355">
        <w:rPr>
          <w:lang w:val="ru-RU"/>
        </w:rPr>
        <w:t>подтверждаемую</w:t>
      </w:r>
      <w:r w:rsidR="00327355" w:rsidRPr="0049187C">
        <w:rPr>
          <w:lang w:val="ru-RU"/>
        </w:rPr>
        <w:t xml:space="preserve"> </w:t>
      </w:r>
      <w:r w:rsidRPr="0049187C">
        <w:rPr>
          <w:lang w:val="ru-RU"/>
        </w:rPr>
        <w:t xml:space="preserve">информацию, включая </w:t>
      </w:r>
      <w:r w:rsidR="00327355">
        <w:rPr>
          <w:lang w:val="ru-RU"/>
        </w:rPr>
        <w:t xml:space="preserve">прогнозную </w:t>
      </w:r>
      <w:r w:rsidRPr="0049187C">
        <w:rPr>
          <w:lang w:val="ru-RU"/>
        </w:rPr>
        <w:t xml:space="preserve">информацию. </w:t>
      </w:r>
      <w:r w:rsidR="00FF5C97">
        <w:rPr>
          <w:lang w:val="ru-RU"/>
        </w:rPr>
        <w:t>П</w:t>
      </w:r>
      <w:r w:rsidRPr="0049187C">
        <w:rPr>
          <w:lang w:val="ru-RU"/>
        </w:rPr>
        <w:t>родажи вследствие увеличения кредитного риска по активам</w:t>
      </w:r>
      <w:r w:rsidR="00FF5C97">
        <w:rPr>
          <w:lang w:val="ru-RU"/>
        </w:rPr>
        <w:t>, независимо от их частоты и объемов,</w:t>
      </w:r>
      <w:r w:rsidRPr="0049187C">
        <w:rPr>
          <w:lang w:val="ru-RU"/>
        </w:rPr>
        <w:t xml:space="preserve"> не противоречат бизнес-модели, целью которой является удержание финансовых инструментов для получения предусмотренных договором денежных потоков, так как кредитное качество финансовых активов </w:t>
      </w:r>
      <w:r w:rsidR="00F51BA5">
        <w:rPr>
          <w:lang w:val="ru-RU"/>
        </w:rPr>
        <w:t>имеет значение для</w:t>
      </w:r>
      <w:r w:rsidR="00FF5C97">
        <w:rPr>
          <w:lang w:val="ru-RU"/>
        </w:rPr>
        <w:t xml:space="preserve"> способности</w:t>
      </w:r>
      <w:r w:rsidRPr="0049187C">
        <w:rPr>
          <w:lang w:val="ru-RU"/>
        </w:rPr>
        <w:t xml:space="preserve"> организации получить предусмотренные договором денежные потоки. Деятельность по управлению кредитными рисками, направленная на минимизацию потенциальных кредитных убытков в результате ухудшения кредитного качества активов, является неотъемлемой частью такой бизнес-модели. Продажа финансового актива</w:t>
      </w:r>
      <w:r w:rsidR="001801B0" w:rsidRPr="0049187C">
        <w:rPr>
          <w:lang w:val="ru-RU"/>
        </w:rPr>
        <w:t xml:space="preserve"> ввиду того</w:t>
      </w:r>
      <w:r w:rsidRPr="0049187C">
        <w:rPr>
          <w:lang w:val="ru-RU"/>
        </w:rPr>
        <w:t xml:space="preserve">, </w:t>
      </w:r>
      <w:r w:rsidR="001801B0" w:rsidRPr="0049187C">
        <w:rPr>
          <w:lang w:val="ru-RU"/>
        </w:rPr>
        <w:t>что он</w:t>
      </w:r>
      <w:r w:rsidRPr="0049187C">
        <w:rPr>
          <w:lang w:val="ru-RU"/>
        </w:rPr>
        <w:t xml:space="preserve"> более не удовлетворяет </w:t>
      </w:r>
      <w:r w:rsidR="008D53DF" w:rsidRPr="0049187C">
        <w:rPr>
          <w:lang w:val="ru-RU"/>
        </w:rPr>
        <w:t>критери</w:t>
      </w:r>
      <w:r w:rsidR="008D53DF">
        <w:rPr>
          <w:lang w:val="ru-RU"/>
        </w:rPr>
        <w:t>ям</w:t>
      </w:r>
      <w:r w:rsidR="008D53DF" w:rsidRPr="0049187C">
        <w:rPr>
          <w:lang w:val="ru-RU"/>
        </w:rPr>
        <w:t xml:space="preserve"> </w:t>
      </w:r>
      <w:r w:rsidRPr="0049187C">
        <w:rPr>
          <w:lang w:val="ru-RU"/>
        </w:rPr>
        <w:t>кредитного качества, установленн</w:t>
      </w:r>
      <w:r w:rsidR="008D53DF">
        <w:rPr>
          <w:lang w:val="ru-RU"/>
        </w:rPr>
        <w:t>ым</w:t>
      </w:r>
      <w:r w:rsidRPr="0049187C">
        <w:rPr>
          <w:lang w:val="ru-RU"/>
        </w:rPr>
        <w:t xml:space="preserve"> в документально оформленной инвестиционной политике организации, является примером продажи, произошедшей вследствие увеличения кредитного риска. Однако </w:t>
      </w:r>
      <w:r w:rsidR="00FF5C97">
        <w:rPr>
          <w:lang w:val="ru-RU"/>
        </w:rPr>
        <w:t>при</w:t>
      </w:r>
      <w:r w:rsidRPr="0049187C">
        <w:rPr>
          <w:lang w:val="ru-RU"/>
        </w:rPr>
        <w:t xml:space="preserve"> отсутстви</w:t>
      </w:r>
      <w:r w:rsidR="00FF5C97">
        <w:rPr>
          <w:lang w:val="ru-RU"/>
        </w:rPr>
        <w:t>и</w:t>
      </w:r>
      <w:r w:rsidRPr="0049187C">
        <w:rPr>
          <w:lang w:val="ru-RU"/>
        </w:rPr>
        <w:t xml:space="preserve"> такой политики организация может</w:t>
      </w:r>
      <w:r w:rsidR="00FF5C97">
        <w:rPr>
          <w:lang w:val="ru-RU"/>
        </w:rPr>
        <w:t xml:space="preserve"> иным способом</w:t>
      </w:r>
      <w:r w:rsidRPr="0049187C">
        <w:rPr>
          <w:lang w:val="ru-RU"/>
        </w:rPr>
        <w:t xml:space="preserve"> продемонстрировать, что продажа произошла в </w:t>
      </w:r>
      <w:r w:rsidR="00FF5C97">
        <w:rPr>
          <w:lang w:val="ru-RU"/>
        </w:rPr>
        <w:t>связи с увеличением</w:t>
      </w:r>
      <w:r w:rsidRPr="0049187C">
        <w:rPr>
          <w:lang w:val="ru-RU"/>
        </w:rPr>
        <w:t xml:space="preserve"> кредитного риска.</w:t>
      </w:r>
    </w:p>
    <w:p w:rsidR="007D4BCC" w:rsidRPr="0049187C" w:rsidRDefault="007D4BCC" w:rsidP="007D4BCC">
      <w:pPr>
        <w:pStyle w:val="IASBNormalnpara"/>
        <w:rPr>
          <w:lang w:val="ru-RU"/>
        </w:rPr>
      </w:pPr>
      <w:r w:rsidRPr="0049187C">
        <w:rPr>
          <w:lang w:val="ru-RU"/>
        </w:rPr>
        <w:t>B4.1.3B</w:t>
      </w:r>
      <w:r w:rsidRPr="0049187C">
        <w:rPr>
          <w:lang w:val="ru-RU"/>
        </w:rPr>
        <w:tab/>
        <w:t xml:space="preserve">Продажи по другим причинам, например, с целью управления концентрацией кредитного риска (без увеличения кредитного риска активов), также могут соответствовать бизнес-модели, целью которой является удержание финансовых активов для получения предусмотренных договором денежных потоков. В частности, такие продажи могут соответствовать бизнес-модели, целью которой является удержание финансовых активов для получения предусмотренных договором денежных потоков, если такие продажи не являются частыми (даже если их </w:t>
      </w:r>
      <w:r w:rsidR="008D53DF">
        <w:rPr>
          <w:lang w:val="ru-RU"/>
        </w:rPr>
        <w:t>объемы</w:t>
      </w:r>
      <w:r w:rsidR="008D53DF" w:rsidRPr="0049187C">
        <w:rPr>
          <w:lang w:val="ru-RU"/>
        </w:rPr>
        <w:t xml:space="preserve"> явля</w:t>
      </w:r>
      <w:r w:rsidR="008D53DF">
        <w:rPr>
          <w:lang w:val="ru-RU"/>
        </w:rPr>
        <w:t>ю</w:t>
      </w:r>
      <w:r w:rsidR="008D53DF" w:rsidRPr="0049187C">
        <w:rPr>
          <w:lang w:val="ru-RU"/>
        </w:rPr>
        <w:t xml:space="preserve">тся </w:t>
      </w:r>
      <w:r w:rsidRPr="0049187C">
        <w:rPr>
          <w:lang w:val="ru-RU"/>
        </w:rPr>
        <w:t>значительн</w:t>
      </w:r>
      <w:r w:rsidR="008D53DF">
        <w:rPr>
          <w:lang w:val="ru-RU"/>
        </w:rPr>
        <w:t>ыми</w:t>
      </w:r>
      <w:r w:rsidRPr="0049187C">
        <w:rPr>
          <w:lang w:val="ru-RU"/>
        </w:rPr>
        <w:t xml:space="preserve">) или их </w:t>
      </w:r>
      <w:r w:rsidR="008D53DF" w:rsidRPr="00A82867">
        <w:rPr>
          <w:lang w:val="ru-RU"/>
        </w:rPr>
        <w:t xml:space="preserve">объемы являются </w:t>
      </w:r>
      <w:r w:rsidRPr="00A82867">
        <w:rPr>
          <w:lang w:val="ru-RU"/>
        </w:rPr>
        <w:t>незначительн</w:t>
      </w:r>
      <w:r w:rsidR="008D53DF" w:rsidRPr="00A82867">
        <w:rPr>
          <w:lang w:val="ru-RU"/>
        </w:rPr>
        <w:t>ыми</w:t>
      </w:r>
      <w:r w:rsidRPr="0049187C">
        <w:rPr>
          <w:lang w:val="ru-RU"/>
        </w:rPr>
        <w:t xml:space="preserve"> как по отдельности, так и </w:t>
      </w:r>
      <w:r w:rsidR="008E58E8">
        <w:rPr>
          <w:lang w:val="ru-RU"/>
        </w:rPr>
        <w:t>в совокупности</w:t>
      </w:r>
      <w:r w:rsidRPr="0049187C">
        <w:rPr>
          <w:lang w:val="ru-RU"/>
        </w:rPr>
        <w:t xml:space="preserve"> (даже если они являются частыми). Если продажи активов из портфеля не являются редкими и их </w:t>
      </w:r>
      <w:r w:rsidR="008D53DF">
        <w:rPr>
          <w:lang w:val="ru-RU"/>
        </w:rPr>
        <w:t>объемы</w:t>
      </w:r>
      <w:r w:rsidR="008D53DF" w:rsidRPr="0049187C">
        <w:rPr>
          <w:lang w:val="ru-RU"/>
        </w:rPr>
        <w:t xml:space="preserve"> </w:t>
      </w:r>
      <w:r w:rsidRPr="0049187C">
        <w:rPr>
          <w:lang w:val="ru-RU"/>
        </w:rPr>
        <w:t xml:space="preserve">не </w:t>
      </w:r>
      <w:r w:rsidR="008D53DF" w:rsidRPr="0049187C">
        <w:rPr>
          <w:lang w:val="ru-RU"/>
        </w:rPr>
        <w:t>явля</w:t>
      </w:r>
      <w:r w:rsidR="008D53DF">
        <w:rPr>
          <w:lang w:val="ru-RU"/>
        </w:rPr>
        <w:t>ю</w:t>
      </w:r>
      <w:r w:rsidR="008D53DF" w:rsidRPr="0049187C">
        <w:rPr>
          <w:lang w:val="ru-RU"/>
        </w:rPr>
        <w:t xml:space="preserve">тся </w:t>
      </w:r>
      <w:r w:rsidRPr="0049187C">
        <w:rPr>
          <w:lang w:val="ru-RU"/>
        </w:rPr>
        <w:t>незначительн</w:t>
      </w:r>
      <w:r w:rsidR="008D53DF">
        <w:rPr>
          <w:lang w:val="ru-RU"/>
        </w:rPr>
        <w:t>ыми</w:t>
      </w:r>
      <w:r w:rsidRPr="0049187C">
        <w:rPr>
          <w:lang w:val="ru-RU"/>
        </w:rPr>
        <w:t xml:space="preserve"> (</w:t>
      </w:r>
      <w:r w:rsidR="008E58E8">
        <w:rPr>
          <w:lang w:val="ru-RU"/>
        </w:rPr>
        <w:t xml:space="preserve">по </w:t>
      </w:r>
      <w:r w:rsidRPr="0049187C">
        <w:rPr>
          <w:lang w:val="ru-RU"/>
        </w:rPr>
        <w:t>отдельно</w:t>
      </w:r>
      <w:r w:rsidR="008E58E8">
        <w:rPr>
          <w:lang w:val="ru-RU"/>
        </w:rPr>
        <w:t>сти</w:t>
      </w:r>
      <w:r w:rsidRPr="0049187C">
        <w:rPr>
          <w:lang w:val="ru-RU"/>
        </w:rPr>
        <w:t xml:space="preserve"> или </w:t>
      </w:r>
      <w:r w:rsidR="008E58E8">
        <w:rPr>
          <w:lang w:val="ru-RU"/>
        </w:rPr>
        <w:t>в совокупности</w:t>
      </w:r>
      <w:r w:rsidRPr="0049187C">
        <w:rPr>
          <w:lang w:val="ru-RU"/>
        </w:rPr>
        <w:t>), организации нужно проанализировать</w:t>
      </w:r>
      <w:r w:rsidR="00566E5C">
        <w:rPr>
          <w:lang w:val="ru-RU"/>
        </w:rPr>
        <w:t>,</w:t>
      </w:r>
      <w:r w:rsidRPr="0049187C">
        <w:rPr>
          <w:lang w:val="ru-RU"/>
        </w:rPr>
        <w:t xml:space="preserve"> соответствуют ли они</w:t>
      </w:r>
      <w:r w:rsidR="00754A64">
        <w:rPr>
          <w:lang w:val="ru-RU"/>
        </w:rPr>
        <w:t xml:space="preserve"> и каким образом они соответствуют</w:t>
      </w:r>
      <w:r w:rsidRPr="0049187C">
        <w:rPr>
          <w:lang w:val="ru-RU"/>
        </w:rPr>
        <w:t xml:space="preserve"> цели получения предусмотренных договором денежных потоков. Для целей данного анализа не важно, происходит ли продажа финансовых активов по требованию третьей стороны или по решению организации. Увеличение частоты или </w:t>
      </w:r>
      <w:r w:rsidR="008D53DF">
        <w:rPr>
          <w:lang w:val="ru-RU"/>
        </w:rPr>
        <w:t>объемов</w:t>
      </w:r>
      <w:r w:rsidR="008D53DF" w:rsidRPr="0049187C">
        <w:rPr>
          <w:lang w:val="ru-RU"/>
        </w:rPr>
        <w:t xml:space="preserve"> </w:t>
      </w:r>
      <w:r w:rsidRPr="0049187C">
        <w:rPr>
          <w:lang w:val="ru-RU"/>
        </w:rPr>
        <w:t xml:space="preserve">продаж в определенный период не обязательно противоречит цели удержания финансовых активов для получения предусмотренных договором денежных потоков, если организация может объяснить причины таких продаж и продемонстрировать, </w:t>
      </w:r>
      <w:r w:rsidR="00203975" w:rsidRPr="0049187C">
        <w:rPr>
          <w:lang w:val="ru-RU"/>
        </w:rPr>
        <w:t>почему такие</w:t>
      </w:r>
      <w:r w:rsidRPr="0049187C">
        <w:rPr>
          <w:lang w:val="ru-RU"/>
        </w:rPr>
        <w:t xml:space="preserve"> продажи не являются отражением изменения </w:t>
      </w:r>
      <w:r w:rsidR="008D53DF">
        <w:rPr>
          <w:lang w:val="ru-RU"/>
        </w:rPr>
        <w:t xml:space="preserve">ее </w:t>
      </w:r>
      <w:r w:rsidRPr="0049187C">
        <w:rPr>
          <w:lang w:val="ru-RU"/>
        </w:rPr>
        <w:t xml:space="preserve">бизнес-модели. </w:t>
      </w:r>
      <w:r w:rsidR="00203975" w:rsidRPr="0049187C">
        <w:rPr>
          <w:lang w:val="ru-RU"/>
        </w:rPr>
        <w:t xml:space="preserve">Кроме того, </w:t>
      </w:r>
      <w:r w:rsidRPr="0049187C">
        <w:rPr>
          <w:lang w:val="ru-RU"/>
        </w:rPr>
        <w:t xml:space="preserve">продажи могут соответствовать цели удержания финансовых активов для получения предусмотренных договором денежных потоков, если продажи происходят незадолго до </w:t>
      </w:r>
      <w:r w:rsidR="00203975" w:rsidRPr="0049187C">
        <w:rPr>
          <w:lang w:val="ru-RU"/>
        </w:rPr>
        <w:t xml:space="preserve">наступления </w:t>
      </w:r>
      <w:r w:rsidRPr="0049187C">
        <w:rPr>
          <w:lang w:val="ru-RU"/>
        </w:rPr>
        <w:t>срока погашения финансовых активов и поступления от продаж приблизительно равны оставшимся денежным потокам, предусмотренным договором.</w:t>
      </w:r>
    </w:p>
    <w:p w:rsidR="007D4BCC" w:rsidRPr="0049187C" w:rsidRDefault="007D4BCC" w:rsidP="007D4BCC">
      <w:pPr>
        <w:pStyle w:val="IASBNormalnpara"/>
        <w:rPr>
          <w:lang w:val="ru-RU"/>
        </w:rPr>
      </w:pPr>
      <w:r w:rsidRPr="0049187C">
        <w:rPr>
          <w:lang w:val="ru-RU"/>
        </w:rPr>
        <w:t>B4.1.4</w:t>
      </w:r>
      <w:r w:rsidRPr="0049187C">
        <w:rPr>
          <w:lang w:val="ru-RU"/>
        </w:rPr>
        <w:tab/>
        <w:t>Ниже приводятся примеры ситуаций, когда</w:t>
      </w:r>
      <w:r w:rsidR="00566E5C">
        <w:rPr>
          <w:lang w:val="ru-RU"/>
        </w:rPr>
        <w:t xml:space="preserve"> целью бизнес-модели организации</w:t>
      </w:r>
      <w:r w:rsidRPr="0049187C">
        <w:rPr>
          <w:lang w:val="ru-RU"/>
        </w:rPr>
        <w:t xml:space="preserve"> может быть удерж</w:t>
      </w:r>
      <w:r w:rsidR="00203975" w:rsidRPr="0049187C">
        <w:rPr>
          <w:lang w:val="ru-RU"/>
        </w:rPr>
        <w:t>а</w:t>
      </w:r>
      <w:r w:rsidRPr="0049187C">
        <w:rPr>
          <w:lang w:val="ru-RU"/>
        </w:rPr>
        <w:t>ние финансовых активов для получения предусмотренных договором денежных потоков. Представленный перечень примеров не является исчерпывающим. Более того, примеры не имеют своей целью показать все факторы, имеющие отношение к оценке бизнес-модели</w:t>
      </w:r>
      <w:r w:rsidR="009030F0">
        <w:rPr>
          <w:lang w:val="ru-RU"/>
        </w:rPr>
        <w:t>, используемой организацией</w:t>
      </w:r>
      <w:r w:rsidRPr="0049187C">
        <w:rPr>
          <w:lang w:val="ru-RU"/>
        </w:rPr>
        <w:t>, а также не устанавливают относительную важность данных факторов.</w:t>
      </w:r>
    </w:p>
    <w:p w:rsidR="007D4BCC" w:rsidRPr="0049187C" w:rsidRDefault="007D4BCC" w:rsidP="007D4BCC">
      <w:pPr>
        <w:pStyle w:val="IASBNormalnpara"/>
        <w:rPr>
          <w:lang w:val="ru-RU"/>
        </w:rPr>
      </w:pPr>
    </w:p>
    <w:tbl>
      <w:tblPr>
        <w:tblW w:w="0" w:type="auto"/>
        <w:tblInd w:w="817" w:type="dxa"/>
        <w:tblLayout w:type="fixed"/>
        <w:tblLook w:val="0000" w:firstRow="0" w:lastRow="0" w:firstColumn="0" w:lastColumn="0" w:noHBand="0" w:noVBand="0"/>
      </w:tblPr>
      <w:tblGrid>
        <w:gridCol w:w="3841"/>
        <w:gridCol w:w="4550"/>
      </w:tblGrid>
      <w:tr w:rsidR="007D4BCC" w:rsidRPr="0049187C" w:rsidTr="00C47E8A">
        <w:tblPrEx>
          <w:tblCellMar>
            <w:top w:w="0" w:type="dxa"/>
            <w:bottom w:w="0" w:type="dxa"/>
          </w:tblCellMar>
        </w:tblPrEx>
        <w:trPr>
          <w:cantSplit/>
          <w:tblHeader/>
        </w:trPr>
        <w:tc>
          <w:tcPr>
            <w:tcW w:w="3841" w:type="dxa"/>
            <w:tcBorders>
              <w:top w:val="single" w:sz="4" w:space="0" w:color="auto"/>
              <w:left w:val="single" w:sz="4" w:space="0" w:color="auto"/>
              <w:bottom w:val="single" w:sz="4" w:space="0" w:color="auto"/>
              <w:right w:val="single" w:sz="4" w:space="0" w:color="auto"/>
            </w:tcBorders>
          </w:tcPr>
          <w:p w:rsidR="007D4BCC" w:rsidRPr="0049187C" w:rsidRDefault="007D4BCC" w:rsidP="00C47E8A">
            <w:pPr>
              <w:pStyle w:val="IASBTableHeaderArial"/>
              <w:rPr>
                <w:lang w:val="ru-RU"/>
              </w:rPr>
            </w:pPr>
            <w:r w:rsidRPr="0049187C">
              <w:rPr>
                <w:b/>
                <w:lang w:val="ru-RU"/>
              </w:rPr>
              <w:t>Пример</w:t>
            </w:r>
          </w:p>
        </w:tc>
        <w:tc>
          <w:tcPr>
            <w:tcW w:w="4550" w:type="dxa"/>
            <w:tcBorders>
              <w:top w:val="single" w:sz="4" w:space="0" w:color="auto"/>
              <w:left w:val="nil"/>
              <w:bottom w:val="single" w:sz="4" w:space="0" w:color="auto"/>
              <w:right w:val="single" w:sz="4" w:space="0" w:color="auto"/>
            </w:tcBorders>
          </w:tcPr>
          <w:p w:rsidR="007D4BCC" w:rsidRPr="0049187C" w:rsidRDefault="007D4BCC" w:rsidP="00C47E8A">
            <w:pPr>
              <w:pStyle w:val="IASBTableHeaderArial"/>
              <w:rPr>
                <w:lang w:val="ru-RU"/>
              </w:rPr>
            </w:pPr>
            <w:r w:rsidRPr="0049187C">
              <w:rPr>
                <w:b/>
                <w:lang w:val="ru-RU"/>
              </w:rPr>
              <w:t>Анализ</w:t>
            </w:r>
          </w:p>
        </w:tc>
      </w:tr>
      <w:tr w:rsidR="007D4BCC" w:rsidRPr="0049187C" w:rsidTr="00C47E8A">
        <w:tblPrEx>
          <w:tblCellMar>
            <w:top w:w="0" w:type="dxa"/>
            <w:bottom w:w="0" w:type="dxa"/>
          </w:tblCellMar>
        </w:tblPrEx>
        <w:trPr>
          <w:cantSplit/>
        </w:trPr>
        <w:tc>
          <w:tcPr>
            <w:tcW w:w="3841" w:type="dxa"/>
            <w:tcBorders>
              <w:top w:val="nil"/>
              <w:left w:val="single" w:sz="4" w:space="0" w:color="auto"/>
              <w:bottom w:val="single" w:sz="4" w:space="0" w:color="auto"/>
              <w:right w:val="single" w:sz="4" w:space="0" w:color="auto"/>
            </w:tcBorders>
          </w:tcPr>
          <w:p w:rsidR="007D4BCC" w:rsidRPr="0049187C" w:rsidRDefault="007D4BCC" w:rsidP="00C47E8A">
            <w:pPr>
              <w:pStyle w:val="IASBTableTNR"/>
              <w:rPr>
                <w:lang w:val="ru-RU"/>
              </w:rPr>
            </w:pPr>
            <w:r w:rsidRPr="0049187C">
              <w:rPr>
                <w:b/>
                <w:lang w:val="ru-RU"/>
              </w:rPr>
              <w:t>Пример 1</w:t>
            </w:r>
          </w:p>
          <w:p w:rsidR="007D4BCC" w:rsidRPr="0049187C" w:rsidRDefault="007D4BCC" w:rsidP="00C47E8A">
            <w:pPr>
              <w:pStyle w:val="IASBTableTNR"/>
              <w:rPr>
                <w:lang w:val="ru-RU"/>
              </w:rPr>
            </w:pPr>
            <w:r w:rsidRPr="0049187C">
              <w:rPr>
                <w:lang w:val="ru-RU"/>
              </w:rPr>
              <w:t>Организация</w:t>
            </w:r>
            <w:r w:rsidRPr="0049187C">
              <w:rPr>
                <w:lang w:val="ru-RU" w:eastAsia="en-US"/>
              </w:rPr>
              <w:t xml:space="preserve"> удерживает </w:t>
            </w:r>
            <w:r w:rsidR="004F76D9" w:rsidRPr="0049187C">
              <w:rPr>
                <w:lang w:val="ru-RU" w:eastAsia="en-US"/>
              </w:rPr>
              <w:t>инвестиции</w:t>
            </w:r>
            <w:r w:rsidRPr="0049187C">
              <w:rPr>
                <w:lang w:val="ru-RU" w:eastAsia="en-US"/>
              </w:rPr>
              <w:t xml:space="preserve"> для получения предусмотренных договором денежных потоков. Потребности организации в финансировании являются предсказуемыми, а </w:t>
            </w:r>
            <w:r w:rsidR="004F76D9" w:rsidRPr="0049187C">
              <w:rPr>
                <w:lang w:val="ru-RU" w:eastAsia="en-US"/>
              </w:rPr>
              <w:t xml:space="preserve">сроки </w:t>
            </w:r>
            <w:r w:rsidRPr="0049187C">
              <w:rPr>
                <w:lang w:val="ru-RU" w:eastAsia="en-US"/>
              </w:rPr>
              <w:t>погашени</w:t>
            </w:r>
            <w:r w:rsidR="004F76D9" w:rsidRPr="0049187C">
              <w:rPr>
                <w:lang w:val="ru-RU" w:eastAsia="en-US"/>
              </w:rPr>
              <w:t>я</w:t>
            </w:r>
            <w:r w:rsidRPr="0049187C">
              <w:rPr>
                <w:lang w:val="ru-RU" w:eastAsia="en-US"/>
              </w:rPr>
              <w:t xml:space="preserve"> ее финансовых активов совпада</w:t>
            </w:r>
            <w:r w:rsidR="004F76D9" w:rsidRPr="0049187C">
              <w:rPr>
                <w:lang w:val="ru-RU" w:eastAsia="en-US"/>
              </w:rPr>
              <w:t>ю</w:t>
            </w:r>
            <w:r w:rsidRPr="0049187C">
              <w:rPr>
                <w:lang w:val="ru-RU" w:eastAsia="en-US"/>
              </w:rPr>
              <w:t>т с расчетными потребностями организации в финансировании.</w:t>
            </w:r>
          </w:p>
          <w:p w:rsidR="007D4BCC" w:rsidRPr="0049187C" w:rsidRDefault="007D4BCC" w:rsidP="00C47E8A">
            <w:pPr>
              <w:pStyle w:val="IASBTableTNR"/>
              <w:rPr>
                <w:lang w:val="ru-RU"/>
              </w:rPr>
            </w:pPr>
            <w:r w:rsidRPr="0049187C">
              <w:rPr>
                <w:lang w:val="ru-RU"/>
              </w:rPr>
              <w:t>Де</w:t>
            </w:r>
            <w:r w:rsidR="004F76D9" w:rsidRPr="0049187C">
              <w:rPr>
                <w:lang w:val="ru-RU"/>
              </w:rPr>
              <w:t>ятельность</w:t>
            </w:r>
            <w:r w:rsidRPr="0049187C">
              <w:rPr>
                <w:lang w:val="ru-RU"/>
              </w:rPr>
              <w:t xml:space="preserve"> организации по управлению кредитным риском </w:t>
            </w:r>
            <w:r w:rsidR="00AE24BB" w:rsidRPr="0049187C">
              <w:rPr>
                <w:lang w:val="ru-RU"/>
              </w:rPr>
              <w:t>име</w:t>
            </w:r>
            <w:r w:rsidR="00AE24BB">
              <w:rPr>
                <w:lang w:val="ru-RU"/>
              </w:rPr>
              <w:t>е</w:t>
            </w:r>
            <w:r w:rsidR="00AE24BB" w:rsidRPr="0049187C">
              <w:rPr>
                <w:lang w:val="ru-RU"/>
              </w:rPr>
              <w:t xml:space="preserve">т </w:t>
            </w:r>
            <w:r w:rsidRPr="0049187C">
              <w:rPr>
                <w:lang w:val="ru-RU"/>
              </w:rPr>
              <w:t>целью минимизацию кредитных убытков. В прошлых периодах продажи в основном происходили, когда кредитный риск по финансовым актив</w:t>
            </w:r>
            <w:r w:rsidR="004F76D9" w:rsidRPr="0049187C">
              <w:rPr>
                <w:lang w:val="ru-RU"/>
              </w:rPr>
              <w:t>а</w:t>
            </w:r>
            <w:r w:rsidRPr="0049187C">
              <w:rPr>
                <w:lang w:val="ru-RU"/>
              </w:rPr>
              <w:t xml:space="preserve">м увеличивался настолько, что они более не удовлетворяли </w:t>
            </w:r>
            <w:r w:rsidR="00AE24BB" w:rsidRPr="0049187C">
              <w:rPr>
                <w:lang w:val="ru-RU"/>
              </w:rPr>
              <w:t>критери</w:t>
            </w:r>
            <w:r w:rsidR="00AE24BB">
              <w:rPr>
                <w:lang w:val="ru-RU"/>
              </w:rPr>
              <w:t>ям</w:t>
            </w:r>
            <w:r w:rsidR="00AE24BB" w:rsidRPr="0049187C">
              <w:rPr>
                <w:lang w:val="ru-RU"/>
              </w:rPr>
              <w:t xml:space="preserve"> </w:t>
            </w:r>
            <w:r w:rsidRPr="0049187C">
              <w:rPr>
                <w:lang w:val="ru-RU"/>
              </w:rPr>
              <w:t>кредитного качества, установленн</w:t>
            </w:r>
            <w:r w:rsidR="00AE24BB">
              <w:rPr>
                <w:lang w:val="ru-RU"/>
              </w:rPr>
              <w:t>ым</w:t>
            </w:r>
            <w:r w:rsidRPr="0049187C">
              <w:rPr>
                <w:lang w:val="ru-RU"/>
              </w:rPr>
              <w:t xml:space="preserve"> в документально оформленной инвестиционной политике организации. Более того, имели место редкие продажи в результате непредвиденных потребностей в финансировании.</w:t>
            </w:r>
          </w:p>
          <w:p w:rsidR="007D4BCC" w:rsidRPr="0049187C" w:rsidRDefault="007D4BCC" w:rsidP="00C47E8A">
            <w:pPr>
              <w:pStyle w:val="IASBTableTNR"/>
              <w:rPr>
                <w:lang w:val="ru-RU"/>
              </w:rPr>
            </w:pPr>
            <w:r w:rsidRPr="0049187C">
              <w:rPr>
                <w:lang w:val="ru-RU"/>
              </w:rPr>
              <w:t>Основное место в отчетах для ключевого управленческого персонала уделяется кредитному качеству финансовых активов и предусмотренному договором доходу. Также, среди прочей информации, организация отслеживает справедливую стоимость финансовых активов.</w:t>
            </w:r>
          </w:p>
        </w:tc>
        <w:tc>
          <w:tcPr>
            <w:tcW w:w="4550" w:type="dxa"/>
            <w:tcBorders>
              <w:top w:val="nil"/>
              <w:left w:val="nil"/>
              <w:bottom w:val="single" w:sz="4" w:space="0" w:color="auto"/>
              <w:right w:val="single" w:sz="4" w:space="0" w:color="auto"/>
            </w:tcBorders>
          </w:tcPr>
          <w:p w:rsidR="007D4BCC" w:rsidRPr="0049187C" w:rsidRDefault="007D4BCC" w:rsidP="00AE24BB">
            <w:pPr>
              <w:pStyle w:val="IASBTableTNR"/>
              <w:rPr>
                <w:lang w:val="ru-RU"/>
              </w:rPr>
            </w:pPr>
            <w:r w:rsidRPr="0049187C">
              <w:rPr>
                <w:lang w:val="ru-RU"/>
              </w:rPr>
              <w:t xml:space="preserve">Хотя </w:t>
            </w:r>
            <w:r w:rsidR="00BE3013">
              <w:rPr>
                <w:lang w:val="ru-RU"/>
              </w:rPr>
              <w:t>организация может рассматривать в числе прочей информации</w:t>
            </w:r>
            <w:r w:rsidRPr="0049187C">
              <w:rPr>
                <w:lang w:val="ru-RU"/>
              </w:rPr>
              <w:t xml:space="preserve"> справедливую стоимость финансовых активов с точки зрения ликвидности (т. е. </w:t>
            </w:r>
            <w:r w:rsidR="00AE24BB" w:rsidRPr="0049187C">
              <w:rPr>
                <w:lang w:val="ru-RU"/>
              </w:rPr>
              <w:t>сумм</w:t>
            </w:r>
            <w:r w:rsidR="00AE24BB">
              <w:rPr>
                <w:lang w:val="ru-RU"/>
              </w:rPr>
              <w:t>ы</w:t>
            </w:r>
            <w:r w:rsidR="00AE24BB" w:rsidRPr="0049187C">
              <w:rPr>
                <w:lang w:val="ru-RU"/>
              </w:rPr>
              <w:t xml:space="preserve"> </w:t>
            </w:r>
            <w:r w:rsidR="004F76D9" w:rsidRPr="0049187C">
              <w:rPr>
                <w:lang w:val="ru-RU"/>
              </w:rPr>
              <w:t>денежных средств</w:t>
            </w:r>
            <w:r w:rsidRPr="0049187C">
              <w:rPr>
                <w:lang w:val="ru-RU"/>
              </w:rPr>
              <w:t xml:space="preserve">, которая будет реализована, если организации потребуется продать активы), цель организации заключается в удержании финансовых активов для получения предусмотренных договором денежных потоков. Продажи не будут противоречить указанной цели, если они были осуществлены в результате увеличения кредитного риска активов, например, если активы более не удовлетворяют </w:t>
            </w:r>
            <w:r w:rsidR="00AE24BB" w:rsidRPr="0049187C">
              <w:rPr>
                <w:lang w:val="ru-RU"/>
              </w:rPr>
              <w:t>критери</w:t>
            </w:r>
            <w:r w:rsidR="00AE24BB">
              <w:rPr>
                <w:lang w:val="ru-RU"/>
              </w:rPr>
              <w:t>ям</w:t>
            </w:r>
            <w:r w:rsidR="00AE24BB" w:rsidRPr="0049187C">
              <w:rPr>
                <w:lang w:val="ru-RU"/>
              </w:rPr>
              <w:t xml:space="preserve"> </w:t>
            </w:r>
            <w:r w:rsidRPr="0049187C">
              <w:rPr>
                <w:lang w:val="ru-RU"/>
              </w:rPr>
              <w:t xml:space="preserve">кредитного качества, </w:t>
            </w:r>
            <w:r w:rsidR="00AE24BB" w:rsidRPr="0049187C">
              <w:rPr>
                <w:lang w:val="ru-RU"/>
              </w:rPr>
              <w:t>установленн</w:t>
            </w:r>
            <w:r w:rsidR="00AE24BB">
              <w:rPr>
                <w:lang w:val="ru-RU"/>
              </w:rPr>
              <w:t>ым</w:t>
            </w:r>
            <w:r w:rsidR="00AE24BB" w:rsidRPr="0049187C">
              <w:rPr>
                <w:lang w:val="ru-RU"/>
              </w:rPr>
              <w:t xml:space="preserve"> </w:t>
            </w:r>
            <w:r w:rsidRPr="0049187C">
              <w:rPr>
                <w:lang w:val="ru-RU"/>
              </w:rPr>
              <w:t xml:space="preserve">в документально оформленной инвестиционной политике организации. Редкие продажи в результате непредвиденных потребностей в финансировании (например, при </w:t>
            </w:r>
            <w:r w:rsidR="00A82867">
              <w:rPr>
                <w:lang w:val="ru-RU"/>
              </w:rPr>
              <w:t>«</w:t>
            </w:r>
            <w:r w:rsidRPr="00A82867">
              <w:rPr>
                <w:lang w:val="ru-RU"/>
              </w:rPr>
              <w:t>стрессовом</w:t>
            </w:r>
            <w:r w:rsidR="00A82867" w:rsidRPr="00A82867">
              <w:rPr>
                <w:lang w:val="ru-RU"/>
              </w:rPr>
              <w:t>»</w:t>
            </w:r>
            <w:r w:rsidRPr="0049187C">
              <w:rPr>
                <w:lang w:val="ru-RU"/>
              </w:rPr>
              <w:t xml:space="preserve"> сценарии) также не будут противоречить данной цели, даже если их </w:t>
            </w:r>
            <w:r w:rsidR="00AE24BB">
              <w:rPr>
                <w:lang w:val="ru-RU"/>
              </w:rPr>
              <w:t>объемы</w:t>
            </w:r>
            <w:r w:rsidR="00AE24BB" w:rsidRPr="0049187C">
              <w:rPr>
                <w:lang w:val="ru-RU"/>
              </w:rPr>
              <w:t xml:space="preserve"> буд</w:t>
            </w:r>
            <w:r w:rsidR="00AE24BB">
              <w:rPr>
                <w:lang w:val="ru-RU"/>
              </w:rPr>
              <w:t>у</w:t>
            </w:r>
            <w:r w:rsidR="00AE24BB" w:rsidRPr="0049187C">
              <w:rPr>
                <w:lang w:val="ru-RU"/>
              </w:rPr>
              <w:t xml:space="preserve">т </w:t>
            </w:r>
            <w:r w:rsidRPr="0049187C">
              <w:rPr>
                <w:lang w:val="ru-RU"/>
              </w:rPr>
              <w:t>значительн</w:t>
            </w:r>
            <w:r w:rsidR="00AE24BB">
              <w:rPr>
                <w:lang w:val="ru-RU"/>
              </w:rPr>
              <w:t>ыми</w:t>
            </w:r>
            <w:r w:rsidRPr="0049187C">
              <w:rPr>
                <w:lang w:val="ru-RU"/>
              </w:rPr>
              <w:t>.</w:t>
            </w:r>
          </w:p>
        </w:tc>
      </w:tr>
      <w:tr w:rsidR="007D4BCC" w:rsidRPr="0049187C" w:rsidTr="00C47E8A">
        <w:tblPrEx>
          <w:tblCellMar>
            <w:top w:w="0" w:type="dxa"/>
            <w:bottom w:w="0" w:type="dxa"/>
          </w:tblCellMar>
        </w:tblPrEx>
        <w:trPr>
          <w:cantSplit/>
          <w:trHeight w:val="6010"/>
        </w:trPr>
        <w:tc>
          <w:tcPr>
            <w:tcW w:w="3841" w:type="dxa"/>
            <w:tcBorders>
              <w:top w:val="nil"/>
              <w:left w:val="single" w:sz="4" w:space="0" w:color="auto"/>
              <w:bottom w:val="single" w:sz="4" w:space="0" w:color="auto"/>
              <w:right w:val="single" w:sz="4" w:space="0" w:color="auto"/>
            </w:tcBorders>
          </w:tcPr>
          <w:p w:rsidR="007D4BCC" w:rsidRPr="0049187C" w:rsidRDefault="007D4BCC" w:rsidP="00C47E8A">
            <w:pPr>
              <w:pStyle w:val="IASBTableTNR"/>
              <w:rPr>
                <w:lang w:val="ru-RU"/>
              </w:rPr>
            </w:pPr>
            <w:r w:rsidRPr="0049187C">
              <w:rPr>
                <w:b/>
                <w:lang w:val="ru-RU"/>
              </w:rPr>
              <w:t>Пример 2</w:t>
            </w:r>
          </w:p>
          <w:p w:rsidR="007D4BCC" w:rsidRPr="0049187C" w:rsidRDefault="007D4BCC" w:rsidP="00C47E8A">
            <w:pPr>
              <w:pStyle w:val="IASBTableTNR"/>
              <w:rPr>
                <w:lang w:val="ru-RU"/>
              </w:rPr>
            </w:pPr>
            <w:r w:rsidRPr="0049187C">
              <w:rPr>
                <w:lang w:val="ru-RU"/>
              </w:rPr>
              <w:t>Бизнес-модель</w:t>
            </w:r>
            <w:r w:rsidR="009030F0">
              <w:rPr>
                <w:lang w:val="ru-RU"/>
              </w:rPr>
              <w:t>, используемая организацией,</w:t>
            </w:r>
            <w:r w:rsidRPr="0049187C">
              <w:rPr>
                <w:lang w:val="ru-RU"/>
              </w:rPr>
              <w:t xml:space="preserve"> предусматривает покупку портфелей финансовых активов, таких как займы. Эти портфели могут включать или не включать</w:t>
            </w:r>
            <w:r w:rsidR="007E6FF8">
              <w:rPr>
                <w:lang w:val="ru-RU"/>
              </w:rPr>
              <w:t xml:space="preserve"> кредитно-обесцененные</w:t>
            </w:r>
            <w:r w:rsidRPr="0049187C">
              <w:rPr>
                <w:lang w:val="ru-RU"/>
              </w:rPr>
              <w:t xml:space="preserve"> финансовые активы.</w:t>
            </w:r>
          </w:p>
          <w:p w:rsidR="007D4BCC" w:rsidRPr="0049187C" w:rsidRDefault="007D4BCC" w:rsidP="00C47E8A">
            <w:pPr>
              <w:pStyle w:val="IASBTableTNR"/>
              <w:rPr>
                <w:lang w:val="ru-RU"/>
              </w:rPr>
            </w:pPr>
            <w:r w:rsidRPr="0049187C">
              <w:rPr>
                <w:lang w:val="ru-RU"/>
              </w:rPr>
              <w:t xml:space="preserve">Если платежи по займам не производятся своевременно, организация пытается реализовать предусмотренные договором денежные потоки различными способами, например, путем установления контакта с должником по почте, телефону или другими методами. Целью организации является получение предусмотренных </w:t>
            </w:r>
            <w:r w:rsidR="00F51BA5" w:rsidRPr="0049187C">
              <w:rPr>
                <w:lang w:val="ru-RU"/>
              </w:rPr>
              <w:t>договором денежных потоков,</w:t>
            </w:r>
            <w:r w:rsidRPr="0049187C">
              <w:rPr>
                <w:lang w:val="ru-RU"/>
              </w:rPr>
              <w:t xml:space="preserve"> и организация не управляет ни одним займом в данном портфеле с целью реализации денежных потоков путем его продажи.</w:t>
            </w:r>
          </w:p>
          <w:p w:rsidR="007D4BCC" w:rsidRPr="0049187C" w:rsidRDefault="007D4BCC" w:rsidP="00E75D46">
            <w:pPr>
              <w:pStyle w:val="IASBTableTNR"/>
              <w:rPr>
                <w:lang w:val="ru-RU"/>
              </w:rPr>
            </w:pPr>
            <w:r w:rsidRPr="0049187C">
              <w:rPr>
                <w:lang w:val="ru-RU"/>
              </w:rPr>
              <w:t>В некоторых случаях организация заключает договор</w:t>
            </w:r>
            <w:r w:rsidR="00E75D46">
              <w:rPr>
                <w:lang w:val="ru-RU"/>
              </w:rPr>
              <w:t>ы</w:t>
            </w:r>
            <w:r w:rsidR="00BE3013">
              <w:rPr>
                <w:lang w:val="ru-RU"/>
              </w:rPr>
              <w:t xml:space="preserve"> процентного свопа</w:t>
            </w:r>
            <w:r w:rsidRPr="0049187C">
              <w:rPr>
                <w:lang w:val="ru-RU"/>
              </w:rPr>
              <w:t xml:space="preserve">, чтобы изменить процентную ставку по </w:t>
            </w:r>
            <w:r w:rsidR="00A80ECF" w:rsidRPr="0049187C">
              <w:rPr>
                <w:lang w:val="ru-RU"/>
              </w:rPr>
              <w:t xml:space="preserve">определенным </w:t>
            </w:r>
            <w:r w:rsidRPr="0049187C">
              <w:rPr>
                <w:lang w:val="ru-RU"/>
              </w:rPr>
              <w:t>финансовым активам портфеля с плавающей на фиксированную.</w:t>
            </w:r>
          </w:p>
        </w:tc>
        <w:tc>
          <w:tcPr>
            <w:tcW w:w="4550" w:type="dxa"/>
            <w:tcBorders>
              <w:top w:val="nil"/>
              <w:left w:val="nil"/>
              <w:bottom w:val="single" w:sz="4" w:space="0" w:color="auto"/>
              <w:right w:val="single" w:sz="4" w:space="0" w:color="auto"/>
            </w:tcBorders>
          </w:tcPr>
          <w:p w:rsidR="007D4BCC" w:rsidRPr="0049187C" w:rsidRDefault="007D4BCC" w:rsidP="00C47E8A">
            <w:pPr>
              <w:pStyle w:val="IASBTableTNR"/>
              <w:rPr>
                <w:lang w:val="ru-RU" w:eastAsia="en-US"/>
              </w:rPr>
            </w:pPr>
            <w:r w:rsidRPr="0049187C">
              <w:rPr>
                <w:lang w:val="ru-RU"/>
              </w:rPr>
              <w:t>Целью б</w:t>
            </w:r>
            <w:r w:rsidRPr="0049187C">
              <w:rPr>
                <w:lang w:val="ru-RU" w:eastAsia="en-US"/>
              </w:rPr>
              <w:t>изнес-модели</w:t>
            </w:r>
            <w:r w:rsidR="009030F0">
              <w:rPr>
                <w:lang w:val="ru-RU" w:eastAsia="en-US"/>
              </w:rPr>
              <w:t>, используемой организацией,</w:t>
            </w:r>
            <w:r w:rsidRPr="0049187C">
              <w:rPr>
                <w:lang w:val="ru-RU" w:eastAsia="en-US"/>
              </w:rPr>
              <w:t xml:space="preserve"> является удержание финансовых активов для получения предусмотренных договором денежных потоков.</w:t>
            </w:r>
          </w:p>
          <w:p w:rsidR="007D4BCC" w:rsidRPr="0049187C" w:rsidRDefault="007D4BCC" w:rsidP="00C47E8A">
            <w:pPr>
              <w:pStyle w:val="IASBTableTNR"/>
              <w:rPr>
                <w:lang w:val="ru-RU"/>
              </w:rPr>
            </w:pPr>
            <w:r w:rsidRPr="0049187C">
              <w:rPr>
                <w:lang w:val="ru-RU"/>
              </w:rPr>
              <w:t xml:space="preserve">Аналогичный анализ правомерен даже в том случае, если организация не ожидает получения всех предусмотренных договором </w:t>
            </w:r>
            <w:r w:rsidR="00A80ECF" w:rsidRPr="0049187C">
              <w:rPr>
                <w:lang w:val="ru-RU"/>
              </w:rPr>
              <w:t xml:space="preserve">денежных </w:t>
            </w:r>
            <w:r w:rsidRPr="0049187C">
              <w:rPr>
                <w:lang w:val="ru-RU"/>
              </w:rPr>
              <w:t xml:space="preserve">потоков (например, некоторые финансовые активы </w:t>
            </w:r>
            <w:r w:rsidR="00A80ECF" w:rsidRPr="0049187C">
              <w:rPr>
                <w:lang w:val="ru-RU"/>
              </w:rPr>
              <w:t xml:space="preserve">являются </w:t>
            </w:r>
            <w:r w:rsidR="007E6FF8">
              <w:rPr>
                <w:lang w:val="ru-RU"/>
              </w:rPr>
              <w:t>кредитно-обесцененными</w:t>
            </w:r>
            <w:r w:rsidRPr="0049187C">
              <w:rPr>
                <w:lang w:val="ru-RU"/>
              </w:rPr>
              <w:t xml:space="preserve"> при первоначальном признании).</w:t>
            </w:r>
          </w:p>
          <w:p w:rsidR="007D4BCC" w:rsidRPr="0049187C" w:rsidRDefault="007D4BCC" w:rsidP="00754A64">
            <w:pPr>
              <w:pStyle w:val="IASBTableTNR"/>
              <w:rPr>
                <w:lang w:val="ru-RU"/>
              </w:rPr>
            </w:pPr>
            <w:r w:rsidRPr="0049187C">
              <w:rPr>
                <w:lang w:val="ru-RU"/>
              </w:rPr>
              <w:t xml:space="preserve">Кроме того, факт </w:t>
            </w:r>
            <w:r w:rsidR="00754A64">
              <w:rPr>
                <w:lang w:val="ru-RU"/>
              </w:rPr>
              <w:t>заключения организацией договоров, являющихся</w:t>
            </w:r>
            <w:r w:rsidRPr="0049187C">
              <w:rPr>
                <w:lang w:val="ru-RU"/>
              </w:rPr>
              <w:t xml:space="preserve"> </w:t>
            </w:r>
            <w:r w:rsidR="00754A64">
              <w:rPr>
                <w:lang w:val="ru-RU"/>
              </w:rPr>
              <w:t>производными инструментами,</w:t>
            </w:r>
            <w:r w:rsidRPr="0049187C">
              <w:rPr>
                <w:lang w:val="ru-RU"/>
              </w:rPr>
              <w:t xml:space="preserve"> с целью </w:t>
            </w:r>
            <w:r w:rsidR="00A80ECF" w:rsidRPr="0049187C">
              <w:rPr>
                <w:lang w:val="ru-RU"/>
              </w:rPr>
              <w:t xml:space="preserve">модификации </w:t>
            </w:r>
            <w:r w:rsidRPr="0049187C">
              <w:rPr>
                <w:lang w:val="ru-RU"/>
              </w:rPr>
              <w:t xml:space="preserve">денежных потоков от портфеля сам по себе не меняет </w:t>
            </w:r>
            <w:r w:rsidR="009030F0">
              <w:rPr>
                <w:lang w:val="ru-RU"/>
              </w:rPr>
              <w:t xml:space="preserve">используемую организацией </w:t>
            </w:r>
            <w:r w:rsidRPr="0049187C">
              <w:rPr>
                <w:lang w:val="ru-RU"/>
              </w:rPr>
              <w:t>бизнес-модель</w:t>
            </w:r>
            <w:r w:rsidR="009030F0">
              <w:rPr>
                <w:lang w:val="ru-RU"/>
              </w:rPr>
              <w:t>.</w:t>
            </w:r>
          </w:p>
        </w:tc>
      </w:tr>
      <w:tr w:rsidR="007D4BCC" w:rsidRPr="0049187C" w:rsidTr="00F042EC">
        <w:tblPrEx>
          <w:tblCellMar>
            <w:top w:w="0" w:type="dxa"/>
            <w:bottom w:w="0" w:type="dxa"/>
          </w:tblCellMar>
        </w:tblPrEx>
        <w:tc>
          <w:tcPr>
            <w:tcW w:w="3841" w:type="dxa"/>
            <w:tcBorders>
              <w:top w:val="nil"/>
              <w:left w:val="single" w:sz="4" w:space="0" w:color="auto"/>
              <w:bottom w:val="single" w:sz="4" w:space="0" w:color="auto"/>
              <w:right w:val="single" w:sz="4" w:space="0" w:color="auto"/>
            </w:tcBorders>
          </w:tcPr>
          <w:p w:rsidR="007D4BCC" w:rsidRPr="0049187C" w:rsidRDefault="007D4BCC" w:rsidP="00C47E8A">
            <w:pPr>
              <w:pStyle w:val="IASBTableTNR"/>
              <w:rPr>
                <w:lang w:val="ru-RU"/>
              </w:rPr>
            </w:pPr>
            <w:r w:rsidRPr="0049187C">
              <w:rPr>
                <w:b/>
                <w:lang w:val="ru-RU"/>
              </w:rPr>
              <w:t>Пример 3</w:t>
            </w:r>
          </w:p>
          <w:p w:rsidR="007D4BCC" w:rsidRPr="0049187C" w:rsidRDefault="007D4BCC" w:rsidP="00C47E8A">
            <w:pPr>
              <w:pStyle w:val="IASBTableTNR"/>
              <w:rPr>
                <w:lang w:val="ru-RU"/>
              </w:rPr>
            </w:pPr>
            <w:r w:rsidRPr="0049187C">
              <w:rPr>
                <w:lang w:val="ru-RU"/>
              </w:rPr>
              <w:t>Целью бизнес-модели</w:t>
            </w:r>
            <w:r w:rsidR="009030F0">
              <w:rPr>
                <w:lang w:val="ru-RU"/>
              </w:rPr>
              <w:t>, используемой организацией,</w:t>
            </w:r>
            <w:r w:rsidRPr="0049187C">
              <w:rPr>
                <w:lang w:val="ru-RU"/>
              </w:rPr>
              <w:t xml:space="preserve"> является предоставление займов клиентам и последующая продажа этих займов структуре, обеспечивающей секьюритизацию. Структура, обеспечивающая секьюритизацию, выпускает инструменты для инвесторов.</w:t>
            </w:r>
          </w:p>
          <w:p w:rsidR="007D4BCC" w:rsidRPr="0049187C" w:rsidRDefault="007D4BCC" w:rsidP="00C47E8A">
            <w:pPr>
              <w:pStyle w:val="IASBTableTNR"/>
              <w:rPr>
                <w:lang w:val="ru-RU"/>
              </w:rPr>
            </w:pPr>
            <w:r w:rsidRPr="0049187C">
              <w:rPr>
                <w:lang w:val="ru-RU"/>
              </w:rPr>
              <w:t>Организация, первоначально выдавшая займы, контролирует структуру, обеспечивающую секьюритизацию, и</w:t>
            </w:r>
            <w:r w:rsidR="00A80ECF" w:rsidRPr="0049187C">
              <w:rPr>
                <w:lang w:val="ru-RU"/>
              </w:rPr>
              <w:t>, следовательно, консолидирует ее</w:t>
            </w:r>
            <w:r w:rsidRPr="0049187C">
              <w:rPr>
                <w:lang w:val="ru-RU"/>
              </w:rPr>
              <w:t>.</w:t>
            </w:r>
          </w:p>
          <w:p w:rsidR="007D4BCC" w:rsidRPr="0049187C" w:rsidRDefault="007D4BCC" w:rsidP="00C47E8A">
            <w:pPr>
              <w:pStyle w:val="IASBTableTNR"/>
              <w:rPr>
                <w:b/>
                <w:lang w:val="ru-RU"/>
              </w:rPr>
            </w:pPr>
            <w:r w:rsidRPr="0049187C">
              <w:rPr>
                <w:lang w:val="ru-RU"/>
              </w:rPr>
              <w:t>Структура, обеспечивающая секьюритизацию, получает предусмотренные договором денежные потоки и направляет их своим инвесторам.</w:t>
            </w:r>
          </w:p>
          <w:p w:rsidR="007D4BCC" w:rsidRPr="0049187C" w:rsidRDefault="007D4BCC" w:rsidP="00FB4A40">
            <w:pPr>
              <w:pStyle w:val="IASBTableTNR"/>
              <w:rPr>
                <w:lang w:val="ru-RU"/>
              </w:rPr>
            </w:pPr>
            <w:r w:rsidRPr="0049187C">
              <w:rPr>
                <w:lang w:val="ru-RU"/>
              </w:rPr>
              <w:t xml:space="preserve">Для целей настоящего примера предполагается, что займы продолжают признаваться в консолидированном отчете о финансовом положении, </w:t>
            </w:r>
            <w:r w:rsidR="00E75D46">
              <w:rPr>
                <w:lang w:val="ru-RU"/>
              </w:rPr>
              <w:t xml:space="preserve">поскольку </w:t>
            </w:r>
            <w:r w:rsidR="001048ED">
              <w:rPr>
                <w:lang w:val="ru-RU"/>
              </w:rPr>
              <w:t>структура, обеспечивающая секьюритизацию, их признание</w:t>
            </w:r>
            <w:r w:rsidRPr="0049187C">
              <w:rPr>
                <w:lang w:val="ru-RU"/>
              </w:rPr>
              <w:t xml:space="preserve"> </w:t>
            </w:r>
            <w:r w:rsidR="001048ED">
              <w:rPr>
                <w:lang w:val="ru-RU"/>
              </w:rPr>
              <w:t>не прекратила</w:t>
            </w:r>
            <w:r w:rsidRPr="0049187C">
              <w:rPr>
                <w:lang w:val="ru-RU"/>
              </w:rPr>
              <w:t>.</w:t>
            </w:r>
          </w:p>
        </w:tc>
        <w:tc>
          <w:tcPr>
            <w:tcW w:w="4550" w:type="dxa"/>
            <w:tcBorders>
              <w:top w:val="nil"/>
              <w:left w:val="nil"/>
              <w:bottom w:val="single" w:sz="4" w:space="0" w:color="auto"/>
              <w:right w:val="single" w:sz="4" w:space="0" w:color="auto"/>
            </w:tcBorders>
          </w:tcPr>
          <w:p w:rsidR="007D4BCC" w:rsidRPr="0049187C" w:rsidRDefault="007D4BCC" w:rsidP="00C47E8A">
            <w:pPr>
              <w:pStyle w:val="IASBTableTNR"/>
              <w:rPr>
                <w:lang w:val="ru-RU" w:eastAsia="en-US"/>
              </w:rPr>
            </w:pPr>
            <w:r w:rsidRPr="0049187C">
              <w:rPr>
                <w:lang w:val="ru-RU"/>
              </w:rPr>
              <w:t>Консолидированная группа выдала займы с целью их удержания</w:t>
            </w:r>
            <w:r w:rsidRPr="0049187C">
              <w:rPr>
                <w:lang w:val="ru-RU" w:eastAsia="en-US"/>
              </w:rPr>
              <w:t xml:space="preserve"> для получения предусмотренных договором денежных потоков.</w:t>
            </w:r>
          </w:p>
          <w:p w:rsidR="007D4BCC" w:rsidRPr="0049187C" w:rsidRDefault="007D4BCC" w:rsidP="00C47E8A">
            <w:pPr>
              <w:pStyle w:val="IASBTableTNR"/>
              <w:rPr>
                <w:lang w:val="ru-RU"/>
              </w:rPr>
            </w:pPr>
            <w:r w:rsidRPr="0049187C">
              <w:rPr>
                <w:lang w:val="ru-RU" w:eastAsia="en-US"/>
              </w:rPr>
              <w:t xml:space="preserve">Однако </w:t>
            </w:r>
            <w:r w:rsidRPr="0049187C">
              <w:rPr>
                <w:lang w:val="ru-RU"/>
              </w:rPr>
              <w:t xml:space="preserve">организация, первоначально выдавшая займы, ставит своей целью реализацию денежных потоков по портфелю займов путем продажи их структуре, обеспечивающей секьюритизацию; таким образом, в контексте ее отдельной финансовой отчетности организация не рассматривается как управляющая этим портфелем с целью </w:t>
            </w:r>
            <w:r w:rsidRPr="0049187C">
              <w:rPr>
                <w:lang w:val="ru-RU" w:eastAsia="en-US"/>
              </w:rPr>
              <w:t>получения предусмотренных договором денежных потоков.</w:t>
            </w:r>
          </w:p>
        </w:tc>
      </w:tr>
      <w:tr w:rsidR="007D4BCC" w:rsidRPr="0049187C" w:rsidTr="00F042EC">
        <w:tblPrEx>
          <w:tblCellMar>
            <w:top w:w="0" w:type="dxa"/>
            <w:bottom w:w="0" w:type="dxa"/>
          </w:tblCellMar>
        </w:tblPrEx>
        <w:tc>
          <w:tcPr>
            <w:tcW w:w="3841" w:type="dxa"/>
            <w:tcBorders>
              <w:top w:val="nil"/>
              <w:left w:val="single" w:sz="4" w:space="0" w:color="auto"/>
              <w:bottom w:val="single" w:sz="4" w:space="0" w:color="auto"/>
              <w:right w:val="single" w:sz="4" w:space="0" w:color="auto"/>
            </w:tcBorders>
          </w:tcPr>
          <w:p w:rsidR="007D4BCC" w:rsidRPr="0049187C" w:rsidRDefault="007D4BCC" w:rsidP="00C47E8A">
            <w:pPr>
              <w:pStyle w:val="IASBTableTNR"/>
              <w:rPr>
                <w:lang w:val="ru-RU"/>
              </w:rPr>
            </w:pPr>
            <w:r w:rsidRPr="0049187C">
              <w:rPr>
                <w:b/>
                <w:lang w:val="ru-RU"/>
              </w:rPr>
              <w:t>Пример 4</w:t>
            </w:r>
          </w:p>
          <w:p w:rsidR="007D4BCC" w:rsidRPr="0049187C" w:rsidRDefault="007D4BCC" w:rsidP="00C47E8A">
            <w:pPr>
              <w:pStyle w:val="IASBTableTNR"/>
              <w:rPr>
                <w:lang w:val="ru-RU"/>
              </w:rPr>
            </w:pPr>
            <w:r w:rsidRPr="0049187C">
              <w:rPr>
                <w:lang w:val="ru-RU"/>
              </w:rPr>
              <w:t xml:space="preserve">Финансовый институт удерживает финансовые активы для удовлетворения потребностей в ликвидности при </w:t>
            </w:r>
            <w:r w:rsidR="00C41EF0" w:rsidRPr="0049187C">
              <w:rPr>
                <w:lang w:val="ru-RU"/>
              </w:rPr>
              <w:t>«</w:t>
            </w:r>
            <w:r w:rsidRPr="00A82867">
              <w:rPr>
                <w:lang w:val="ru-RU"/>
              </w:rPr>
              <w:t>стрессовом</w:t>
            </w:r>
            <w:r w:rsidR="00C41EF0" w:rsidRPr="00A82867">
              <w:rPr>
                <w:lang w:val="ru-RU"/>
              </w:rPr>
              <w:t>»</w:t>
            </w:r>
            <w:r w:rsidRPr="0049187C">
              <w:rPr>
                <w:lang w:val="ru-RU"/>
              </w:rPr>
              <w:t xml:space="preserve"> сценарии (например, при массовом изъятии банковских депозитов). Организация </w:t>
            </w:r>
            <w:r w:rsidR="001048ED">
              <w:rPr>
                <w:lang w:val="ru-RU"/>
              </w:rPr>
              <w:t xml:space="preserve">не </w:t>
            </w:r>
            <w:r w:rsidRPr="0049187C">
              <w:rPr>
                <w:lang w:val="ru-RU"/>
              </w:rPr>
              <w:t xml:space="preserve">предполагает продавать данные активы </w:t>
            </w:r>
            <w:r w:rsidR="001048ED">
              <w:rPr>
                <w:lang w:val="ru-RU"/>
              </w:rPr>
              <w:t>при иных</w:t>
            </w:r>
            <w:r w:rsidRPr="0049187C">
              <w:rPr>
                <w:lang w:val="ru-RU"/>
              </w:rPr>
              <w:t xml:space="preserve"> сценариях.</w:t>
            </w:r>
          </w:p>
          <w:p w:rsidR="007D4BCC" w:rsidRPr="0049187C" w:rsidRDefault="007D4BCC" w:rsidP="00C47E8A">
            <w:pPr>
              <w:pStyle w:val="IASBTableTNR"/>
              <w:rPr>
                <w:lang w:val="ru-RU"/>
              </w:rPr>
            </w:pPr>
            <w:r w:rsidRPr="0049187C">
              <w:rPr>
                <w:lang w:val="ru-RU"/>
              </w:rPr>
              <w:t>Организация отслеживает кредитное качество финансовых активов, а ее целью при управлении финансовыми активами является получение предусмотренных договором денежных потоков. Организация оценивает доходность активов на основе заработанно</w:t>
            </w:r>
            <w:r w:rsidR="00CC0D5E" w:rsidRPr="0049187C">
              <w:rPr>
                <w:lang w:val="ru-RU"/>
              </w:rPr>
              <w:t>й</w:t>
            </w:r>
            <w:r w:rsidRPr="0049187C">
              <w:rPr>
                <w:lang w:val="ru-RU"/>
              </w:rPr>
              <w:t xml:space="preserve"> процентно</w:t>
            </w:r>
            <w:r w:rsidR="00CC0D5E" w:rsidRPr="0049187C">
              <w:rPr>
                <w:lang w:val="ru-RU"/>
              </w:rPr>
              <w:t>й выручки</w:t>
            </w:r>
            <w:r w:rsidRPr="0049187C">
              <w:rPr>
                <w:lang w:val="ru-RU"/>
              </w:rPr>
              <w:t xml:space="preserve"> и реализованных кредитных убытков.</w:t>
            </w:r>
          </w:p>
          <w:p w:rsidR="007D4BCC" w:rsidRPr="0049187C" w:rsidRDefault="007D4BCC" w:rsidP="001048ED">
            <w:pPr>
              <w:pStyle w:val="IASBTableTNR"/>
              <w:rPr>
                <w:lang w:val="ru-RU"/>
              </w:rPr>
            </w:pPr>
            <w:r w:rsidRPr="0049187C">
              <w:rPr>
                <w:lang w:val="ru-RU"/>
              </w:rPr>
              <w:t xml:space="preserve">Однако организация также отслеживает справедливую стоимость финансовых активов с точки зрения ликвидности, чтобы удостовериться в том, что денежной суммы, которая будет реализована при продаже организацией активов при стрессовом сценарии, будет достаточно для удовлетворения потребностей организации в ликвидности. Периодически для демонстрации ликвидности организация осуществляет незначительные </w:t>
            </w:r>
            <w:r w:rsidRPr="00A82867">
              <w:rPr>
                <w:lang w:val="ru-RU"/>
              </w:rPr>
              <w:t xml:space="preserve">по </w:t>
            </w:r>
            <w:r w:rsidR="001048ED" w:rsidRPr="00A82867">
              <w:rPr>
                <w:lang w:val="ru-RU"/>
              </w:rPr>
              <w:t>о</w:t>
            </w:r>
            <w:r w:rsidR="001048ED">
              <w:rPr>
                <w:lang w:val="ru-RU"/>
              </w:rPr>
              <w:t>бъемам</w:t>
            </w:r>
            <w:r w:rsidR="001048ED" w:rsidRPr="0049187C">
              <w:rPr>
                <w:lang w:val="ru-RU"/>
              </w:rPr>
              <w:t xml:space="preserve"> </w:t>
            </w:r>
            <w:r w:rsidRPr="0049187C">
              <w:rPr>
                <w:lang w:val="ru-RU"/>
              </w:rPr>
              <w:t>продажи.</w:t>
            </w:r>
          </w:p>
        </w:tc>
        <w:tc>
          <w:tcPr>
            <w:tcW w:w="4550" w:type="dxa"/>
            <w:tcBorders>
              <w:top w:val="nil"/>
              <w:left w:val="nil"/>
              <w:bottom w:val="single" w:sz="4" w:space="0" w:color="auto"/>
              <w:right w:val="single" w:sz="4" w:space="0" w:color="auto"/>
            </w:tcBorders>
          </w:tcPr>
          <w:p w:rsidR="007D4BCC" w:rsidRPr="0049187C" w:rsidRDefault="007D4BCC" w:rsidP="00C47E8A">
            <w:pPr>
              <w:pStyle w:val="IASBTableTNR"/>
              <w:rPr>
                <w:lang w:val="ru-RU"/>
              </w:rPr>
            </w:pPr>
            <w:r w:rsidRPr="0049187C">
              <w:rPr>
                <w:lang w:val="ru-RU"/>
              </w:rPr>
              <w:t>Целью бизнес-модели</w:t>
            </w:r>
            <w:r w:rsidR="009030F0">
              <w:rPr>
                <w:lang w:val="ru-RU"/>
              </w:rPr>
              <w:t>, используемой организацией,</w:t>
            </w:r>
            <w:r w:rsidRPr="0049187C">
              <w:rPr>
                <w:lang w:val="ru-RU"/>
              </w:rPr>
              <w:t xml:space="preserve"> является удержани</w:t>
            </w:r>
            <w:r w:rsidR="00CC0D5E" w:rsidRPr="0049187C">
              <w:rPr>
                <w:lang w:val="ru-RU"/>
              </w:rPr>
              <w:t>е</w:t>
            </w:r>
            <w:r w:rsidRPr="0049187C">
              <w:rPr>
                <w:lang w:val="ru-RU"/>
              </w:rPr>
              <w:t xml:space="preserve"> финансовых активов для получения предусмотренных договором денежных потоков.</w:t>
            </w:r>
          </w:p>
          <w:p w:rsidR="007D4BCC" w:rsidRPr="0049187C" w:rsidRDefault="007D4BCC" w:rsidP="00C47E8A">
            <w:pPr>
              <w:pStyle w:val="IASBTableTNR"/>
              <w:rPr>
                <w:lang w:val="ru-RU"/>
              </w:rPr>
            </w:pPr>
            <w:r w:rsidRPr="0049187C">
              <w:rPr>
                <w:lang w:val="ru-RU"/>
              </w:rPr>
              <w:t xml:space="preserve">Анализ будет правомерен, даже если при предыдущем </w:t>
            </w:r>
            <w:r w:rsidR="00A82867">
              <w:rPr>
                <w:lang w:val="ru-RU"/>
              </w:rPr>
              <w:t>«</w:t>
            </w:r>
            <w:r w:rsidRPr="00A82867">
              <w:rPr>
                <w:lang w:val="ru-RU"/>
              </w:rPr>
              <w:t>стрессовом</w:t>
            </w:r>
            <w:r w:rsidR="00A82867" w:rsidRPr="00A82867">
              <w:rPr>
                <w:lang w:val="ru-RU"/>
              </w:rPr>
              <w:t>»</w:t>
            </w:r>
            <w:r w:rsidRPr="0049187C">
              <w:rPr>
                <w:lang w:val="ru-RU"/>
              </w:rPr>
              <w:t xml:space="preserve"> сценарии организация осуществила </w:t>
            </w:r>
            <w:r w:rsidRPr="00A82867">
              <w:rPr>
                <w:lang w:val="ru-RU"/>
              </w:rPr>
              <w:t xml:space="preserve">значительные по </w:t>
            </w:r>
            <w:r w:rsidR="001048ED">
              <w:rPr>
                <w:lang w:val="ru-RU"/>
              </w:rPr>
              <w:t>объему</w:t>
            </w:r>
            <w:r w:rsidR="001048ED" w:rsidRPr="0049187C">
              <w:rPr>
                <w:lang w:val="ru-RU"/>
              </w:rPr>
              <w:t xml:space="preserve"> </w:t>
            </w:r>
            <w:r w:rsidRPr="0049187C">
              <w:rPr>
                <w:lang w:val="ru-RU"/>
              </w:rPr>
              <w:t xml:space="preserve">продажи с целью удовлетворения потребностей в ликвидности. Аналогично, периодические операции продаж, которые являются незначительными по </w:t>
            </w:r>
            <w:r w:rsidR="001048ED">
              <w:rPr>
                <w:lang w:val="ru-RU"/>
              </w:rPr>
              <w:t>объему</w:t>
            </w:r>
            <w:r w:rsidRPr="0049187C">
              <w:rPr>
                <w:lang w:val="ru-RU"/>
              </w:rPr>
              <w:t>, не противоречат удержанию финансовых активов для получения предусмотренных договором денежных потоков.</w:t>
            </w:r>
          </w:p>
          <w:p w:rsidR="007D4BCC" w:rsidRPr="0049187C" w:rsidRDefault="007D4BCC" w:rsidP="00C47E8A">
            <w:pPr>
              <w:pStyle w:val="IASBTableTNR"/>
              <w:rPr>
                <w:lang w:val="ru-RU"/>
              </w:rPr>
            </w:pPr>
            <w:r w:rsidRPr="0049187C">
              <w:rPr>
                <w:lang w:val="ru-RU"/>
              </w:rPr>
              <w:t xml:space="preserve">Напротив, если организация удерживает финансовые активы для удовлетворения ежедневных потребностей в ликвидности и для достижения данной цели необходимо осуществлять частые значительные по </w:t>
            </w:r>
            <w:r w:rsidR="001048ED">
              <w:rPr>
                <w:lang w:val="ru-RU"/>
              </w:rPr>
              <w:t>объему</w:t>
            </w:r>
            <w:r w:rsidR="001048ED" w:rsidRPr="0049187C">
              <w:rPr>
                <w:lang w:val="ru-RU"/>
              </w:rPr>
              <w:t xml:space="preserve"> </w:t>
            </w:r>
            <w:r w:rsidRPr="0049187C">
              <w:rPr>
                <w:lang w:val="ru-RU"/>
              </w:rPr>
              <w:t xml:space="preserve">продажи, </w:t>
            </w:r>
            <w:r w:rsidR="00754A64">
              <w:rPr>
                <w:lang w:val="ru-RU"/>
              </w:rPr>
              <w:t xml:space="preserve">то </w:t>
            </w:r>
            <w:r w:rsidRPr="0049187C">
              <w:rPr>
                <w:lang w:val="ru-RU"/>
              </w:rPr>
              <w:t xml:space="preserve">целью </w:t>
            </w:r>
            <w:r w:rsidR="00754A64">
              <w:rPr>
                <w:lang w:val="ru-RU"/>
              </w:rPr>
              <w:t xml:space="preserve">используемой организацией </w:t>
            </w:r>
            <w:r w:rsidRPr="0049187C">
              <w:rPr>
                <w:lang w:val="ru-RU"/>
              </w:rPr>
              <w:t>бизнес-модели не является удержание финансовых активов для получения предусмотренных договором денежных потоков.</w:t>
            </w:r>
          </w:p>
          <w:p w:rsidR="007D4BCC" w:rsidRPr="0049187C" w:rsidRDefault="007D4BCC" w:rsidP="001048ED">
            <w:pPr>
              <w:pStyle w:val="IASBTableTNR"/>
              <w:rPr>
                <w:lang w:val="ru-RU"/>
              </w:rPr>
            </w:pPr>
            <w:r w:rsidRPr="0049187C">
              <w:rPr>
                <w:lang w:val="ru-RU"/>
              </w:rPr>
              <w:t>Аналогичн</w:t>
            </w:r>
            <w:r w:rsidR="00CC0D5E" w:rsidRPr="0049187C">
              <w:rPr>
                <w:lang w:val="ru-RU"/>
              </w:rPr>
              <w:t>ым образом</w:t>
            </w:r>
            <w:r w:rsidRPr="0049187C">
              <w:rPr>
                <w:lang w:val="ru-RU"/>
              </w:rPr>
              <w:t xml:space="preserve">, если по требованию регулирующего органа организации необходимо на постоянной основе продавать финансовые активы для демонстрации их ликвидности и </w:t>
            </w:r>
            <w:r w:rsidR="001048ED">
              <w:rPr>
                <w:lang w:val="ru-RU"/>
              </w:rPr>
              <w:t>объемы</w:t>
            </w:r>
            <w:r w:rsidR="001048ED" w:rsidRPr="0049187C">
              <w:rPr>
                <w:lang w:val="ru-RU"/>
              </w:rPr>
              <w:t xml:space="preserve"> </w:t>
            </w:r>
            <w:r w:rsidRPr="0049187C">
              <w:rPr>
                <w:lang w:val="ru-RU"/>
              </w:rPr>
              <w:t xml:space="preserve">продаваемых активов </w:t>
            </w:r>
            <w:r w:rsidR="001048ED" w:rsidRPr="0049187C">
              <w:rPr>
                <w:lang w:val="ru-RU"/>
              </w:rPr>
              <w:t>явля</w:t>
            </w:r>
            <w:r w:rsidR="001048ED">
              <w:rPr>
                <w:lang w:val="ru-RU"/>
              </w:rPr>
              <w:t>ю</w:t>
            </w:r>
            <w:r w:rsidR="001048ED" w:rsidRPr="0049187C">
              <w:rPr>
                <w:lang w:val="ru-RU"/>
              </w:rPr>
              <w:t xml:space="preserve">тся </w:t>
            </w:r>
            <w:r w:rsidRPr="0049187C">
              <w:rPr>
                <w:lang w:val="ru-RU"/>
              </w:rPr>
              <w:t>значительн</w:t>
            </w:r>
            <w:r w:rsidR="001048ED">
              <w:rPr>
                <w:lang w:val="ru-RU"/>
              </w:rPr>
              <w:t>ыми</w:t>
            </w:r>
            <w:r w:rsidRPr="0049187C">
              <w:rPr>
                <w:lang w:val="ru-RU"/>
              </w:rPr>
              <w:t>, целью бизнес-модели</w:t>
            </w:r>
            <w:r w:rsidR="009030F0">
              <w:rPr>
                <w:lang w:val="ru-RU"/>
              </w:rPr>
              <w:t>, используемой организацией,</w:t>
            </w:r>
            <w:r w:rsidRPr="0049187C">
              <w:rPr>
                <w:lang w:val="ru-RU"/>
              </w:rPr>
              <w:t xml:space="preserve"> не является удержание финансовых активов для получения предусмотренных договором денежных потоков. Для целей данного анализа не важно, происходит ли продажа финансовых активов по требованию третьей стороны или по решению организации.</w:t>
            </w:r>
          </w:p>
        </w:tc>
      </w:tr>
    </w:tbl>
    <w:p w:rsidR="007D4BCC" w:rsidRPr="0049187C" w:rsidRDefault="007D4BCC" w:rsidP="007D4BCC">
      <w:pPr>
        <w:pStyle w:val="IASBSectionTitle4Ind"/>
        <w:rPr>
          <w:lang w:val="ru-RU"/>
        </w:rPr>
      </w:pPr>
      <w:r w:rsidRPr="0049187C">
        <w:rPr>
          <w:lang w:val="ru-RU"/>
        </w:rPr>
        <w:t>Бизнес-модель, цель которой достигается путем получения предусмотренных договором денежных потоков и продажи финансовых активов</w:t>
      </w:r>
    </w:p>
    <w:p w:rsidR="007D4BCC" w:rsidRPr="0049187C" w:rsidRDefault="007D4BCC" w:rsidP="007D4BCC">
      <w:pPr>
        <w:pStyle w:val="IASBNormalnpara"/>
        <w:rPr>
          <w:lang w:val="ru-RU"/>
        </w:rPr>
      </w:pPr>
      <w:r w:rsidRPr="0049187C">
        <w:rPr>
          <w:lang w:val="ru-RU"/>
        </w:rPr>
        <w:t>B4.1.4A</w:t>
      </w:r>
      <w:r w:rsidRPr="0049187C">
        <w:rPr>
          <w:lang w:val="ru-RU"/>
        </w:rPr>
        <w:tab/>
        <w:t xml:space="preserve">Организация может удерживать финансовые активы в рамках бизнес-модели, цель которой достигается </w:t>
      </w:r>
      <w:r w:rsidR="00754A64">
        <w:rPr>
          <w:lang w:val="ru-RU"/>
        </w:rPr>
        <w:t xml:space="preserve">как </w:t>
      </w:r>
      <w:r w:rsidRPr="0049187C">
        <w:rPr>
          <w:lang w:val="ru-RU"/>
        </w:rPr>
        <w:t>путем получения предусмотренных договором денежных потоков</w:t>
      </w:r>
      <w:r w:rsidR="00754A64">
        <w:rPr>
          <w:lang w:val="ru-RU"/>
        </w:rPr>
        <w:t>, так</w:t>
      </w:r>
      <w:r w:rsidRPr="0049187C">
        <w:rPr>
          <w:lang w:val="ru-RU"/>
        </w:rPr>
        <w:t xml:space="preserve"> и </w:t>
      </w:r>
      <w:r w:rsidR="00754A64">
        <w:rPr>
          <w:lang w:val="ru-RU"/>
        </w:rPr>
        <w:t xml:space="preserve">путем </w:t>
      </w:r>
      <w:r w:rsidRPr="0049187C">
        <w:rPr>
          <w:lang w:val="ru-RU"/>
        </w:rPr>
        <w:t>п</w:t>
      </w:r>
      <w:r w:rsidR="00754A64">
        <w:rPr>
          <w:lang w:val="ru-RU"/>
        </w:rPr>
        <w:t>родажи финансовых активов. Такой тип</w:t>
      </w:r>
      <w:r w:rsidRPr="0049187C">
        <w:rPr>
          <w:lang w:val="ru-RU"/>
        </w:rPr>
        <w:t xml:space="preserve"> бизнес-модели</w:t>
      </w:r>
      <w:r w:rsidR="00754A64">
        <w:rPr>
          <w:lang w:val="ru-RU"/>
        </w:rPr>
        <w:t xml:space="preserve"> означает, что</w:t>
      </w:r>
      <w:r w:rsidRPr="0049187C">
        <w:rPr>
          <w:lang w:val="ru-RU"/>
        </w:rPr>
        <w:t xml:space="preserve"> ключевой управленческий персонал организации принял решение, что получение предусмотренных договором денежных потоков и продажа финансовых активов являются неотъемлем</w:t>
      </w:r>
      <w:r w:rsidR="00CC0D5E" w:rsidRPr="0049187C">
        <w:rPr>
          <w:lang w:val="ru-RU"/>
        </w:rPr>
        <w:t>ыми условиями достижения цели</w:t>
      </w:r>
      <w:r w:rsidRPr="0049187C">
        <w:rPr>
          <w:lang w:val="ru-RU"/>
        </w:rPr>
        <w:t xml:space="preserve"> бизнес-модели. Существуют различные цели, которые могут соответствовать такому типу бизнес-модели. Например, целью бизнес-модели может быть управление ежедневными потребностями в ликвидности, поддержка определенного уровня доходности по процентам или обеспечение соответствия сроков действия финансовых активов срокам действия обязательств, финансируемых данными активами. Для достижения такой цели организации нужно как получать предусмотренные договором денежные потоки, так и продавать финансовые активы.</w:t>
      </w:r>
    </w:p>
    <w:p w:rsidR="007D4BCC" w:rsidRPr="0049187C" w:rsidRDefault="007D4BCC" w:rsidP="007D4BCC">
      <w:pPr>
        <w:pStyle w:val="IASBNormalnpara"/>
        <w:rPr>
          <w:lang w:val="ru-RU"/>
        </w:rPr>
      </w:pPr>
      <w:r w:rsidRPr="0049187C">
        <w:rPr>
          <w:lang w:val="ru-RU"/>
        </w:rPr>
        <w:t>B4.1.4B</w:t>
      </w:r>
      <w:r w:rsidRPr="0049187C">
        <w:rPr>
          <w:lang w:val="ru-RU"/>
        </w:rPr>
        <w:tab/>
        <w:t xml:space="preserve">По сравнению с бизнес-моделью, целью которой является удержание финансовых активов для получения предусмотренных договором денежных потоков, данная бизнес-модель, как правило, будет </w:t>
      </w:r>
      <w:r w:rsidR="00CC0D5E" w:rsidRPr="0049187C">
        <w:rPr>
          <w:lang w:val="ru-RU"/>
        </w:rPr>
        <w:t xml:space="preserve">подразумевать </w:t>
      </w:r>
      <w:r w:rsidRPr="0049187C">
        <w:rPr>
          <w:lang w:val="ru-RU"/>
        </w:rPr>
        <w:t xml:space="preserve">более частые и большие по </w:t>
      </w:r>
      <w:r w:rsidR="00B33F5C">
        <w:rPr>
          <w:lang w:val="ru-RU"/>
        </w:rPr>
        <w:t>объемам</w:t>
      </w:r>
      <w:r w:rsidR="00B33F5C" w:rsidRPr="0049187C">
        <w:rPr>
          <w:lang w:val="ru-RU"/>
        </w:rPr>
        <w:t xml:space="preserve"> </w:t>
      </w:r>
      <w:r w:rsidRPr="0049187C">
        <w:rPr>
          <w:lang w:val="ru-RU"/>
        </w:rPr>
        <w:t>продажи. Это происходит из-за того, что продажа финансовых активов является неотъемлем</w:t>
      </w:r>
      <w:r w:rsidR="00492FBF" w:rsidRPr="0049187C">
        <w:rPr>
          <w:lang w:val="ru-RU"/>
        </w:rPr>
        <w:t>ым условием</w:t>
      </w:r>
      <w:r w:rsidRPr="0049187C">
        <w:rPr>
          <w:lang w:val="ru-RU"/>
        </w:rPr>
        <w:t xml:space="preserve"> достижения цели бизнес-модели, а не</w:t>
      </w:r>
      <w:r w:rsidR="00B33F5C">
        <w:rPr>
          <w:lang w:val="ru-RU"/>
        </w:rPr>
        <w:t xml:space="preserve"> побочной</w:t>
      </w:r>
      <w:r w:rsidR="00A16E6E">
        <w:rPr>
          <w:lang w:val="ru-RU"/>
        </w:rPr>
        <w:t xml:space="preserve"> </w:t>
      </w:r>
      <w:r w:rsidRPr="0049187C">
        <w:rPr>
          <w:lang w:val="ru-RU"/>
        </w:rPr>
        <w:t xml:space="preserve">операцией. Однако </w:t>
      </w:r>
      <w:r w:rsidR="00754A64">
        <w:rPr>
          <w:lang w:val="ru-RU"/>
        </w:rPr>
        <w:t>никакого</w:t>
      </w:r>
      <w:r w:rsidRPr="0049187C">
        <w:rPr>
          <w:lang w:val="ru-RU"/>
        </w:rPr>
        <w:t xml:space="preserve"> порогового значения для частоты и </w:t>
      </w:r>
      <w:r w:rsidR="00B33F5C">
        <w:rPr>
          <w:lang w:val="ru-RU"/>
        </w:rPr>
        <w:t>объемов</w:t>
      </w:r>
      <w:r w:rsidR="00B33F5C" w:rsidRPr="0049187C">
        <w:rPr>
          <w:lang w:val="ru-RU"/>
        </w:rPr>
        <w:t xml:space="preserve"> </w:t>
      </w:r>
      <w:r w:rsidRPr="0049187C">
        <w:rPr>
          <w:lang w:val="ru-RU"/>
        </w:rPr>
        <w:t xml:space="preserve">продаж, которые должны </w:t>
      </w:r>
      <w:r w:rsidR="00B33F5C" w:rsidRPr="0049187C">
        <w:rPr>
          <w:lang w:val="ru-RU"/>
        </w:rPr>
        <w:t>осуществ</w:t>
      </w:r>
      <w:r w:rsidR="00B33F5C">
        <w:rPr>
          <w:lang w:val="ru-RU"/>
        </w:rPr>
        <w:t>ля</w:t>
      </w:r>
      <w:r w:rsidR="00B33F5C" w:rsidRPr="0049187C">
        <w:rPr>
          <w:lang w:val="ru-RU"/>
        </w:rPr>
        <w:t xml:space="preserve">ться </w:t>
      </w:r>
      <w:r w:rsidRPr="0049187C">
        <w:rPr>
          <w:lang w:val="ru-RU"/>
        </w:rPr>
        <w:t xml:space="preserve">в рамках такой бизнес-модели, </w:t>
      </w:r>
      <w:r w:rsidR="00754A64">
        <w:rPr>
          <w:lang w:val="ru-RU"/>
        </w:rPr>
        <w:t xml:space="preserve">не предусматривается, </w:t>
      </w:r>
      <w:r w:rsidRPr="0049187C">
        <w:rPr>
          <w:lang w:val="ru-RU"/>
        </w:rPr>
        <w:t xml:space="preserve">так как и получение предусмотренных договором денежных потоков, и продажа финансовых активов являются неотъемлемыми </w:t>
      </w:r>
      <w:r w:rsidR="00492FBF" w:rsidRPr="0049187C">
        <w:rPr>
          <w:lang w:val="ru-RU"/>
        </w:rPr>
        <w:t xml:space="preserve">условиями </w:t>
      </w:r>
      <w:r w:rsidRPr="0049187C">
        <w:rPr>
          <w:lang w:val="ru-RU"/>
        </w:rPr>
        <w:t>достижения ее цели.</w:t>
      </w:r>
    </w:p>
    <w:p w:rsidR="007D4BCC" w:rsidRPr="0049187C" w:rsidRDefault="007D4BCC" w:rsidP="007D4BCC">
      <w:pPr>
        <w:pStyle w:val="IASBNormalnpara"/>
        <w:rPr>
          <w:lang w:val="ru-RU"/>
        </w:rPr>
      </w:pPr>
      <w:r w:rsidRPr="0049187C">
        <w:rPr>
          <w:lang w:val="ru-RU"/>
        </w:rPr>
        <w:t>B4.1.4C</w:t>
      </w:r>
      <w:r w:rsidRPr="0049187C">
        <w:rPr>
          <w:lang w:val="ru-RU"/>
        </w:rPr>
        <w:tab/>
        <w:t>Ниже приводятся примеры ситуаций, когда цель</w:t>
      </w:r>
      <w:r w:rsidR="009030F0">
        <w:rPr>
          <w:lang w:val="ru-RU"/>
        </w:rPr>
        <w:t xml:space="preserve"> используемой организацией бизнес-модели </w:t>
      </w:r>
      <w:r w:rsidRPr="0049187C">
        <w:rPr>
          <w:lang w:val="ru-RU"/>
        </w:rPr>
        <w:t xml:space="preserve">может быть достигнута путем </w:t>
      </w:r>
      <w:r w:rsidR="00492FBF" w:rsidRPr="0049187C">
        <w:rPr>
          <w:lang w:val="ru-RU"/>
        </w:rPr>
        <w:t xml:space="preserve">как </w:t>
      </w:r>
      <w:r w:rsidRPr="0049187C">
        <w:rPr>
          <w:lang w:val="ru-RU"/>
        </w:rPr>
        <w:t>получения предусмотренных договором денежных потоков</w:t>
      </w:r>
      <w:r w:rsidR="00492FBF" w:rsidRPr="0049187C">
        <w:rPr>
          <w:lang w:val="ru-RU"/>
        </w:rPr>
        <w:t>, так</w:t>
      </w:r>
      <w:r w:rsidRPr="0049187C">
        <w:rPr>
          <w:lang w:val="ru-RU"/>
        </w:rPr>
        <w:t xml:space="preserve"> и продажи финансовых активов. Список примеров не является исчерпывающим. Более того, примеры не имеют своей целью показать все факторы, имеющие отношение к оценке</w:t>
      </w:r>
      <w:r w:rsidR="009030F0">
        <w:rPr>
          <w:lang w:val="ru-RU"/>
        </w:rPr>
        <w:t xml:space="preserve"> используемой организацией</w:t>
      </w:r>
      <w:r w:rsidRPr="0049187C">
        <w:rPr>
          <w:lang w:val="ru-RU"/>
        </w:rPr>
        <w:t xml:space="preserve"> бизнес-модели, а также не устанавливают относительную важность данных факторов.</w:t>
      </w:r>
    </w:p>
    <w:p w:rsidR="007D4BCC" w:rsidRPr="0049187C" w:rsidRDefault="007D4BCC" w:rsidP="007D4BCC">
      <w:pPr>
        <w:pStyle w:val="IASBNormalnpara"/>
        <w:rPr>
          <w:lang w:val="ru-RU"/>
        </w:rPr>
      </w:pPr>
    </w:p>
    <w:tbl>
      <w:tblPr>
        <w:tblW w:w="0" w:type="auto"/>
        <w:tblInd w:w="964" w:type="dxa"/>
        <w:tblLayout w:type="fixed"/>
        <w:tblLook w:val="0000" w:firstRow="0" w:lastRow="0" w:firstColumn="0" w:lastColumn="0" w:noHBand="0" w:noVBand="0"/>
      </w:tblPr>
      <w:tblGrid>
        <w:gridCol w:w="3694"/>
        <w:gridCol w:w="4550"/>
      </w:tblGrid>
      <w:tr w:rsidR="007D4BCC" w:rsidRPr="0049187C" w:rsidTr="00F042EC">
        <w:tblPrEx>
          <w:tblCellMar>
            <w:top w:w="0" w:type="dxa"/>
            <w:bottom w:w="0" w:type="dxa"/>
          </w:tblCellMar>
        </w:tblPrEx>
        <w:trPr>
          <w:tblHeader/>
        </w:trPr>
        <w:tc>
          <w:tcPr>
            <w:tcW w:w="3694" w:type="dxa"/>
            <w:tcBorders>
              <w:top w:val="single" w:sz="4" w:space="0" w:color="auto"/>
              <w:left w:val="single" w:sz="4" w:space="0" w:color="auto"/>
              <w:bottom w:val="single" w:sz="4" w:space="0" w:color="auto"/>
              <w:right w:val="single" w:sz="4" w:space="0" w:color="auto"/>
            </w:tcBorders>
            <w:vAlign w:val="bottom"/>
          </w:tcPr>
          <w:p w:rsidR="007D4BCC" w:rsidRPr="004D2F3F" w:rsidRDefault="007D4BCC" w:rsidP="00C47E8A">
            <w:pPr>
              <w:pStyle w:val="IASBTableHeaderArial"/>
              <w:rPr>
                <w:highlight w:val="yellow"/>
                <w:lang w:val="ru-RU"/>
              </w:rPr>
            </w:pPr>
            <w:r w:rsidRPr="00F76542">
              <w:rPr>
                <w:b/>
                <w:lang w:val="ru-RU"/>
              </w:rPr>
              <w:t>Пример</w:t>
            </w:r>
          </w:p>
        </w:tc>
        <w:tc>
          <w:tcPr>
            <w:tcW w:w="4550" w:type="dxa"/>
            <w:tcBorders>
              <w:top w:val="single" w:sz="4" w:space="0" w:color="auto"/>
              <w:left w:val="nil"/>
              <w:bottom w:val="single" w:sz="4" w:space="0" w:color="auto"/>
              <w:right w:val="single" w:sz="4" w:space="0" w:color="auto"/>
            </w:tcBorders>
            <w:vAlign w:val="bottom"/>
          </w:tcPr>
          <w:p w:rsidR="007D4BCC" w:rsidRPr="0049187C" w:rsidRDefault="007D4BCC" w:rsidP="00C47E8A">
            <w:pPr>
              <w:pStyle w:val="IASBTableHeaderArial"/>
              <w:rPr>
                <w:lang w:val="ru-RU"/>
              </w:rPr>
            </w:pPr>
            <w:r w:rsidRPr="0049187C">
              <w:rPr>
                <w:b/>
                <w:lang w:val="ru-RU"/>
              </w:rPr>
              <w:t>Анализ</w:t>
            </w:r>
          </w:p>
        </w:tc>
      </w:tr>
      <w:tr w:rsidR="007D4BCC" w:rsidRPr="0049187C" w:rsidTr="00F042EC">
        <w:tblPrEx>
          <w:tblCellMar>
            <w:top w:w="0" w:type="dxa"/>
            <w:bottom w:w="0" w:type="dxa"/>
          </w:tblCellMar>
        </w:tblPrEx>
        <w:tc>
          <w:tcPr>
            <w:tcW w:w="3694" w:type="dxa"/>
            <w:tcBorders>
              <w:top w:val="nil"/>
              <w:left w:val="single" w:sz="4" w:space="0" w:color="auto"/>
              <w:bottom w:val="single" w:sz="4" w:space="0" w:color="auto"/>
              <w:right w:val="single" w:sz="4" w:space="0" w:color="auto"/>
            </w:tcBorders>
          </w:tcPr>
          <w:p w:rsidR="007D4BCC" w:rsidRPr="0049187C" w:rsidRDefault="007D4BCC" w:rsidP="00C47E8A">
            <w:pPr>
              <w:pStyle w:val="IASBTableTNR"/>
              <w:rPr>
                <w:lang w:val="ru-RU"/>
              </w:rPr>
            </w:pPr>
            <w:r w:rsidRPr="0049187C">
              <w:rPr>
                <w:b/>
                <w:lang w:val="ru-RU"/>
              </w:rPr>
              <w:t>Пример 5</w:t>
            </w:r>
          </w:p>
          <w:p w:rsidR="007D4BCC" w:rsidRPr="0049187C" w:rsidRDefault="006A5798" w:rsidP="00C47E8A">
            <w:pPr>
              <w:pStyle w:val="IASBTableTNR"/>
              <w:rPr>
                <w:lang w:val="ru-RU"/>
              </w:rPr>
            </w:pPr>
            <w:r>
              <w:rPr>
                <w:lang w:val="ru-RU"/>
              </w:rPr>
              <w:t>Организация предполагает, что ей будет необходимо осуществить капитальные затраты через несколько лет. Организация инвестирует излишек денежных средств в краткосрочные и долгосрочные активы с целью обеспечить фина</w:t>
            </w:r>
            <w:r w:rsidR="00A16E6E">
              <w:rPr>
                <w:lang w:val="ru-RU"/>
              </w:rPr>
              <w:t>н</w:t>
            </w:r>
            <w:r>
              <w:rPr>
                <w:lang w:val="ru-RU"/>
              </w:rPr>
              <w:t xml:space="preserve">сирование затрат, когда это будет необходимо. </w:t>
            </w:r>
            <w:r w:rsidR="007D4BCC" w:rsidRPr="0049187C">
              <w:rPr>
                <w:lang w:val="ru-RU"/>
              </w:rPr>
              <w:t xml:space="preserve">Многие </w:t>
            </w:r>
            <w:r w:rsidR="00492FBF" w:rsidRPr="0049187C">
              <w:rPr>
                <w:lang w:val="ru-RU"/>
              </w:rPr>
              <w:t xml:space="preserve">такие </w:t>
            </w:r>
            <w:r w:rsidR="007D4BCC" w:rsidRPr="0049187C">
              <w:rPr>
                <w:lang w:val="ru-RU"/>
              </w:rPr>
              <w:t>финансовы</w:t>
            </w:r>
            <w:r w:rsidR="00492FBF" w:rsidRPr="0049187C">
              <w:rPr>
                <w:lang w:val="ru-RU"/>
              </w:rPr>
              <w:t>е</w:t>
            </w:r>
            <w:r w:rsidR="007D4BCC" w:rsidRPr="0049187C">
              <w:rPr>
                <w:lang w:val="ru-RU"/>
              </w:rPr>
              <w:t xml:space="preserve"> актив</w:t>
            </w:r>
            <w:r w:rsidR="00492FBF" w:rsidRPr="0049187C">
              <w:rPr>
                <w:lang w:val="ru-RU"/>
              </w:rPr>
              <w:t>ы</w:t>
            </w:r>
            <w:r w:rsidR="007D4BCC" w:rsidRPr="0049187C">
              <w:rPr>
                <w:lang w:val="ru-RU"/>
              </w:rPr>
              <w:t xml:space="preserve"> имеют договорные сроки использования, превышающие </w:t>
            </w:r>
            <w:r>
              <w:rPr>
                <w:lang w:val="ru-RU"/>
              </w:rPr>
              <w:t>предполагаемый</w:t>
            </w:r>
            <w:r w:rsidRPr="0049187C">
              <w:rPr>
                <w:lang w:val="ru-RU"/>
              </w:rPr>
              <w:t xml:space="preserve"> </w:t>
            </w:r>
            <w:r w:rsidR="007D4BCC" w:rsidRPr="0049187C">
              <w:rPr>
                <w:lang w:val="ru-RU"/>
              </w:rPr>
              <w:t>организацией период инвестирования.</w:t>
            </w:r>
            <w:r w:rsidR="00F76542">
              <w:rPr>
                <w:lang w:val="ru-RU"/>
              </w:rPr>
              <w:t xml:space="preserve"> </w:t>
            </w:r>
          </w:p>
          <w:p w:rsidR="007D4BCC" w:rsidRPr="0049187C" w:rsidRDefault="007D4BCC" w:rsidP="00C47E8A">
            <w:pPr>
              <w:pStyle w:val="IASBTableTNR"/>
              <w:rPr>
                <w:lang w:val="ru-RU"/>
              </w:rPr>
            </w:pPr>
            <w:r w:rsidRPr="0049187C">
              <w:rPr>
                <w:lang w:val="ru-RU"/>
              </w:rPr>
              <w:t>Организация будет удерживать финансовые активы для получения предусмотренных договором денежных потоков и, когда представится возможность, продаст финансовые активы, чтобы реинвестировать денежные средства в финансовые активы с большей доходностью.</w:t>
            </w:r>
          </w:p>
          <w:p w:rsidR="007D4BCC" w:rsidRPr="0049187C" w:rsidRDefault="007D4BCC" w:rsidP="00C47E8A">
            <w:pPr>
              <w:pStyle w:val="IASBTableTNR"/>
              <w:rPr>
                <w:lang w:val="ru-RU"/>
              </w:rPr>
            </w:pPr>
            <w:r w:rsidRPr="0049187C">
              <w:rPr>
                <w:lang w:val="ru-RU"/>
              </w:rPr>
              <w:t>Менеджеры, отве</w:t>
            </w:r>
            <w:r w:rsidR="00492FBF" w:rsidRPr="0049187C">
              <w:rPr>
                <w:lang w:val="ru-RU"/>
              </w:rPr>
              <w:t>чающие</w:t>
            </w:r>
            <w:r w:rsidRPr="0049187C">
              <w:rPr>
                <w:lang w:val="ru-RU"/>
              </w:rPr>
              <w:t xml:space="preserve"> за портфель, вознаграждаются исходя из общей доходности портфеля.</w:t>
            </w:r>
          </w:p>
          <w:p w:rsidR="007D4BCC" w:rsidRPr="0049187C" w:rsidRDefault="007D4BCC" w:rsidP="00C47E8A">
            <w:pPr>
              <w:pStyle w:val="IASBTableTNR"/>
              <w:rPr>
                <w:lang w:val="ru-RU"/>
              </w:rPr>
            </w:pPr>
          </w:p>
        </w:tc>
        <w:tc>
          <w:tcPr>
            <w:tcW w:w="4550" w:type="dxa"/>
            <w:tcBorders>
              <w:top w:val="nil"/>
              <w:left w:val="nil"/>
              <w:bottom w:val="single" w:sz="4" w:space="0" w:color="auto"/>
              <w:right w:val="single" w:sz="4" w:space="0" w:color="auto"/>
            </w:tcBorders>
          </w:tcPr>
          <w:p w:rsidR="007D4BCC" w:rsidRPr="0049187C" w:rsidRDefault="007D4BCC" w:rsidP="00C47E8A">
            <w:pPr>
              <w:pStyle w:val="IASBTableTNR"/>
              <w:rPr>
                <w:lang w:val="ru-RU"/>
              </w:rPr>
            </w:pPr>
            <w:r w:rsidRPr="0049187C">
              <w:rPr>
                <w:lang w:val="ru-RU"/>
              </w:rPr>
              <w:t xml:space="preserve">Цель бизнес-модели достигается </w:t>
            </w:r>
            <w:r w:rsidR="006A5798" w:rsidRPr="0049187C">
              <w:rPr>
                <w:lang w:val="ru-RU"/>
              </w:rPr>
              <w:t xml:space="preserve">как </w:t>
            </w:r>
            <w:r w:rsidRPr="0049187C">
              <w:rPr>
                <w:lang w:val="ru-RU"/>
              </w:rPr>
              <w:t>путем получения предусмотренных договором денежных потоков</w:t>
            </w:r>
            <w:r w:rsidR="00492FBF" w:rsidRPr="0049187C">
              <w:rPr>
                <w:lang w:val="ru-RU"/>
              </w:rPr>
              <w:t>, так</w:t>
            </w:r>
            <w:r w:rsidRPr="0049187C">
              <w:rPr>
                <w:lang w:val="ru-RU"/>
              </w:rPr>
              <w:t xml:space="preserve"> и </w:t>
            </w:r>
            <w:r w:rsidR="006A5798">
              <w:rPr>
                <w:lang w:val="ru-RU"/>
              </w:rPr>
              <w:t xml:space="preserve">посредством </w:t>
            </w:r>
            <w:r w:rsidRPr="0049187C">
              <w:rPr>
                <w:lang w:val="ru-RU"/>
              </w:rPr>
              <w:t xml:space="preserve">продажи финансовых активов. Организация будет на постоянной основе принимать решения о том, обеспечит </w:t>
            </w:r>
            <w:r w:rsidR="00492FBF" w:rsidRPr="0049187C">
              <w:rPr>
                <w:lang w:val="ru-RU"/>
              </w:rPr>
              <w:t>ли</w:t>
            </w:r>
            <w:r w:rsidRPr="0049187C">
              <w:rPr>
                <w:lang w:val="ru-RU"/>
              </w:rPr>
              <w:t xml:space="preserve"> получение предусмотренных договором денежных потоков или продажа финансовых активов</w:t>
            </w:r>
            <w:r w:rsidR="00492FBF" w:rsidRPr="0049187C">
              <w:rPr>
                <w:lang w:val="ru-RU"/>
              </w:rPr>
              <w:t xml:space="preserve"> максимальную доходность портфеля до возникновения необходимости инвестирования денежных средств</w:t>
            </w:r>
            <w:r w:rsidRPr="0049187C">
              <w:rPr>
                <w:lang w:val="ru-RU"/>
              </w:rPr>
              <w:t>.</w:t>
            </w:r>
          </w:p>
          <w:p w:rsidR="007D4BCC" w:rsidRPr="0049187C" w:rsidRDefault="007D4BCC" w:rsidP="006A5798">
            <w:pPr>
              <w:pStyle w:val="IASBTableTNR"/>
              <w:rPr>
                <w:lang w:val="ru-RU"/>
              </w:rPr>
            </w:pPr>
            <w:r w:rsidRPr="0049187C">
              <w:rPr>
                <w:lang w:val="ru-RU"/>
              </w:rPr>
              <w:t xml:space="preserve">Рассмотрим противоположную ситуацию, когда организация ожидает денежный отток через пять лет для финансирования капитальных затрат и инвестирует излишек денежных средств в краткосрочные финансовые активы. Когда </w:t>
            </w:r>
            <w:r w:rsidR="00492FBF" w:rsidRPr="0049187C">
              <w:rPr>
                <w:lang w:val="ru-RU"/>
              </w:rPr>
              <w:t xml:space="preserve">наступает срок </w:t>
            </w:r>
            <w:r w:rsidRPr="0049187C">
              <w:rPr>
                <w:lang w:val="ru-RU"/>
              </w:rPr>
              <w:t>погашени</w:t>
            </w:r>
            <w:r w:rsidR="00492FBF" w:rsidRPr="0049187C">
              <w:rPr>
                <w:lang w:val="ru-RU"/>
              </w:rPr>
              <w:t>я</w:t>
            </w:r>
            <w:r w:rsidRPr="0049187C">
              <w:rPr>
                <w:lang w:val="ru-RU"/>
              </w:rPr>
              <w:t xml:space="preserve"> инвестиций, организация реинвестирует денежные средства в новые краткосрочные финансовые активы. Организация поддерживает такую стратегию до возникновения необходимости в финансировании, когда она использует поступления от финансовых активов </w:t>
            </w:r>
            <w:r w:rsidR="00492FBF" w:rsidRPr="0049187C">
              <w:rPr>
                <w:lang w:val="ru-RU"/>
              </w:rPr>
              <w:t xml:space="preserve">к погашению </w:t>
            </w:r>
            <w:r w:rsidRPr="0049187C">
              <w:rPr>
                <w:lang w:val="ru-RU"/>
              </w:rPr>
              <w:t xml:space="preserve">для финансирования капитальных затрат. До </w:t>
            </w:r>
            <w:r w:rsidR="00492FBF" w:rsidRPr="0049187C">
              <w:rPr>
                <w:lang w:val="ru-RU"/>
              </w:rPr>
              <w:t xml:space="preserve">наступления срока </w:t>
            </w:r>
            <w:r w:rsidRPr="0049187C">
              <w:rPr>
                <w:lang w:val="ru-RU"/>
              </w:rPr>
              <w:t xml:space="preserve">погашения осуществляются только незначительные по </w:t>
            </w:r>
            <w:r w:rsidR="006A5798">
              <w:rPr>
                <w:lang w:val="ru-RU"/>
              </w:rPr>
              <w:t>объемам</w:t>
            </w:r>
            <w:r w:rsidR="006A5798" w:rsidRPr="0049187C">
              <w:rPr>
                <w:lang w:val="ru-RU"/>
              </w:rPr>
              <w:t xml:space="preserve"> </w:t>
            </w:r>
            <w:r w:rsidRPr="0049187C">
              <w:rPr>
                <w:lang w:val="ru-RU"/>
              </w:rPr>
              <w:t xml:space="preserve">продажи (за исключением случаев увеличения кредитного риска). Целью такой </w:t>
            </w:r>
            <w:r w:rsidR="006A5798">
              <w:rPr>
                <w:lang w:val="ru-RU"/>
              </w:rPr>
              <w:t>отличающейся</w:t>
            </w:r>
            <w:r w:rsidR="006A5798" w:rsidRPr="0049187C">
              <w:rPr>
                <w:lang w:val="ru-RU"/>
              </w:rPr>
              <w:t xml:space="preserve"> </w:t>
            </w:r>
            <w:r w:rsidRPr="0049187C">
              <w:rPr>
                <w:lang w:val="ru-RU"/>
              </w:rPr>
              <w:t>бизнес-модели является удержание финансовых активов для получения предусмотренных договором денежных потоков.</w:t>
            </w:r>
          </w:p>
        </w:tc>
      </w:tr>
      <w:tr w:rsidR="007D4BCC" w:rsidRPr="0049187C" w:rsidTr="00F042EC">
        <w:tblPrEx>
          <w:tblCellMar>
            <w:top w:w="0" w:type="dxa"/>
            <w:bottom w:w="0" w:type="dxa"/>
          </w:tblCellMar>
        </w:tblPrEx>
        <w:tc>
          <w:tcPr>
            <w:tcW w:w="3694" w:type="dxa"/>
            <w:tcBorders>
              <w:top w:val="nil"/>
              <w:left w:val="single" w:sz="4" w:space="0" w:color="auto"/>
              <w:bottom w:val="single" w:sz="4" w:space="0" w:color="auto"/>
              <w:right w:val="single" w:sz="4" w:space="0" w:color="auto"/>
            </w:tcBorders>
          </w:tcPr>
          <w:p w:rsidR="007D4BCC" w:rsidRPr="0049187C" w:rsidRDefault="007D4BCC" w:rsidP="00C47E8A">
            <w:pPr>
              <w:pStyle w:val="IASBTableTNR"/>
              <w:rPr>
                <w:lang w:val="ru-RU"/>
              </w:rPr>
            </w:pPr>
            <w:r w:rsidRPr="0049187C">
              <w:rPr>
                <w:b/>
                <w:lang w:val="ru-RU"/>
              </w:rPr>
              <w:t>Пример 6</w:t>
            </w:r>
          </w:p>
          <w:p w:rsidR="007D4BCC" w:rsidRPr="0049187C" w:rsidRDefault="007D4BCC" w:rsidP="00C47E8A">
            <w:pPr>
              <w:pStyle w:val="IASBTableTNR"/>
              <w:rPr>
                <w:lang w:val="ru-RU"/>
              </w:rPr>
            </w:pPr>
            <w:r w:rsidRPr="0049187C">
              <w:rPr>
                <w:lang w:val="ru-RU"/>
              </w:rPr>
              <w:t xml:space="preserve">Финансовый институт удерживает финансовые активы для удовлетворения ежедневных потребностей в ликвидности. Организация ищет пути минимизации затрат на </w:t>
            </w:r>
            <w:r w:rsidR="006A5798" w:rsidRPr="0049187C">
              <w:rPr>
                <w:lang w:val="ru-RU"/>
              </w:rPr>
              <w:t>управлени</w:t>
            </w:r>
            <w:r w:rsidR="006A5798">
              <w:rPr>
                <w:lang w:val="ru-RU"/>
              </w:rPr>
              <w:t>е</w:t>
            </w:r>
            <w:r w:rsidR="006A5798" w:rsidRPr="0049187C">
              <w:rPr>
                <w:lang w:val="ru-RU"/>
              </w:rPr>
              <w:t xml:space="preserve"> </w:t>
            </w:r>
            <w:r w:rsidRPr="0049187C">
              <w:rPr>
                <w:lang w:val="ru-RU"/>
              </w:rPr>
              <w:t>ликвидност</w:t>
            </w:r>
            <w:r w:rsidR="006A5798">
              <w:rPr>
                <w:lang w:val="ru-RU"/>
              </w:rPr>
              <w:t>ью</w:t>
            </w:r>
            <w:r w:rsidRPr="0049187C">
              <w:rPr>
                <w:lang w:val="ru-RU"/>
              </w:rPr>
              <w:t xml:space="preserve"> и для этого активно управляет доход</w:t>
            </w:r>
            <w:r w:rsidR="006A5798">
              <w:rPr>
                <w:lang w:val="ru-RU"/>
              </w:rPr>
              <w:t>ами по</w:t>
            </w:r>
            <w:r w:rsidRPr="0049187C">
              <w:rPr>
                <w:lang w:val="ru-RU"/>
              </w:rPr>
              <w:t xml:space="preserve"> портфел</w:t>
            </w:r>
            <w:r w:rsidR="006A5798">
              <w:rPr>
                <w:lang w:val="ru-RU"/>
              </w:rPr>
              <w:t>ю</w:t>
            </w:r>
            <w:r w:rsidRPr="0049187C">
              <w:rPr>
                <w:lang w:val="ru-RU"/>
              </w:rPr>
              <w:t xml:space="preserve">. </w:t>
            </w:r>
            <w:r w:rsidR="00BB5CCF" w:rsidRPr="0049187C">
              <w:rPr>
                <w:lang w:val="ru-RU"/>
              </w:rPr>
              <w:t>Так</w:t>
            </w:r>
            <w:r w:rsidR="006A5798">
              <w:rPr>
                <w:lang w:val="ru-RU"/>
              </w:rPr>
              <w:t>ие</w:t>
            </w:r>
            <w:r w:rsidR="00A16E6E">
              <w:rPr>
                <w:lang w:val="ru-RU"/>
              </w:rPr>
              <w:t xml:space="preserve"> </w:t>
            </w:r>
            <w:r w:rsidRPr="0049187C">
              <w:rPr>
                <w:lang w:val="ru-RU"/>
              </w:rPr>
              <w:t>доход</w:t>
            </w:r>
            <w:r w:rsidR="006A5798">
              <w:rPr>
                <w:lang w:val="ru-RU"/>
              </w:rPr>
              <w:t>ы</w:t>
            </w:r>
            <w:r w:rsidR="00A16E6E">
              <w:rPr>
                <w:lang w:val="ru-RU"/>
              </w:rPr>
              <w:t xml:space="preserve"> </w:t>
            </w:r>
            <w:r w:rsidR="006A5798">
              <w:rPr>
                <w:lang w:val="ru-RU"/>
              </w:rPr>
              <w:t xml:space="preserve">состоят из </w:t>
            </w:r>
            <w:r w:rsidRPr="0049187C">
              <w:rPr>
                <w:lang w:val="ru-RU"/>
              </w:rPr>
              <w:t>полученных платежей, предусмотренных договором, а также из прибылей и убытков от продажи финансовых активов.</w:t>
            </w:r>
          </w:p>
          <w:p w:rsidR="007D4BCC" w:rsidRPr="0049187C" w:rsidRDefault="007D4BCC" w:rsidP="00A82867">
            <w:pPr>
              <w:pStyle w:val="IASBTableTNR"/>
              <w:rPr>
                <w:lang w:val="ru-RU"/>
              </w:rPr>
            </w:pPr>
            <w:r w:rsidRPr="0049187C">
              <w:rPr>
                <w:lang w:val="ru-RU"/>
              </w:rPr>
              <w:t xml:space="preserve">В результате организация удерживает финансовые активы для получения предусмотренных договором денежных потоков и продает финансовые активы для реинвестирования в финансовые активы с большей доходностью или для </w:t>
            </w:r>
            <w:r w:rsidR="00BB5CCF" w:rsidRPr="0049187C">
              <w:rPr>
                <w:lang w:val="ru-RU"/>
              </w:rPr>
              <w:t xml:space="preserve">обеспечения </w:t>
            </w:r>
            <w:r w:rsidR="006A5798">
              <w:rPr>
                <w:lang w:val="ru-RU"/>
              </w:rPr>
              <w:t xml:space="preserve">лучшего </w:t>
            </w:r>
            <w:r w:rsidR="00BB5CCF" w:rsidRPr="0049187C">
              <w:rPr>
                <w:lang w:val="ru-RU"/>
              </w:rPr>
              <w:t>соответствия</w:t>
            </w:r>
            <w:r w:rsidRPr="0049187C">
              <w:rPr>
                <w:lang w:val="ru-RU"/>
              </w:rPr>
              <w:t xml:space="preserve"> </w:t>
            </w:r>
            <w:r w:rsidR="006A5798">
              <w:rPr>
                <w:lang w:val="ru-RU"/>
              </w:rPr>
              <w:t xml:space="preserve">сроков их действия со </w:t>
            </w:r>
            <w:r w:rsidRPr="0049187C">
              <w:rPr>
                <w:lang w:val="ru-RU"/>
              </w:rPr>
              <w:t>срок</w:t>
            </w:r>
            <w:r w:rsidR="00BB5CCF" w:rsidRPr="0049187C">
              <w:rPr>
                <w:lang w:val="ru-RU"/>
              </w:rPr>
              <w:t>ам</w:t>
            </w:r>
            <w:r w:rsidR="006A5798">
              <w:rPr>
                <w:lang w:val="ru-RU"/>
              </w:rPr>
              <w:t>и</w:t>
            </w:r>
            <w:r w:rsidRPr="0049187C">
              <w:rPr>
                <w:lang w:val="ru-RU"/>
              </w:rPr>
              <w:t xml:space="preserve"> действия </w:t>
            </w:r>
            <w:r w:rsidR="008F7CF9">
              <w:rPr>
                <w:lang w:val="ru-RU"/>
              </w:rPr>
              <w:t xml:space="preserve">ее </w:t>
            </w:r>
            <w:r w:rsidRPr="0049187C">
              <w:rPr>
                <w:lang w:val="ru-RU"/>
              </w:rPr>
              <w:t>обязательств. В прошлых периодах такая стратегия прив</w:t>
            </w:r>
            <w:r w:rsidR="008F7CF9">
              <w:rPr>
                <w:lang w:val="ru-RU"/>
              </w:rPr>
              <w:t>одила</w:t>
            </w:r>
            <w:r w:rsidRPr="0049187C">
              <w:rPr>
                <w:lang w:val="ru-RU"/>
              </w:rPr>
              <w:t xml:space="preserve"> к частым</w:t>
            </w:r>
            <w:r w:rsidR="00A82867">
              <w:rPr>
                <w:lang w:val="ru-RU"/>
              </w:rPr>
              <w:t xml:space="preserve"> и значительным по объемам</w:t>
            </w:r>
            <w:r w:rsidRPr="0049187C">
              <w:rPr>
                <w:lang w:val="ru-RU"/>
              </w:rPr>
              <w:t xml:space="preserve"> продажам. Ожидается </w:t>
            </w:r>
            <w:r w:rsidR="008F7CF9">
              <w:rPr>
                <w:lang w:val="ru-RU"/>
              </w:rPr>
              <w:t xml:space="preserve">продолжение осуществления </w:t>
            </w:r>
            <w:r w:rsidRPr="0049187C">
              <w:rPr>
                <w:lang w:val="ru-RU"/>
              </w:rPr>
              <w:t xml:space="preserve">таких продаж </w:t>
            </w:r>
            <w:r w:rsidR="008F7CF9">
              <w:rPr>
                <w:lang w:val="ru-RU"/>
              </w:rPr>
              <w:t xml:space="preserve">и </w:t>
            </w:r>
            <w:r w:rsidRPr="0049187C">
              <w:rPr>
                <w:lang w:val="ru-RU"/>
              </w:rPr>
              <w:t>в будущем.</w:t>
            </w:r>
          </w:p>
        </w:tc>
        <w:tc>
          <w:tcPr>
            <w:tcW w:w="4550" w:type="dxa"/>
            <w:tcBorders>
              <w:top w:val="nil"/>
              <w:left w:val="nil"/>
              <w:bottom w:val="single" w:sz="4" w:space="0" w:color="auto"/>
              <w:right w:val="single" w:sz="4" w:space="0" w:color="auto"/>
            </w:tcBorders>
          </w:tcPr>
          <w:p w:rsidR="007D4BCC" w:rsidRPr="0049187C" w:rsidRDefault="007D4BCC" w:rsidP="00C0694C">
            <w:pPr>
              <w:pStyle w:val="IASBTableTNR"/>
              <w:rPr>
                <w:lang w:val="ru-RU"/>
              </w:rPr>
            </w:pPr>
            <w:r w:rsidRPr="0049187C">
              <w:rPr>
                <w:lang w:val="ru-RU"/>
              </w:rPr>
              <w:t>Целью бизнес-модели является максимальное увеличение доходности портфеля для удовлетворения ежедневных потребностей в ликвидности, и организация достигает этой цели путем получения предусмотренных договором денежных потоков и продажи финансовых активов. Другими словами, как получение предусмотренных договором денежных потоков, так и продажа финансовых активов являются неотъемлем</w:t>
            </w:r>
            <w:r w:rsidR="00BB5CCF" w:rsidRPr="0049187C">
              <w:rPr>
                <w:lang w:val="ru-RU"/>
              </w:rPr>
              <w:t>ыми условиями</w:t>
            </w:r>
            <w:r w:rsidRPr="0049187C">
              <w:rPr>
                <w:lang w:val="ru-RU"/>
              </w:rPr>
              <w:t xml:space="preserve"> достижени</w:t>
            </w:r>
            <w:r w:rsidR="00BB5CCF" w:rsidRPr="0049187C">
              <w:rPr>
                <w:lang w:val="ru-RU"/>
              </w:rPr>
              <w:t>я</w:t>
            </w:r>
            <w:r w:rsidRPr="0049187C">
              <w:rPr>
                <w:lang w:val="ru-RU"/>
              </w:rPr>
              <w:t xml:space="preserve"> цели бизнес-модели. </w:t>
            </w:r>
          </w:p>
        </w:tc>
      </w:tr>
      <w:tr w:rsidR="007D4BCC" w:rsidRPr="0049187C" w:rsidTr="00F042EC">
        <w:tblPrEx>
          <w:tblCellMar>
            <w:top w:w="0" w:type="dxa"/>
            <w:bottom w:w="0" w:type="dxa"/>
          </w:tblCellMar>
        </w:tblPrEx>
        <w:tc>
          <w:tcPr>
            <w:tcW w:w="3694" w:type="dxa"/>
            <w:tcBorders>
              <w:top w:val="nil"/>
              <w:left w:val="single" w:sz="4" w:space="0" w:color="auto"/>
              <w:bottom w:val="single" w:sz="4" w:space="0" w:color="auto"/>
              <w:right w:val="single" w:sz="4" w:space="0" w:color="auto"/>
            </w:tcBorders>
          </w:tcPr>
          <w:p w:rsidR="007D4BCC" w:rsidRPr="0049187C" w:rsidRDefault="007D4BCC" w:rsidP="00C47E8A">
            <w:pPr>
              <w:pStyle w:val="IASBTableTNR"/>
              <w:rPr>
                <w:lang w:val="ru-RU"/>
              </w:rPr>
            </w:pPr>
            <w:r w:rsidRPr="0049187C">
              <w:rPr>
                <w:b/>
                <w:lang w:val="ru-RU"/>
              </w:rPr>
              <w:t>Пример 7</w:t>
            </w:r>
          </w:p>
          <w:p w:rsidR="007D4BCC" w:rsidRPr="0049187C" w:rsidRDefault="00BB5CCF" w:rsidP="00A16E6E">
            <w:pPr>
              <w:pStyle w:val="IASBTableTNR"/>
              <w:rPr>
                <w:lang w:val="ru-RU"/>
              </w:rPr>
            </w:pPr>
            <w:r w:rsidRPr="0049187C">
              <w:rPr>
                <w:lang w:val="ru-RU"/>
              </w:rPr>
              <w:t xml:space="preserve">Страховщик </w:t>
            </w:r>
            <w:r w:rsidR="007D4BCC" w:rsidRPr="0049187C">
              <w:rPr>
                <w:lang w:val="ru-RU"/>
              </w:rPr>
              <w:t xml:space="preserve">удерживает финансовые активы для финансирования обязательств по договорам страхования. </w:t>
            </w:r>
            <w:r w:rsidRPr="0049187C">
              <w:rPr>
                <w:lang w:val="ru-RU"/>
              </w:rPr>
              <w:t xml:space="preserve">Страховщик </w:t>
            </w:r>
            <w:r w:rsidR="007D4BCC" w:rsidRPr="0049187C">
              <w:rPr>
                <w:lang w:val="ru-RU"/>
              </w:rPr>
              <w:t>использует поступления от предусмотренных договором денежных потоков по финансовым активам для погашения обязательств по договорам страхования</w:t>
            </w:r>
            <w:r w:rsidR="008F7CF9">
              <w:rPr>
                <w:lang w:val="ru-RU"/>
              </w:rPr>
              <w:t>, в момент наступления срока их погашения. Для обеспечения достаточности предусмотренных договором денежных потоков от финансовых активов дл</w:t>
            </w:r>
            <w:r w:rsidR="00D028F8">
              <w:rPr>
                <w:lang w:val="ru-RU"/>
              </w:rPr>
              <w:t>я погашения данных обязательств</w:t>
            </w:r>
            <w:r w:rsidR="008F7CF9">
              <w:rPr>
                <w:lang w:val="ru-RU"/>
              </w:rPr>
              <w:t xml:space="preserve"> страховщик на регулярной основе осуществляет значительные операции по покупке и продаже финансовых активов с целью повторной балансировки имеющегося у него по</w:t>
            </w:r>
            <w:r w:rsidR="00A16E6E">
              <w:rPr>
                <w:lang w:val="ru-RU"/>
              </w:rPr>
              <w:t>рт</w:t>
            </w:r>
            <w:r w:rsidR="008F7CF9">
              <w:rPr>
                <w:lang w:val="ru-RU"/>
              </w:rPr>
              <w:t>феля активов и для удовлетворения потребностей в денежных потоках по мере их возникновения.</w:t>
            </w:r>
          </w:p>
        </w:tc>
        <w:tc>
          <w:tcPr>
            <w:tcW w:w="4550" w:type="dxa"/>
            <w:tcBorders>
              <w:top w:val="nil"/>
              <w:left w:val="nil"/>
              <w:bottom w:val="single" w:sz="4" w:space="0" w:color="auto"/>
              <w:right w:val="single" w:sz="4" w:space="0" w:color="auto"/>
            </w:tcBorders>
          </w:tcPr>
          <w:p w:rsidR="007D4BCC" w:rsidRPr="0049187C" w:rsidRDefault="007D4BCC" w:rsidP="00A82867">
            <w:pPr>
              <w:pStyle w:val="IASBTableTNR"/>
              <w:rPr>
                <w:lang w:val="ru-RU"/>
              </w:rPr>
            </w:pPr>
            <w:r w:rsidRPr="0049187C">
              <w:rPr>
                <w:lang w:val="ru-RU"/>
              </w:rPr>
              <w:t xml:space="preserve">Целью бизнес-модели является финансирование обязательств по договорам страхования. Для достижения данной цели организация в </w:t>
            </w:r>
            <w:r w:rsidR="001E6159" w:rsidRPr="0049187C">
              <w:rPr>
                <w:lang w:val="ru-RU"/>
              </w:rPr>
              <w:t xml:space="preserve">установленный </w:t>
            </w:r>
            <w:r w:rsidRPr="0049187C">
              <w:rPr>
                <w:lang w:val="ru-RU"/>
              </w:rPr>
              <w:t>срок получает предусмотренные договором денежные потоки и продает финансовые активы для поддержания желае</w:t>
            </w:r>
            <w:r w:rsidR="0037163F">
              <w:rPr>
                <w:lang w:val="ru-RU"/>
              </w:rPr>
              <w:t>мой</w:t>
            </w:r>
            <w:r w:rsidRPr="0049187C">
              <w:rPr>
                <w:lang w:val="ru-RU"/>
              </w:rPr>
              <w:t xml:space="preserve"> </w:t>
            </w:r>
            <w:r w:rsidR="00A82867">
              <w:rPr>
                <w:lang w:val="ru-RU"/>
              </w:rPr>
              <w:t>структуры</w:t>
            </w:r>
            <w:r w:rsidRPr="0049187C">
              <w:rPr>
                <w:lang w:val="ru-RU"/>
              </w:rPr>
              <w:t xml:space="preserve"> портфеля активов. Таким образом, получение предусмотренных договором денежных потоков и продажа финансовых активов являются неотъемлем</w:t>
            </w:r>
            <w:r w:rsidR="001E6159" w:rsidRPr="0049187C">
              <w:rPr>
                <w:lang w:val="ru-RU"/>
              </w:rPr>
              <w:t>ыми условиями</w:t>
            </w:r>
            <w:r w:rsidRPr="0049187C">
              <w:rPr>
                <w:lang w:val="ru-RU"/>
              </w:rPr>
              <w:t xml:space="preserve"> достижения цели бизнес-модели.</w:t>
            </w:r>
          </w:p>
        </w:tc>
      </w:tr>
    </w:tbl>
    <w:p w:rsidR="007D4BCC" w:rsidRPr="0049187C" w:rsidRDefault="007D4BCC" w:rsidP="007D4BCC">
      <w:pPr>
        <w:pStyle w:val="IASBNormalnpara"/>
        <w:rPr>
          <w:lang w:val="ru-RU"/>
        </w:rPr>
      </w:pPr>
    </w:p>
    <w:p w:rsidR="007D4BCC" w:rsidRPr="0049187C" w:rsidRDefault="007D4BCC" w:rsidP="007D4BCC">
      <w:pPr>
        <w:pStyle w:val="IASBSectionTitle4Ind"/>
        <w:rPr>
          <w:lang w:val="ru-RU"/>
        </w:rPr>
      </w:pPr>
      <w:r w:rsidRPr="0049187C">
        <w:rPr>
          <w:lang w:val="ru-RU"/>
        </w:rPr>
        <w:t>Другие бизнес-модели</w:t>
      </w:r>
    </w:p>
    <w:p w:rsidR="007D4BCC" w:rsidRPr="0049187C" w:rsidRDefault="007D4BCC" w:rsidP="007D4BCC">
      <w:pPr>
        <w:pStyle w:val="IASBNormalnpara"/>
        <w:rPr>
          <w:lang w:val="ru-RU"/>
        </w:rPr>
      </w:pPr>
      <w:r w:rsidRPr="0049187C">
        <w:rPr>
          <w:lang w:val="ru-RU"/>
        </w:rPr>
        <w:t>B4.1.5</w:t>
      </w:r>
      <w:r w:rsidRPr="0049187C">
        <w:rPr>
          <w:lang w:val="ru-RU"/>
        </w:rPr>
        <w:tab/>
        <w:t>Финансовые активы оцениваются по справедливой стоимости через прибыль или убыток, если они не удерживаются в рамках бизнес-модели, целью которой является получение предусмотренных договором денежных потоков</w:t>
      </w:r>
      <w:r w:rsidR="000D2557" w:rsidRPr="0049187C">
        <w:rPr>
          <w:lang w:val="ru-RU"/>
        </w:rPr>
        <w:t>,</w:t>
      </w:r>
      <w:r w:rsidRPr="0049187C">
        <w:rPr>
          <w:lang w:val="ru-RU"/>
        </w:rPr>
        <w:t xml:space="preserve"> или в рамках бизнес-модели, цель которой достигается </w:t>
      </w:r>
      <w:r w:rsidR="00932EC2">
        <w:rPr>
          <w:lang w:val="ru-RU"/>
        </w:rPr>
        <w:t xml:space="preserve">как </w:t>
      </w:r>
      <w:r w:rsidRPr="0049187C">
        <w:rPr>
          <w:lang w:val="ru-RU"/>
        </w:rPr>
        <w:t>путем получения предусмотренных договором денежных потоков</w:t>
      </w:r>
      <w:r w:rsidR="000D2557" w:rsidRPr="0049187C">
        <w:rPr>
          <w:lang w:val="ru-RU"/>
        </w:rPr>
        <w:t>, так</w:t>
      </w:r>
      <w:r w:rsidRPr="0049187C">
        <w:rPr>
          <w:lang w:val="ru-RU"/>
        </w:rPr>
        <w:t xml:space="preserve"> и </w:t>
      </w:r>
      <w:r w:rsidR="00932EC2">
        <w:rPr>
          <w:lang w:val="ru-RU"/>
        </w:rPr>
        <w:t xml:space="preserve">посредством </w:t>
      </w:r>
      <w:r w:rsidRPr="0049187C">
        <w:rPr>
          <w:lang w:val="ru-RU"/>
        </w:rPr>
        <w:t xml:space="preserve">продажи финансовых активов (но см. также пункт 5.7.5). </w:t>
      </w:r>
      <w:r w:rsidR="00F13C0A">
        <w:rPr>
          <w:lang w:val="ru-RU"/>
        </w:rPr>
        <w:t>Одной из б</w:t>
      </w:r>
      <w:r w:rsidRPr="0049187C">
        <w:rPr>
          <w:lang w:val="ru-RU"/>
        </w:rPr>
        <w:t>изнес-модел</w:t>
      </w:r>
      <w:r w:rsidR="00F13C0A">
        <w:rPr>
          <w:lang w:val="ru-RU"/>
        </w:rPr>
        <w:t>ей</w:t>
      </w:r>
      <w:r w:rsidRPr="0049187C">
        <w:rPr>
          <w:lang w:val="ru-RU"/>
        </w:rPr>
        <w:t xml:space="preserve">, которая приводит к оценке по справедливой стоимости через прибыль или убыток, </w:t>
      </w:r>
      <w:r w:rsidR="00F13C0A">
        <w:rPr>
          <w:lang w:val="ru-RU"/>
        </w:rPr>
        <w:t>является</w:t>
      </w:r>
      <w:r w:rsidRPr="0049187C">
        <w:rPr>
          <w:lang w:val="ru-RU"/>
        </w:rPr>
        <w:t xml:space="preserve"> бизнес-модель, в рамках которой организация управляет финансовыми активами с целью реализации денежных потоков посредством продажи активов. Организация принимает решения на основе справедливой стоимости активов и управляет активами для реализации данной справедливой стоимости. В </w:t>
      </w:r>
      <w:r w:rsidR="000D2557" w:rsidRPr="0049187C">
        <w:rPr>
          <w:lang w:val="ru-RU"/>
        </w:rPr>
        <w:t xml:space="preserve">этом </w:t>
      </w:r>
      <w:r w:rsidRPr="0049187C">
        <w:rPr>
          <w:lang w:val="ru-RU"/>
        </w:rPr>
        <w:t xml:space="preserve">случае </w:t>
      </w:r>
      <w:r w:rsidR="00754A64">
        <w:rPr>
          <w:lang w:val="ru-RU"/>
        </w:rPr>
        <w:t>следствием цели</w:t>
      </w:r>
      <w:r w:rsidRPr="0049187C">
        <w:rPr>
          <w:lang w:val="ru-RU"/>
        </w:rPr>
        <w:t xml:space="preserve"> организации</w:t>
      </w:r>
      <w:r w:rsidR="000D2557" w:rsidRPr="0049187C">
        <w:rPr>
          <w:lang w:val="ru-RU"/>
        </w:rPr>
        <w:t xml:space="preserve">, как правило, </w:t>
      </w:r>
      <w:r w:rsidR="00754A64">
        <w:rPr>
          <w:lang w:val="ru-RU"/>
        </w:rPr>
        <w:t xml:space="preserve">будут </w:t>
      </w:r>
      <w:r w:rsidRPr="0049187C">
        <w:rPr>
          <w:lang w:val="ru-RU"/>
        </w:rPr>
        <w:t>активны</w:t>
      </w:r>
      <w:r w:rsidR="00754A64">
        <w:rPr>
          <w:lang w:val="ru-RU"/>
        </w:rPr>
        <w:t>е</w:t>
      </w:r>
      <w:r w:rsidRPr="0049187C">
        <w:rPr>
          <w:lang w:val="ru-RU"/>
        </w:rPr>
        <w:t xml:space="preserve"> покуп</w:t>
      </w:r>
      <w:r w:rsidR="00754A64">
        <w:rPr>
          <w:lang w:val="ru-RU"/>
        </w:rPr>
        <w:t>ки</w:t>
      </w:r>
      <w:r w:rsidRPr="0049187C">
        <w:rPr>
          <w:lang w:val="ru-RU"/>
        </w:rPr>
        <w:t xml:space="preserve"> и продаж</w:t>
      </w:r>
      <w:r w:rsidR="00754A64">
        <w:rPr>
          <w:lang w:val="ru-RU"/>
        </w:rPr>
        <w:t>и</w:t>
      </w:r>
      <w:r w:rsidRPr="0049187C">
        <w:rPr>
          <w:lang w:val="ru-RU"/>
        </w:rPr>
        <w:t>. Даже если организация будет получать предусмотренные договором денежные потоки</w:t>
      </w:r>
      <w:r w:rsidR="00754A64">
        <w:rPr>
          <w:lang w:val="ru-RU"/>
        </w:rPr>
        <w:t xml:space="preserve"> пока будет удерживать соответствующие финансовые активы</w:t>
      </w:r>
      <w:r w:rsidRPr="0049187C">
        <w:rPr>
          <w:lang w:val="ru-RU"/>
        </w:rPr>
        <w:t xml:space="preserve">, цель такой бизнес-модели не достигается </w:t>
      </w:r>
      <w:r w:rsidR="000D2557" w:rsidRPr="0049187C">
        <w:rPr>
          <w:lang w:val="ru-RU"/>
        </w:rPr>
        <w:t>путем</w:t>
      </w:r>
      <w:r w:rsidR="00754A64">
        <w:rPr>
          <w:lang w:val="ru-RU"/>
        </w:rPr>
        <w:t xml:space="preserve"> как</w:t>
      </w:r>
      <w:r w:rsidR="000D2557" w:rsidRPr="0049187C">
        <w:rPr>
          <w:lang w:val="ru-RU"/>
        </w:rPr>
        <w:t xml:space="preserve"> </w:t>
      </w:r>
      <w:r w:rsidRPr="0049187C">
        <w:rPr>
          <w:lang w:val="ru-RU"/>
        </w:rPr>
        <w:t>получени</w:t>
      </w:r>
      <w:r w:rsidR="000D2557" w:rsidRPr="0049187C">
        <w:rPr>
          <w:lang w:val="ru-RU"/>
        </w:rPr>
        <w:t>я</w:t>
      </w:r>
      <w:r w:rsidRPr="0049187C">
        <w:rPr>
          <w:lang w:val="ru-RU"/>
        </w:rPr>
        <w:t xml:space="preserve"> предусмотренных договором денежных потоков</w:t>
      </w:r>
      <w:r w:rsidR="000D2557" w:rsidRPr="0049187C">
        <w:rPr>
          <w:lang w:val="ru-RU"/>
        </w:rPr>
        <w:t>, так</w:t>
      </w:r>
      <w:r w:rsidRPr="0049187C">
        <w:rPr>
          <w:lang w:val="ru-RU"/>
        </w:rPr>
        <w:t xml:space="preserve"> и продаж</w:t>
      </w:r>
      <w:r w:rsidR="000D2557" w:rsidRPr="0049187C">
        <w:rPr>
          <w:lang w:val="ru-RU"/>
        </w:rPr>
        <w:t>и</w:t>
      </w:r>
      <w:r w:rsidRPr="0049187C">
        <w:rPr>
          <w:lang w:val="ru-RU"/>
        </w:rPr>
        <w:t xml:space="preserve"> финансовых активов. Это происходит из-за того, что получение предусмотренных договором денежных потоков не является неотъемлем</w:t>
      </w:r>
      <w:r w:rsidR="000D2557" w:rsidRPr="0049187C">
        <w:rPr>
          <w:lang w:val="ru-RU"/>
        </w:rPr>
        <w:t>ым условием</w:t>
      </w:r>
      <w:r w:rsidRPr="0049187C">
        <w:rPr>
          <w:lang w:val="ru-RU"/>
        </w:rPr>
        <w:t xml:space="preserve"> достижения цели бизнес-модели, а является </w:t>
      </w:r>
      <w:r w:rsidR="00F13C0A">
        <w:rPr>
          <w:lang w:val="ru-RU"/>
        </w:rPr>
        <w:t>побочной</w:t>
      </w:r>
      <w:r w:rsidR="00F13C0A" w:rsidRPr="0049187C">
        <w:rPr>
          <w:lang w:val="ru-RU"/>
        </w:rPr>
        <w:t xml:space="preserve"> </w:t>
      </w:r>
      <w:r w:rsidRPr="0049187C">
        <w:rPr>
          <w:lang w:val="ru-RU"/>
        </w:rPr>
        <w:t>операцией.</w:t>
      </w:r>
    </w:p>
    <w:p w:rsidR="007D4BCC" w:rsidRPr="0049187C" w:rsidRDefault="007D4BCC" w:rsidP="007D4BCC">
      <w:pPr>
        <w:pStyle w:val="IASBNormalnpara"/>
        <w:rPr>
          <w:lang w:val="ru-RU"/>
        </w:rPr>
      </w:pPr>
      <w:r w:rsidRPr="0049187C">
        <w:rPr>
          <w:lang w:val="ru-RU"/>
        </w:rPr>
        <w:t>B4.1.6</w:t>
      </w:r>
      <w:r w:rsidRPr="0049187C">
        <w:rPr>
          <w:lang w:val="ru-RU"/>
        </w:rPr>
        <w:tab/>
      </w:r>
      <w:r w:rsidR="00754A64">
        <w:rPr>
          <w:lang w:val="ru-RU"/>
        </w:rPr>
        <w:t>П</w:t>
      </w:r>
      <w:r w:rsidRPr="0049187C">
        <w:rPr>
          <w:lang w:val="ru-RU"/>
        </w:rPr>
        <w:t xml:space="preserve">ортфель финансовых активов, </w:t>
      </w:r>
      <w:r w:rsidR="00754A64">
        <w:rPr>
          <w:lang w:val="ru-RU"/>
        </w:rPr>
        <w:t xml:space="preserve">управление которым осуществляется и </w:t>
      </w:r>
      <w:r w:rsidR="000D2557" w:rsidRPr="0049187C">
        <w:rPr>
          <w:lang w:val="ru-RU"/>
        </w:rPr>
        <w:t xml:space="preserve">доходность </w:t>
      </w:r>
      <w:r w:rsidRPr="0049187C">
        <w:rPr>
          <w:lang w:val="ru-RU"/>
        </w:rPr>
        <w:t>которого оценивается на основе справедливой стоимости (как описано в п</w:t>
      </w:r>
      <w:r w:rsidR="00754A64">
        <w:rPr>
          <w:lang w:val="ru-RU"/>
        </w:rPr>
        <w:t>ункте 4.2.2(b)), удерживается ни</w:t>
      </w:r>
      <w:r w:rsidRPr="0049187C">
        <w:rPr>
          <w:lang w:val="ru-RU"/>
        </w:rPr>
        <w:t xml:space="preserve"> с целью получения предусмотренных договором денежных потоков</w:t>
      </w:r>
      <w:r w:rsidR="00754A64">
        <w:rPr>
          <w:lang w:val="ru-RU"/>
        </w:rPr>
        <w:t>,</w:t>
      </w:r>
      <w:r w:rsidRPr="0049187C">
        <w:rPr>
          <w:lang w:val="ru-RU"/>
        </w:rPr>
        <w:t xml:space="preserve"> </w:t>
      </w:r>
      <w:r w:rsidR="00754A64">
        <w:rPr>
          <w:lang w:val="ru-RU"/>
        </w:rPr>
        <w:t>ни</w:t>
      </w:r>
      <w:r w:rsidRPr="0049187C">
        <w:rPr>
          <w:lang w:val="ru-RU"/>
        </w:rPr>
        <w:t xml:space="preserve"> с целью </w:t>
      </w:r>
      <w:r w:rsidR="000D2557" w:rsidRPr="0049187C">
        <w:rPr>
          <w:lang w:val="ru-RU"/>
        </w:rPr>
        <w:t xml:space="preserve">как </w:t>
      </w:r>
      <w:r w:rsidRPr="0049187C">
        <w:rPr>
          <w:lang w:val="ru-RU"/>
        </w:rPr>
        <w:t>получения предусмотренных договором денежных потоков</w:t>
      </w:r>
      <w:r w:rsidR="000D2557" w:rsidRPr="0049187C">
        <w:rPr>
          <w:lang w:val="ru-RU"/>
        </w:rPr>
        <w:t>, так</w:t>
      </w:r>
      <w:r w:rsidRPr="0049187C">
        <w:rPr>
          <w:lang w:val="ru-RU"/>
        </w:rPr>
        <w:t xml:space="preserve"> и продажи финансовых активов. </w:t>
      </w:r>
      <w:r w:rsidR="00754A64">
        <w:rPr>
          <w:lang w:val="ru-RU"/>
        </w:rPr>
        <w:t>О</w:t>
      </w:r>
      <w:r w:rsidRPr="0049187C">
        <w:rPr>
          <w:lang w:val="ru-RU"/>
        </w:rPr>
        <w:t>рганизация</w:t>
      </w:r>
      <w:r w:rsidR="00754A64">
        <w:rPr>
          <w:lang w:val="ru-RU"/>
        </w:rPr>
        <w:t xml:space="preserve"> основное внимание</w:t>
      </w:r>
      <w:r w:rsidRPr="0049187C">
        <w:rPr>
          <w:lang w:val="ru-RU"/>
        </w:rPr>
        <w:t xml:space="preserve"> уделяет информации о справедливой стоимости и использует данную информацию для оценки доходности активов и принятия решений. Кроме того, портфель финансовых активов, соответствующий определению предназначенного для торговли, удерживается не с целью получения предусмотренных договором денежных потоков и не с целью</w:t>
      </w:r>
      <w:r w:rsidR="000D2557" w:rsidRPr="0049187C">
        <w:rPr>
          <w:lang w:val="ru-RU"/>
        </w:rPr>
        <w:t xml:space="preserve"> как</w:t>
      </w:r>
      <w:r w:rsidRPr="0049187C">
        <w:rPr>
          <w:lang w:val="ru-RU"/>
        </w:rPr>
        <w:t xml:space="preserve"> получения предусмотренных договором денежных потоков</w:t>
      </w:r>
      <w:r w:rsidR="000D2557" w:rsidRPr="0049187C">
        <w:rPr>
          <w:lang w:val="ru-RU"/>
        </w:rPr>
        <w:t>, так</w:t>
      </w:r>
      <w:r w:rsidRPr="0049187C">
        <w:rPr>
          <w:lang w:val="ru-RU"/>
        </w:rPr>
        <w:t xml:space="preserve"> и продажи финансовых активов. Для таких портфелей получение предусмотренных договором денежных потоков является </w:t>
      </w:r>
      <w:r w:rsidR="00E36C69">
        <w:rPr>
          <w:lang w:val="ru-RU"/>
        </w:rPr>
        <w:t>побочной</w:t>
      </w:r>
      <w:r w:rsidR="00E36C69" w:rsidRPr="0049187C">
        <w:rPr>
          <w:lang w:val="ru-RU"/>
        </w:rPr>
        <w:t xml:space="preserve"> </w:t>
      </w:r>
      <w:r w:rsidRPr="0049187C">
        <w:rPr>
          <w:lang w:val="ru-RU"/>
        </w:rPr>
        <w:t>операцией при достижении цели бизнес-модели. Соответственно, такие портфели финансовых активов должны оцениваться по справедливой стоимости через прибыль или убыток.</w:t>
      </w:r>
    </w:p>
    <w:p w:rsidR="007D4BCC" w:rsidRPr="006840F2" w:rsidRDefault="007D4BCC" w:rsidP="007D4BCC">
      <w:pPr>
        <w:pStyle w:val="IASBSectionTitle3Ind"/>
        <w:rPr>
          <w:lang w:val="ru-RU"/>
        </w:rPr>
      </w:pPr>
      <w:r w:rsidRPr="00451281">
        <w:rPr>
          <w:lang w:val="ru-RU"/>
        </w:rPr>
        <w:t xml:space="preserve">Предусмотренные договором </w:t>
      </w:r>
      <w:r w:rsidR="00E36C69" w:rsidRPr="00E76219">
        <w:rPr>
          <w:lang w:val="ru-RU"/>
        </w:rPr>
        <w:t xml:space="preserve">денежные </w:t>
      </w:r>
      <w:r w:rsidRPr="00E76219">
        <w:rPr>
          <w:lang w:val="ru-RU"/>
        </w:rPr>
        <w:t>потоки, которые являются исключит</w:t>
      </w:r>
      <w:r w:rsidR="008811B9">
        <w:rPr>
          <w:lang w:val="ru-RU"/>
        </w:rPr>
        <w:t>ельно платежами в счет основной суммы</w:t>
      </w:r>
      <w:r w:rsidRPr="00E76219">
        <w:rPr>
          <w:lang w:val="ru-RU"/>
        </w:rPr>
        <w:t xml:space="preserve"> долга и процентов на непогашенн</w:t>
      </w:r>
      <w:r w:rsidRPr="006840F2">
        <w:rPr>
          <w:lang w:val="ru-RU"/>
        </w:rPr>
        <w:t>ую</w:t>
      </w:r>
      <w:r w:rsidR="008811B9">
        <w:rPr>
          <w:lang w:val="ru-RU"/>
        </w:rPr>
        <w:t xml:space="preserve"> часть</w:t>
      </w:r>
      <w:r w:rsidRPr="006840F2">
        <w:rPr>
          <w:lang w:val="ru-RU"/>
        </w:rPr>
        <w:t xml:space="preserve"> </w:t>
      </w:r>
      <w:r w:rsidR="008811B9">
        <w:rPr>
          <w:lang w:val="ru-RU"/>
        </w:rPr>
        <w:t>основной суммы</w:t>
      </w:r>
      <w:r w:rsidRPr="006840F2">
        <w:rPr>
          <w:lang w:val="ru-RU"/>
        </w:rPr>
        <w:t xml:space="preserve"> долга</w:t>
      </w:r>
    </w:p>
    <w:p w:rsidR="007D4BCC" w:rsidRPr="0049187C" w:rsidRDefault="007D4BCC" w:rsidP="007D4BCC">
      <w:pPr>
        <w:pStyle w:val="IASBNormalnpara"/>
        <w:rPr>
          <w:lang w:val="ru-RU"/>
        </w:rPr>
      </w:pPr>
      <w:r w:rsidRPr="00B515AB">
        <w:rPr>
          <w:lang w:val="ru-RU"/>
        </w:rPr>
        <w:t>B4.1.7</w:t>
      </w:r>
      <w:r w:rsidRPr="00B515AB">
        <w:rPr>
          <w:lang w:val="ru-RU"/>
        </w:rPr>
        <w:tab/>
        <w:t>Пункт 4.1.1</w:t>
      </w:r>
      <w:r w:rsidRPr="00C53521">
        <w:rPr>
          <w:lang w:val="ru-RU"/>
        </w:rPr>
        <w:t>(b)</w:t>
      </w:r>
      <w:r w:rsidRPr="0049187C">
        <w:rPr>
          <w:lang w:val="ru-RU"/>
        </w:rPr>
        <w:t xml:space="preserve"> требует, чтобы организация классифицировала финансовый актив на основе характеристик предусмотренных договором денежных потоков</w:t>
      </w:r>
      <w:r w:rsidR="00E83BF9" w:rsidRPr="0049187C">
        <w:rPr>
          <w:lang w:val="ru-RU"/>
        </w:rPr>
        <w:t xml:space="preserve"> по нему</w:t>
      </w:r>
      <w:r w:rsidRPr="0049187C">
        <w:rPr>
          <w:lang w:val="ru-RU"/>
        </w:rPr>
        <w:t xml:space="preserve">, если финансовый актив удерживается в рамках бизнес-модели, целью которой является удержание активов для получения предусмотренных договором </w:t>
      </w:r>
      <w:r w:rsidR="00E83BF9" w:rsidRPr="0049187C">
        <w:rPr>
          <w:lang w:val="ru-RU"/>
        </w:rPr>
        <w:t xml:space="preserve">денежных </w:t>
      </w:r>
      <w:r w:rsidR="00E537C1">
        <w:rPr>
          <w:lang w:val="ru-RU"/>
        </w:rPr>
        <w:t>потоков, или в рамках бизнес-</w:t>
      </w:r>
      <w:r w:rsidRPr="0049187C">
        <w:rPr>
          <w:lang w:val="ru-RU"/>
        </w:rPr>
        <w:t xml:space="preserve">модели, цель которой достигается путем </w:t>
      </w:r>
      <w:r w:rsidR="00E83BF9" w:rsidRPr="0049187C">
        <w:rPr>
          <w:lang w:val="ru-RU"/>
        </w:rPr>
        <w:t xml:space="preserve">как </w:t>
      </w:r>
      <w:r w:rsidRPr="0049187C">
        <w:rPr>
          <w:lang w:val="ru-RU"/>
        </w:rPr>
        <w:t>получения предусмотренных договором денежных потоков</w:t>
      </w:r>
      <w:r w:rsidR="00E83BF9" w:rsidRPr="0049187C">
        <w:rPr>
          <w:lang w:val="ru-RU"/>
        </w:rPr>
        <w:t>, так</w:t>
      </w:r>
      <w:r w:rsidRPr="0049187C">
        <w:rPr>
          <w:lang w:val="ru-RU"/>
        </w:rPr>
        <w:t xml:space="preserve"> и продажи финансовых активов, за исключением случаев применения пункта 4.1.5. Для этого в соответствии с пунктами 4.1.2(b) и 4.1.2A(b) организация должна определить, являются ли предусмотренные договором денежные потоки </w:t>
      </w:r>
      <w:r w:rsidR="00E83BF9" w:rsidRPr="0049187C">
        <w:rPr>
          <w:lang w:val="ru-RU"/>
        </w:rPr>
        <w:t xml:space="preserve">по активу </w:t>
      </w:r>
      <w:r w:rsidRPr="0049187C">
        <w:rPr>
          <w:lang w:val="ru-RU"/>
        </w:rPr>
        <w:t xml:space="preserve">исключительно платежами в счет </w:t>
      </w:r>
      <w:r w:rsidR="008811B9">
        <w:rPr>
          <w:lang w:val="ru-RU"/>
        </w:rPr>
        <w:t>основной суммы</w:t>
      </w:r>
      <w:r w:rsidRPr="0049187C">
        <w:rPr>
          <w:lang w:val="ru-RU"/>
        </w:rPr>
        <w:t xml:space="preserve"> долга и процентов на непогашенную</w:t>
      </w:r>
      <w:r w:rsidR="008811B9">
        <w:rPr>
          <w:lang w:val="ru-RU"/>
        </w:rPr>
        <w:t xml:space="preserve"> </w:t>
      </w:r>
      <w:r w:rsidR="00F51BA5">
        <w:rPr>
          <w:lang w:val="ru-RU"/>
        </w:rPr>
        <w:t>часть</w:t>
      </w:r>
      <w:r w:rsidRPr="0049187C">
        <w:rPr>
          <w:lang w:val="ru-RU"/>
        </w:rPr>
        <w:t xml:space="preserve"> </w:t>
      </w:r>
      <w:r w:rsidR="008811B9">
        <w:rPr>
          <w:lang w:val="ru-RU"/>
        </w:rPr>
        <w:t>основной суммы</w:t>
      </w:r>
      <w:r w:rsidRPr="0049187C">
        <w:rPr>
          <w:lang w:val="ru-RU"/>
        </w:rPr>
        <w:t xml:space="preserve"> долга.</w:t>
      </w:r>
    </w:p>
    <w:p w:rsidR="007D4BCC" w:rsidRPr="0049187C" w:rsidRDefault="007D4BCC" w:rsidP="007D4BCC">
      <w:pPr>
        <w:pStyle w:val="IASBNormalnpara"/>
        <w:rPr>
          <w:lang w:val="ru-RU"/>
        </w:rPr>
      </w:pPr>
      <w:r w:rsidRPr="0049187C">
        <w:rPr>
          <w:lang w:val="ru-RU"/>
        </w:rPr>
        <w:t>B4.1.7A</w:t>
      </w:r>
      <w:r w:rsidRPr="0049187C">
        <w:rPr>
          <w:lang w:val="ru-RU"/>
        </w:rPr>
        <w:tab/>
        <w:t xml:space="preserve">Предусмотренные договором </w:t>
      </w:r>
      <w:r w:rsidR="00DE5ECE" w:rsidRPr="0049187C">
        <w:rPr>
          <w:lang w:val="ru-RU"/>
        </w:rPr>
        <w:t>денежны</w:t>
      </w:r>
      <w:r w:rsidR="00DE5ECE">
        <w:rPr>
          <w:lang w:val="ru-RU"/>
        </w:rPr>
        <w:t>е</w:t>
      </w:r>
      <w:r w:rsidR="00DE5ECE" w:rsidRPr="0049187C">
        <w:rPr>
          <w:lang w:val="ru-RU"/>
        </w:rPr>
        <w:t xml:space="preserve"> </w:t>
      </w:r>
      <w:r w:rsidRPr="0049187C">
        <w:rPr>
          <w:lang w:val="ru-RU"/>
        </w:rPr>
        <w:t>потоки, являю</w:t>
      </w:r>
      <w:r w:rsidR="00DE5ECE">
        <w:rPr>
          <w:lang w:val="ru-RU"/>
        </w:rPr>
        <w:t>щиеся</w:t>
      </w:r>
      <w:r w:rsidRPr="0049187C">
        <w:rPr>
          <w:lang w:val="ru-RU"/>
        </w:rPr>
        <w:t xml:space="preserve"> исключит</w:t>
      </w:r>
      <w:r w:rsidR="008811B9">
        <w:rPr>
          <w:lang w:val="ru-RU"/>
        </w:rPr>
        <w:t>ельно платежами в счет основной суммы</w:t>
      </w:r>
      <w:r w:rsidRPr="0049187C">
        <w:rPr>
          <w:lang w:val="ru-RU"/>
        </w:rPr>
        <w:t xml:space="preserve"> долга и процентов на непогашенную </w:t>
      </w:r>
      <w:r w:rsidR="008811B9">
        <w:rPr>
          <w:lang w:val="ru-RU"/>
        </w:rPr>
        <w:t>часть основной суммы</w:t>
      </w:r>
      <w:r w:rsidRPr="0049187C">
        <w:rPr>
          <w:lang w:val="ru-RU"/>
        </w:rPr>
        <w:t xml:space="preserve"> долга, соответствуют условиям базового кредитного договора. В базовом кредитном</w:t>
      </w:r>
      <w:r w:rsidR="00C67977">
        <w:rPr>
          <w:lang w:val="ru-RU"/>
        </w:rPr>
        <w:t xml:space="preserve"> договоре возмещение за временнý</w:t>
      </w:r>
      <w:r w:rsidRPr="0049187C">
        <w:rPr>
          <w:lang w:val="ru-RU"/>
        </w:rPr>
        <w:t>ю стоимость денег (см. пункты B4.1.9A–B4.1.9E) и кредитный риск явля</w:t>
      </w:r>
      <w:r w:rsidR="00E83BF9" w:rsidRPr="0049187C">
        <w:rPr>
          <w:lang w:val="ru-RU"/>
        </w:rPr>
        <w:t>ю</w:t>
      </w:r>
      <w:r w:rsidRPr="0049187C">
        <w:rPr>
          <w:lang w:val="ru-RU"/>
        </w:rPr>
        <w:t>тся, как правило, наиболее значительным</w:t>
      </w:r>
      <w:r w:rsidR="00E83BF9" w:rsidRPr="0049187C">
        <w:rPr>
          <w:lang w:val="ru-RU"/>
        </w:rPr>
        <w:t>и</w:t>
      </w:r>
      <w:r w:rsidRPr="0049187C">
        <w:rPr>
          <w:lang w:val="ru-RU"/>
        </w:rPr>
        <w:t xml:space="preserve"> элемент</w:t>
      </w:r>
      <w:r w:rsidR="00E83BF9" w:rsidRPr="0049187C">
        <w:rPr>
          <w:lang w:val="ru-RU"/>
        </w:rPr>
        <w:t>а</w:t>
      </w:r>
      <w:r w:rsidRPr="0049187C">
        <w:rPr>
          <w:lang w:val="ru-RU"/>
        </w:rPr>
        <w:t>м</w:t>
      </w:r>
      <w:r w:rsidR="00E83BF9" w:rsidRPr="0049187C">
        <w:rPr>
          <w:lang w:val="ru-RU"/>
        </w:rPr>
        <w:t>и</w:t>
      </w:r>
      <w:r w:rsidRPr="0049187C">
        <w:rPr>
          <w:lang w:val="ru-RU"/>
        </w:rPr>
        <w:t xml:space="preserve"> процентных выплат. Однако</w:t>
      </w:r>
      <w:r w:rsidR="00182B8F">
        <w:rPr>
          <w:lang w:val="ru-RU"/>
        </w:rPr>
        <w:t xml:space="preserve"> в рамках такого соглашения </w:t>
      </w:r>
      <w:r w:rsidRPr="0049187C">
        <w:rPr>
          <w:lang w:val="ru-RU"/>
        </w:rPr>
        <w:t xml:space="preserve">проценты могут также включать возмещение за другие </w:t>
      </w:r>
      <w:r w:rsidR="00182B8F">
        <w:rPr>
          <w:lang w:val="ru-RU"/>
        </w:rPr>
        <w:t>обычные</w:t>
      </w:r>
      <w:r w:rsidRPr="0049187C">
        <w:rPr>
          <w:lang w:val="ru-RU"/>
        </w:rPr>
        <w:t xml:space="preserve"> риски кредитовани</w:t>
      </w:r>
      <w:r w:rsidR="00182B8F">
        <w:rPr>
          <w:lang w:val="ru-RU"/>
        </w:rPr>
        <w:t>я</w:t>
      </w:r>
      <w:r w:rsidRPr="0049187C">
        <w:rPr>
          <w:lang w:val="ru-RU"/>
        </w:rPr>
        <w:t xml:space="preserve"> (например, риск ликвидности) и затраты (например, административные затраты), связанные</w:t>
      </w:r>
      <w:r w:rsidR="00182B8F">
        <w:rPr>
          <w:lang w:val="ru-RU"/>
        </w:rPr>
        <w:t xml:space="preserve"> с тем, что</w:t>
      </w:r>
      <w:r w:rsidRPr="0049187C">
        <w:rPr>
          <w:lang w:val="ru-RU"/>
        </w:rPr>
        <w:t xml:space="preserve"> финансов</w:t>
      </w:r>
      <w:r w:rsidR="00182B8F">
        <w:rPr>
          <w:lang w:val="ru-RU"/>
        </w:rPr>
        <w:t>ый актив удерживается</w:t>
      </w:r>
      <w:r w:rsidRPr="0049187C">
        <w:rPr>
          <w:lang w:val="ru-RU"/>
        </w:rPr>
        <w:t xml:space="preserve"> на протяжении определенного периода времени. Более того, проценты могут включать </w:t>
      </w:r>
      <w:r w:rsidR="00182B8F">
        <w:rPr>
          <w:lang w:val="ru-RU"/>
        </w:rPr>
        <w:t>маржу</w:t>
      </w:r>
      <w:r w:rsidR="006D7956" w:rsidRPr="0049187C">
        <w:rPr>
          <w:lang w:val="ru-RU"/>
        </w:rPr>
        <w:t xml:space="preserve"> </w:t>
      </w:r>
      <w:r w:rsidRPr="0049187C">
        <w:rPr>
          <w:lang w:val="ru-RU"/>
        </w:rPr>
        <w:t>прибыли, соответству</w:t>
      </w:r>
      <w:r w:rsidR="006D7956">
        <w:rPr>
          <w:lang w:val="ru-RU"/>
        </w:rPr>
        <w:t>ющую</w:t>
      </w:r>
      <w:r w:rsidRPr="0049187C">
        <w:rPr>
          <w:lang w:val="ru-RU"/>
        </w:rPr>
        <w:t xml:space="preserve"> базовому кредитному договору. В чрезвычайных экономических условиях проценты могут быть отрицательными, если, например, держатель финансового актива напрямую или косвенно платит за размещение своих денег на определенн</w:t>
      </w:r>
      <w:r w:rsidR="00182B8F">
        <w:rPr>
          <w:lang w:val="ru-RU"/>
        </w:rPr>
        <w:t>ый период</w:t>
      </w:r>
      <w:r w:rsidRPr="0049187C">
        <w:rPr>
          <w:lang w:val="ru-RU"/>
        </w:rPr>
        <w:t xml:space="preserve"> времени (и данная плата превышает размер возмещения, которо</w:t>
      </w:r>
      <w:r w:rsidR="00C67977">
        <w:rPr>
          <w:lang w:val="ru-RU"/>
        </w:rPr>
        <w:t>е держатель получает за временнý</w:t>
      </w:r>
      <w:r w:rsidRPr="0049187C">
        <w:rPr>
          <w:lang w:val="ru-RU"/>
        </w:rPr>
        <w:t xml:space="preserve">ю стоимость денег, кредитный риск и другие </w:t>
      </w:r>
      <w:r w:rsidR="00A73D9D">
        <w:rPr>
          <w:lang w:val="ru-RU"/>
        </w:rPr>
        <w:t>обычные</w:t>
      </w:r>
      <w:r w:rsidRPr="0049187C">
        <w:rPr>
          <w:lang w:val="ru-RU"/>
        </w:rPr>
        <w:t xml:space="preserve"> риски и затраты</w:t>
      </w:r>
      <w:r w:rsidR="006D7956">
        <w:rPr>
          <w:lang w:val="ru-RU"/>
        </w:rPr>
        <w:t>, связанные</w:t>
      </w:r>
      <w:r w:rsidR="00B94654" w:rsidRPr="0049187C">
        <w:rPr>
          <w:lang w:val="ru-RU"/>
        </w:rPr>
        <w:t xml:space="preserve"> с </w:t>
      </w:r>
      <w:r w:rsidRPr="0049187C">
        <w:rPr>
          <w:lang w:val="ru-RU"/>
        </w:rPr>
        <w:t>кредитовани</w:t>
      </w:r>
      <w:r w:rsidR="00B94654" w:rsidRPr="0049187C">
        <w:rPr>
          <w:lang w:val="ru-RU"/>
        </w:rPr>
        <w:t>ем</w:t>
      </w:r>
      <w:r w:rsidRPr="0049187C">
        <w:rPr>
          <w:lang w:val="ru-RU"/>
        </w:rPr>
        <w:t xml:space="preserve">). Однако договорные условия, </w:t>
      </w:r>
      <w:r w:rsidR="00182B8F">
        <w:rPr>
          <w:lang w:val="ru-RU"/>
        </w:rPr>
        <w:t>в результате которых</w:t>
      </w:r>
      <w:r w:rsidRPr="0049187C">
        <w:rPr>
          <w:lang w:val="ru-RU"/>
        </w:rPr>
        <w:t xml:space="preserve"> </w:t>
      </w:r>
      <w:r w:rsidR="00182B8F">
        <w:rPr>
          <w:lang w:val="ru-RU"/>
        </w:rPr>
        <w:t>появляется</w:t>
      </w:r>
      <w:r w:rsidRPr="0049187C">
        <w:rPr>
          <w:lang w:val="ru-RU"/>
        </w:rPr>
        <w:t xml:space="preserve"> подверженность рискам или </w:t>
      </w:r>
      <w:r w:rsidR="001578C6">
        <w:rPr>
          <w:lang w:val="ru-RU"/>
        </w:rPr>
        <w:t>волатильность</w:t>
      </w:r>
      <w:r w:rsidR="00B94654" w:rsidRPr="0049187C">
        <w:rPr>
          <w:lang w:val="ru-RU"/>
        </w:rPr>
        <w:t xml:space="preserve"> </w:t>
      </w:r>
      <w:r w:rsidRPr="0049187C">
        <w:rPr>
          <w:lang w:val="ru-RU"/>
        </w:rPr>
        <w:t>предусмотренных договоро</w:t>
      </w:r>
      <w:r w:rsidR="00D16C37">
        <w:rPr>
          <w:lang w:val="ru-RU"/>
        </w:rPr>
        <w:t>м денежных потоков, не связанная</w:t>
      </w:r>
      <w:r w:rsidRPr="0049187C">
        <w:rPr>
          <w:lang w:val="ru-RU"/>
        </w:rPr>
        <w:t xml:space="preserve"> с базовым кредитным договором, например, подверженность изменениям котиров</w:t>
      </w:r>
      <w:r w:rsidR="00B94654" w:rsidRPr="0049187C">
        <w:rPr>
          <w:lang w:val="ru-RU"/>
        </w:rPr>
        <w:t>о</w:t>
      </w:r>
      <w:r w:rsidRPr="0049187C">
        <w:rPr>
          <w:lang w:val="ru-RU"/>
        </w:rPr>
        <w:t>к а</w:t>
      </w:r>
      <w:r w:rsidR="00A349DA">
        <w:rPr>
          <w:lang w:val="ru-RU"/>
        </w:rPr>
        <w:t>кций или цен на товар, не обусло</w:t>
      </w:r>
      <w:r w:rsidRPr="0049187C">
        <w:rPr>
          <w:lang w:val="ru-RU"/>
        </w:rPr>
        <w:t>вливают возникновения предусмотренных договором денежных потоков, которые являются исключит</w:t>
      </w:r>
      <w:r w:rsidR="008811B9">
        <w:rPr>
          <w:lang w:val="ru-RU"/>
        </w:rPr>
        <w:t>ельно платежами в счет основной суммы</w:t>
      </w:r>
      <w:r w:rsidRPr="0049187C">
        <w:rPr>
          <w:lang w:val="ru-RU"/>
        </w:rPr>
        <w:t xml:space="preserve"> долга и процентов на непогашенную </w:t>
      </w:r>
      <w:r w:rsidR="008811B9">
        <w:rPr>
          <w:lang w:val="ru-RU"/>
        </w:rPr>
        <w:t>часть основной суммы</w:t>
      </w:r>
      <w:r w:rsidRPr="0049187C">
        <w:rPr>
          <w:lang w:val="ru-RU"/>
        </w:rPr>
        <w:t xml:space="preserve"> долга. </w:t>
      </w:r>
      <w:r w:rsidR="000B61C3">
        <w:rPr>
          <w:lang w:val="ru-RU"/>
        </w:rPr>
        <w:t>Созданный</w:t>
      </w:r>
      <w:r w:rsidR="00B94654" w:rsidRPr="0049187C">
        <w:rPr>
          <w:lang w:val="ru-RU"/>
        </w:rPr>
        <w:t xml:space="preserve"> </w:t>
      </w:r>
      <w:r w:rsidRPr="0049187C">
        <w:rPr>
          <w:lang w:val="ru-RU"/>
        </w:rPr>
        <w:t>или приобретенный финансовый актив может являться базовым кредитным договором независимо от того, является ли он займом по своей юридической форме.</w:t>
      </w:r>
    </w:p>
    <w:p w:rsidR="007D4BCC" w:rsidRPr="0049187C" w:rsidRDefault="007D4BCC" w:rsidP="007D4BCC">
      <w:pPr>
        <w:pStyle w:val="IASBNormalnpara"/>
        <w:rPr>
          <w:lang w:val="ru-RU"/>
        </w:rPr>
      </w:pPr>
      <w:r w:rsidRPr="0049187C">
        <w:rPr>
          <w:lang w:val="ru-RU"/>
        </w:rPr>
        <w:t>B4.1.7B</w:t>
      </w:r>
      <w:r w:rsidRPr="0049187C">
        <w:rPr>
          <w:lang w:val="ru-RU"/>
        </w:rPr>
        <w:tab/>
        <w:t>В соответс</w:t>
      </w:r>
      <w:r w:rsidR="00A73D9D">
        <w:rPr>
          <w:lang w:val="ru-RU"/>
        </w:rPr>
        <w:t>твии с пунктом 4.1.3(a) основная сумма</w:t>
      </w:r>
      <w:r w:rsidRPr="0049187C">
        <w:rPr>
          <w:lang w:val="ru-RU"/>
        </w:rPr>
        <w:t xml:space="preserve"> долг</w:t>
      </w:r>
      <w:r w:rsidR="00A73D9D">
        <w:rPr>
          <w:lang w:val="ru-RU"/>
        </w:rPr>
        <w:t>а</w:t>
      </w:r>
      <w:r w:rsidRPr="0049187C">
        <w:rPr>
          <w:lang w:val="ru-RU"/>
        </w:rPr>
        <w:t xml:space="preserve"> представляет собой справедливую стоимость финансового актива при первоначальном признани</w:t>
      </w:r>
      <w:r w:rsidR="008811B9">
        <w:rPr>
          <w:lang w:val="ru-RU"/>
        </w:rPr>
        <w:t xml:space="preserve">и. Однако </w:t>
      </w:r>
      <w:r w:rsidR="00D16C37">
        <w:rPr>
          <w:lang w:val="ru-RU"/>
        </w:rPr>
        <w:t xml:space="preserve">эта </w:t>
      </w:r>
      <w:r w:rsidR="008811B9">
        <w:rPr>
          <w:lang w:val="ru-RU"/>
        </w:rPr>
        <w:t>основная сумма</w:t>
      </w:r>
      <w:r w:rsidRPr="0049187C">
        <w:rPr>
          <w:lang w:val="ru-RU"/>
        </w:rPr>
        <w:t xml:space="preserve"> долга может изменяться на протяжении срока действия </w:t>
      </w:r>
      <w:r w:rsidR="00D16C37">
        <w:rPr>
          <w:lang w:val="ru-RU"/>
        </w:rPr>
        <w:t xml:space="preserve">данного </w:t>
      </w:r>
      <w:r w:rsidRPr="0049187C">
        <w:rPr>
          <w:lang w:val="ru-RU"/>
        </w:rPr>
        <w:t>финансового актива (н</w:t>
      </w:r>
      <w:r w:rsidR="00A73D9D">
        <w:rPr>
          <w:lang w:val="ru-RU"/>
        </w:rPr>
        <w:t xml:space="preserve">апример, </w:t>
      </w:r>
      <w:r w:rsidR="00F51BA5">
        <w:rPr>
          <w:lang w:val="ru-RU"/>
        </w:rPr>
        <w:t>если</w:t>
      </w:r>
      <w:r w:rsidR="00D16C37">
        <w:rPr>
          <w:lang w:val="ru-RU"/>
        </w:rPr>
        <w:t xml:space="preserve"> имеют место выплаты в счет погашения</w:t>
      </w:r>
      <w:r w:rsidR="00A73D9D">
        <w:rPr>
          <w:lang w:val="ru-RU"/>
        </w:rPr>
        <w:t xml:space="preserve"> основной суммы</w:t>
      </w:r>
      <w:r w:rsidRPr="0049187C">
        <w:rPr>
          <w:lang w:val="ru-RU"/>
        </w:rPr>
        <w:t xml:space="preserve"> долга).</w:t>
      </w:r>
    </w:p>
    <w:p w:rsidR="007D4BCC" w:rsidRPr="0049187C" w:rsidRDefault="007D4BCC" w:rsidP="007D4BCC">
      <w:pPr>
        <w:pStyle w:val="IASBNormalnpara"/>
        <w:rPr>
          <w:lang w:val="ru-RU"/>
        </w:rPr>
      </w:pPr>
      <w:r w:rsidRPr="0049187C">
        <w:rPr>
          <w:lang w:val="ru-RU"/>
        </w:rPr>
        <w:t>B4.1.8</w:t>
      </w:r>
      <w:r w:rsidRPr="0049187C">
        <w:rPr>
          <w:lang w:val="ru-RU"/>
        </w:rPr>
        <w:tab/>
        <w:t>Организация должна оцени</w:t>
      </w:r>
      <w:r w:rsidR="00D16C37">
        <w:rPr>
          <w:lang w:val="ru-RU"/>
        </w:rPr>
        <w:t>ва</w:t>
      </w:r>
      <w:r w:rsidRPr="0049187C">
        <w:rPr>
          <w:lang w:val="ru-RU"/>
        </w:rPr>
        <w:t>ть, являются ли предусмотренные договором денежные потоки исключительно платежами в с</w:t>
      </w:r>
      <w:r w:rsidR="008811B9">
        <w:rPr>
          <w:lang w:val="ru-RU"/>
        </w:rPr>
        <w:t>чет основной суммы</w:t>
      </w:r>
      <w:r w:rsidRPr="0049187C">
        <w:rPr>
          <w:lang w:val="ru-RU"/>
        </w:rPr>
        <w:t xml:space="preserve"> долга и процентов на непогашенную </w:t>
      </w:r>
      <w:r w:rsidR="008811B9">
        <w:rPr>
          <w:lang w:val="ru-RU"/>
        </w:rPr>
        <w:t>часть основной суммы</w:t>
      </w:r>
      <w:r w:rsidR="00D16C37">
        <w:rPr>
          <w:lang w:val="ru-RU"/>
        </w:rPr>
        <w:t xml:space="preserve"> долга применительно к</w:t>
      </w:r>
      <w:r w:rsidRPr="0049187C">
        <w:rPr>
          <w:lang w:val="ru-RU"/>
        </w:rPr>
        <w:t xml:space="preserve"> валюте, в которой </w:t>
      </w:r>
      <w:r w:rsidR="00D16C37">
        <w:rPr>
          <w:lang w:val="ru-RU"/>
        </w:rPr>
        <w:t>выражен</w:t>
      </w:r>
      <w:r w:rsidRPr="0049187C">
        <w:rPr>
          <w:lang w:val="ru-RU"/>
        </w:rPr>
        <w:t xml:space="preserve"> финансовый актив.</w:t>
      </w:r>
    </w:p>
    <w:p w:rsidR="007D4BCC" w:rsidRPr="0049187C" w:rsidRDefault="007D4BCC" w:rsidP="007D4BCC">
      <w:pPr>
        <w:pStyle w:val="IASBNormalnpara"/>
        <w:rPr>
          <w:lang w:val="ru-RU"/>
        </w:rPr>
      </w:pPr>
      <w:r w:rsidRPr="0049187C">
        <w:rPr>
          <w:lang w:val="ru-RU"/>
        </w:rPr>
        <w:t>B4.1.9</w:t>
      </w:r>
      <w:r w:rsidRPr="0049187C">
        <w:rPr>
          <w:lang w:val="ru-RU"/>
        </w:rPr>
        <w:tab/>
      </w:r>
      <w:r w:rsidR="0007709F">
        <w:rPr>
          <w:lang w:val="ru-RU"/>
        </w:rPr>
        <w:t>Эффект рычага (л</w:t>
      </w:r>
      <w:r w:rsidRPr="0049187C">
        <w:rPr>
          <w:lang w:val="ru-RU"/>
        </w:rPr>
        <w:t>евередж</w:t>
      </w:r>
      <w:r w:rsidR="0007709F">
        <w:rPr>
          <w:lang w:val="ru-RU"/>
        </w:rPr>
        <w:t>)</w:t>
      </w:r>
      <w:r w:rsidRPr="0049187C">
        <w:rPr>
          <w:lang w:val="ru-RU"/>
        </w:rPr>
        <w:t xml:space="preserve"> </w:t>
      </w:r>
      <w:r w:rsidR="00A876BE" w:rsidRPr="008872E8">
        <w:rPr>
          <w:lang w:val="ru-RU"/>
        </w:rPr>
        <w:t>–</w:t>
      </w:r>
      <w:r w:rsidRPr="0049187C">
        <w:rPr>
          <w:lang w:val="ru-RU"/>
        </w:rPr>
        <w:t xml:space="preserve"> это характеристика некоторых финансовых активов, </w:t>
      </w:r>
      <w:r w:rsidR="00D16C37">
        <w:rPr>
          <w:lang w:val="ru-RU"/>
        </w:rPr>
        <w:t>касающаяся предусмотренных</w:t>
      </w:r>
      <w:r w:rsidRPr="0049187C">
        <w:rPr>
          <w:lang w:val="ru-RU"/>
        </w:rPr>
        <w:t xml:space="preserve"> догово</w:t>
      </w:r>
      <w:r w:rsidR="00D16C37">
        <w:rPr>
          <w:lang w:val="ru-RU"/>
        </w:rPr>
        <w:t>ром денежных потоков</w:t>
      </w:r>
      <w:r w:rsidR="0007709F">
        <w:rPr>
          <w:lang w:val="ru-RU"/>
        </w:rPr>
        <w:t>. Эффект рычага</w:t>
      </w:r>
      <w:r w:rsidRPr="0049187C">
        <w:rPr>
          <w:lang w:val="ru-RU"/>
        </w:rPr>
        <w:t xml:space="preserve"> увеличивает изменчивость предусмотренных договором денежных потоков, в результате чего они не обладают экономическими характеристиками процентов. Отдельн</w:t>
      </w:r>
      <w:r w:rsidR="00C13DD3">
        <w:rPr>
          <w:lang w:val="ru-RU"/>
        </w:rPr>
        <w:t>ые опционы, форвардные договоры</w:t>
      </w:r>
      <w:r w:rsidRPr="0049187C">
        <w:rPr>
          <w:lang w:val="ru-RU"/>
        </w:rPr>
        <w:t xml:space="preserve"> и свопы являются примерами финансовых активов, которые включают</w:t>
      </w:r>
      <w:r w:rsidR="00D16C37">
        <w:rPr>
          <w:lang w:val="ru-RU"/>
        </w:rPr>
        <w:t xml:space="preserve"> такой</w:t>
      </w:r>
      <w:r w:rsidRPr="0049187C">
        <w:rPr>
          <w:lang w:val="ru-RU"/>
        </w:rPr>
        <w:t xml:space="preserve"> </w:t>
      </w:r>
      <w:r w:rsidR="0007709F">
        <w:rPr>
          <w:lang w:val="ru-RU"/>
        </w:rPr>
        <w:t>эффект рычага</w:t>
      </w:r>
      <w:r w:rsidRPr="0049187C">
        <w:rPr>
          <w:lang w:val="ru-RU"/>
        </w:rPr>
        <w:t xml:space="preserve">. Таким образом, такие договоры не удовлетворяют условиям пунктов 4.1.2(b) и 4.1.2A(b) и не могут оцениваться впоследствии по амортизированной стоимости или справедливой стоимости через </w:t>
      </w:r>
      <w:r w:rsidR="00B94654" w:rsidRPr="0049187C">
        <w:rPr>
          <w:lang w:val="ru-RU"/>
        </w:rPr>
        <w:t>прочий совокупный доход</w:t>
      </w:r>
      <w:r w:rsidRPr="0049187C">
        <w:rPr>
          <w:lang w:val="ru-RU"/>
        </w:rPr>
        <w:t>.</w:t>
      </w:r>
    </w:p>
    <w:p w:rsidR="007D4BCC" w:rsidRPr="0049187C" w:rsidRDefault="00C67977" w:rsidP="007D4BCC">
      <w:pPr>
        <w:pStyle w:val="IASBSectionTitle4Ind"/>
        <w:rPr>
          <w:lang w:val="ru-RU"/>
        </w:rPr>
      </w:pPr>
      <w:r>
        <w:rPr>
          <w:lang w:val="ru-RU"/>
        </w:rPr>
        <w:t>Возмещение за временнý</w:t>
      </w:r>
      <w:r w:rsidR="007D4BCC" w:rsidRPr="0049187C">
        <w:rPr>
          <w:lang w:val="ru-RU"/>
        </w:rPr>
        <w:t>ю стоимость денег</w:t>
      </w:r>
    </w:p>
    <w:p w:rsidR="007D4BCC" w:rsidRPr="0049187C" w:rsidRDefault="004114F4" w:rsidP="007D4BCC">
      <w:pPr>
        <w:pStyle w:val="IASBNormalnpara"/>
        <w:rPr>
          <w:lang w:val="ru-RU"/>
        </w:rPr>
      </w:pPr>
      <w:r>
        <w:rPr>
          <w:lang w:val="ru-RU"/>
        </w:rPr>
        <w:t>B4.1.9A</w:t>
      </w:r>
      <w:r>
        <w:rPr>
          <w:lang w:val="ru-RU"/>
        </w:rPr>
        <w:tab/>
        <w:t>Временн</w:t>
      </w:r>
      <w:r w:rsidRPr="00453F25">
        <w:rPr>
          <w:lang w:val="ru-RU"/>
        </w:rPr>
        <w:t>á</w:t>
      </w:r>
      <w:r w:rsidR="007D4BCC" w:rsidRPr="0049187C">
        <w:rPr>
          <w:lang w:val="ru-RU"/>
        </w:rPr>
        <w:t xml:space="preserve">я стоимость денег является элементом процентов, который обеспечивает возмещение только </w:t>
      </w:r>
      <w:r w:rsidR="00A34BF4" w:rsidRPr="00321206">
        <w:rPr>
          <w:lang w:val="ru-RU"/>
        </w:rPr>
        <w:t>за прошествие</w:t>
      </w:r>
      <w:r w:rsidR="007D4BCC" w:rsidRPr="00321206">
        <w:rPr>
          <w:lang w:val="ru-RU"/>
        </w:rPr>
        <w:t xml:space="preserve"> времени</w:t>
      </w:r>
      <w:r w:rsidR="007D4BCC" w:rsidRPr="0049187C">
        <w:rPr>
          <w:lang w:val="ru-RU"/>
        </w:rPr>
        <w:t>.</w:t>
      </w:r>
      <w:r w:rsidR="00E1095F">
        <w:rPr>
          <w:lang w:val="ru-RU"/>
        </w:rPr>
        <w:t xml:space="preserve"> Таким образом, элемент временн</w:t>
      </w:r>
      <w:r w:rsidR="00E1095F" w:rsidRPr="00B44571">
        <w:rPr>
          <w:lang w:val="ru-RU"/>
        </w:rPr>
        <w:t>ó</w:t>
      </w:r>
      <w:r w:rsidR="007D4BCC" w:rsidRPr="0049187C">
        <w:rPr>
          <w:lang w:val="ru-RU"/>
        </w:rPr>
        <w:t xml:space="preserve">й стоимости денег не обеспечивает возмещение за другие риски и затраты, связанные с удержанием финансового актива. Для оценки того, обеспечивает ли </w:t>
      </w:r>
      <w:r w:rsidR="00D16C37">
        <w:rPr>
          <w:lang w:val="ru-RU"/>
        </w:rPr>
        <w:t xml:space="preserve">данный </w:t>
      </w:r>
      <w:r w:rsidR="007D4BCC" w:rsidRPr="0049187C">
        <w:rPr>
          <w:lang w:val="ru-RU"/>
        </w:rPr>
        <w:t xml:space="preserve">элемент возмещение только </w:t>
      </w:r>
      <w:r w:rsidR="007D4BCC" w:rsidRPr="00321206">
        <w:rPr>
          <w:lang w:val="ru-RU"/>
        </w:rPr>
        <w:t>за прошествие времени</w:t>
      </w:r>
      <w:r w:rsidR="007D4BCC" w:rsidRPr="0049187C">
        <w:rPr>
          <w:lang w:val="ru-RU"/>
        </w:rPr>
        <w:t xml:space="preserve">, организация применяет суждение и </w:t>
      </w:r>
      <w:r w:rsidR="00D16C37">
        <w:rPr>
          <w:lang w:val="ru-RU"/>
        </w:rPr>
        <w:t>анализирует</w:t>
      </w:r>
      <w:r w:rsidR="007D4BCC" w:rsidRPr="0049187C">
        <w:rPr>
          <w:lang w:val="ru-RU"/>
        </w:rPr>
        <w:t xml:space="preserve"> </w:t>
      </w:r>
      <w:r w:rsidR="00135534" w:rsidRPr="0049187C">
        <w:rPr>
          <w:lang w:val="ru-RU"/>
        </w:rPr>
        <w:t xml:space="preserve">уместные </w:t>
      </w:r>
      <w:r w:rsidR="007D4BCC" w:rsidRPr="0049187C">
        <w:rPr>
          <w:lang w:val="ru-RU"/>
        </w:rPr>
        <w:t xml:space="preserve">факторы, такие как валюта, в которой </w:t>
      </w:r>
      <w:r w:rsidR="00D16C37">
        <w:rPr>
          <w:lang w:val="ru-RU"/>
        </w:rPr>
        <w:t xml:space="preserve">выражен </w:t>
      </w:r>
      <w:r w:rsidR="007D4BCC" w:rsidRPr="0049187C">
        <w:rPr>
          <w:lang w:val="ru-RU"/>
        </w:rPr>
        <w:t>финансовый актив, и период, на который установлена процентная ставка.</w:t>
      </w:r>
    </w:p>
    <w:p w:rsidR="007D4BCC" w:rsidRPr="0049187C" w:rsidRDefault="007D4BCC" w:rsidP="007D4BCC">
      <w:pPr>
        <w:pStyle w:val="IASBNormalnpara"/>
        <w:rPr>
          <w:lang w:val="ru-RU"/>
        </w:rPr>
      </w:pPr>
      <w:r w:rsidRPr="0049187C">
        <w:rPr>
          <w:lang w:val="ru-RU"/>
        </w:rPr>
        <w:t>B4.1.9B</w:t>
      </w:r>
      <w:r w:rsidRPr="0049187C">
        <w:rPr>
          <w:lang w:val="ru-RU"/>
        </w:rPr>
        <w:tab/>
        <w:t>Однако в не</w:t>
      </w:r>
      <w:r w:rsidR="00E1095F">
        <w:rPr>
          <w:lang w:val="ru-RU"/>
        </w:rPr>
        <w:t>которых случаях элемент временн</w:t>
      </w:r>
      <w:r w:rsidR="00E1095F" w:rsidRPr="00B44571">
        <w:rPr>
          <w:lang w:val="ru-RU"/>
        </w:rPr>
        <w:t>ó</w:t>
      </w:r>
      <w:r w:rsidRPr="0049187C">
        <w:rPr>
          <w:lang w:val="ru-RU"/>
        </w:rPr>
        <w:t>й стоимости денег может быть модифици</w:t>
      </w:r>
      <w:r w:rsidR="00D028F8">
        <w:rPr>
          <w:lang w:val="ru-RU"/>
        </w:rPr>
        <w:t>рован (т. </w:t>
      </w:r>
      <w:r w:rsidR="00D16C37">
        <w:rPr>
          <w:lang w:val="ru-RU"/>
        </w:rPr>
        <w:t>е. несовершенен). Такая ситуация имела</w:t>
      </w:r>
      <w:r w:rsidR="00451281">
        <w:rPr>
          <w:lang w:val="ru-RU"/>
        </w:rPr>
        <w:t xml:space="preserve"> </w:t>
      </w:r>
      <w:r w:rsidR="00D16C37">
        <w:rPr>
          <w:lang w:val="ru-RU"/>
        </w:rPr>
        <w:t xml:space="preserve">бы </w:t>
      </w:r>
      <w:r w:rsidR="00451281">
        <w:rPr>
          <w:lang w:val="ru-RU"/>
        </w:rPr>
        <w:t>место</w:t>
      </w:r>
      <w:r w:rsidRPr="0049187C">
        <w:rPr>
          <w:lang w:val="ru-RU"/>
        </w:rPr>
        <w:t xml:space="preserve">, например, </w:t>
      </w:r>
      <w:r w:rsidR="00451281">
        <w:rPr>
          <w:lang w:val="ru-RU"/>
        </w:rPr>
        <w:t xml:space="preserve">если </w:t>
      </w:r>
      <w:r w:rsidRPr="0049187C">
        <w:rPr>
          <w:lang w:val="ru-RU"/>
        </w:rPr>
        <w:t xml:space="preserve">процентная ставка по финансовому активу периодически </w:t>
      </w:r>
      <w:r w:rsidR="00D16C37">
        <w:rPr>
          <w:lang w:val="ru-RU"/>
        </w:rPr>
        <w:t>пересматривается</w:t>
      </w:r>
      <w:r w:rsidRPr="0049187C">
        <w:rPr>
          <w:lang w:val="ru-RU"/>
        </w:rPr>
        <w:t xml:space="preserve">, но частота </w:t>
      </w:r>
      <w:r w:rsidR="00D16C37">
        <w:rPr>
          <w:lang w:val="ru-RU"/>
        </w:rPr>
        <w:t>такого пересмотра не совпадает с базовым</w:t>
      </w:r>
      <w:r w:rsidRPr="0049187C">
        <w:rPr>
          <w:lang w:val="ru-RU"/>
        </w:rPr>
        <w:t xml:space="preserve"> сроком </w:t>
      </w:r>
      <w:r w:rsidR="00D16C37">
        <w:rPr>
          <w:lang w:val="ru-RU"/>
        </w:rPr>
        <w:t>процентной ставки</w:t>
      </w:r>
      <w:r w:rsidRPr="0049187C">
        <w:rPr>
          <w:lang w:val="ru-RU"/>
        </w:rPr>
        <w:t xml:space="preserve"> (например, процентная ставка ежемесячно</w:t>
      </w:r>
      <w:r w:rsidR="00D16C37">
        <w:rPr>
          <w:lang w:val="ru-RU"/>
        </w:rPr>
        <w:t xml:space="preserve"> пересматривается</w:t>
      </w:r>
      <w:r w:rsidRPr="0049187C">
        <w:rPr>
          <w:lang w:val="ru-RU"/>
        </w:rPr>
        <w:t xml:space="preserve"> до годовой процентной ставки), или если процентная ставка по финансовому активу периодически </w:t>
      </w:r>
      <w:r w:rsidR="00D16C37">
        <w:rPr>
          <w:lang w:val="ru-RU"/>
        </w:rPr>
        <w:t>пересматривается</w:t>
      </w:r>
      <w:r w:rsidRPr="0049187C">
        <w:rPr>
          <w:lang w:val="ru-RU"/>
        </w:rPr>
        <w:t xml:space="preserve"> до среднего значения определенных кратко</w:t>
      </w:r>
      <w:r w:rsidR="00582A4F" w:rsidRPr="0049187C">
        <w:rPr>
          <w:lang w:val="ru-RU"/>
        </w:rPr>
        <w:t>срочных</w:t>
      </w:r>
      <w:r w:rsidRPr="0049187C">
        <w:rPr>
          <w:lang w:val="ru-RU"/>
        </w:rPr>
        <w:t xml:space="preserve"> и долгосрочных процентных ставок. В таких случаях организация должна оценить модификацию для определения того, являются ли предусмотренные договором денежные потоки исключит</w:t>
      </w:r>
      <w:r w:rsidR="008811B9">
        <w:rPr>
          <w:lang w:val="ru-RU"/>
        </w:rPr>
        <w:t>ельно платежами в счет основной суммы</w:t>
      </w:r>
      <w:r w:rsidRPr="0049187C">
        <w:rPr>
          <w:lang w:val="ru-RU"/>
        </w:rPr>
        <w:t xml:space="preserve"> долга и процентов на непогашенную </w:t>
      </w:r>
      <w:r w:rsidR="008811B9">
        <w:rPr>
          <w:lang w:val="ru-RU"/>
        </w:rPr>
        <w:t>часть основной суммы</w:t>
      </w:r>
      <w:r w:rsidRPr="0049187C">
        <w:rPr>
          <w:lang w:val="ru-RU"/>
        </w:rPr>
        <w:t xml:space="preserve"> долга. </w:t>
      </w:r>
      <w:r w:rsidR="00451281">
        <w:rPr>
          <w:lang w:val="ru-RU"/>
        </w:rPr>
        <w:t>В</w:t>
      </w:r>
      <w:r w:rsidR="00451281" w:rsidRPr="0049187C">
        <w:rPr>
          <w:lang w:val="ru-RU"/>
        </w:rPr>
        <w:t xml:space="preserve"> </w:t>
      </w:r>
      <w:r w:rsidRPr="0049187C">
        <w:rPr>
          <w:lang w:val="ru-RU"/>
        </w:rPr>
        <w:t>некоторых обстоятельствах организация может определить данный факт путем проведения качес</w:t>
      </w:r>
      <w:r w:rsidR="00E1095F">
        <w:rPr>
          <w:lang w:val="ru-RU"/>
        </w:rPr>
        <w:t>твенной оценки элемента временн</w:t>
      </w:r>
      <w:r w:rsidR="00E1095F" w:rsidRPr="00B44571">
        <w:rPr>
          <w:lang w:val="ru-RU"/>
        </w:rPr>
        <w:t>ó</w:t>
      </w:r>
      <w:r w:rsidRPr="0049187C">
        <w:rPr>
          <w:lang w:val="ru-RU"/>
        </w:rPr>
        <w:t xml:space="preserve">й стоимости денег, в то время как </w:t>
      </w:r>
      <w:r w:rsidR="00451281">
        <w:rPr>
          <w:lang w:val="ru-RU"/>
        </w:rPr>
        <w:t>в</w:t>
      </w:r>
      <w:r w:rsidR="00451281" w:rsidRPr="0049187C">
        <w:rPr>
          <w:lang w:val="ru-RU"/>
        </w:rPr>
        <w:t xml:space="preserve"> </w:t>
      </w:r>
      <w:r w:rsidRPr="0049187C">
        <w:rPr>
          <w:lang w:val="ru-RU"/>
        </w:rPr>
        <w:t>других обстоятельствах может потребоваться количественная оценка.</w:t>
      </w:r>
    </w:p>
    <w:p w:rsidR="007D4BCC" w:rsidRPr="0049187C" w:rsidRDefault="007D4BCC" w:rsidP="007D4BCC">
      <w:pPr>
        <w:pStyle w:val="IASBNormalnpara"/>
        <w:rPr>
          <w:lang w:val="ru-RU"/>
        </w:rPr>
      </w:pPr>
      <w:r w:rsidRPr="0049187C">
        <w:rPr>
          <w:lang w:val="ru-RU"/>
        </w:rPr>
        <w:t>B4.1.9C</w:t>
      </w:r>
      <w:r w:rsidRPr="0049187C">
        <w:rPr>
          <w:lang w:val="ru-RU"/>
        </w:rPr>
        <w:tab/>
        <w:t>Целью оценки мод</w:t>
      </w:r>
      <w:r w:rsidR="00E1095F">
        <w:rPr>
          <w:lang w:val="ru-RU"/>
        </w:rPr>
        <w:t>ифицированного элемента временн</w:t>
      </w:r>
      <w:r w:rsidR="00E1095F" w:rsidRPr="00B44571">
        <w:rPr>
          <w:lang w:val="ru-RU"/>
        </w:rPr>
        <w:t>ó</w:t>
      </w:r>
      <w:r w:rsidRPr="0049187C">
        <w:rPr>
          <w:lang w:val="ru-RU"/>
        </w:rPr>
        <w:t xml:space="preserve">й стоимости денег является определение разницы между предусмотренными договором (недисконтированными) денежными потоками и (недисконтированными) денежными потоками, которые возникли бы, если бы </w:t>
      </w:r>
      <w:r w:rsidR="00E1095F">
        <w:rPr>
          <w:lang w:val="ru-RU"/>
        </w:rPr>
        <w:t>элемент временн</w:t>
      </w:r>
      <w:r w:rsidR="00E1095F" w:rsidRPr="00B44571">
        <w:rPr>
          <w:lang w:val="ru-RU"/>
        </w:rPr>
        <w:t>ó</w:t>
      </w:r>
      <w:r w:rsidRPr="0049187C">
        <w:rPr>
          <w:lang w:val="ru-RU"/>
        </w:rPr>
        <w:t xml:space="preserve">й стоимости денег не был модифицирован (базовые денежные потоки). Например, если оцениваемый финансовый актив </w:t>
      </w:r>
      <w:r w:rsidR="00582A4F" w:rsidRPr="0049187C">
        <w:rPr>
          <w:lang w:val="ru-RU"/>
        </w:rPr>
        <w:t>предусматривает</w:t>
      </w:r>
      <w:r w:rsidRPr="0049187C">
        <w:rPr>
          <w:lang w:val="ru-RU"/>
        </w:rPr>
        <w:t xml:space="preserve"> переменную процентную ставку, которая </w:t>
      </w:r>
      <w:r w:rsidR="00D16C37">
        <w:rPr>
          <w:lang w:val="ru-RU"/>
        </w:rPr>
        <w:t>пересматривается</w:t>
      </w:r>
      <w:r w:rsidRPr="0049187C">
        <w:rPr>
          <w:lang w:val="ru-RU"/>
        </w:rPr>
        <w:t xml:space="preserve"> ежемесячно до годовой процентной ставки, организация сравнивает такой финансовый актив с финансовым инструментом, имеющим идентичные договорные условия и идентичный кредитный риск, за исключение</w:t>
      </w:r>
      <w:r w:rsidR="00582A4F" w:rsidRPr="0049187C">
        <w:rPr>
          <w:lang w:val="ru-RU"/>
        </w:rPr>
        <w:t>м</w:t>
      </w:r>
      <w:r w:rsidRPr="0049187C">
        <w:rPr>
          <w:lang w:val="ru-RU"/>
        </w:rPr>
        <w:t xml:space="preserve"> того, что </w:t>
      </w:r>
      <w:r w:rsidR="00582A4F" w:rsidRPr="0049187C">
        <w:rPr>
          <w:lang w:val="ru-RU"/>
        </w:rPr>
        <w:t xml:space="preserve">переменная </w:t>
      </w:r>
      <w:r w:rsidR="00D16C37">
        <w:rPr>
          <w:lang w:val="ru-RU"/>
        </w:rPr>
        <w:t>процентная ставка пересматривается</w:t>
      </w:r>
      <w:r w:rsidRPr="0049187C">
        <w:rPr>
          <w:lang w:val="ru-RU"/>
        </w:rPr>
        <w:t xml:space="preserve"> ежемесячно до месячной процентной ставки. Если в результате модификации эле</w:t>
      </w:r>
      <w:r w:rsidR="00E1095F">
        <w:rPr>
          <w:lang w:val="ru-RU"/>
        </w:rPr>
        <w:t>мента временн</w:t>
      </w:r>
      <w:r w:rsidR="00E1095F" w:rsidRPr="00B44571">
        <w:rPr>
          <w:lang w:val="ru-RU"/>
        </w:rPr>
        <w:t>ó</w:t>
      </w:r>
      <w:r w:rsidRPr="0049187C">
        <w:rPr>
          <w:lang w:val="ru-RU"/>
        </w:rPr>
        <w:t>й стоимости денег возникают предусмотренные договором (недисконтированные) денежные потоки, которые значительно отличаются от (недисконтированных) базовых денежных потоков, финансовый актив не удовлетворяе</w:t>
      </w:r>
      <w:r w:rsidR="00E14DDE">
        <w:rPr>
          <w:lang w:val="ru-RU"/>
        </w:rPr>
        <w:t>т условиям пунктов</w:t>
      </w:r>
      <w:r w:rsidRPr="0049187C">
        <w:rPr>
          <w:lang w:val="ru-RU"/>
        </w:rPr>
        <w:t xml:space="preserve"> 4.1.2(b) и 4.1.2A(b). Для определения данного факта организация должна рассмотреть эффект </w:t>
      </w:r>
      <w:r w:rsidR="00451281">
        <w:rPr>
          <w:lang w:val="ru-RU"/>
        </w:rPr>
        <w:t xml:space="preserve">от </w:t>
      </w:r>
      <w:r w:rsidRPr="0049187C">
        <w:rPr>
          <w:lang w:val="ru-RU"/>
        </w:rPr>
        <w:t>мод</w:t>
      </w:r>
      <w:r w:rsidR="00E1095F">
        <w:rPr>
          <w:lang w:val="ru-RU"/>
        </w:rPr>
        <w:t>ифицированного элемента временн</w:t>
      </w:r>
      <w:r w:rsidR="00E1095F" w:rsidRPr="00B44571">
        <w:rPr>
          <w:lang w:val="ru-RU"/>
        </w:rPr>
        <w:t>ó</w:t>
      </w:r>
      <w:r w:rsidRPr="0049187C">
        <w:rPr>
          <w:lang w:val="ru-RU"/>
        </w:rPr>
        <w:t xml:space="preserve">й стоимости денег в каждом отчетном периоде и в совокупности на протяжении </w:t>
      </w:r>
      <w:r w:rsidR="00237050">
        <w:rPr>
          <w:lang w:val="ru-RU"/>
        </w:rPr>
        <w:t xml:space="preserve">всего </w:t>
      </w:r>
      <w:r w:rsidRPr="0049187C">
        <w:rPr>
          <w:lang w:val="ru-RU"/>
        </w:rPr>
        <w:t xml:space="preserve">срока действия финансового инструмента. Причина, по которой процентная ставка устанавливается подобным образом, не </w:t>
      </w:r>
      <w:r w:rsidR="00D16C37">
        <w:rPr>
          <w:lang w:val="ru-RU"/>
        </w:rPr>
        <w:t>имеет значения</w:t>
      </w:r>
      <w:r w:rsidR="00237050" w:rsidRPr="0049187C">
        <w:rPr>
          <w:lang w:val="ru-RU"/>
        </w:rPr>
        <w:t xml:space="preserve"> </w:t>
      </w:r>
      <w:r w:rsidRPr="0049187C">
        <w:rPr>
          <w:lang w:val="ru-RU"/>
        </w:rPr>
        <w:t>для</w:t>
      </w:r>
      <w:r w:rsidR="00D16C37">
        <w:rPr>
          <w:lang w:val="ru-RU"/>
        </w:rPr>
        <w:t xml:space="preserve"> данного</w:t>
      </w:r>
      <w:r w:rsidRPr="0049187C">
        <w:rPr>
          <w:lang w:val="ru-RU"/>
        </w:rPr>
        <w:t xml:space="preserve"> анализа. Если при минимальном анализе или без него ясно, могут ли (или не могут) предусмотренные договором (недисконтированные) денежные потоки по оцениваемому финансовому активу значительно отличаться от (недисконтированных) базовых денежных потоков, организации не нужно проводить детальную оценку.</w:t>
      </w:r>
    </w:p>
    <w:p w:rsidR="007D4BCC" w:rsidRPr="0049187C" w:rsidRDefault="007D4BCC" w:rsidP="007D4BCC">
      <w:pPr>
        <w:pStyle w:val="IASBNormalnpara"/>
        <w:rPr>
          <w:lang w:val="ru-RU"/>
        </w:rPr>
      </w:pPr>
      <w:r w:rsidRPr="0049187C">
        <w:rPr>
          <w:lang w:val="ru-RU"/>
        </w:rPr>
        <w:t>B4.1.9D</w:t>
      </w:r>
      <w:r w:rsidRPr="0049187C">
        <w:rPr>
          <w:lang w:val="ru-RU"/>
        </w:rPr>
        <w:tab/>
        <w:t>При оценке мод</w:t>
      </w:r>
      <w:r w:rsidR="00E1095F">
        <w:rPr>
          <w:lang w:val="ru-RU"/>
        </w:rPr>
        <w:t>ифицированного элемента временн</w:t>
      </w:r>
      <w:r w:rsidR="00E1095F" w:rsidRPr="00B44571">
        <w:rPr>
          <w:lang w:val="ru-RU"/>
        </w:rPr>
        <w:t>ó</w:t>
      </w:r>
      <w:r w:rsidRPr="0049187C">
        <w:rPr>
          <w:lang w:val="ru-RU"/>
        </w:rPr>
        <w:t>й стоимости денег организа</w:t>
      </w:r>
      <w:r w:rsidR="00075571">
        <w:rPr>
          <w:lang w:val="ru-RU"/>
        </w:rPr>
        <w:t>ция должна принимать во внимание</w:t>
      </w:r>
      <w:r w:rsidRPr="0049187C">
        <w:rPr>
          <w:lang w:val="ru-RU"/>
        </w:rPr>
        <w:t xml:space="preserve"> факторы, которые могут повлиять на будущие предусмотренные договором денежные потоки. Например, если организация оценивает облигацию с пятилетним сроком действия и переменной процентной ставкой, которая </w:t>
      </w:r>
      <w:r w:rsidR="00D16C37">
        <w:rPr>
          <w:lang w:val="ru-RU"/>
        </w:rPr>
        <w:t>пересматривается</w:t>
      </w:r>
      <w:r w:rsidRPr="0049187C">
        <w:rPr>
          <w:lang w:val="ru-RU"/>
        </w:rPr>
        <w:t xml:space="preserve"> каждые шесть месяцев до пятилетней процентной ставки, организация не может прийти к выводу, что предусмотренные договором денежные потоки являются исключит</w:t>
      </w:r>
      <w:r w:rsidR="008811B9">
        <w:rPr>
          <w:lang w:val="ru-RU"/>
        </w:rPr>
        <w:t>ельно платежами в счет основной суммы</w:t>
      </w:r>
      <w:r w:rsidRPr="0049187C">
        <w:rPr>
          <w:lang w:val="ru-RU"/>
        </w:rPr>
        <w:t xml:space="preserve"> долга и процентов на непогашенную </w:t>
      </w:r>
      <w:r w:rsidR="008811B9">
        <w:rPr>
          <w:lang w:val="ru-RU"/>
        </w:rPr>
        <w:t>часть основной суммы</w:t>
      </w:r>
      <w:r w:rsidRPr="0049187C">
        <w:rPr>
          <w:lang w:val="ru-RU"/>
        </w:rPr>
        <w:t xml:space="preserve"> долга только потому, что кривая процентной ставки в момент оценки указывает на то, что разница между пятилетней процентной ставкой и шестимесячной процентной ставкой является незначительной. Вместо этого организация должна также рассмотреть, </w:t>
      </w:r>
      <w:r w:rsidR="00237050" w:rsidRPr="0049187C">
        <w:rPr>
          <w:lang w:val="ru-RU"/>
        </w:rPr>
        <w:t>мо</w:t>
      </w:r>
      <w:r w:rsidR="00237050">
        <w:rPr>
          <w:lang w:val="ru-RU"/>
        </w:rPr>
        <w:t>жет</w:t>
      </w:r>
      <w:r w:rsidR="00237050" w:rsidRPr="0049187C">
        <w:rPr>
          <w:lang w:val="ru-RU"/>
        </w:rPr>
        <w:t xml:space="preserve"> </w:t>
      </w:r>
      <w:r w:rsidRPr="0049187C">
        <w:rPr>
          <w:lang w:val="ru-RU"/>
        </w:rPr>
        <w:t xml:space="preserve">ли </w:t>
      </w:r>
      <w:r w:rsidR="00237050">
        <w:rPr>
          <w:lang w:val="ru-RU"/>
        </w:rPr>
        <w:t>соо</w:t>
      </w:r>
      <w:r w:rsidR="00237050" w:rsidRPr="0049187C">
        <w:rPr>
          <w:lang w:val="ru-RU"/>
        </w:rPr>
        <w:t>тношени</w:t>
      </w:r>
      <w:r w:rsidR="00237050">
        <w:rPr>
          <w:lang w:val="ru-RU"/>
        </w:rPr>
        <w:t>е</w:t>
      </w:r>
      <w:r w:rsidR="00237050" w:rsidRPr="0049187C">
        <w:rPr>
          <w:lang w:val="ru-RU"/>
        </w:rPr>
        <w:t xml:space="preserve"> </w:t>
      </w:r>
      <w:r w:rsidRPr="0049187C">
        <w:rPr>
          <w:lang w:val="ru-RU"/>
        </w:rPr>
        <w:t>между пятилетней процентной ставкой и шестимесячной процентной ставкой измениться на протяжении срока действия инструмента таким образом, что предусмотренные договором (недисконтированные) денежные потоки на протяжении срока действия инструмента могут значительно отличаться от (недисконтированных) базовых денежных потоков. Однако организация должна принимать во внимание только обоснованно возможные сценарии вместо рассмотрения каждого возможного сценария. Если организация приходит к выводу, что предусмотренные договором (недисконтированные) денежные потоки могут значительно отличаться от (недисконтированных) базовых денежных потоков, финансов</w:t>
      </w:r>
      <w:r w:rsidR="00E14DDE">
        <w:rPr>
          <w:lang w:val="ru-RU"/>
        </w:rPr>
        <w:t>ый актив не отвечает условиям пунктов</w:t>
      </w:r>
      <w:r w:rsidRPr="0049187C">
        <w:rPr>
          <w:lang w:val="ru-RU"/>
        </w:rPr>
        <w:t xml:space="preserve"> 4.1.2(b) и 4.1.2A(b) и, таким образом, не может оцениваться по амортизированной стоимости или по справедливой стоимости через прочий совокупный доход. </w:t>
      </w:r>
    </w:p>
    <w:p w:rsidR="007D4BCC" w:rsidRPr="0049187C" w:rsidRDefault="007D4BCC" w:rsidP="007D4BCC">
      <w:pPr>
        <w:pStyle w:val="IASBNormalnpara"/>
        <w:rPr>
          <w:lang w:val="ru-RU"/>
        </w:rPr>
      </w:pPr>
      <w:r w:rsidRPr="0049187C">
        <w:rPr>
          <w:lang w:val="ru-RU"/>
        </w:rPr>
        <w:t>B4.1.9E</w:t>
      </w:r>
      <w:r w:rsidRPr="0049187C">
        <w:rPr>
          <w:lang w:val="ru-RU"/>
        </w:rPr>
        <w:tab/>
        <w:t xml:space="preserve">В некоторых юрисдикциях процентные ставки устанавливаются правительством или регулирующим органом. Например, такое государственное регулирование процентных ставок может быть </w:t>
      </w:r>
      <w:r w:rsidR="00582A4F" w:rsidRPr="0049187C">
        <w:rPr>
          <w:lang w:val="ru-RU"/>
        </w:rPr>
        <w:t xml:space="preserve">предусмотрено </w:t>
      </w:r>
      <w:r w:rsidRPr="0049187C">
        <w:rPr>
          <w:lang w:val="ru-RU"/>
        </w:rPr>
        <w:t>широкомасштабной макроэкономической политик</w:t>
      </w:r>
      <w:r w:rsidR="00582A4F" w:rsidRPr="0049187C">
        <w:rPr>
          <w:lang w:val="ru-RU"/>
        </w:rPr>
        <w:t>ой</w:t>
      </w:r>
      <w:r w:rsidRPr="0049187C">
        <w:rPr>
          <w:lang w:val="ru-RU"/>
        </w:rPr>
        <w:t xml:space="preserve"> или оно может применяться для стимулирования </w:t>
      </w:r>
      <w:r w:rsidR="00582A4F" w:rsidRPr="0049187C">
        <w:rPr>
          <w:lang w:val="ru-RU"/>
        </w:rPr>
        <w:t xml:space="preserve">осуществления </w:t>
      </w:r>
      <w:r w:rsidRPr="0049187C">
        <w:rPr>
          <w:lang w:val="ru-RU"/>
        </w:rPr>
        <w:t>организаци</w:t>
      </w:r>
      <w:r w:rsidR="00582A4F" w:rsidRPr="0049187C">
        <w:rPr>
          <w:lang w:val="ru-RU"/>
        </w:rPr>
        <w:t>ями</w:t>
      </w:r>
      <w:r w:rsidRPr="0049187C">
        <w:rPr>
          <w:lang w:val="ru-RU"/>
        </w:rPr>
        <w:t xml:space="preserve"> инвести</w:t>
      </w:r>
      <w:r w:rsidR="00582A4F" w:rsidRPr="0049187C">
        <w:rPr>
          <w:lang w:val="ru-RU"/>
        </w:rPr>
        <w:t>ций</w:t>
      </w:r>
      <w:r w:rsidRPr="0049187C">
        <w:rPr>
          <w:lang w:val="ru-RU"/>
        </w:rPr>
        <w:t xml:space="preserve"> в определенный сектор экономики. В некоторых таких</w:t>
      </w:r>
      <w:r w:rsidR="00E1095F">
        <w:rPr>
          <w:lang w:val="ru-RU"/>
        </w:rPr>
        <w:t xml:space="preserve"> случаях целью элемента временн</w:t>
      </w:r>
      <w:r w:rsidR="00E1095F" w:rsidRPr="00B44571">
        <w:rPr>
          <w:lang w:val="ru-RU"/>
        </w:rPr>
        <w:t>ó</w:t>
      </w:r>
      <w:r w:rsidRPr="0049187C">
        <w:rPr>
          <w:lang w:val="ru-RU"/>
        </w:rPr>
        <w:t xml:space="preserve">й стоимости денег не является </w:t>
      </w:r>
      <w:r w:rsidR="00237050">
        <w:rPr>
          <w:lang w:val="ru-RU"/>
        </w:rPr>
        <w:t xml:space="preserve">только </w:t>
      </w:r>
      <w:r w:rsidRPr="0049187C">
        <w:rPr>
          <w:lang w:val="ru-RU"/>
        </w:rPr>
        <w:t xml:space="preserve">обеспечение возмещения </w:t>
      </w:r>
      <w:r w:rsidRPr="00A349DA">
        <w:rPr>
          <w:lang w:val="ru-RU"/>
        </w:rPr>
        <w:t>за прошествие времени.</w:t>
      </w:r>
      <w:r w:rsidRPr="0049187C">
        <w:rPr>
          <w:lang w:val="ru-RU"/>
        </w:rPr>
        <w:t xml:space="preserve"> Однако, несмотря на пункты B4.1.9A–B4.1.9D, регулируемая процентная ставка должна рассматриваться в качес</w:t>
      </w:r>
      <w:r w:rsidR="00E1095F">
        <w:rPr>
          <w:lang w:val="ru-RU"/>
        </w:rPr>
        <w:t>тве показателя элемента временн</w:t>
      </w:r>
      <w:r w:rsidR="00E1095F" w:rsidRPr="00B44571">
        <w:rPr>
          <w:lang w:val="ru-RU"/>
        </w:rPr>
        <w:t>ó</w:t>
      </w:r>
      <w:r w:rsidRPr="0049187C">
        <w:rPr>
          <w:lang w:val="ru-RU"/>
        </w:rPr>
        <w:t xml:space="preserve">й стоимости денег для целей применения </w:t>
      </w:r>
      <w:r w:rsidR="007E6E67">
        <w:rPr>
          <w:lang w:val="ru-RU"/>
        </w:rPr>
        <w:t>требований пунктов</w:t>
      </w:r>
      <w:r w:rsidRPr="0049187C">
        <w:rPr>
          <w:lang w:val="ru-RU"/>
        </w:rPr>
        <w:t xml:space="preserve"> 4.1.2(b) и 4.1.2A(b), если данная регулируемая процентная ставка обеспечивает возмещение, которое в целом соответствует </w:t>
      </w:r>
      <w:r w:rsidRPr="00A349DA">
        <w:rPr>
          <w:lang w:val="ru-RU"/>
        </w:rPr>
        <w:t>прошествию времени</w:t>
      </w:r>
      <w:r w:rsidR="00A349DA" w:rsidRPr="00A349DA">
        <w:rPr>
          <w:lang w:val="ru-RU"/>
        </w:rPr>
        <w:t>,</w:t>
      </w:r>
      <w:r w:rsidR="00A349DA">
        <w:rPr>
          <w:lang w:val="ru-RU"/>
        </w:rPr>
        <w:t xml:space="preserve"> и не обусло</w:t>
      </w:r>
      <w:r w:rsidRPr="0049187C">
        <w:rPr>
          <w:lang w:val="ru-RU"/>
        </w:rPr>
        <w:t xml:space="preserve">вливает подверженность рискам или </w:t>
      </w:r>
      <w:r w:rsidR="001578C6">
        <w:rPr>
          <w:lang w:val="ru-RU"/>
        </w:rPr>
        <w:t>волатильности</w:t>
      </w:r>
      <w:r w:rsidR="00582A4F" w:rsidRPr="0049187C">
        <w:rPr>
          <w:lang w:val="ru-RU"/>
        </w:rPr>
        <w:t xml:space="preserve"> </w:t>
      </w:r>
      <w:r w:rsidRPr="0049187C">
        <w:rPr>
          <w:lang w:val="ru-RU"/>
        </w:rPr>
        <w:t>предусмотренных договором денежных потоков, не соответствующих условиям базового кредитного договора.</w:t>
      </w:r>
    </w:p>
    <w:p w:rsidR="007D4BCC" w:rsidRPr="0049187C" w:rsidRDefault="007D4BCC" w:rsidP="007D4BCC">
      <w:pPr>
        <w:pStyle w:val="IASBSectionTitle4Ind"/>
        <w:rPr>
          <w:lang w:val="ru-RU"/>
        </w:rPr>
      </w:pPr>
      <w:r w:rsidRPr="0049187C">
        <w:rPr>
          <w:lang w:val="ru-RU"/>
        </w:rPr>
        <w:t>Договорные условия, которые изменяют срок</w:t>
      </w:r>
      <w:r w:rsidR="00582A4F" w:rsidRPr="0049187C">
        <w:rPr>
          <w:lang w:val="ru-RU"/>
        </w:rPr>
        <w:t>и</w:t>
      </w:r>
      <w:r w:rsidRPr="0049187C">
        <w:rPr>
          <w:lang w:val="ru-RU"/>
        </w:rPr>
        <w:t xml:space="preserve"> или сумму предусмотренных договором денежных потоков</w:t>
      </w:r>
    </w:p>
    <w:p w:rsidR="007D4BCC" w:rsidRPr="0049187C" w:rsidRDefault="007D4BCC" w:rsidP="007D4BCC">
      <w:pPr>
        <w:pStyle w:val="IASBNormalnpara"/>
        <w:rPr>
          <w:lang w:val="ru-RU"/>
        </w:rPr>
      </w:pPr>
      <w:r w:rsidRPr="0049187C">
        <w:rPr>
          <w:lang w:val="ru-RU"/>
        </w:rPr>
        <w:t>B4.1.10</w:t>
      </w:r>
      <w:r w:rsidRPr="0049187C">
        <w:rPr>
          <w:lang w:val="ru-RU"/>
        </w:rPr>
        <w:tab/>
        <w:t>Если финансовый актив содержит договорное условие, которое может изменить срок</w:t>
      </w:r>
      <w:r w:rsidR="00582A4F" w:rsidRPr="0049187C">
        <w:rPr>
          <w:lang w:val="ru-RU"/>
        </w:rPr>
        <w:t>и</w:t>
      </w:r>
      <w:r w:rsidRPr="0049187C">
        <w:rPr>
          <w:lang w:val="ru-RU"/>
        </w:rPr>
        <w:t xml:space="preserve"> или сумму предусмотренных договором денежных потоков (например, если актив может быть погашен до</w:t>
      </w:r>
      <w:r w:rsidR="00582A4F" w:rsidRPr="0049187C">
        <w:rPr>
          <w:lang w:val="ru-RU"/>
        </w:rPr>
        <w:t xml:space="preserve"> наступления срока погашения</w:t>
      </w:r>
      <w:r w:rsidRPr="0049187C">
        <w:rPr>
          <w:lang w:val="ru-RU"/>
        </w:rPr>
        <w:t xml:space="preserve"> или срок его действия может быть продлен), организация должна определить, являются ли предусмотренные договором денежные потоки, которые могут возникнуть на протяжении срока действия инструмента вследствие такого договорного условия, исключит</w:t>
      </w:r>
      <w:r w:rsidR="008811B9">
        <w:rPr>
          <w:lang w:val="ru-RU"/>
        </w:rPr>
        <w:t>ельно платежами в счет основной суммы</w:t>
      </w:r>
      <w:r w:rsidRPr="0049187C">
        <w:rPr>
          <w:lang w:val="ru-RU"/>
        </w:rPr>
        <w:t xml:space="preserve"> долга и процентов на непогашенную</w:t>
      </w:r>
      <w:r w:rsidR="008811B9">
        <w:rPr>
          <w:lang w:val="ru-RU"/>
        </w:rPr>
        <w:t xml:space="preserve"> часть</w:t>
      </w:r>
      <w:r w:rsidRPr="0049187C">
        <w:rPr>
          <w:lang w:val="ru-RU"/>
        </w:rPr>
        <w:t xml:space="preserve"> </w:t>
      </w:r>
      <w:r w:rsidR="008811B9">
        <w:rPr>
          <w:lang w:val="ru-RU"/>
        </w:rPr>
        <w:t>основной суммы</w:t>
      </w:r>
      <w:r w:rsidRPr="0049187C">
        <w:rPr>
          <w:lang w:val="ru-RU"/>
        </w:rPr>
        <w:t xml:space="preserve"> долга. Для определения данного факта организация должна оценить предусмотренные договором денежные потоки, которые могут возникнуть как до, так и после изменения предусмотренных договором денежных потоков. Организации также может потребоваться оценить характ</w:t>
      </w:r>
      <w:r w:rsidR="00D654DE">
        <w:rPr>
          <w:lang w:val="ru-RU"/>
        </w:rPr>
        <w:t>ер любого условного события (т. </w:t>
      </w:r>
      <w:r w:rsidRPr="0049187C">
        <w:rPr>
          <w:lang w:val="ru-RU"/>
        </w:rPr>
        <w:t xml:space="preserve">е. </w:t>
      </w:r>
      <w:r w:rsidR="007C2525">
        <w:rPr>
          <w:lang w:val="ru-RU"/>
        </w:rPr>
        <w:t>инициирующего</w:t>
      </w:r>
      <w:r w:rsidRPr="0049187C">
        <w:rPr>
          <w:lang w:val="ru-RU"/>
        </w:rPr>
        <w:t xml:space="preserve"> события), которое может изменить срок</w:t>
      </w:r>
      <w:r w:rsidR="00582A4F" w:rsidRPr="0049187C">
        <w:rPr>
          <w:lang w:val="ru-RU"/>
        </w:rPr>
        <w:t>и</w:t>
      </w:r>
      <w:r w:rsidRPr="0049187C">
        <w:rPr>
          <w:lang w:val="ru-RU"/>
        </w:rPr>
        <w:t xml:space="preserve"> или сумму предусмотренных договором денежных потоков. Хотя характер условного события сам по себе не является определяющим фактором при оценке того, являются ли предусмотренные договором денежные потоки исключит</w:t>
      </w:r>
      <w:r w:rsidR="008811B9">
        <w:rPr>
          <w:lang w:val="ru-RU"/>
        </w:rPr>
        <w:t>ельно платежами в счет основной суммы</w:t>
      </w:r>
      <w:r w:rsidRPr="0049187C">
        <w:rPr>
          <w:lang w:val="ru-RU"/>
        </w:rPr>
        <w:t xml:space="preserve"> долга и процентов, он может служить индикатором. </w:t>
      </w:r>
      <w:r w:rsidR="007C2525">
        <w:rPr>
          <w:lang w:val="ru-RU"/>
        </w:rPr>
        <w:t>С</w:t>
      </w:r>
      <w:r w:rsidRPr="0049187C">
        <w:rPr>
          <w:lang w:val="ru-RU"/>
        </w:rPr>
        <w:t>равним</w:t>
      </w:r>
      <w:r w:rsidR="007C2525">
        <w:rPr>
          <w:lang w:val="ru-RU"/>
        </w:rPr>
        <w:t>, например,</w:t>
      </w:r>
      <w:r w:rsidRPr="0049187C">
        <w:rPr>
          <w:lang w:val="ru-RU"/>
        </w:rPr>
        <w:t xml:space="preserve"> финансовый инструмент с процентной ставкой, которая изменяется до более высокой ставки, если должник пропускает определенное количество платежей, с финансовым инструментом с процентной ставкой, которая изменяется до более высокой ставки, если </w:t>
      </w:r>
      <w:r w:rsidR="007C2525">
        <w:rPr>
          <w:lang w:val="ru-RU"/>
        </w:rPr>
        <w:t>оговоренный</w:t>
      </w:r>
      <w:r w:rsidR="007C2525" w:rsidRPr="0049187C">
        <w:rPr>
          <w:lang w:val="ru-RU"/>
        </w:rPr>
        <w:t xml:space="preserve"> </w:t>
      </w:r>
      <w:r w:rsidRPr="0049187C">
        <w:rPr>
          <w:lang w:val="ru-RU"/>
        </w:rPr>
        <w:t xml:space="preserve">индекс капитала достигает определенного уровня. </w:t>
      </w:r>
      <w:r w:rsidR="007C2525">
        <w:rPr>
          <w:lang w:val="ru-RU"/>
        </w:rPr>
        <w:t>Более</w:t>
      </w:r>
      <w:r w:rsidR="007C2525" w:rsidRPr="0049187C">
        <w:rPr>
          <w:lang w:val="ru-RU"/>
        </w:rPr>
        <w:t xml:space="preserve"> </w:t>
      </w:r>
      <w:r w:rsidRPr="0049187C">
        <w:rPr>
          <w:lang w:val="ru-RU"/>
        </w:rPr>
        <w:t>вероятно, что</w:t>
      </w:r>
      <w:r w:rsidR="008B3A67" w:rsidRPr="0049187C">
        <w:rPr>
          <w:lang w:val="ru-RU"/>
        </w:rPr>
        <w:t>,</w:t>
      </w:r>
      <w:r w:rsidRPr="0049187C">
        <w:rPr>
          <w:lang w:val="ru-RU"/>
        </w:rPr>
        <w:t xml:space="preserve"> в первом случае предусмотренные договором денежные потоки на протяжении срока действия инструмента будут являться исключит</w:t>
      </w:r>
      <w:r w:rsidR="008811B9">
        <w:rPr>
          <w:lang w:val="ru-RU"/>
        </w:rPr>
        <w:t>ельно платежами в счет основной суммы</w:t>
      </w:r>
      <w:r w:rsidRPr="0049187C">
        <w:rPr>
          <w:lang w:val="ru-RU"/>
        </w:rPr>
        <w:t xml:space="preserve"> долга и процентов на непогашенную </w:t>
      </w:r>
      <w:r w:rsidR="008811B9">
        <w:rPr>
          <w:lang w:val="ru-RU"/>
        </w:rPr>
        <w:t>часть основной суммы</w:t>
      </w:r>
      <w:r w:rsidRPr="0049187C">
        <w:rPr>
          <w:lang w:val="ru-RU"/>
        </w:rPr>
        <w:t xml:space="preserve"> долга </w:t>
      </w:r>
      <w:r w:rsidR="007C2525">
        <w:rPr>
          <w:lang w:val="ru-RU"/>
        </w:rPr>
        <w:t>по той причине, что они связаны с</w:t>
      </w:r>
      <w:r w:rsidRPr="0049187C">
        <w:rPr>
          <w:lang w:val="ru-RU"/>
        </w:rPr>
        <w:t xml:space="preserve"> пропущенными платежами и увеличением кредитного риска. (См. также пункт B4.1.18.)</w:t>
      </w:r>
    </w:p>
    <w:p w:rsidR="007D4BCC" w:rsidRPr="0049187C" w:rsidRDefault="007D4BCC" w:rsidP="007D4BCC">
      <w:pPr>
        <w:pStyle w:val="IASBNormalnpara"/>
        <w:rPr>
          <w:lang w:val="ru-RU"/>
        </w:rPr>
      </w:pPr>
      <w:r w:rsidRPr="0049187C">
        <w:rPr>
          <w:lang w:val="ru-RU"/>
        </w:rPr>
        <w:t>B4.1.11</w:t>
      </w:r>
      <w:r w:rsidRPr="0049187C">
        <w:rPr>
          <w:lang w:val="ru-RU"/>
        </w:rPr>
        <w:tab/>
        <w:t>Ниже представлены пр</w:t>
      </w:r>
      <w:r w:rsidR="00A349DA">
        <w:rPr>
          <w:lang w:val="ru-RU"/>
        </w:rPr>
        <w:t>имеры договорных условий, обусло</w:t>
      </w:r>
      <w:r w:rsidRPr="0049187C">
        <w:rPr>
          <w:lang w:val="ru-RU"/>
        </w:rPr>
        <w:t>вливающих возникновение предусмотренных договором денежных потоков, которые являются исключит</w:t>
      </w:r>
      <w:r w:rsidR="008811B9">
        <w:rPr>
          <w:lang w:val="ru-RU"/>
        </w:rPr>
        <w:t>ельно платежами в счет основной суммы</w:t>
      </w:r>
      <w:r w:rsidRPr="0049187C">
        <w:rPr>
          <w:lang w:val="ru-RU"/>
        </w:rPr>
        <w:t xml:space="preserve"> долга и процентов на непогашенную </w:t>
      </w:r>
      <w:r w:rsidR="008811B9">
        <w:rPr>
          <w:lang w:val="ru-RU"/>
        </w:rPr>
        <w:t>часть основной суммы</w:t>
      </w:r>
      <w:r w:rsidRPr="0049187C">
        <w:rPr>
          <w:lang w:val="ru-RU"/>
        </w:rPr>
        <w:t xml:space="preserve"> долга:</w:t>
      </w:r>
    </w:p>
    <w:p w:rsidR="007D4BCC" w:rsidRPr="0049187C" w:rsidRDefault="007D4BCC" w:rsidP="004D2F3F">
      <w:pPr>
        <w:pStyle w:val="IASBNormalnparaL1"/>
        <w:numPr>
          <w:ilvl w:val="0"/>
          <w:numId w:val="33"/>
        </w:numPr>
        <w:ind w:left="1418" w:hanging="567"/>
        <w:rPr>
          <w:lang w:val="ru-RU"/>
        </w:rPr>
      </w:pPr>
      <w:r w:rsidRPr="0049187C">
        <w:rPr>
          <w:lang w:val="ru-RU"/>
        </w:rPr>
        <w:t xml:space="preserve">переменная процентная ставка, </w:t>
      </w:r>
      <w:r w:rsidR="007C2525">
        <w:rPr>
          <w:lang w:val="ru-RU"/>
        </w:rPr>
        <w:t>включающая в себя</w:t>
      </w:r>
      <w:r w:rsidR="00C67977">
        <w:rPr>
          <w:lang w:val="ru-RU"/>
        </w:rPr>
        <w:t xml:space="preserve"> возмещение за временнý</w:t>
      </w:r>
      <w:r w:rsidRPr="0049187C">
        <w:rPr>
          <w:lang w:val="ru-RU"/>
        </w:rPr>
        <w:t>ю стоимость денег, кредитный риск</w:t>
      </w:r>
      <w:r w:rsidR="00A73D9D">
        <w:rPr>
          <w:lang w:val="ru-RU"/>
        </w:rPr>
        <w:t xml:space="preserve"> в отношении</w:t>
      </w:r>
      <w:r w:rsidRPr="0049187C">
        <w:rPr>
          <w:lang w:val="ru-RU"/>
        </w:rPr>
        <w:t xml:space="preserve"> </w:t>
      </w:r>
      <w:r w:rsidR="008811B9">
        <w:rPr>
          <w:lang w:val="ru-RU"/>
        </w:rPr>
        <w:t xml:space="preserve">основной </w:t>
      </w:r>
      <w:r w:rsidR="00A73D9D">
        <w:rPr>
          <w:lang w:val="ru-RU"/>
        </w:rPr>
        <w:t>суммы</w:t>
      </w:r>
      <w:r w:rsidRPr="0049187C">
        <w:rPr>
          <w:lang w:val="ru-RU"/>
        </w:rPr>
        <w:t xml:space="preserve"> долга</w:t>
      </w:r>
      <w:r w:rsidR="008B3A67" w:rsidRPr="0049187C">
        <w:rPr>
          <w:lang w:val="ru-RU"/>
        </w:rPr>
        <w:t xml:space="preserve">, </w:t>
      </w:r>
      <w:r w:rsidR="00A73D9D">
        <w:rPr>
          <w:lang w:val="ru-RU"/>
        </w:rPr>
        <w:t>остающейся не</w:t>
      </w:r>
      <w:r w:rsidR="008B3A67" w:rsidRPr="0049187C">
        <w:rPr>
          <w:lang w:val="ru-RU"/>
        </w:rPr>
        <w:t>погашенной</w:t>
      </w:r>
      <w:r w:rsidRPr="0049187C">
        <w:rPr>
          <w:lang w:val="ru-RU"/>
        </w:rPr>
        <w:t xml:space="preserve"> в течение определенного периода времени (возмещение за кредитный риск может быть установлено только при первоначальном признании и, таким образом, может быть фиксированным), и другие </w:t>
      </w:r>
      <w:r w:rsidR="00A73D9D">
        <w:rPr>
          <w:lang w:val="ru-RU"/>
        </w:rPr>
        <w:t>обычные</w:t>
      </w:r>
      <w:r w:rsidRPr="0049187C">
        <w:rPr>
          <w:lang w:val="ru-RU"/>
        </w:rPr>
        <w:t xml:space="preserve"> риски и затраты</w:t>
      </w:r>
      <w:r w:rsidR="00A73D9D">
        <w:rPr>
          <w:lang w:val="ru-RU"/>
        </w:rPr>
        <w:t xml:space="preserve">, связанные </w:t>
      </w:r>
      <w:r w:rsidRPr="0049187C">
        <w:rPr>
          <w:lang w:val="ru-RU"/>
        </w:rPr>
        <w:t xml:space="preserve">с кредитованием, а также </w:t>
      </w:r>
      <w:r w:rsidR="00A73D9D">
        <w:rPr>
          <w:lang w:val="ru-RU"/>
        </w:rPr>
        <w:t>маржу</w:t>
      </w:r>
      <w:r w:rsidR="007C2525" w:rsidRPr="0049187C">
        <w:rPr>
          <w:lang w:val="ru-RU"/>
        </w:rPr>
        <w:t xml:space="preserve"> </w:t>
      </w:r>
      <w:r w:rsidRPr="0049187C">
        <w:rPr>
          <w:lang w:val="ru-RU"/>
        </w:rPr>
        <w:t>прибыли;</w:t>
      </w:r>
    </w:p>
    <w:p w:rsidR="007D4BCC" w:rsidRPr="0049187C" w:rsidRDefault="007D4BCC" w:rsidP="004D2F3F">
      <w:pPr>
        <w:pStyle w:val="IASBNormalnparaL1"/>
        <w:numPr>
          <w:ilvl w:val="0"/>
          <w:numId w:val="33"/>
        </w:numPr>
        <w:ind w:left="1418" w:hanging="567"/>
        <w:rPr>
          <w:lang w:val="ru-RU"/>
        </w:rPr>
      </w:pPr>
      <w:r w:rsidRPr="0049187C">
        <w:rPr>
          <w:lang w:val="ru-RU"/>
        </w:rPr>
        <w:t>договорное ус</w:t>
      </w:r>
      <w:r w:rsidR="00D654DE">
        <w:rPr>
          <w:lang w:val="ru-RU"/>
        </w:rPr>
        <w:t>ловие, позволяющее эмитенту (т. </w:t>
      </w:r>
      <w:r w:rsidRPr="0049187C">
        <w:rPr>
          <w:lang w:val="ru-RU"/>
        </w:rPr>
        <w:t>е. должнику) досрочно погасить долговой инструмен</w:t>
      </w:r>
      <w:r w:rsidR="00D654DE">
        <w:rPr>
          <w:lang w:val="ru-RU"/>
        </w:rPr>
        <w:t>т или позволяющее держателю (т. </w:t>
      </w:r>
      <w:r w:rsidRPr="0049187C">
        <w:rPr>
          <w:lang w:val="ru-RU"/>
        </w:rPr>
        <w:t xml:space="preserve">е. кредитору) возвратить долговой инструмент обратно эмитенту до </w:t>
      </w:r>
      <w:r w:rsidR="008B3A67" w:rsidRPr="0049187C">
        <w:rPr>
          <w:lang w:val="ru-RU"/>
        </w:rPr>
        <w:t xml:space="preserve">наступления срока </w:t>
      </w:r>
      <w:r w:rsidRPr="0049187C">
        <w:rPr>
          <w:lang w:val="ru-RU"/>
        </w:rPr>
        <w:t xml:space="preserve">его погашения, </w:t>
      </w:r>
      <w:r w:rsidR="007C2525">
        <w:rPr>
          <w:lang w:val="ru-RU"/>
        </w:rPr>
        <w:t xml:space="preserve">и </w:t>
      </w:r>
      <w:r w:rsidRPr="0049187C">
        <w:rPr>
          <w:lang w:val="ru-RU"/>
        </w:rPr>
        <w:t>при этом сумма</w:t>
      </w:r>
      <w:r w:rsidR="00AF58AF">
        <w:rPr>
          <w:lang w:val="ru-RU"/>
        </w:rPr>
        <w:t>,</w:t>
      </w:r>
      <w:r w:rsidR="0064569F">
        <w:rPr>
          <w:lang w:val="ru-RU"/>
        </w:rPr>
        <w:t xml:space="preserve"> уплаченная при досрочном погашении,</w:t>
      </w:r>
      <w:r w:rsidRPr="0049187C">
        <w:rPr>
          <w:lang w:val="ru-RU"/>
        </w:rPr>
        <w:t xml:space="preserve"> представляет по существу невыплаченные </w:t>
      </w:r>
      <w:r w:rsidR="008811B9">
        <w:rPr>
          <w:lang w:val="ru-RU"/>
        </w:rPr>
        <w:t>основные суммы</w:t>
      </w:r>
      <w:r w:rsidRPr="0049187C">
        <w:rPr>
          <w:lang w:val="ru-RU"/>
        </w:rPr>
        <w:t xml:space="preserve"> долга и процентов на непогашенную </w:t>
      </w:r>
      <w:r w:rsidR="008811B9">
        <w:rPr>
          <w:lang w:val="ru-RU"/>
        </w:rPr>
        <w:t>часть основной суммы</w:t>
      </w:r>
      <w:r w:rsidRPr="0049187C">
        <w:rPr>
          <w:lang w:val="ru-RU"/>
        </w:rPr>
        <w:t xml:space="preserve"> долга</w:t>
      </w:r>
      <w:r w:rsidR="0064569F">
        <w:rPr>
          <w:lang w:val="ru-RU"/>
        </w:rPr>
        <w:t>, которые могут</w:t>
      </w:r>
      <w:r w:rsidRPr="0049187C">
        <w:rPr>
          <w:lang w:val="ru-RU"/>
        </w:rPr>
        <w:t xml:space="preserve"> включать обоснованное возмещение за досрочное расторжение договора; и</w:t>
      </w:r>
    </w:p>
    <w:p w:rsidR="007D4BCC" w:rsidRPr="0049187C" w:rsidRDefault="007D4BCC" w:rsidP="004D2F3F">
      <w:pPr>
        <w:pStyle w:val="IASBNormalnparaL1"/>
        <w:numPr>
          <w:ilvl w:val="0"/>
          <w:numId w:val="33"/>
        </w:numPr>
        <w:ind w:left="1418" w:hanging="567"/>
        <w:rPr>
          <w:lang w:val="ru-RU"/>
        </w:rPr>
      </w:pPr>
      <w:r w:rsidRPr="0049187C">
        <w:rPr>
          <w:lang w:val="ru-RU"/>
        </w:rPr>
        <w:t>договорное условие, позволяющее эмитенту или держателю</w:t>
      </w:r>
      <w:r w:rsidR="0064569F">
        <w:rPr>
          <w:lang w:val="ru-RU"/>
        </w:rPr>
        <w:t xml:space="preserve"> долгового инструмента</w:t>
      </w:r>
      <w:r w:rsidRPr="0049187C">
        <w:rPr>
          <w:lang w:val="ru-RU"/>
        </w:rPr>
        <w:t xml:space="preserve"> </w:t>
      </w:r>
      <w:r w:rsidR="0064569F" w:rsidRPr="0049187C">
        <w:rPr>
          <w:lang w:val="ru-RU"/>
        </w:rPr>
        <w:t>продл</w:t>
      </w:r>
      <w:r w:rsidR="0064569F">
        <w:rPr>
          <w:lang w:val="ru-RU"/>
        </w:rPr>
        <w:t>евать</w:t>
      </w:r>
      <w:r w:rsidR="0064569F" w:rsidRPr="0049187C">
        <w:rPr>
          <w:lang w:val="ru-RU"/>
        </w:rPr>
        <w:t xml:space="preserve"> </w:t>
      </w:r>
      <w:r w:rsidRPr="0049187C">
        <w:rPr>
          <w:lang w:val="ru-RU"/>
        </w:rPr>
        <w:t xml:space="preserve">договорной срок </w:t>
      </w:r>
      <w:r w:rsidR="0064569F">
        <w:rPr>
          <w:lang w:val="ru-RU"/>
        </w:rPr>
        <w:t>его</w:t>
      </w:r>
      <w:r w:rsidR="0064569F" w:rsidRPr="0049187C">
        <w:rPr>
          <w:lang w:val="ru-RU"/>
        </w:rPr>
        <w:t xml:space="preserve"> </w:t>
      </w:r>
      <w:r w:rsidR="00D654DE">
        <w:rPr>
          <w:lang w:val="ru-RU"/>
        </w:rPr>
        <w:t>действия (т.</w:t>
      </w:r>
      <w:r w:rsidR="00D654DE">
        <w:t> </w:t>
      </w:r>
      <w:r w:rsidRPr="0049187C">
        <w:rPr>
          <w:lang w:val="ru-RU"/>
        </w:rPr>
        <w:t>е. опцион на продление срока), при этом условия опциона на продление срока приводят к возникновению предусмотренных договором денежных потоков в течение продленного периода, которые являются исключит</w:t>
      </w:r>
      <w:r w:rsidR="008811B9">
        <w:rPr>
          <w:lang w:val="ru-RU"/>
        </w:rPr>
        <w:t>ельно платежами в счет основной суммы</w:t>
      </w:r>
      <w:r w:rsidRPr="0049187C">
        <w:rPr>
          <w:lang w:val="ru-RU"/>
        </w:rPr>
        <w:t xml:space="preserve"> долга и процентов на непогашенную </w:t>
      </w:r>
      <w:r w:rsidR="008811B9">
        <w:rPr>
          <w:lang w:val="ru-RU"/>
        </w:rPr>
        <w:t>часть основной суммы</w:t>
      </w:r>
      <w:r w:rsidRPr="0049187C">
        <w:rPr>
          <w:lang w:val="ru-RU"/>
        </w:rPr>
        <w:t xml:space="preserve"> долга</w:t>
      </w:r>
      <w:r w:rsidR="0064569F">
        <w:rPr>
          <w:lang w:val="ru-RU"/>
        </w:rPr>
        <w:t xml:space="preserve">, которые </w:t>
      </w:r>
      <w:r w:rsidRPr="0049187C">
        <w:rPr>
          <w:lang w:val="ru-RU"/>
        </w:rPr>
        <w:t>могут включать обоснованное дополнительное возмещение за продление договора.</w:t>
      </w:r>
    </w:p>
    <w:p w:rsidR="007D4BCC" w:rsidRPr="0049187C" w:rsidRDefault="007D4BCC" w:rsidP="007D4BCC">
      <w:pPr>
        <w:pStyle w:val="IASBNormalnpara"/>
        <w:rPr>
          <w:lang w:val="ru-RU"/>
        </w:rPr>
      </w:pPr>
      <w:r w:rsidRPr="0049187C">
        <w:rPr>
          <w:lang w:val="ru-RU"/>
        </w:rPr>
        <w:t>B4.1.12</w:t>
      </w:r>
      <w:r w:rsidRPr="0049187C">
        <w:rPr>
          <w:lang w:val="ru-RU"/>
        </w:rPr>
        <w:tab/>
        <w:t xml:space="preserve">Несмотря на положения пункта B4.1.10, финансовый актив, который в противном случае удовлетворял </w:t>
      </w:r>
      <w:r w:rsidR="0064569F" w:rsidRPr="0049187C">
        <w:rPr>
          <w:lang w:val="ru-RU"/>
        </w:rPr>
        <w:t xml:space="preserve">бы </w:t>
      </w:r>
      <w:r w:rsidRPr="0049187C">
        <w:rPr>
          <w:lang w:val="ru-RU"/>
        </w:rPr>
        <w:t>условию в пунктах 4.1.2(b) и 4.1.2A(b), но не удовлетворяет ему только вследствие договорного условия, которое позволяет эмитенту (или требует от эмитента) досрочно погасить долговой инструмент или позволяет держателю (или требует от держателя) возвратить долговой инструмент обратно эмитенту до его погашения, может оцениваться по амортизированной стоимости или по справедливой стоимости через прочий совокупный доход (</w:t>
      </w:r>
      <w:r w:rsidR="0064569F">
        <w:rPr>
          <w:lang w:val="ru-RU"/>
        </w:rPr>
        <w:t>при</w:t>
      </w:r>
      <w:r w:rsidR="0064569F" w:rsidRPr="0049187C">
        <w:rPr>
          <w:lang w:val="ru-RU"/>
        </w:rPr>
        <w:t xml:space="preserve"> </w:t>
      </w:r>
      <w:r w:rsidR="0064569F">
        <w:rPr>
          <w:lang w:val="ru-RU"/>
        </w:rPr>
        <w:t>выполнении</w:t>
      </w:r>
      <w:r w:rsidRPr="0049187C">
        <w:rPr>
          <w:lang w:val="ru-RU"/>
        </w:rPr>
        <w:t xml:space="preserve"> </w:t>
      </w:r>
      <w:r w:rsidR="007E6E67">
        <w:rPr>
          <w:lang w:val="ru-RU"/>
        </w:rPr>
        <w:t>требования</w:t>
      </w:r>
      <w:r w:rsidR="0064569F" w:rsidRPr="0049187C">
        <w:rPr>
          <w:lang w:val="ru-RU"/>
        </w:rPr>
        <w:t xml:space="preserve"> </w:t>
      </w:r>
      <w:r w:rsidR="007E6E67">
        <w:rPr>
          <w:lang w:val="ru-RU"/>
        </w:rPr>
        <w:t>пункта</w:t>
      </w:r>
      <w:r w:rsidRPr="0049187C">
        <w:rPr>
          <w:lang w:val="ru-RU"/>
        </w:rPr>
        <w:t xml:space="preserve"> 4.1.2(a) или </w:t>
      </w:r>
      <w:r w:rsidR="007E6E67">
        <w:rPr>
          <w:lang w:val="ru-RU"/>
        </w:rPr>
        <w:t>требования пункта</w:t>
      </w:r>
      <w:r w:rsidRPr="0049187C">
        <w:rPr>
          <w:lang w:val="ru-RU"/>
        </w:rPr>
        <w:t xml:space="preserve"> 4.1.2A(a)), если:</w:t>
      </w:r>
    </w:p>
    <w:p w:rsidR="007D4BCC" w:rsidRPr="0049187C" w:rsidRDefault="007D4BCC" w:rsidP="007D4BCC">
      <w:pPr>
        <w:pStyle w:val="IASBNormalnparaL1"/>
        <w:rPr>
          <w:lang w:val="ru-RU"/>
        </w:rPr>
      </w:pPr>
      <w:r w:rsidRPr="0049187C">
        <w:rPr>
          <w:lang w:val="ru-RU"/>
        </w:rPr>
        <w:t>(a)</w:t>
      </w:r>
      <w:r w:rsidRPr="0049187C">
        <w:rPr>
          <w:lang w:val="ru-RU"/>
        </w:rPr>
        <w:tab/>
        <w:t xml:space="preserve">организация приобретает или </w:t>
      </w:r>
      <w:r w:rsidR="007C6E9B">
        <w:rPr>
          <w:lang w:val="ru-RU"/>
        </w:rPr>
        <w:t>создает</w:t>
      </w:r>
      <w:r w:rsidR="008B3A67" w:rsidRPr="0049187C">
        <w:rPr>
          <w:lang w:val="ru-RU"/>
        </w:rPr>
        <w:t xml:space="preserve"> </w:t>
      </w:r>
      <w:r w:rsidRPr="0049187C">
        <w:rPr>
          <w:lang w:val="ru-RU"/>
        </w:rPr>
        <w:t>финансовый актив с премией или скидкой по отношению к договорной номинальной стоимости;</w:t>
      </w:r>
    </w:p>
    <w:p w:rsidR="007D4BCC" w:rsidRPr="0049187C" w:rsidRDefault="007D4BCC" w:rsidP="007D4BCC">
      <w:pPr>
        <w:pStyle w:val="IASBNormalnparaL1"/>
        <w:rPr>
          <w:lang w:val="ru-RU"/>
        </w:rPr>
      </w:pPr>
      <w:r w:rsidRPr="0049187C">
        <w:rPr>
          <w:lang w:val="ru-RU"/>
        </w:rPr>
        <w:t>(b)</w:t>
      </w:r>
      <w:r w:rsidRPr="0049187C">
        <w:rPr>
          <w:lang w:val="ru-RU"/>
        </w:rPr>
        <w:tab/>
        <w:t>сумма</w:t>
      </w:r>
      <w:r w:rsidR="0064569F">
        <w:rPr>
          <w:lang w:val="ru-RU"/>
        </w:rPr>
        <w:t>, уплачиваемая при досрочном погашении,</w:t>
      </w:r>
      <w:r w:rsidRPr="0049187C">
        <w:rPr>
          <w:lang w:val="ru-RU"/>
        </w:rPr>
        <w:t xml:space="preserve"> представляет, по существу, договорную номинальную стоимость и начисленные (но не выплаченные) предусмотренные договором проценты и может включать обоснованное возмещение за досрочное расторжение договора; и</w:t>
      </w:r>
    </w:p>
    <w:p w:rsidR="007D4BCC" w:rsidRDefault="007D4BCC" w:rsidP="007D4BCC">
      <w:pPr>
        <w:pStyle w:val="IASBNormalnparaL1"/>
        <w:rPr>
          <w:lang w:val="ru-RU"/>
        </w:rPr>
      </w:pPr>
      <w:r w:rsidRPr="0049187C">
        <w:rPr>
          <w:lang w:val="ru-RU"/>
        </w:rPr>
        <w:t>(c)</w:t>
      </w:r>
      <w:r w:rsidRPr="0049187C">
        <w:rPr>
          <w:lang w:val="ru-RU"/>
        </w:rPr>
        <w:tab/>
        <w:t>при первоначальном признании финансового актива организацией справедливая стоимость условия досрочного погашения является незначительной.</w:t>
      </w:r>
    </w:p>
    <w:p w:rsidR="00091D6F" w:rsidRPr="00091D6F" w:rsidRDefault="00091D6F" w:rsidP="00091D6F">
      <w:pPr>
        <w:spacing w:before="100"/>
        <w:ind w:left="782" w:hanging="782"/>
        <w:jc w:val="both"/>
        <w:rPr>
          <w:sz w:val="19"/>
          <w:szCs w:val="20"/>
          <w:lang w:val="ru-RU"/>
        </w:rPr>
      </w:pPr>
      <w:r w:rsidRPr="00091D6F">
        <w:rPr>
          <w:sz w:val="19"/>
          <w:szCs w:val="20"/>
          <w:lang w:val="en-US"/>
        </w:rPr>
        <w:t>B</w:t>
      </w:r>
      <w:r w:rsidRPr="00091D6F">
        <w:rPr>
          <w:sz w:val="19"/>
          <w:szCs w:val="20"/>
          <w:lang w:val="ru-RU"/>
        </w:rPr>
        <w:t>4.1.12</w:t>
      </w:r>
      <w:r w:rsidRPr="00091D6F">
        <w:rPr>
          <w:sz w:val="19"/>
          <w:szCs w:val="20"/>
          <w:lang w:val="en-US"/>
        </w:rPr>
        <w:t>A </w:t>
      </w:r>
      <w:r w:rsidRPr="00091D6F">
        <w:rPr>
          <w:sz w:val="19"/>
          <w:szCs w:val="20"/>
          <w:lang w:val="ru-RU"/>
        </w:rPr>
        <w:t xml:space="preserve">В целях применения пунктов </w:t>
      </w:r>
      <w:r w:rsidRPr="00091D6F">
        <w:rPr>
          <w:sz w:val="19"/>
          <w:szCs w:val="20"/>
          <w:lang w:val="en-US"/>
        </w:rPr>
        <w:t>B</w:t>
      </w:r>
      <w:r w:rsidRPr="00091D6F">
        <w:rPr>
          <w:sz w:val="19"/>
          <w:szCs w:val="20"/>
          <w:lang w:val="ru-RU"/>
        </w:rPr>
        <w:t>4.1.11(</w:t>
      </w:r>
      <w:r w:rsidRPr="00091D6F">
        <w:rPr>
          <w:sz w:val="19"/>
          <w:szCs w:val="20"/>
          <w:lang w:val="en-US"/>
        </w:rPr>
        <w:t>b</w:t>
      </w:r>
      <w:r w:rsidRPr="00091D6F">
        <w:rPr>
          <w:sz w:val="19"/>
          <w:szCs w:val="20"/>
          <w:lang w:val="ru-RU"/>
        </w:rPr>
        <w:t xml:space="preserve">) и </w:t>
      </w:r>
      <w:r w:rsidRPr="00091D6F">
        <w:rPr>
          <w:sz w:val="19"/>
          <w:szCs w:val="20"/>
          <w:lang w:val="en-US"/>
        </w:rPr>
        <w:t>B</w:t>
      </w:r>
      <w:r w:rsidRPr="00091D6F">
        <w:rPr>
          <w:sz w:val="19"/>
          <w:szCs w:val="20"/>
          <w:lang w:val="ru-RU"/>
        </w:rPr>
        <w:t>4.1.12(</w:t>
      </w:r>
      <w:r w:rsidRPr="00091D6F">
        <w:rPr>
          <w:sz w:val="19"/>
          <w:szCs w:val="20"/>
          <w:lang w:val="en-US"/>
        </w:rPr>
        <w:t>b</w:t>
      </w:r>
      <w:r w:rsidRPr="00091D6F">
        <w:rPr>
          <w:sz w:val="19"/>
          <w:szCs w:val="20"/>
          <w:lang w:val="ru-RU"/>
        </w:rPr>
        <w:t xml:space="preserve">), независимо от того, какое событие или обстоятельство  привело к досрочному расторжению договора, сторона по договору может выплатить </w:t>
      </w:r>
      <w:r w:rsidRPr="00091D6F">
        <w:rPr>
          <w:b/>
          <w:sz w:val="19"/>
          <w:szCs w:val="20"/>
          <w:lang w:val="ru-RU"/>
        </w:rPr>
        <w:t>или</w:t>
      </w:r>
      <w:r w:rsidRPr="00091D6F">
        <w:rPr>
          <w:sz w:val="19"/>
          <w:szCs w:val="20"/>
          <w:lang w:val="ru-RU"/>
        </w:rPr>
        <w:t xml:space="preserve"> получить обоснованное возмещение за досрочное расторжение договора. Например, возможным следствием принятого одной из сторон решения о досрочном расторжении договора (или иных действий, вызвавших его досрочное расторжение), является выплата или получение ею обоснованного возмещения.</w:t>
      </w:r>
    </w:p>
    <w:p w:rsidR="00091D6F" w:rsidRPr="0049187C" w:rsidRDefault="00091D6F" w:rsidP="00091D6F">
      <w:pPr>
        <w:pStyle w:val="IASBNormalnparaL1"/>
        <w:ind w:hanging="713"/>
        <w:rPr>
          <w:lang w:val="ru-RU"/>
        </w:rPr>
      </w:pPr>
    </w:p>
    <w:p w:rsidR="007D4BCC" w:rsidRPr="0049187C" w:rsidRDefault="007D4BCC" w:rsidP="007D4BCC">
      <w:pPr>
        <w:pStyle w:val="IASBNormalnpara"/>
        <w:rPr>
          <w:lang w:val="ru-RU"/>
        </w:rPr>
      </w:pPr>
      <w:r w:rsidRPr="0049187C">
        <w:rPr>
          <w:lang w:val="ru-RU"/>
        </w:rPr>
        <w:t>B4.1.13</w:t>
      </w:r>
      <w:r w:rsidRPr="0049187C">
        <w:rPr>
          <w:lang w:val="ru-RU"/>
        </w:rPr>
        <w:tab/>
        <w:t>Представленные ниже примеры иллюстрируют предусмотренные договором денежные потоки, которые являются исключит</w:t>
      </w:r>
      <w:r w:rsidR="008811B9">
        <w:rPr>
          <w:lang w:val="ru-RU"/>
        </w:rPr>
        <w:t>ельно платежами в счет основной суммы</w:t>
      </w:r>
      <w:r w:rsidRPr="0049187C">
        <w:rPr>
          <w:lang w:val="ru-RU"/>
        </w:rPr>
        <w:t xml:space="preserve"> долга и процентов на непогашенную </w:t>
      </w:r>
      <w:r w:rsidR="008811B9">
        <w:rPr>
          <w:lang w:val="ru-RU"/>
        </w:rPr>
        <w:t>часть основной суммы</w:t>
      </w:r>
      <w:r w:rsidRPr="0049187C">
        <w:rPr>
          <w:lang w:val="ru-RU"/>
        </w:rPr>
        <w:t xml:space="preserve"> долга. Представленный перечень примеров не является исчерпывающим.</w:t>
      </w:r>
    </w:p>
    <w:p w:rsidR="007D4BCC" w:rsidRPr="0049187C" w:rsidRDefault="007D4BCC" w:rsidP="007D4BCC">
      <w:pPr>
        <w:pStyle w:val="IASBNormalnpara"/>
        <w:rPr>
          <w:lang w:val="ru-RU"/>
        </w:rPr>
      </w:pPr>
    </w:p>
    <w:tbl>
      <w:tblPr>
        <w:tblW w:w="0" w:type="auto"/>
        <w:tblInd w:w="964" w:type="dxa"/>
        <w:tblLayout w:type="fixed"/>
        <w:tblLook w:val="0000" w:firstRow="0" w:lastRow="0" w:firstColumn="0" w:lastColumn="0" w:noHBand="0" w:noVBand="0"/>
      </w:tblPr>
      <w:tblGrid>
        <w:gridCol w:w="3694"/>
        <w:gridCol w:w="4459"/>
      </w:tblGrid>
      <w:tr w:rsidR="007D4BCC" w:rsidRPr="0049187C" w:rsidTr="00F042EC">
        <w:tblPrEx>
          <w:tblCellMar>
            <w:top w:w="0" w:type="dxa"/>
            <w:bottom w:w="0" w:type="dxa"/>
          </w:tblCellMar>
        </w:tblPrEx>
        <w:trPr>
          <w:tblHeader/>
        </w:trPr>
        <w:tc>
          <w:tcPr>
            <w:tcW w:w="3694" w:type="dxa"/>
            <w:tcBorders>
              <w:top w:val="single" w:sz="4" w:space="0" w:color="auto"/>
              <w:left w:val="single" w:sz="4" w:space="0" w:color="auto"/>
              <w:bottom w:val="single" w:sz="4" w:space="0" w:color="auto"/>
              <w:right w:val="single" w:sz="4" w:space="0" w:color="auto"/>
            </w:tcBorders>
            <w:vAlign w:val="bottom"/>
          </w:tcPr>
          <w:p w:rsidR="007D4BCC" w:rsidRPr="0049187C" w:rsidRDefault="007D4BCC" w:rsidP="00C47E8A">
            <w:pPr>
              <w:pStyle w:val="IASBTableHeaderArial"/>
              <w:rPr>
                <w:lang w:val="ru-RU"/>
              </w:rPr>
            </w:pPr>
            <w:r w:rsidRPr="0049187C">
              <w:rPr>
                <w:b/>
                <w:lang w:val="ru-RU"/>
              </w:rPr>
              <w:t>Инструмент</w:t>
            </w:r>
          </w:p>
        </w:tc>
        <w:tc>
          <w:tcPr>
            <w:tcW w:w="4459" w:type="dxa"/>
            <w:tcBorders>
              <w:top w:val="single" w:sz="4" w:space="0" w:color="auto"/>
              <w:left w:val="nil"/>
              <w:bottom w:val="single" w:sz="4" w:space="0" w:color="auto"/>
              <w:right w:val="single" w:sz="4" w:space="0" w:color="auto"/>
            </w:tcBorders>
            <w:vAlign w:val="bottom"/>
          </w:tcPr>
          <w:p w:rsidR="007D4BCC" w:rsidRPr="0049187C" w:rsidRDefault="007D4BCC" w:rsidP="00C47E8A">
            <w:pPr>
              <w:pStyle w:val="IASBTableHeaderArial"/>
              <w:rPr>
                <w:lang w:val="ru-RU"/>
              </w:rPr>
            </w:pPr>
            <w:r w:rsidRPr="0049187C">
              <w:rPr>
                <w:b/>
                <w:lang w:val="ru-RU"/>
              </w:rPr>
              <w:t>Анализ</w:t>
            </w:r>
          </w:p>
        </w:tc>
      </w:tr>
      <w:tr w:rsidR="007D4BCC" w:rsidRPr="0049187C" w:rsidTr="00F042EC">
        <w:tblPrEx>
          <w:tblCellMar>
            <w:top w:w="0" w:type="dxa"/>
            <w:bottom w:w="0" w:type="dxa"/>
          </w:tblCellMar>
        </w:tblPrEx>
        <w:tc>
          <w:tcPr>
            <w:tcW w:w="3694" w:type="dxa"/>
            <w:tcBorders>
              <w:top w:val="nil"/>
              <w:left w:val="single" w:sz="4" w:space="0" w:color="auto"/>
              <w:bottom w:val="single" w:sz="4" w:space="0" w:color="auto"/>
              <w:right w:val="single" w:sz="4" w:space="0" w:color="auto"/>
            </w:tcBorders>
          </w:tcPr>
          <w:p w:rsidR="007D4BCC" w:rsidRPr="0049187C" w:rsidRDefault="007D4BCC" w:rsidP="00C47E8A">
            <w:pPr>
              <w:pStyle w:val="IASBTableTNR"/>
              <w:rPr>
                <w:lang w:val="ru-RU"/>
              </w:rPr>
            </w:pPr>
            <w:r w:rsidRPr="0049187C">
              <w:rPr>
                <w:b/>
                <w:lang w:val="ru-RU"/>
              </w:rPr>
              <w:t>Инструмент A</w:t>
            </w:r>
          </w:p>
          <w:p w:rsidR="007D4BCC" w:rsidRPr="0049187C" w:rsidRDefault="007D4BCC" w:rsidP="009C0510">
            <w:pPr>
              <w:pStyle w:val="IASBTableTNR"/>
              <w:rPr>
                <w:lang w:val="ru-RU"/>
              </w:rPr>
            </w:pPr>
            <w:r w:rsidRPr="0049187C">
              <w:rPr>
                <w:lang w:val="ru-RU"/>
              </w:rPr>
              <w:t>Инструмент А представляет собой облигацию с заявленной датой пог</w:t>
            </w:r>
            <w:r w:rsidR="008811B9">
              <w:rPr>
                <w:lang w:val="ru-RU"/>
              </w:rPr>
              <w:t>ашения. Платежи в счет основной суммы</w:t>
            </w:r>
            <w:r w:rsidRPr="0049187C">
              <w:rPr>
                <w:lang w:val="ru-RU"/>
              </w:rPr>
              <w:t xml:space="preserve"> долга и процентов на непогашенную </w:t>
            </w:r>
            <w:r w:rsidR="008811B9">
              <w:rPr>
                <w:lang w:val="ru-RU"/>
              </w:rPr>
              <w:t>часть основной суммы</w:t>
            </w:r>
            <w:r w:rsidRPr="0049187C">
              <w:rPr>
                <w:lang w:val="ru-RU"/>
              </w:rPr>
              <w:t xml:space="preserve"> долга привяз</w:t>
            </w:r>
            <w:r w:rsidR="00E76219">
              <w:rPr>
                <w:lang w:val="ru-RU"/>
              </w:rPr>
              <w:t>аны</w:t>
            </w:r>
            <w:r w:rsidRPr="0049187C">
              <w:rPr>
                <w:lang w:val="ru-RU"/>
              </w:rPr>
              <w:t xml:space="preserve"> к индексу инфляции той валюты, в которой выпущен инструмент. Привязка к инфляции не</w:t>
            </w:r>
            <w:r w:rsidR="00E76219">
              <w:rPr>
                <w:lang w:val="ru-RU"/>
              </w:rPr>
              <w:t xml:space="preserve"> </w:t>
            </w:r>
            <w:r w:rsidR="009C0510">
              <w:rPr>
                <w:lang w:val="ru-RU"/>
              </w:rPr>
              <w:t>подвержена эффекту рычага</w:t>
            </w:r>
            <w:r w:rsidRPr="0049187C">
              <w:rPr>
                <w:lang w:val="ru-RU"/>
              </w:rPr>
              <w:t>, и основная сумма долга защищена.</w:t>
            </w:r>
          </w:p>
        </w:tc>
        <w:tc>
          <w:tcPr>
            <w:tcW w:w="4459" w:type="dxa"/>
            <w:tcBorders>
              <w:top w:val="nil"/>
              <w:left w:val="nil"/>
              <w:bottom w:val="single" w:sz="4" w:space="0" w:color="auto"/>
              <w:right w:val="single" w:sz="4" w:space="0" w:color="auto"/>
            </w:tcBorders>
          </w:tcPr>
          <w:p w:rsidR="007D4BCC" w:rsidRPr="0049187C" w:rsidRDefault="007D4BCC" w:rsidP="00C47E8A">
            <w:pPr>
              <w:pStyle w:val="IASBTableTNR"/>
              <w:rPr>
                <w:lang w:val="ru-RU"/>
              </w:rPr>
            </w:pPr>
            <w:r w:rsidRPr="0049187C">
              <w:rPr>
                <w:lang w:val="ru-RU"/>
              </w:rPr>
              <w:t xml:space="preserve">Предусмотренные договором денежные потоки являются исключительно </w:t>
            </w:r>
            <w:r w:rsidR="008811B9">
              <w:rPr>
                <w:lang w:val="ru-RU" w:eastAsia="en-US"/>
              </w:rPr>
              <w:t>платежами в счет основной суммы</w:t>
            </w:r>
            <w:r w:rsidRPr="0049187C">
              <w:rPr>
                <w:lang w:val="ru-RU" w:eastAsia="en-US"/>
              </w:rPr>
              <w:t xml:space="preserve"> долга и процентов на</w:t>
            </w:r>
            <w:r w:rsidRPr="0049187C">
              <w:rPr>
                <w:lang w:val="ru-RU"/>
              </w:rPr>
              <w:t xml:space="preserve"> </w:t>
            </w:r>
            <w:r w:rsidRPr="0049187C">
              <w:rPr>
                <w:lang w:val="ru-RU" w:eastAsia="en-US"/>
              </w:rPr>
              <w:t xml:space="preserve">непогашенную </w:t>
            </w:r>
            <w:r w:rsidR="008811B9">
              <w:rPr>
                <w:lang w:val="ru-RU" w:eastAsia="en-US"/>
              </w:rPr>
              <w:t>часть основной суммы</w:t>
            </w:r>
            <w:r w:rsidRPr="0049187C">
              <w:rPr>
                <w:lang w:val="ru-RU" w:eastAsia="en-US"/>
              </w:rPr>
              <w:t xml:space="preserve"> долга. Пр</w:t>
            </w:r>
            <w:r w:rsidR="008811B9">
              <w:rPr>
                <w:lang w:val="ru-RU" w:eastAsia="en-US"/>
              </w:rPr>
              <w:t>ивязка платежей в счет основной суммы</w:t>
            </w:r>
            <w:r w:rsidRPr="0049187C">
              <w:rPr>
                <w:lang w:val="ru-RU" w:eastAsia="en-US"/>
              </w:rPr>
              <w:t xml:space="preserve"> долга и процентов на</w:t>
            </w:r>
            <w:r w:rsidRPr="0049187C">
              <w:rPr>
                <w:lang w:val="ru-RU"/>
              </w:rPr>
              <w:t xml:space="preserve"> </w:t>
            </w:r>
            <w:r w:rsidRPr="0049187C">
              <w:rPr>
                <w:lang w:val="ru-RU" w:eastAsia="en-US"/>
              </w:rPr>
              <w:t xml:space="preserve">непогашенную </w:t>
            </w:r>
            <w:r w:rsidR="008811B9">
              <w:rPr>
                <w:lang w:val="ru-RU" w:eastAsia="en-US"/>
              </w:rPr>
              <w:t>часть основной суммы</w:t>
            </w:r>
            <w:r w:rsidRPr="0049187C">
              <w:rPr>
                <w:lang w:val="ru-RU" w:eastAsia="en-US"/>
              </w:rPr>
              <w:t xml:space="preserve"> долга к индексу инфляции</w:t>
            </w:r>
            <w:r w:rsidR="0007709F">
              <w:rPr>
                <w:lang w:val="ru-RU" w:eastAsia="en-US"/>
              </w:rPr>
              <w:t xml:space="preserve"> без эффекта рычага</w:t>
            </w:r>
            <w:r w:rsidR="00C67977">
              <w:rPr>
                <w:lang w:val="ru-RU" w:eastAsia="en-US"/>
              </w:rPr>
              <w:t xml:space="preserve"> изменяет временн</w:t>
            </w:r>
            <w:r w:rsidR="00C67977">
              <w:rPr>
                <w:lang w:val="ru-RU"/>
              </w:rPr>
              <w:t>ý</w:t>
            </w:r>
            <w:r w:rsidRPr="0049187C">
              <w:rPr>
                <w:lang w:val="ru-RU" w:eastAsia="en-US"/>
              </w:rPr>
              <w:t>ю стоимость денег до текущего уровня. Другими словами, процентная ставка по инструменту отражает «реальные» проценты. Таким образом, сумм</w:t>
            </w:r>
            <w:r w:rsidR="00E87772" w:rsidRPr="0049187C">
              <w:rPr>
                <w:lang w:val="ru-RU" w:eastAsia="en-US"/>
              </w:rPr>
              <w:t>ы</w:t>
            </w:r>
            <w:r w:rsidRPr="0049187C">
              <w:rPr>
                <w:lang w:val="ru-RU" w:eastAsia="en-US"/>
              </w:rPr>
              <w:t xml:space="preserve"> процентов явля</w:t>
            </w:r>
            <w:r w:rsidR="00E87772" w:rsidRPr="0049187C">
              <w:rPr>
                <w:lang w:val="ru-RU" w:eastAsia="en-US"/>
              </w:rPr>
              <w:t>ю</w:t>
            </w:r>
            <w:r w:rsidR="00C67977">
              <w:rPr>
                <w:lang w:val="ru-RU" w:eastAsia="en-US"/>
              </w:rPr>
              <w:t>тся возмещением за временн</w:t>
            </w:r>
            <w:r w:rsidR="00C67977">
              <w:rPr>
                <w:lang w:val="ru-RU"/>
              </w:rPr>
              <w:t>ý</w:t>
            </w:r>
            <w:r w:rsidRPr="0049187C">
              <w:rPr>
                <w:lang w:val="ru-RU" w:eastAsia="en-US"/>
              </w:rPr>
              <w:t xml:space="preserve">ю стоимость денег по непогашенной </w:t>
            </w:r>
            <w:r w:rsidR="008811B9">
              <w:rPr>
                <w:lang w:val="ru-RU" w:eastAsia="en-US"/>
              </w:rPr>
              <w:t>части основной суммы</w:t>
            </w:r>
            <w:r w:rsidRPr="0049187C">
              <w:rPr>
                <w:lang w:val="ru-RU" w:eastAsia="en-US"/>
              </w:rPr>
              <w:t xml:space="preserve"> долга.</w:t>
            </w:r>
          </w:p>
          <w:p w:rsidR="007D4BCC" w:rsidRPr="0049187C" w:rsidRDefault="007D4BCC" w:rsidP="008811B9">
            <w:pPr>
              <w:pStyle w:val="IASBTableTNR"/>
              <w:rPr>
                <w:lang w:val="ru-RU"/>
              </w:rPr>
            </w:pPr>
            <w:r w:rsidRPr="0049187C">
              <w:rPr>
                <w:lang w:val="ru-RU"/>
              </w:rPr>
              <w:t xml:space="preserve">Однако если выплаты процентов проиндексированы по какой-либо другой переменной, например, по результатам деятельности должника (например, чистому доходу должника) или индексу капитала, то предусмотренные договором денежные потоки не являются исключительно </w:t>
            </w:r>
            <w:r w:rsidR="008811B9">
              <w:rPr>
                <w:lang w:val="ru-RU" w:eastAsia="en-US"/>
              </w:rPr>
              <w:t>платежами в счет основной суммы</w:t>
            </w:r>
            <w:r w:rsidRPr="0049187C">
              <w:rPr>
                <w:lang w:val="ru-RU" w:eastAsia="en-US"/>
              </w:rPr>
              <w:t xml:space="preserve"> долга и процентов на</w:t>
            </w:r>
            <w:r w:rsidRPr="0049187C">
              <w:rPr>
                <w:lang w:val="ru-RU"/>
              </w:rPr>
              <w:t xml:space="preserve"> </w:t>
            </w:r>
            <w:r w:rsidRPr="0049187C">
              <w:rPr>
                <w:lang w:val="ru-RU" w:eastAsia="en-US"/>
              </w:rPr>
              <w:t xml:space="preserve">непогашенную </w:t>
            </w:r>
            <w:r w:rsidR="008811B9">
              <w:rPr>
                <w:lang w:val="ru-RU" w:eastAsia="en-US"/>
              </w:rPr>
              <w:t>часть основной суммы</w:t>
            </w:r>
            <w:r w:rsidRPr="0049187C">
              <w:rPr>
                <w:lang w:val="ru-RU" w:eastAsia="en-US"/>
              </w:rPr>
              <w:t xml:space="preserve"> долга (за исключением случаев, когда индексация по результатам деятельности должника приводит к корректировке, которая </w:t>
            </w:r>
            <w:r w:rsidR="00E87772" w:rsidRPr="0049187C">
              <w:rPr>
                <w:lang w:val="ru-RU" w:eastAsia="en-US"/>
              </w:rPr>
              <w:t>компенсирует держателю</w:t>
            </w:r>
            <w:r w:rsidRPr="0049187C">
              <w:rPr>
                <w:lang w:val="ru-RU" w:eastAsia="en-US"/>
              </w:rPr>
              <w:t xml:space="preserve"> только изменения кредитного риска инструмента так, что</w:t>
            </w:r>
            <w:r w:rsidRPr="0049187C">
              <w:rPr>
                <w:lang w:val="ru-RU"/>
              </w:rPr>
              <w:t xml:space="preserve"> предусмотренные договором денежные потоки являются исключительно </w:t>
            </w:r>
            <w:r w:rsidR="008811B9">
              <w:rPr>
                <w:lang w:val="ru-RU" w:eastAsia="en-US"/>
              </w:rPr>
              <w:t>платежами в счет основной суммы</w:t>
            </w:r>
            <w:r w:rsidRPr="0049187C">
              <w:rPr>
                <w:lang w:val="ru-RU" w:eastAsia="en-US"/>
              </w:rPr>
              <w:t xml:space="preserve"> долга и процентов). Это происходит потому, что </w:t>
            </w:r>
            <w:r w:rsidRPr="0049187C">
              <w:rPr>
                <w:lang w:val="ru-RU"/>
              </w:rPr>
              <w:t>предусмотренные договором денежные потоки отражают доход</w:t>
            </w:r>
            <w:r w:rsidR="007C6E9B">
              <w:rPr>
                <w:lang w:val="ru-RU"/>
              </w:rPr>
              <w:t>ность, которая</w:t>
            </w:r>
            <w:r w:rsidRPr="0049187C">
              <w:rPr>
                <w:lang w:val="ru-RU"/>
              </w:rPr>
              <w:t xml:space="preserve"> не соответствует условиям базового кредитного договора (см. пункт B4.1.7A).</w:t>
            </w:r>
          </w:p>
        </w:tc>
      </w:tr>
      <w:tr w:rsidR="007D4BCC" w:rsidRPr="0049187C" w:rsidTr="00F042EC">
        <w:tblPrEx>
          <w:tblCellMar>
            <w:top w:w="0" w:type="dxa"/>
            <w:bottom w:w="0" w:type="dxa"/>
          </w:tblCellMar>
        </w:tblPrEx>
        <w:tc>
          <w:tcPr>
            <w:tcW w:w="3694" w:type="dxa"/>
            <w:tcBorders>
              <w:top w:val="nil"/>
              <w:left w:val="single" w:sz="4" w:space="0" w:color="auto"/>
              <w:bottom w:val="single" w:sz="4" w:space="0" w:color="auto"/>
              <w:right w:val="single" w:sz="4" w:space="0" w:color="auto"/>
            </w:tcBorders>
          </w:tcPr>
          <w:p w:rsidR="007D4BCC" w:rsidRPr="0049187C" w:rsidRDefault="007D4BCC" w:rsidP="00C47E8A">
            <w:pPr>
              <w:pStyle w:val="IASBTableTNR"/>
              <w:rPr>
                <w:lang w:val="ru-RU"/>
              </w:rPr>
            </w:pPr>
            <w:r w:rsidRPr="0049187C">
              <w:rPr>
                <w:b/>
                <w:lang w:val="ru-RU"/>
              </w:rPr>
              <w:t>Инструмент B</w:t>
            </w:r>
          </w:p>
          <w:p w:rsidR="007D4BCC" w:rsidRPr="0049187C" w:rsidRDefault="007D4BCC" w:rsidP="00C47E8A">
            <w:pPr>
              <w:pStyle w:val="IASBTableTNR"/>
              <w:rPr>
                <w:lang w:val="ru-RU"/>
              </w:rPr>
            </w:pPr>
            <w:r w:rsidRPr="0049187C">
              <w:rPr>
                <w:lang w:val="ru-RU"/>
              </w:rPr>
              <w:t>Инструмент В является инструментом с переменной процентной ставкой и заявленной датой погашения, что позволяет заемщику выбирать рыночную процентную ставку на постоянной основе. Например, на каждую дату изменения процентной ставки заемщик может сделать выбор в пользу трехмесячной ставки LIBOR на трехмесячный срок или одномесячной ставки LIBOR на одномесячный срок.</w:t>
            </w:r>
          </w:p>
        </w:tc>
        <w:tc>
          <w:tcPr>
            <w:tcW w:w="4459" w:type="dxa"/>
            <w:tcBorders>
              <w:top w:val="nil"/>
              <w:left w:val="nil"/>
              <w:bottom w:val="single" w:sz="4" w:space="0" w:color="auto"/>
              <w:right w:val="single" w:sz="4" w:space="0" w:color="auto"/>
            </w:tcBorders>
          </w:tcPr>
          <w:p w:rsidR="007D4BCC" w:rsidRPr="0049187C" w:rsidRDefault="007D4BCC" w:rsidP="00C47E8A">
            <w:pPr>
              <w:pStyle w:val="IASBTableTNR"/>
              <w:rPr>
                <w:lang w:val="ru-RU"/>
              </w:rPr>
            </w:pPr>
            <w:r w:rsidRPr="0049187C">
              <w:rPr>
                <w:lang w:val="ru-RU"/>
              </w:rPr>
              <w:t xml:space="preserve">Предусмотренные договором денежные потоки являются исключительно </w:t>
            </w:r>
            <w:r w:rsidR="008811B9">
              <w:rPr>
                <w:lang w:val="ru-RU" w:eastAsia="en-US"/>
              </w:rPr>
              <w:t xml:space="preserve">платежами в счет основной суммы </w:t>
            </w:r>
            <w:r w:rsidRPr="0049187C">
              <w:rPr>
                <w:lang w:val="ru-RU" w:eastAsia="en-US"/>
              </w:rPr>
              <w:t>долга и процентов на</w:t>
            </w:r>
            <w:r w:rsidRPr="0049187C">
              <w:rPr>
                <w:lang w:val="ru-RU"/>
              </w:rPr>
              <w:t xml:space="preserve"> </w:t>
            </w:r>
            <w:r w:rsidRPr="0049187C">
              <w:rPr>
                <w:lang w:val="ru-RU" w:eastAsia="en-US"/>
              </w:rPr>
              <w:t xml:space="preserve">непогашенную </w:t>
            </w:r>
            <w:r w:rsidR="008811B9">
              <w:rPr>
                <w:lang w:val="ru-RU" w:eastAsia="en-US"/>
              </w:rPr>
              <w:t>часть</w:t>
            </w:r>
            <w:r w:rsidRPr="0049187C">
              <w:rPr>
                <w:lang w:val="ru-RU" w:eastAsia="en-US"/>
              </w:rPr>
              <w:t xml:space="preserve"> </w:t>
            </w:r>
            <w:r w:rsidR="008811B9">
              <w:rPr>
                <w:lang w:val="ru-RU" w:eastAsia="en-US"/>
              </w:rPr>
              <w:t>основной суммы</w:t>
            </w:r>
            <w:r w:rsidRPr="0049187C">
              <w:rPr>
                <w:lang w:val="ru-RU" w:eastAsia="en-US"/>
              </w:rPr>
              <w:t xml:space="preserve"> долга при условии, что проценты, выплачиваемые на протяжении срока действия инструмента,</w:t>
            </w:r>
            <w:r w:rsidR="00C67977">
              <w:rPr>
                <w:lang w:val="ru-RU" w:eastAsia="en-US"/>
              </w:rPr>
              <w:t xml:space="preserve"> отражают возмещение за временн</w:t>
            </w:r>
            <w:r w:rsidR="00C67977">
              <w:rPr>
                <w:lang w:val="ru-RU"/>
              </w:rPr>
              <w:t>ý</w:t>
            </w:r>
            <w:r w:rsidRPr="0049187C">
              <w:rPr>
                <w:lang w:val="ru-RU" w:eastAsia="en-US"/>
              </w:rPr>
              <w:t xml:space="preserve">ю стоимость денег, кредитный риск, связанный с инструментом, и другие </w:t>
            </w:r>
            <w:r w:rsidR="00A73D9D">
              <w:rPr>
                <w:lang w:val="ru-RU" w:eastAsia="en-US"/>
              </w:rPr>
              <w:t>обычные</w:t>
            </w:r>
            <w:r w:rsidRPr="0049187C">
              <w:rPr>
                <w:lang w:val="ru-RU" w:eastAsia="en-US"/>
              </w:rPr>
              <w:t xml:space="preserve"> риски и затраты </w:t>
            </w:r>
            <w:r w:rsidR="00E87772" w:rsidRPr="0049187C">
              <w:rPr>
                <w:lang w:val="ru-RU" w:eastAsia="en-US"/>
              </w:rPr>
              <w:t xml:space="preserve">в связи с </w:t>
            </w:r>
            <w:r w:rsidRPr="0049187C">
              <w:rPr>
                <w:lang w:val="ru-RU" w:eastAsia="en-US"/>
              </w:rPr>
              <w:t>кредитовани</w:t>
            </w:r>
            <w:r w:rsidR="00E87772" w:rsidRPr="0049187C">
              <w:rPr>
                <w:lang w:val="ru-RU" w:eastAsia="en-US"/>
              </w:rPr>
              <w:t>ем</w:t>
            </w:r>
            <w:r w:rsidRPr="0049187C">
              <w:rPr>
                <w:lang w:val="ru-RU" w:eastAsia="en-US"/>
              </w:rPr>
              <w:t xml:space="preserve">, а также </w:t>
            </w:r>
            <w:r w:rsidR="00A73D9D">
              <w:rPr>
                <w:lang w:val="ru-RU" w:eastAsia="en-US"/>
              </w:rPr>
              <w:t>маржу</w:t>
            </w:r>
            <w:r w:rsidR="00147A99" w:rsidRPr="0049187C">
              <w:rPr>
                <w:lang w:val="ru-RU" w:eastAsia="en-US"/>
              </w:rPr>
              <w:t xml:space="preserve"> </w:t>
            </w:r>
            <w:r w:rsidRPr="0049187C">
              <w:rPr>
                <w:lang w:val="ru-RU" w:eastAsia="en-US"/>
              </w:rPr>
              <w:t xml:space="preserve">прибыли (см. пункт </w:t>
            </w:r>
            <w:r w:rsidRPr="0049187C">
              <w:rPr>
                <w:lang w:val="ru-RU"/>
              </w:rPr>
              <w:t>B4.1.7A</w:t>
            </w:r>
            <w:r w:rsidRPr="0049187C">
              <w:rPr>
                <w:lang w:val="ru-RU" w:eastAsia="en-US"/>
              </w:rPr>
              <w:t xml:space="preserve">). Тот факт, что ставка </w:t>
            </w:r>
            <w:r w:rsidRPr="0049187C">
              <w:rPr>
                <w:lang w:val="ru-RU"/>
              </w:rPr>
              <w:t xml:space="preserve">LIBOR меняется на протяжении срока действия инструмента, сам по себе не означает, что инструмент не удовлетворяет </w:t>
            </w:r>
            <w:r w:rsidR="00147A99">
              <w:rPr>
                <w:lang w:val="ru-RU"/>
              </w:rPr>
              <w:t>условиям для данной</w:t>
            </w:r>
            <w:r w:rsidR="00147A99" w:rsidRPr="0049187C">
              <w:rPr>
                <w:lang w:val="ru-RU"/>
              </w:rPr>
              <w:t xml:space="preserve"> </w:t>
            </w:r>
            <w:r w:rsidRPr="0049187C">
              <w:rPr>
                <w:lang w:val="ru-RU"/>
              </w:rPr>
              <w:t xml:space="preserve">классификации. </w:t>
            </w:r>
          </w:p>
          <w:p w:rsidR="007D4BCC" w:rsidRPr="0049187C" w:rsidRDefault="007D4BCC" w:rsidP="00C47E8A">
            <w:pPr>
              <w:pStyle w:val="IASBTableTNR"/>
              <w:rPr>
                <w:lang w:val="ru-RU"/>
              </w:rPr>
            </w:pPr>
            <w:r w:rsidRPr="0049187C">
              <w:rPr>
                <w:lang w:val="ru-RU"/>
              </w:rPr>
              <w:t xml:space="preserve">Однако если заемщик имеет возможность выбрать </w:t>
            </w:r>
            <w:r w:rsidR="00147A99">
              <w:rPr>
                <w:lang w:val="ru-RU"/>
              </w:rPr>
              <w:t xml:space="preserve">выплаты по </w:t>
            </w:r>
            <w:r w:rsidR="00147A99" w:rsidRPr="0049187C">
              <w:rPr>
                <w:lang w:val="ru-RU"/>
              </w:rPr>
              <w:t>одномесячн</w:t>
            </w:r>
            <w:r w:rsidR="00147A99">
              <w:rPr>
                <w:lang w:val="ru-RU"/>
              </w:rPr>
              <w:t>ой</w:t>
            </w:r>
            <w:r w:rsidR="00147A99" w:rsidRPr="0049187C">
              <w:rPr>
                <w:lang w:val="ru-RU"/>
              </w:rPr>
              <w:t xml:space="preserve"> процентн</w:t>
            </w:r>
            <w:r w:rsidR="00147A99">
              <w:rPr>
                <w:lang w:val="ru-RU"/>
              </w:rPr>
              <w:t>ой</w:t>
            </w:r>
            <w:r w:rsidR="00147A99" w:rsidRPr="0049187C">
              <w:rPr>
                <w:lang w:val="ru-RU"/>
              </w:rPr>
              <w:t xml:space="preserve"> ставк</w:t>
            </w:r>
            <w:r w:rsidR="00147A99">
              <w:rPr>
                <w:lang w:val="ru-RU"/>
              </w:rPr>
              <w:t>е</w:t>
            </w:r>
            <w:r w:rsidRPr="0049187C">
              <w:rPr>
                <w:lang w:val="ru-RU"/>
              </w:rPr>
              <w:t xml:space="preserve">, которая </w:t>
            </w:r>
            <w:r w:rsidR="00147A99">
              <w:rPr>
                <w:lang w:val="ru-RU"/>
              </w:rPr>
              <w:t>может быть изменена</w:t>
            </w:r>
            <w:r w:rsidR="00147A99" w:rsidRPr="0049187C">
              <w:rPr>
                <w:lang w:val="ru-RU"/>
              </w:rPr>
              <w:t xml:space="preserve"> </w:t>
            </w:r>
            <w:r w:rsidRPr="0049187C">
              <w:rPr>
                <w:lang w:val="ru-RU"/>
              </w:rPr>
              <w:t xml:space="preserve">каждые три месяца, то частота изменения процентной ставки не совпадает со сроком ее действия. Соответственно, модифицируется элемент </w:t>
            </w:r>
            <w:r w:rsidR="00147A99">
              <w:rPr>
                <w:lang w:val="ru-RU"/>
              </w:rPr>
              <w:t>«</w:t>
            </w:r>
            <w:r w:rsidR="00147A99" w:rsidRPr="0049187C">
              <w:rPr>
                <w:lang w:val="ru-RU"/>
              </w:rPr>
              <w:t>временн</w:t>
            </w:r>
            <w:r w:rsidR="004114F4" w:rsidRPr="00453F25">
              <w:rPr>
                <w:lang w:val="ru-RU"/>
              </w:rPr>
              <w:t>á</w:t>
            </w:r>
            <w:r w:rsidR="00147A99">
              <w:rPr>
                <w:lang w:val="ru-RU"/>
              </w:rPr>
              <w:t>я</w:t>
            </w:r>
            <w:r w:rsidR="00147A99" w:rsidRPr="0049187C">
              <w:rPr>
                <w:lang w:val="ru-RU"/>
              </w:rPr>
              <w:t xml:space="preserve"> </w:t>
            </w:r>
            <w:r w:rsidRPr="0049187C">
              <w:rPr>
                <w:lang w:val="ru-RU"/>
              </w:rPr>
              <w:t>стоимость денег</w:t>
            </w:r>
            <w:r w:rsidR="00147A99">
              <w:rPr>
                <w:lang w:val="ru-RU"/>
              </w:rPr>
              <w:t>»</w:t>
            </w:r>
            <w:r w:rsidRPr="0049187C">
              <w:rPr>
                <w:lang w:val="ru-RU"/>
              </w:rPr>
              <w:t>. Аналогичн</w:t>
            </w:r>
            <w:r w:rsidR="00D613E4" w:rsidRPr="0049187C">
              <w:rPr>
                <w:lang w:val="ru-RU"/>
              </w:rPr>
              <w:t>ым образом</w:t>
            </w:r>
            <w:r w:rsidRPr="0049187C">
              <w:rPr>
                <w:lang w:val="ru-RU"/>
              </w:rPr>
              <w:t xml:space="preserve">, если инструмент имеет предусмотренную договором процентную ставку, основанную на </w:t>
            </w:r>
            <w:r w:rsidR="00147A99">
              <w:rPr>
                <w:lang w:val="ru-RU"/>
              </w:rPr>
              <w:t>сроке</w:t>
            </w:r>
            <w:r w:rsidRPr="0049187C">
              <w:rPr>
                <w:lang w:val="ru-RU"/>
              </w:rPr>
              <w:t xml:space="preserve">, </w:t>
            </w:r>
            <w:r w:rsidR="00147A99" w:rsidRPr="0049187C">
              <w:rPr>
                <w:lang w:val="ru-RU"/>
              </w:rPr>
              <w:t>котор</w:t>
            </w:r>
            <w:r w:rsidR="00147A99">
              <w:rPr>
                <w:lang w:val="ru-RU"/>
              </w:rPr>
              <w:t>ый</w:t>
            </w:r>
            <w:r w:rsidR="00147A99" w:rsidRPr="0049187C">
              <w:rPr>
                <w:lang w:val="ru-RU"/>
              </w:rPr>
              <w:t xml:space="preserve"> </w:t>
            </w:r>
            <w:r w:rsidRPr="0049187C">
              <w:rPr>
                <w:lang w:val="ru-RU"/>
              </w:rPr>
              <w:t xml:space="preserve">может </w:t>
            </w:r>
            <w:r w:rsidR="00147A99">
              <w:rPr>
                <w:lang w:val="ru-RU"/>
              </w:rPr>
              <w:t>превысить</w:t>
            </w:r>
            <w:r w:rsidR="00147A99" w:rsidRPr="0049187C">
              <w:rPr>
                <w:lang w:val="ru-RU"/>
              </w:rPr>
              <w:t xml:space="preserve"> </w:t>
            </w:r>
            <w:r w:rsidRPr="0049187C">
              <w:rPr>
                <w:lang w:val="ru-RU"/>
              </w:rPr>
              <w:t xml:space="preserve">оставшийся срок действия инструмента (например, если по инструменту с пятилетним сроком погашения </w:t>
            </w:r>
            <w:r w:rsidRPr="00BD0DF2">
              <w:rPr>
                <w:lang w:val="ru-RU"/>
              </w:rPr>
              <w:t xml:space="preserve">выплачиваются проценты с переменной ставкой, которая периодически изменяется, но всегда отражает пятилетний срок погашения), </w:t>
            </w:r>
            <w:r w:rsidR="00BD0DF2">
              <w:rPr>
                <w:lang w:val="ru-RU"/>
              </w:rPr>
              <w:t xml:space="preserve">то </w:t>
            </w:r>
            <w:r w:rsidRPr="00BD0DF2">
              <w:rPr>
                <w:lang w:val="ru-RU"/>
              </w:rPr>
              <w:t>элемент</w:t>
            </w:r>
            <w:r w:rsidRPr="0049187C">
              <w:rPr>
                <w:lang w:val="ru-RU"/>
              </w:rPr>
              <w:t xml:space="preserve"> </w:t>
            </w:r>
            <w:r w:rsidR="00BD0DF2">
              <w:rPr>
                <w:lang w:val="ru-RU"/>
              </w:rPr>
              <w:t>«</w:t>
            </w:r>
            <w:r w:rsidR="00BD0DF2" w:rsidRPr="0049187C">
              <w:rPr>
                <w:lang w:val="ru-RU"/>
              </w:rPr>
              <w:t>временн</w:t>
            </w:r>
            <w:r w:rsidR="004114F4" w:rsidRPr="00453F25">
              <w:rPr>
                <w:lang w:val="ru-RU"/>
              </w:rPr>
              <w:t>á</w:t>
            </w:r>
            <w:r w:rsidR="00BD0DF2">
              <w:rPr>
                <w:lang w:val="ru-RU"/>
              </w:rPr>
              <w:t>я</w:t>
            </w:r>
            <w:r w:rsidR="00BD0DF2" w:rsidRPr="0049187C">
              <w:rPr>
                <w:lang w:val="ru-RU"/>
              </w:rPr>
              <w:t xml:space="preserve"> </w:t>
            </w:r>
            <w:r w:rsidRPr="0049187C">
              <w:rPr>
                <w:lang w:val="ru-RU"/>
              </w:rPr>
              <w:t>стоимость денег</w:t>
            </w:r>
            <w:r w:rsidR="00BD0DF2">
              <w:rPr>
                <w:lang w:val="ru-RU"/>
              </w:rPr>
              <w:t>» модифицируется</w:t>
            </w:r>
            <w:r w:rsidRPr="0049187C">
              <w:rPr>
                <w:lang w:val="ru-RU"/>
              </w:rPr>
              <w:t xml:space="preserve">. </w:t>
            </w:r>
            <w:r w:rsidRPr="0049187C">
              <w:rPr>
                <w:lang w:val="ru-RU" w:eastAsia="en-US"/>
              </w:rPr>
              <w:t>Это происходит потому, что проценты, выплачиваемые в каждом периоде, не связаны с периодом начисления процентов.</w:t>
            </w:r>
          </w:p>
          <w:p w:rsidR="007D4BCC" w:rsidRPr="0049187C" w:rsidRDefault="007D4BCC" w:rsidP="008811B9">
            <w:pPr>
              <w:pStyle w:val="IASBTableTNR"/>
              <w:rPr>
                <w:lang w:val="ru-RU"/>
              </w:rPr>
            </w:pPr>
            <w:r w:rsidRPr="0049187C">
              <w:rPr>
                <w:lang w:val="ru-RU"/>
              </w:rPr>
              <w:t xml:space="preserve">В таких случаях организация должна качественно или количественно оценить предусмотренные договором денежные </w:t>
            </w:r>
            <w:r w:rsidR="00A34BF4" w:rsidRPr="0049187C">
              <w:rPr>
                <w:lang w:val="ru-RU"/>
              </w:rPr>
              <w:t>потоки,</w:t>
            </w:r>
            <w:r w:rsidR="00BD0DF2">
              <w:rPr>
                <w:lang w:val="ru-RU"/>
              </w:rPr>
              <w:t xml:space="preserve"> сравнив их с </w:t>
            </w:r>
            <w:r w:rsidR="00BD0DF2" w:rsidRPr="0049187C">
              <w:rPr>
                <w:lang w:val="ru-RU"/>
              </w:rPr>
              <w:t>денежны</w:t>
            </w:r>
            <w:r w:rsidR="00BD0DF2">
              <w:rPr>
                <w:lang w:val="ru-RU"/>
              </w:rPr>
              <w:t>ми</w:t>
            </w:r>
            <w:r w:rsidR="00BD0DF2" w:rsidRPr="0049187C">
              <w:rPr>
                <w:lang w:val="ru-RU"/>
              </w:rPr>
              <w:t xml:space="preserve"> </w:t>
            </w:r>
            <w:r w:rsidRPr="0049187C">
              <w:rPr>
                <w:lang w:val="ru-RU"/>
              </w:rPr>
              <w:t>поток</w:t>
            </w:r>
            <w:r w:rsidR="00BD0DF2">
              <w:rPr>
                <w:lang w:val="ru-RU"/>
              </w:rPr>
              <w:t>ами</w:t>
            </w:r>
            <w:r w:rsidRPr="0049187C">
              <w:rPr>
                <w:lang w:val="ru-RU"/>
              </w:rPr>
              <w:t xml:space="preserve"> по инструменту, идентичному во всех отношениях, за исключением того, что срок действия процентной ставки совпадает с периодом начисления процентов</w:t>
            </w:r>
            <w:r w:rsidR="00D613E4" w:rsidRPr="0049187C">
              <w:rPr>
                <w:lang w:val="ru-RU"/>
              </w:rPr>
              <w:t>,</w:t>
            </w:r>
            <w:r w:rsidRPr="0049187C">
              <w:rPr>
                <w:lang w:val="ru-RU"/>
              </w:rPr>
              <w:t xml:space="preserve"> </w:t>
            </w:r>
            <w:r w:rsidR="00BD0DF2">
              <w:rPr>
                <w:lang w:val="ru-RU"/>
              </w:rPr>
              <w:t>для</w:t>
            </w:r>
            <w:r w:rsidR="00BD0DF2" w:rsidRPr="0049187C">
              <w:rPr>
                <w:lang w:val="ru-RU"/>
              </w:rPr>
              <w:t xml:space="preserve"> </w:t>
            </w:r>
            <w:r w:rsidRPr="0049187C">
              <w:rPr>
                <w:lang w:val="ru-RU"/>
              </w:rPr>
              <w:t>определени</w:t>
            </w:r>
            <w:r w:rsidR="00BD0DF2">
              <w:rPr>
                <w:lang w:val="ru-RU"/>
              </w:rPr>
              <w:t>я</w:t>
            </w:r>
            <w:r w:rsidRPr="0049187C">
              <w:rPr>
                <w:lang w:val="ru-RU"/>
              </w:rPr>
              <w:t xml:space="preserve"> того, являются ли предусмотренные договором денежные потоки исключительно </w:t>
            </w:r>
            <w:r w:rsidR="008811B9">
              <w:rPr>
                <w:lang w:val="ru-RU" w:eastAsia="en-US"/>
              </w:rPr>
              <w:t>платежами в счет основной суммы</w:t>
            </w:r>
            <w:r w:rsidRPr="0049187C">
              <w:rPr>
                <w:lang w:val="ru-RU" w:eastAsia="en-US"/>
              </w:rPr>
              <w:t xml:space="preserve"> долга и процентов на</w:t>
            </w:r>
            <w:r w:rsidRPr="0049187C">
              <w:rPr>
                <w:lang w:val="ru-RU"/>
              </w:rPr>
              <w:t xml:space="preserve"> </w:t>
            </w:r>
            <w:r w:rsidRPr="0049187C">
              <w:rPr>
                <w:lang w:val="ru-RU" w:eastAsia="en-US"/>
              </w:rPr>
              <w:t xml:space="preserve">непогашенную </w:t>
            </w:r>
            <w:r w:rsidR="008811B9">
              <w:rPr>
                <w:lang w:val="ru-RU" w:eastAsia="en-US"/>
              </w:rPr>
              <w:t>часть основной суммы</w:t>
            </w:r>
            <w:r w:rsidRPr="0049187C">
              <w:rPr>
                <w:lang w:val="ru-RU" w:eastAsia="en-US"/>
              </w:rPr>
              <w:t xml:space="preserve"> долга. (</w:t>
            </w:r>
            <w:r w:rsidR="00BD0DF2">
              <w:rPr>
                <w:lang w:val="ru-RU" w:eastAsia="en-US"/>
              </w:rPr>
              <w:t xml:space="preserve">Однако, для </w:t>
            </w:r>
            <w:r w:rsidRPr="0049187C">
              <w:rPr>
                <w:lang w:val="ru-RU" w:eastAsia="en-US"/>
              </w:rPr>
              <w:t xml:space="preserve">регулируемых процентных ставок см. указания в пункте </w:t>
            </w:r>
            <w:r w:rsidRPr="0049187C">
              <w:rPr>
                <w:lang w:val="ru-RU"/>
              </w:rPr>
              <w:t>B4.1.9E.</w:t>
            </w:r>
            <w:r w:rsidRPr="0049187C">
              <w:rPr>
                <w:lang w:val="ru-RU" w:eastAsia="en-US"/>
              </w:rPr>
              <w:t>)</w:t>
            </w:r>
          </w:p>
        </w:tc>
      </w:tr>
      <w:tr w:rsidR="007D4BCC" w:rsidRPr="0049187C" w:rsidTr="00F042EC">
        <w:tblPrEx>
          <w:tblCellMar>
            <w:top w:w="0" w:type="dxa"/>
            <w:bottom w:w="0" w:type="dxa"/>
          </w:tblCellMar>
        </w:tblPrEx>
        <w:tc>
          <w:tcPr>
            <w:tcW w:w="3694" w:type="dxa"/>
            <w:tcBorders>
              <w:top w:val="nil"/>
              <w:left w:val="single" w:sz="4" w:space="0" w:color="auto"/>
              <w:bottom w:val="single" w:sz="4" w:space="0" w:color="auto"/>
              <w:right w:val="single" w:sz="4" w:space="0" w:color="auto"/>
            </w:tcBorders>
          </w:tcPr>
          <w:p w:rsidR="007D4BCC" w:rsidRPr="0049187C" w:rsidRDefault="007D4BCC" w:rsidP="00C47E8A">
            <w:pPr>
              <w:pStyle w:val="IASBTableArial"/>
              <w:rPr>
                <w:lang w:val="ru-RU"/>
              </w:rPr>
            </w:pPr>
          </w:p>
        </w:tc>
        <w:tc>
          <w:tcPr>
            <w:tcW w:w="4459" w:type="dxa"/>
            <w:tcBorders>
              <w:top w:val="nil"/>
              <w:left w:val="nil"/>
              <w:bottom w:val="single" w:sz="4" w:space="0" w:color="auto"/>
              <w:right w:val="single" w:sz="4" w:space="0" w:color="auto"/>
            </w:tcBorders>
          </w:tcPr>
          <w:p w:rsidR="007D4BCC" w:rsidRPr="0049187C" w:rsidRDefault="007D4BCC" w:rsidP="00C47E8A">
            <w:pPr>
              <w:pStyle w:val="IASBTableTNR"/>
              <w:rPr>
                <w:lang w:val="ru-RU"/>
              </w:rPr>
            </w:pPr>
            <w:r w:rsidRPr="0049187C">
              <w:rPr>
                <w:lang w:val="ru-RU"/>
              </w:rPr>
              <w:t>Например, при оценке облигации с пятилетним сроком действия и переменной процен</w:t>
            </w:r>
            <w:r w:rsidR="007C6E9B">
              <w:rPr>
                <w:lang w:val="ru-RU"/>
              </w:rPr>
              <w:t>тной ставкой, которая переустанавливается</w:t>
            </w:r>
            <w:r w:rsidRPr="0049187C">
              <w:rPr>
                <w:lang w:val="ru-RU"/>
              </w:rPr>
              <w:t xml:space="preserve"> каждые шесть месяцев, но всегда отражает пятилетний срок погашения, организация рассматривает предусмотренные договором денежные потоки по инструменту, процентная ставка по которому изменяется каждые шесть месяцев до </w:t>
            </w:r>
            <w:r w:rsidR="00BD0DF2">
              <w:rPr>
                <w:lang w:val="ru-RU"/>
              </w:rPr>
              <w:t xml:space="preserve">уровня текущей </w:t>
            </w:r>
            <w:r w:rsidRPr="0049187C">
              <w:rPr>
                <w:lang w:val="ru-RU"/>
              </w:rPr>
              <w:t>шестимесячной процентной ставки, но который в других отношениях является идентичным.</w:t>
            </w:r>
          </w:p>
          <w:p w:rsidR="007D4BCC" w:rsidRPr="0049187C" w:rsidRDefault="007D4BCC" w:rsidP="00BD0DF2">
            <w:pPr>
              <w:pStyle w:val="IASBTableTNR"/>
              <w:rPr>
                <w:lang w:val="ru-RU"/>
              </w:rPr>
            </w:pPr>
            <w:r w:rsidRPr="0049187C">
              <w:rPr>
                <w:lang w:val="ru-RU"/>
              </w:rPr>
              <w:t xml:space="preserve">Аналогичный анализ применяется, если заемщик имеет возможность выбора между различными опубликованными процентными ставками кредитора (например, заемщик может выбрать </w:t>
            </w:r>
            <w:r w:rsidR="00BD0DF2">
              <w:rPr>
                <w:lang w:val="ru-RU"/>
              </w:rPr>
              <w:t>либо</w:t>
            </w:r>
            <w:r w:rsidR="00BD0DF2" w:rsidRPr="0049187C">
              <w:rPr>
                <w:lang w:val="ru-RU"/>
              </w:rPr>
              <w:t xml:space="preserve"> опубликованн</w:t>
            </w:r>
            <w:r w:rsidR="00BD0DF2">
              <w:rPr>
                <w:lang w:val="ru-RU"/>
              </w:rPr>
              <w:t>ую</w:t>
            </w:r>
            <w:r w:rsidR="00BD0DF2" w:rsidRPr="0049187C">
              <w:rPr>
                <w:lang w:val="ru-RU"/>
              </w:rPr>
              <w:t xml:space="preserve"> одномесячн</w:t>
            </w:r>
            <w:r w:rsidR="00BD0DF2">
              <w:rPr>
                <w:lang w:val="ru-RU"/>
              </w:rPr>
              <w:t>ую</w:t>
            </w:r>
            <w:r w:rsidR="00BD0DF2" w:rsidRPr="0049187C">
              <w:rPr>
                <w:lang w:val="ru-RU"/>
              </w:rPr>
              <w:t xml:space="preserve"> переменн</w:t>
            </w:r>
            <w:r w:rsidR="00BD0DF2">
              <w:rPr>
                <w:lang w:val="ru-RU"/>
              </w:rPr>
              <w:t>ую</w:t>
            </w:r>
            <w:r w:rsidR="00BD0DF2" w:rsidRPr="0049187C">
              <w:rPr>
                <w:lang w:val="ru-RU"/>
              </w:rPr>
              <w:t xml:space="preserve"> процентн</w:t>
            </w:r>
            <w:r w:rsidR="00BD0DF2">
              <w:rPr>
                <w:lang w:val="ru-RU"/>
              </w:rPr>
              <w:t>ую</w:t>
            </w:r>
            <w:r w:rsidR="00BD0DF2" w:rsidRPr="0049187C">
              <w:rPr>
                <w:lang w:val="ru-RU"/>
              </w:rPr>
              <w:t xml:space="preserve"> </w:t>
            </w:r>
            <w:r w:rsidRPr="0049187C">
              <w:rPr>
                <w:lang w:val="ru-RU"/>
              </w:rPr>
              <w:t>ставк</w:t>
            </w:r>
            <w:r w:rsidR="00BD0DF2">
              <w:rPr>
                <w:lang w:val="ru-RU"/>
              </w:rPr>
              <w:t>у</w:t>
            </w:r>
            <w:r w:rsidRPr="0049187C">
              <w:rPr>
                <w:lang w:val="ru-RU"/>
              </w:rPr>
              <w:t xml:space="preserve"> кредитора</w:t>
            </w:r>
            <w:r w:rsidR="00F51BA5" w:rsidRPr="00455C5B">
              <w:rPr>
                <w:lang w:val="ru-RU"/>
              </w:rPr>
              <w:t>,</w:t>
            </w:r>
            <w:r w:rsidRPr="0049187C">
              <w:rPr>
                <w:lang w:val="ru-RU"/>
              </w:rPr>
              <w:t xml:space="preserve"> </w:t>
            </w:r>
            <w:r w:rsidR="00BD0DF2">
              <w:rPr>
                <w:lang w:val="ru-RU"/>
              </w:rPr>
              <w:t>либо</w:t>
            </w:r>
            <w:r w:rsidRPr="0049187C">
              <w:rPr>
                <w:lang w:val="ru-RU"/>
              </w:rPr>
              <w:t xml:space="preserve"> </w:t>
            </w:r>
            <w:r w:rsidR="00BD0DF2" w:rsidRPr="0049187C">
              <w:rPr>
                <w:lang w:val="ru-RU"/>
              </w:rPr>
              <w:t>опубликованн</w:t>
            </w:r>
            <w:r w:rsidR="00BD0DF2">
              <w:rPr>
                <w:lang w:val="ru-RU"/>
              </w:rPr>
              <w:t>ую</w:t>
            </w:r>
            <w:r w:rsidR="00BD0DF2" w:rsidRPr="0049187C">
              <w:rPr>
                <w:lang w:val="ru-RU"/>
              </w:rPr>
              <w:t xml:space="preserve"> трехмесячн</w:t>
            </w:r>
            <w:r w:rsidR="00BD0DF2">
              <w:rPr>
                <w:lang w:val="ru-RU"/>
              </w:rPr>
              <w:t>ую</w:t>
            </w:r>
            <w:r w:rsidR="00BD0DF2" w:rsidRPr="0049187C">
              <w:rPr>
                <w:lang w:val="ru-RU"/>
              </w:rPr>
              <w:t xml:space="preserve"> переменн</w:t>
            </w:r>
            <w:r w:rsidR="00BD0DF2">
              <w:rPr>
                <w:lang w:val="ru-RU"/>
              </w:rPr>
              <w:t>ую</w:t>
            </w:r>
            <w:r w:rsidR="00BD0DF2" w:rsidRPr="0049187C">
              <w:rPr>
                <w:lang w:val="ru-RU"/>
              </w:rPr>
              <w:t xml:space="preserve"> процентн</w:t>
            </w:r>
            <w:r w:rsidR="00BD0DF2">
              <w:rPr>
                <w:lang w:val="ru-RU"/>
              </w:rPr>
              <w:t>ую</w:t>
            </w:r>
            <w:r w:rsidR="00BD0DF2" w:rsidRPr="0049187C">
              <w:rPr>
                <w:lang w:val="ru-RU"/>
              </w:rPr>
              <w:t xml:space="preserve"> </w:t>
            </w:r>
            <w:r w:rsidRPr="0049187C">
              <w:rPr>
                <w:lang w:val="ru-RU"/>
              </w:rPr>
              <w:t>ставк</w:t>
            </w:r>
            <w:r w:rsidR="00BD0DF2">
              <w:rPr>
                <w:lang w:val="ru-RU"/>
              </w:rPr>
              <w:t>у</w:t>
            </w:r>
            <w:r w:rsidRPr="0049187C">
              <w:rPr>
                <w:lang w:val="ru-RU"/>
              </w:rPr>
              <w:t xml:space="preserve"> кредитора).</w:t>
            </w:r>
          </w:p>
        </w:tc>
      </w:tr>
      <w:tr w:rsidR="007D4BCC" w:rsidRPr="0049187C" w:rsidTr="00F042EC">
        <w:tblPrEx>
          <w:tblCellMar>
            <w:top w:w="0" w:type="dxa"/>
            <w:bottom w:w="0" w:type="dxa"/>
          </w:tblCellMar>
        </w:tblPrEx>
        <w:tc>
          <w:tcPr>
            <w:tcW w:w="3694" w:type="dxa"/>
            <w:tcBorders>
              <w:top w:val="nil"/>
              <w:left w:val="single" w:sz="4" w:space="0" w:color="auto"/>
              <w:bottom w:val="single" w:sz="4" w:space="0" w:color="auto"/>
              <w:right w:val="single" w:sz="4" w:space="0" w:color="auto"/>
            </w:tcBorders>
          </w:tcPr>
          <w:p w:rsidR="007D4BCC" w:rsidRPr="0049187C" w:rsidRDefault="007D4BCC" w:rsidP="00C47E8A">
            <w:pPr>
              <w:pStyle w:val="IASBTableTNR"/>
              <w:rPr>
                <w:lang w:val="ru-RU"/>
              </w:rPr>
            </w:pPr>
            <w:r w:rsidRPr="0049187C">
              <w:rPr>
                <w:b/>
                <w:lang w:val="ru-RU"/>
              </w:rPr>
              <w:t>Инструмент C</w:t>
            </w:r>
          </w:p>
          <w:p w:rsidR="007D4BCC" w:rsidRPr="0049187C" w:rsidRDefault="007D4BCC" w:rsidP="00C47E8A">
            <w:pPr>
              <w:pStyle w:val="IASBTableTNR"/>
              <w:rPr>
                <w:lang w:val="ru-RU"/>
              </w:rPr>
            </w:pPr>
            <w:r w:rsidRPr="0049187C">
              <w:rPr>
                <w:lang w:val="ru-RU"/>
              </w:rPr>
              <w:t>Инструмент С является облигацией с заявленной датой погашения и переменной рыночной процентной ставкой. Эта переменная процентная ставка имеет фиксированный максимум</w:t>
            </w:r>
            <w:r w:rsidR="00A35E6E">
              <w:rPr>
                <w:lang w:val="ru-RU"/>
              </w:rPr>
              <w:t xml:space="preserve"> («кэп»)</w:t>
            </w:r>
            <w:r w:rsidRPr="0049187C">
              <w:rPr>
                <w:lang w:val="ru-RU"/>
              </w:rPr>
              <w:t xml:space="preserve">. </w:t>
            </w:r>
          </w:p>
        </w:tc>
        <w:tc>
          <w:tcPr>
            <w:tcW w:w="4459" w:type="dxa"/>
            <w:tcBorders>
              <w:top w:val="nil"/>
              <w:left w:val="nil"/>
              <w:bottom w:val="single" w:sz="4" w:space="0" w:color="auto"/>
              <w:right w:val="single" w:sz="4" w:space="0" w:color="auto"/>
            </w:tcBorders>
          </w:tcPr>
          <w:p w:rsidR="007D4BCC" w:rsidRPr="0049187C" w:rsidRDefault="007D4BCC" w:rsidP="00C47E8A">
            <w:pPr>
              <w:pStyle w:val="IASBTableTNR"/>
              <w:rPr>
                <w:lang w:val="ru-RU"/>
              </w:rPr>
            </w:pPr>
            <w:r w:rsidRPr="0049187C">
              <w:rPr>
                <w:lang w:val="ru-RU"/>
              </w:rPr>
              <w:t>Предусмотренные договором денежные потоки:</w:t>
            </w:r>
          </w:p>
          <w:p w:rsidR="007D4BCC" w:rsidRPr="0049187C" w:rsidRDefault="007D4BCC" w:rsidP="00C47E8A">
            <w:pPr>
              <w:pStyle w:val="IASBNormalL1"/>
              <w:rPr>
                <w:lang w:val="ru-RU"/>
              </w:rPr>
            </w:pPr>
            <w:r w:rsidRPr="0049187C">
              <w:rPr>
                <w:lang w:val="ru-RU"/>
              </w:rPr>
              <w:t>(a)</w:t>
            </w:r>
            <w:r w:rsidRPr="0049187C">
              <w:rPr>
                <w:lang w:val="ru-RU"/>
              </w:rPr>
              <w:tab/>
            </w:r>
            <w:r w:rsidR="00E65681">
              <w:rPr>
                <w:lang w:val="ru-RU"/>
              </w:rPr>
              <w:t xml:space="preserve">как </w:t>
            </w:r>
            <w:r w:rsidR="00E65681" w:rsidRPr="0049187C">
              <w:rPr>
                <w:lang w:val="ru-RU"/>
              </w:rPr>
              <w:t xml:space="preserve">по </w:t>
            </w:r>
            <w:r w:rsidRPr="0049187C">
              <w:rPr>
                <w:lang w:val="ru-RU"/>
              </w:rPr>
              <w:t>инструменту с фиксированной процентной ставкой</w:t>
            </w:r>
            <w:r w:rsidR="00E65681">
              <w:rPr>
                <w:lang w:val="ru-RU"/>
              </w:rPr>
              <w:t xml:space="preserve">, </w:t>
            </w:r>
          </w:p>
          <w:p w:rsidR="007D4BCC" w:rsidRPr="0049187C" w:rsidRDefault="007D4BCC" w:rsidP="00C47E8A">
            <w:pPr>
              <w:pStyle w:val="IASBNormalL1"/>
              <w:rPr>
                <w:lang w:val="ru-RU"/>
              </w:rPr>
            </w:pPr>
            <w:r w:rsidRPr="0049187C">
              <w:rPr>
                <w:lang w:val="ru-RU"/>
              </w:rPr>
              <w:t>(b)</w:t>
            </w:r>
            <w:r w:rsidRPr="0049187C">
              <w:rPr>
                <w:lang w:val="ru-RU"/>
              </w:rPr>
              <w:tab/>
            </w:r>
            <w:r w:rsidR="00E65681">
              <w:rPr>
                <w:lang w:val="ru-RU"/>
              </w:rPr>
              <w:t xml:space="preserve">так и по </w:t>
            </w:r>
            <w:r w:rsidRPr="0049187C">
              <w:rPr>
                <w:lang w:val="ru-RU"/>
              </w:rPr>
              <w:t>инструменту с переменной процентной ставкой</w:t>
            </w:r>
          </w:p>
          <w:p w:rsidR="007D4BCC" w:rsidRPr="0049187C" w:rsidRDefault="007D4BCC" w:rsidP="00C47E8A">
            <w:pPr>
              <w:pStyle w:val="IASBTableTNR"/>
              <w:rPr>
                <w:lang w:val="ru-RU"/>
              </w:rPr>
            </w:pPr>
            <w:r w:rsidRPr="0049187C">
              <w:rPr>
                <w:lang w:val="ru-RU"/>
              </w:rPr>
              <w:t xml:space="preserve">являются исключительно </w:t>
            </w:r>
            <w:r w:rsidR="008811B9">
              <w:rPr>
                <w:lang w:val="ru-RU" w:eastAsia="en-US"/>
              </w:rPr>
              <w:t>платежами в счет основной суммы</w:t>
            </w:r>
            <w:r w:rsidRPr="0049187C">
              <w:rPr>
                <w:lang w:val="ru-RU" w:eastAsia="en-US"/>
              </w:rPr>
              <w:t xml:space="preserve"> долга и процентов на</w:t>
            </w:r>
            <w:r w:rsidRPr="0049187C">
              <w:rPr>
                <w:lang w:val="ru-RU"/>
              </w:rPr>
              <w:t xml:space="preserve"> </w:t>
            </w:r>
            <w:r w:rsidRPr="0049187C">
              <w:rPr>
                <w:lang w:val="ru-RU" w:eastAsia="en-US"/>
              </w:rPr>
              <w:t xml:space="preserve">непогашенную </w:t>
            </w:r>
            <w:r w:rsidR="008811B9">
              <w:rPr>
                <w:lang w:val="ru-RU" w:eastAsia="en-US"/>
              </w:rPr>
              <w:t>часть основной суммы</w:t>
            </w:r>
            <w:r w:rsidRPr="0049187C">
              <w:rPr>
                <w:lang w:val="ru-RU" w:eastAsia="en-US"/>
              </w:rPr>
              <w:t xml:space="preserve"> долга при условии, что проценты отражают возмещени</w:t>
            </w:r>
            <w:r w:rsidR="00C67977">
              <w:rPr>
                <w:lang w:val="ru-RU" w:eastAsia="en-US"/>
              </w:rPr>
              <w:t>е за временн</w:t>
            </w:r>
            <w:r w:rsidR="00C67977">
              <w:rPr>
                <w:lang w:val="ru-RU"/>
              </w:rPr>
              <w:t>ý</w:t>
            </w:r>
            <w:r w:rsidRPr="0049187C">
              <w:rPr>
                <w:lang w:val="ru-RU" w:eastAsia="en-US"/>
              </w:rPr>
              <w:t xml:space="preserve">ю стоимость денег, кредитный риск, связанный с инструментом на протяжении срока </w:t>
            </w:r>
            <w:r w:rsidR="00E65681">
              <w:rPr>
                <w:lang w:val="ru-RU" w:eastAsia="en-US"/>
              </w:rPr>
              <w:t xml:space="preserve">его </w:t>
            </w:r>
            <w:r w:rsidR="00A73D9D">
              <w:rPr>
                <w:lang w:val="ru-RU" w:eastAsia="en-US"/>
              </w:rPr>
              <w:t>действия, и другие обычные</w:t>
            </w:r>
            <w:r w:rsidRPr="0049187C">
              <w:rPr>
                <w:lang w:val="ru-RU" w:eastAsia="en-US"/>
              </w:rPr>
              <w:t xml:space="preserve"> риски и затраты</w:t>
            </w:r>
            <w:r w:rsidR="00E65681">
              <w:rPr>
                <w:lang w:val="ru-RU" w:eastAsia="en-US"/>
              </w:rPr>
              <w:t xml:space="preserve">, связанные </w:t>
            </w:r>
            <w:r w:rsidR="00D613E4" w:rsidRPr="0049187C">
              <w:rPr>
                <w:lang w:val="ru-RU" w:eastAsia="en-US"/>
              </w:rPr>
              <w:t xml:space="preserve">с </w:t>
            </w:r>
            <w:r w:rsidRPr="0049187C">
              <w:rPr>
                <w:lang w:val="ru-RU" w:eastAsia="en-US"/>
              </w:rPr>
              <w:t>кредитовани</w:t>
            </w:r>
            <w:r w:rsidR="00D613E4" w:rsidRPr="0049187C">
              <w:rPr>
                <w:lang w:val="ru-RU" w:eastAsia="en-US"/>
              </w:rPr>
              <w:t>ем</w:t>
            </w:r>
            <w:r w:rsidRPr="0049187C">
              <w:rPr>
                <w:lang w:val="ru-RU" w:eastAsia="en-US"/>
              </w:rPr>
              <w:t xml:space="preserve">, а также </w:t>
            </w:r>
            <w:r w:rsidR="00A73D9D">
              <w:rPr>
                <w:lang w:val="ru-RU" w:eastAsia="en-US"/>
              </w:rPr>
              <w:t>маржу</w:t>
            </w:r>
            <w:r w:rsidR="00E65681" w:rsidRPr="0049187C">
              <w:rPr>
                <w:lang w:val="ru-RU" w:eastAsia="en-US"/>
              </w:rPr>
              <w:t xml:space="preserve"> </w:t>
            </w:r>
            <w:r w:rsidRPr="0049187C">
              <w:rPr>
                <w:lang w:val="ru-RU" w:eastAsia="en-US"/>
              </w:rPr>
              <w:t xml:space="preserve">прибыли. (См. пункт </w:t>
            </w:r>
            <w:r w:rsidRPr="0049187C">
              <w:rPr>
                <w:lang w:val="ru-RU"/>
              </w:rPr>
              <w:t>B4.1.7A</w:t>
            </w:r>
            <w:r w:rsidRPr="0049187C">
              <w:rPr>
                <w:lang w:val="ru-RU" w:eastAsia="en-US"/>
              </w:rPr>
              <w:t>)</w:t>
            </w:r>
          </w:p>
          <w:p w:rsidR="007D4BCC" w:rsidRPr="0049187C" w:rsidRDefault="007D4BCC" w:rsidP="008811B9">
            <w:pPr>
              <w:pStyle w:val="IASBTableTNR"/>
              <w:rPr>
                <w:lang w:val="ru-RU"/>
              </w:rPr>
            </w:pPr>
            <w:r w:rsidRPr="0049187C">
              <w:rPr>
                <w:lang w:val="ru-RU"/>
              </w:rPr>
              <w:t>Соответственно, инструмент, который является комбинацией (a) и (b) (например, облигация с фиксированным максимумом</w:t>
            </w:r>
            <w:r w:rsidR="00A35E6E">
              <w:rPr>
                <w:lang w:val="ru-RU"/>
              </w:rPr>
              <w:t xml:space="preserve"> («кэп»)</w:t>
            </w:r>
            <w:r w:rsidRPr="0049187C">
              <w:rPr>
                <w:lang w:val="ru-RU"/>
              </w:rPr>
              <w:t xml:space="preserve"> процентной ставки)</w:t>
            </w:r>
            <w:r w:rsidR="00D613E4" w:rsidRPr="0049187C">
              <w:rPr>
                <w:lang w:val="ru-RU"/>
              </w:rPr>
              <w:t>,</w:t>
            </w:r>
            <w:r w:rsidRPr="0049187C">
              <w:rPr>
                <w:lang w:val="ru-RU"/>
              </w:rPr>
              <w:t xml:space="preserve"> может </w:t>
            </w:r>
            <w:r w:rsidR="00E65681">
              <w:rPr>
                <w:lang w:val="ru-RU"/>
              </w:rPr>
              <w:t>иметь</w:t>
            </w:r>
            <w:r w:rsidR="00E65681" w:rsidRPr="0049187C">
              <w:rPr>
                <w:lang w:val="ru-RU"/>
              </w:rPr>
              <w:t xml:space="preserve"> </w:t>
            </w:r>
            <w:r w:rsidRPr="0049187C">
              <w:rPr>
                <w:lang w:val="ru-RU"/>
              </w:rPr>
              <w:t xml:space="preserve">денежные потоки, которые являются исключительно </w:t>
            </w:r>
            <w:r w:rsidR="008811B9">
              <w:rPr>
                <w:lang w:val="ru-RU" w:eastAsia="en-US"/>
              </w:rPr>
              <w:t>платежами в счет основной суммы</w:t>
            </w:r>
            <w:r w:rsidRPr="0049187C">
              <w:rPr>
                <w:lang w:val="ru-RU" w:eastAsia="en-US"/>
              </w:rPr>
              <w:t xml:space="preserve"> долга и процентов на</w:t>
            </w:r>
            <w:r w:rsidRPr="0049187C">
              <w:rPr>
                <w:lang w:val="ru-RU"/>
              </w:rPr>
              <w:t xml:space="preserve"> </w:t>
            </w:r>
            <w:r w:rsidRPr="0049187C">
              <w:rPr>
                <w:lang w:val="ru-RU" w:eastAsia="en-US"/>
              </w:rPr>
              <w:t xml:space="preserve">непогашенную </w:t>
            </w:r>
            <w:r w:rsidR="008811B9">
              <w:rPr>
                <w:lang w:val="ru-RU" w:eastAsia="en-US"/>
              </w:rPr>
              <w:t>часть основной</w:t>
            </w:r>
            <w:r w:rsidRPr="0049187C">
              <w:rPr>
                <w:lang w:val="ru-RU" w:eastAsia="en-US"/>
              </w:rPr>
              <w:t xml:space="preserve"> </w:t>
            </w:r>
            <w:r w:rsidR="008811B9">
              <w:rPr>
                <w:lang w:val="ru-RU" w:eastAsia="en-US"/>
              </w:rPr>
              <w:t xml:space="preserve">суммы </w:t>
            </w:r>
            <w:r w:rsidRPr="0049187C">
              <w:rPr>
                <w:lang w:val="ru-RU" w:eastAsia="en-US"/>
              </w:rPr>
              <w:t>долга. Такое договорное условие может снизить изменчивость денежных потоков путем установления ограничения на переменную процентную ставку (например, установление фиксированного максимума</w:t>
            </w:r>
            <w:r w:rsidR="00A35E6E">
              <w:rPr>
                <w:lang w:val="ru-RU" w:eastAsia="en-US"/>
              </w:rPr>
              <w:t xml:space="preserve"> («кэп»)</w:t>
            </w:r>
            <w:r w:rsidRPr="0049187C">
              <w:rPr>
                <w:lang w:val="ru-RU" w:eastAsia="en-US"/>
              </w:rPr>
              <w:t xml:space="preserve"> или минимума</w:t>
            </w:r>
            <w:r w:rsidR="00A35E6E">
              <w:rPr>
                <w:lang w:val="ru-RU" w:eastAsia="en-US"/>
              </w:rPr>
              <w:t xml:space="preserve"> («флор»)</w:t>
            </w:r>
            <w:r w:rsidRPr="0049187C">
              <w:rPr>
                <w:lang w:val="ru-RU" w:eastAsia="en-US"/>
              </w:rPr>
              <w:t xml:space="preserve"> процентной ставки) или увеличить изменчивость денежных потоков, поскольку фиксированная ставка становится переменной.</w:t>
            </w:r>
          </w:p>
        </w:tc>
      </w:tr>
      <w:tr w:rsidR="007D4BCC" w:rsidRPr="0049187C" w:rsidTr="00F042EC">
        <w:tblPrEx>
          <w:tblCellMar>
            <w:top w:w="0" w:type="dxa"/>
            <w:bottom w:w="0" w:type="dxa"/>
          </w:tblCellMar>
        </w:tblPrEx>
        <w:tc>
          <w:tcPr>
            <w:tcW w:w="3694" w:type="dxa"/>
            <w:tcBorders>
              <w:top w:val="nil"/>
              <w:left w:val="single" w:sz="4" w:space="0" w:color="auto"/>
              <w:bottom w:val="single" w:sz="4" w:space="0" w:color="auto"/>
              <w:right w:val="single" w:sz="4" w:space="0" w:color="auto"/>
            </w:tcBorders>
          </w:tcPr>
          <w:p w:rsidR="007D4BCC" w:rsidRPr="0049187C" w:rsidRDefault="007D4BCC" w:rsidP="00C47E8A">
            <w:pPr>
              <w:pStyle w:val="IASBTableTNR"/>
              <w:rPr>
                <w:lang w:val="ru-RU"/>
              </w:rPr>
            </w:pPr>
            <w:r w:rsidRPr="0049187C">
              <w:rPr>
                <w:b/>
                <w:lang w:val="ru-RU"/>
              </w:rPr>
              <w:t>Инструмент D</w:t>
            </w:r>
          </w:p>
          <w:p w:rsidR="007D4BCC" w:rsidRPr="0049187C" w:rsidRDefault="007D4BCC" w:rsidP="00E65681">
            <w:pPr>
              <w:pStyle w:val="IASBTableTNR"/>
              <w:rPr>
                <w:lang w:val="ru-RU"/>
              </w:rPr>
            </w:pPr>
            <w:r w:rsidRPr="0049187C">
              <w:rPr>
                <w:lang w:val="ru-RU"/>
              </w:rPr>
              <w:t xml:space="preserve">Инструмент D является </w:t>
            </w:r>
            <w:r w:rsidR="00E65681">
              <w:rPr>
                <w:lang w:val="ru-RU"/>
              </w:rPr>
              <w:t>займом</w:t>
            </w:r>
            <w:r w:rsidR="00E65681" w:rsidRPr="0049187C">
              <w:rPr>
                <w:lang w:val="ru-RU"/>
              </w:rPr>
              <w:t xml:space="preserve"> </w:t>
            </w:r>
            <w:r w:rsidRPr="0049187C">
              <w:rPr>
                <w:lang w:val="ru-RU"/>
              </w:rPr>
              <w:t>с правом полного регресса и обеспечивается залогом.</w:t>
            </w:r>
          </w:p>
        </w:tc>
        <w:tc>
          <w:tcPr>
            <w:tcW w:w="4459" w:type="dxa"/>
            <w:tcBorders>
              <w:top w:val="nil"/>
              <w:left w:val="nil"/>
              <w:bottom w:val="single" w:sz="4" w:space="0" w:color="auto"/>
              <w:right w:val="single" w:sz="4" w:space="0" w:color="auto"/>
            </w:tcBorders>
          </w:tcPr>
          <w:p w:rsidR="007D4BCC" w:rsidRPr="0049187C" w:rsidRDefault="007D4BCC" w:rsidP="008811B9">
            <w:pPr>
              <w:pStyle w:val="IASBTableTNR"/>
              <w:rPr>
                <w:lang w:val="ru-RU"/>
              </w:rPr>
            </w:pPr>
            <w:r w:rsidRPr="0049187C">
              <w:rPr>
                <w:lang w:val="ru-RU"/>
              </w:rPr>
              <w:t xml:space="preserve">Тот факт, что </w:t>
            </w:r>
            <w:r w:rsidR="00E65681">
              <w:rPr>
                <w:lang w:val="ru-RU"/>
              </w:rPr>
              <w:t>заем</w:t>
            </w:r>
            <w:r w:rsidR="00E65681" w:rsidRPr="0049187C">
              <w:rPr>
                <w:lang w:val="ru-RU"/>
              </w:rPr>
              <w:t xml:space="preserve"> </w:t>
            </w:r>
            <w:r w:rsidRPr="0049187C">
              <w:rPr>
                <w:lang w:val="ru-RU"/>
              </w:rPr>
              <w:t xml:space="preserve">с правом полного регресса обеспечен залогом, сам по себе не влияет на анализ того, являются ли предусмотренные договором денежные потоки исключительно </w:t>
            </w:r>
            <w:r w:rsidR="008811B9">
              <w:rPr>
                <w:lang w:val="ru-RU" w:eastAsia="en-US"/>
              </w:rPr>
              <w:t>платежами в счет основной суммы</w:t>
            </w:r>
            <w:r w:rsidRPr="0049187C">
              <w:rPr>
                <w:lang w:val="ru-RU" w:eastAsia="en-US"/>
              </w:rPr>
              <w:t xml:space="preserve"> долга и процентов на</w:t>
            </w:r>
            <w:r w:rsidRPr="0049187C">
              <w:rPr>
                <w:lang w:val="ru-RU"/>
              </w:rPr>
              <w:t xml:space="preserve"> </w:t>
            </w:r>
            <w:r w:rsidRPr="0049187C">
              <w:rPr>
                <w:lang w:val="ru-RU" w:eastAsia="en-US"/>
              </w:rPr>
              <w:t xml:space="preserve">непогашенную </w:t>
            </w:r>
            <w:r w:rsidR="008811B9">
              <w:rPr>
                <w:lang w:val="ru-RU" w:eastAsia="en-US"/>
              </w:rPr>
              <w:t>часть основной суммы</w:t>
            </w:r>
            <w:r w:rsidRPr="0049187C">
              <w:rPr>
                <w:lang w:val="ru-RU" w:eastAsia="en-US"/>
              </w:rPr>
              <w:t xml:space="preserve"> долга.</w:t>
            </w:r>
          </w:p>
        </w:tc>
      </w:tr>
      <w:tr w:rsidR="007D4BCC" w:rsidRPr="0049187C" w:rsidTr="00F042EC">
        <w:tblPrEx>
          <w:tblCellMar>
            <w:top w:w="0" w:type="dxa"/>
            <w:bottom w:w="0" w:type="dxa"/>
          </w:tblCellMar>
        </w:tblPrEx>
        <w:tc>
          <w:tcPr>
            <w:tcW w:w="3694" w:type="dxa"/>
            <w:tcBorders>
              <w:top w:val="nil"/>
              <w:left w:val="single" w:sz="4" w:space="0" w:color="auto"/>
              <w:bottom w:val="single" w:sz="4" w:space="0" w:color="auto"/>
              <w:right w:val="single" w:sz="4" w:space="0" w:color="auto"/>
            </w:tcBorders>
          </w:tcPr>
          <w:p w:rsidR="007D4BCC" w:rsidRPr="0049187C" w:rsidRDefault="007D4BCC" w:rsidP="00C47E8A">
            <w:pPr>
              <w:pStyle w:val="IASBTableTNR"/>
              <w:rPr>
                <w:lang w:val="ru-RU"/>
              </w:rPr>
            </w:pPr>
            <w:r w:rsidRPr="0049187C">
              <w:rPr>
                <w:b/>
                <w:lang w:val="ru-RU"/>
              </w:rPr>
              <w:t>Инструмент E</w:t>
            </w:r>
          </w:p>
          <w:p w:rsidR="007D4BCC" w:rsidRPr="0049187C" w:rsidRDefault="007D4BCC" w:rsidP="00C47E8A">
            <w:pPr>
              <w:pStyle w:val="IASBTableTNR"/>
              <w:rPr>
                <w:lang w:val="ru-RU"/>
              </w:rPr>
            </w:pPr>
            <w:r w:rsidRPr="0049187C">
              <w:rPr>
                <w:lang w:val="ru-RU"/>
              </w:rPr>
              <w:t>Инструмент Е выпущен банком</w:t>
            </w:r>
            <w:r w:rsidR="00E65681">
              <w:rPr>
                <w:lang w:val="ru-RU"/>
              </w:rPr>
              <w:t>, деятельность которого является предметом регулирования,</w:t>
            </w:r>
            <w:r w:rsidRPr="0049187C">
              <w:rPr>
                <w:lang w:val="ru-RU"/>
              </w:rPr>
              <w:t xml:space="preserve"> и имеет заявленную дату погашения. По инструменту выплачиваются проценты </w:t>
            </w:r>
            <w:r w:rsidR="00874C3B" w:rsidRPr="0049187C">
              <w:rPr>
                <w:lang w:val="ru-RU"/>
              </w:rPr>
              <w:t xml:space="preserve">по </w:t>
            </w:r>
            <w:r w:rsidRPr="0049187C">
              <w:rPr>
                <w:lang w:val="ru-RU"/>
              </w:rPr>
              <w:t>фиксированной ставк</w:t>
            </w:r>
            <w:r w:rsidR="00874C3B" w:rsidRPr="0049187C">
              <w:rPr>
                <w:lang w:val="ru-RU"/>
              </w:rPr>
              <w:t>е</w:t>
            </w:r>
            <w:r w:rsidRPr="0049187C">
              <w:rPr>
                <w:lang w:val="ru-RU"/>
              </w:rPr>
              <w:t>, и все предусмотренные договором денежные потоки являются обязательными.</w:t>
            </w:r>
          </w:p>
          <w:p w:rsidR="007D4BCC" w:rsidRPr="0049187C" w:rsidRDefault="007D4BCC" w:rsidP="00E65681">
            <w:pPr>
              <w:pStyle w:val="IASBTableTNR"/>
              <w:rPr>
                <w:lang w:val="ru-RU"/>
              </w:rPr>
            </w:pPr>
            <w:r w:rsidRPr="0049187C">
              <w:rPr>
                <w:lang w:val="ru-RU"/>
              </w:rPr>
              <w:t>Однако на эмитента распространяются положения законодательства, которые позволяют или требу</w:t>
            </w:r>
            <w:r w:rsidR="00874C3B" w:rsidRPr="0049187C">
              <w:rPr>
                <w:lang w:val="ru-RU"/>
              </w:rPr>
              <w:t>ю</w:t>
            </w:r>
            <w:r w:rsidRPr="0049187C">
              <w:rPr>
                <w:lang w:val="ru-RU"/>
              </w:rPr>
              <w:t xml:space="preserve">т, чтобы национальные регулирующие органы </w:t>
            </w:r>
            <w:r w:rsidR="00E65681">
              <w:rPr>
                <w:lang w:val="ru-RU"/>
              </w:rPr>
              <w:t>в</w:t>
            </w:r>
            <w:r w:rsidR="00E65681" w:rsidRPr="0049187C">
              <w:rPr>
                <w:lang w:val="ru-RU"/>
              </w:rPr>
              <w:t xml:space="preserve"> определенных обстоятельствах </w:t>
            </w:r>
            <w:r w:rsidRPr="0049187C">
              <w:rPr>
                <w:lang w:val="ru-RU"/>
              </w:rPr>
              <w:t xml:space="preserve">относили убытки на держателей определенных инструментов, включая инструмент Е. Например, национальные регулирующие органы имеют </w:t>
            </w:r>
            <w:r w:rsidR="00E65681" w:rsidRPr="0049187C">
              <w:rPr>
                <w:lang w:val="ru-RU"/>
              </w:rPr>
              <w:t>полномочи</w:t>
            </w:r>
            <w:r w:rsidR="00E65681">
              <w:rPr>
                <w:lang w:val="ru-RU"/>
              </w:rPr>
              <w:t>я</w:t>
            </w:r>
            <w:r w:rsidR="00E65681" w:rsidRPr="0049187C">
              <w:rPr>
                <w:lang w:val="ru-RU"/>
              </w:rPr>
              <w:t xml:space="preserve"> </w:t>
            </w:r>
            <w:r w:rsidRPr="0049187C">
              <w:rPr>
                <w:lang w:val="ru-RU"/>
              </w:rPr>
              <w:t>списать номинальную стоимость инструмента Е или конвертировать его в фиксированное количество обыкновенных акций эмитента, если определяют, что эмитент испытывает серьезные финансовые затруднения, нуждается в дополнительном нормативном капитале или находится «на пороге банкротства».</w:t>
            </w:r>
          </w:p>
        </w:tc>
        <w:tc>
          <w:tcPr>
            <w:tcW w:w="4459" w:type="dxa"/>
            <w:tcBorders>
              <w:top w:val="nil"/>
              <w:left w:val="nil"/>
              <w:bottom w:val="single" w:sz="4" w:space="0" w:color="auto"/>
              <w:right w:val="single" w:sz="4" w:space="0" w:color="auto"/>
            </w:tcBorders>
          </w:tcPr>
          <w:p w:rsidR="007D4BCC" w:rsidRPr="0049187C" w:rsidRDefault="007D4BCC" w:rsidP="00C47E8A">
            <w:pPr>
              <w:pStyle w:val="IASBTableTNR"/>
              <w:rPr>
                <w:lang w:val="ru-RU"/>
              </w:rPr>
            </w:pPr>
            <w:r w:rsidRPr="0049187C">
              <w:rPr>
                <w:lang w:val="ru-RU"/>
              </w:rPr>
              <w:t xml:space="preserve">Держатель </w:t>
            </w:r>
            <w:r w:rsidR="00E65681">
              <w:rPr>
                <w:lang w:val="ru-RU"/>
              </w:rPr>
              <w:t xml:space="preserve">финансового инструмента </w:t>
            </w:r>
            <w:r w:rsidRPr="0049187C">
              <w:rPr>
                <w:lang w:val="ru-RU"/>
              </w:rPr>
              <w:t>должен проанализировать</w:t>
            </w:r>
            <w:r w:rsidR="00E65681">
              <w:rPr>
                <w:lang w:val="ru-RU"/>
              </w:rPr>
              <w:t xml:space="preserve"> его</w:t>
            </w:r>
            <w:r w:rsidRPr="0049187C">
              <w:rPr>
                <w:lang w:val="ru-RU"/>
              </w:rPr>
              <w:t xml:space="preserve"> </w:t>
            </w:r>
            <w:r w:rsidRPr="0049187C">
              <w:rPr>
                <w:b/>
                <w:lang w:val="ru-RU"/>
              </w:rPr>
              <w:t>договорные условия</w:t>
            </w:r>
            <w:r w:rsidR="00874C3B" w:rsidRPr="0049187C">
              <w:rPr>
                <w:lang w:val="ru-RU"/>
              </w:rPr>
              <w:t>, чтобы</w:t>
            </w:r>
            <w:r w:rsidRPr="0049187C">
              <w:rPr>
                <w:lang w:val="ru-RU"/>
              </w:rPr>
              <w:t xml:space="preserve"> определ</w:t>
            </w:r>
            <w:r w:rsidR="00874C3B" w:rsidRPr="0049187C">
              <w:rPr>
                <w:lang w:val="ru-RU"/>
              </w:rPr>
              <w:t>ить</w:t>
            </w:r>
            <w:r w:rsidR="00A349DA">
              <w:rPr>
                <w:lang w:val="ru-RU"/>
              </w:rPr>
              <w:t>, обусло</w:t>
            </w:r>
            <w:r w:rsidRPr="0049187C">
              <w:rPr>
                <w:lang w:val="ru-RU"/>
              </w:rPr>
              <w:t xml:space="preserve">вливают ли они возникновение денежных потоков, которые являются исключительно </w:t>
            </w:r>
            <w:r w:rsidR="008811B9">
              <w:rPr>
                <w:lang w:val="ru-RU" w:eastAsia="en-US"/>
              </w:rPr>
              <w:t>платежами в счет основной суммы</w:t>
            </w:r>
            <w:r w:rsidRPr="0049187C">
              <w:rPr>
                <w:lang w:val="ru-RU" w:eastAsia="en-US"/>
              </w:rPr>
              <w:t xml:space="preserve"> долга и процентов на</w:t>
            </w:r>
            <w:r w:rsidRPr="0049187C">
              <w:rPr>
                <w:lang w:val="ru-RU"/>
              </w:rPr>
              <w:t xml:space="preserve"> </w:t>
            </w:r>
            <w:r w:rsidRPr="0049187C">
              <w:rPr>
                <w:lang w:val="ru-RU" w:eastAsia="en-US"/>
              </w:rPr>
              <w:t xml:space="preserve">непогашенную </w:t>
            </w:r>
            <w:r w:rsidR="008811B9">
              <w:rPr>
                <w:lang w:val="ru-RU" w:eastAsia="en-US"/>
              </w:rPr>
              <w:t>часть основной суммы</w:t>
            </w:r>
            <w:r w:rsidRPr="0049187C">
              <w:rPr>
                <w:lang w:val="ru-RU" w:eastAsia="en-US"/>
              </w:rPr>
              <w:t xml:space="preserve"> долга, и, таким образом, соответствуют условиям базового кредитного договора.</w:t>
            </w:r>
          </w:p>
          <w:p w:rsidR="007D4BCC" w:rsidRPr="0049187C" w:rsidRDefault="007D4BCC" w:rsidP="00C47E8A">
            <w:pPr>
              <w:pStyle w:val="IASBTableTNR"/>
              <w:rPr>
                <w:lang w:val="ru-RU"/>
              </w:rPr>
            </w:pPr>
            <w:r w:rsidRPr="0049187C">
              <w:rPr>
                <w:lang w:val="ru-RU"/>
              </w:rPr>
              <w:t xml:space="preserve">Такой анализ не будет учитывать платежи, которые возникают только в результате </w:t>
            </w:r>
            <w:r w:rsidR="00A85DBB" w:rsidRPr="0049187C">
              <w:rPr>
                <w:lang w:val="ru-RU"/>
              </w:rPr>
              <w:t>полномочи</w:t>
            </w:r>
            <w:r w:rsidR="00A85DBB">
              <w:rPr>
                <w:lang w:val="ru-RU"/>
              </w:rPr>
              <w:t>й</w:t>
            </w:r>
            <w:r w:rsidR="00A85DBB" w:rsidRPr="0049187C">
              <w:rPr>
                <w:lang w:val="ru-RU"/>
              </w:rPr>
              <w:t xml:space="preserve"> </w:t>
            </w:r>
            <w:r w:rsidRPr="0049187C">
              <w:rPr>
                <w:lang w:val="ru-RU"/>
              </w:rPr>
              <w:t xml:space="preserve">национальных регулирующих органов </w:t>
            </w:r>
            <w:r w:rsidR="00874C3B" w:rsidRPr="0049187C">
              <w:rPr>
                <w:lang w:val="ru-RU"/>
              </w:rPr>
              <w:t xml:space="preserve">в отношении </w:t>
            </w:r>
            <w:r w:rsidRPr="0049187C">
              <w:rPr>
                <w:lang w:val="ru-RU"/>
              </w:rPr>
              <w:t>отнес</w:t>
            </w:r>
            <w:r w:rsidR="00874C3B" w:rsidRPr="0049187C">
              <w:rPr>
                <w:lang w:val="ru-RU"/>
              </w:rPr>
              <w:t>ения</w:t>
            </w:r>
            <w:r w:rsidRPr="0049187C">
              <w:rPr>
                <w:lang w:val="ru-RU"/>
              </w:rPr>
              <w:t xml:space="preserve"> убытк</w:t>
            </w:r>
            <w:r w:rsidR="00874C3B" w:rsidRPr="0049187C">
              <w:rPr>
                <w:lang w:val="ru-RU"/>
              </w:rPr>
              <w:t>ов</w:t>
            </w:r>
            <w:r w:rsidRPr="0049187C">
              <w:rPr>
                <w:lang w:val="ru-RU"/>
              </w:rPr>
              <w:t xml:space="preserve"> на держателей инструмента Е. Это </w:t>
            </w:r>
            <w:r w:rsidR="00A85DBB">
              <w:rPr>
                <w:lang w:val="ru-RU"/>
              </w:rPr>
              <w:t>обусловлено тем</w:t>
            </w:r>
            <w:r w:rsidRPr="0049187C">
              <w:rPr>
                <w:lang w:val="ru-RU"/>
              </w:rPr>
              <w:t xml:space="preserve">, что </w:t>
            </w:r>
            <w:r w:rsidR="00A85DBB" w:rsidRPr="0049187C">
              <w:rPr>
                <w:lang w:val="ru-RU"/>
              </w:rPr>
              <w:t>так</w:t>
            </w:r>
            <w:r w:rsidR="00A85DBB">
              <w:rPr>
                <w:lang w:val="ru-RU"/>
              </w:rPr>
              <w:t>ие</w:t>
            </w:r>
            <w:r w:rsidR="00A85DBB" w:rsidRPr="0049187C">
              <w:rPr>
                <w:lang w:val="ru-RU"/>
              </w:rPr>
              <w:t xml:space="preserve"> полномочи</w:t>
            </w:r>
            <w:r w:rsidR="00A85DBB">
              <w:rPr>
                <w:lang w:val="ru-RU"/>
              </w:rPr>
              <w:t>я</w:t>
            </w:r>
            <w:r w:rsidR="00A85DBB" w:rsidRPr="0049187C">
              <w:rPr>
                <w:lang w:val="ru-RU"/>
              </w:rPr>
              <w:t xml:space="preserve"> </w:t>
            </w:r>
            <w:r w:rsidRPr="0049187C">
              <w:rPr>
                <w:lang w:val="ru-RU"/>
              </w:rPr>
              <w:t xml:space="preserve">и возникающие вследствие </w:t>
            </w:r>
            <w:r w:rsidR="00A85DBB">
              <w:rPr>
                <w:lang w:val="ru-RU"/>
              </w:rPr>
              <w:t>них</w:t>
            </w:r>
            <w:r w:rsidR="00A85DBB" w:rsidRPr="0049187C">
              <w:rPr>
                <w:lang w:val="ru-RU"/>
              </w:rPr>
              <w:t xml:space="preserve"> </w:t>
            </w:r>
            <w:r w:rsidRPr="0049187C">
              <w:rPr>
                <w:lang w:val="ru-RU"/>
              </w:rPr>
              <w:t xml:space="preserve">платежи не являются </w:t>
            </w:r>
            <w:r w:rsidRPr="0049187C">
              <w:rPr>
                <w:b/>
                <w:lang w:val="ru-RU"/>
              </w:rPr>
              <w:t>договорными условиями</w:t>
            </w:r>
            <w:r w:rsidRPr="0049187C">
              <w:rPr>
                <w:lang w:val="ru-RU"/>
              </w:rPr>
              <w:t xml:space="preserve"> финансового инструмента.</w:t>
            </w:r>
          </w:p>
          <w:p w:rsidR="007D4BCC" w:rsidRPr="0049187C" w:rsidRDefault="007D4BCC" w:rsidP="00A73D9D">
            <w:pPr>
              <w:pStyle w:val="IASBTableTNR"/>
              <w:rPr>
                <w:lang w:val="ru-RU"/>
              </w:rPr>
            </w:pPr>
            <w:r w:rsidRPr="0049187C">
              <w:rPr>
                <w:lang w:val="ru-RU"/>
              </w:rPr>
              <w:t xml:space="preserve">Напротив, предусмотренные договором денежные потоки не будут являться исключительно </w:t>
            </w:r>
            <w:r w:rsidR="00A73D9D">
              <w:rPr>
                <w:lang w:val="ru-RU" w:eastAsia="en-US"/>
              </w:rPr>
              <w:t>платежами в счет основной суммы</w:t>
            </w:r>
            <w:r w:rsidRPr="0049187C">
              <w:rPr>
                <w:lang w:val="ru-RU" w:eastAsia="en-US"/>
              </w:rPr>
              <w:t xml:space="preserve"> долга и процентов на</w:t>
            </w:r>
            <w:r w:rsidRPr="0049187C">
              <w:rPr>
                <w:lang w:val="ru-RU"/>
              </w:rPr>
              <w:t xml:space="preserve"> </w:t>
            </w:r>
            <w:r w:rsidRPr="0049187C">
              <w:rPr>
                <w:lang w:val="ru-RU" w:eastAsia="en-US"/>
              </w:rPr>
              <w:t xml:space="preserve">непогашенную </w:t>
            </w:r>
            <w:r w:rsidR="00A73D9D">
              <w:rPr>
                <w:lang w:val="ru-RU" w:eastAsia="en-US"/>
              </w:rPr>
              <w:t>часть основной суммы</w:t>
            </w:r>
            <w:r w:rsidRPr="0049187C">
              <w:rPr>
                <w:lang w:val="ru-RU" w:eastAsia="en-US"/>
              </w:rPr>
              <w:t xml:space="preserve"> долга, если </w:t>
            </w:r>
            <w:r w:rsidRPr="0049187C">
              <w:rPr>
                <w:b/>
                <w:lang w:val="ru-RU" w:eastAsia="en-US"/>
              </w:rPr>
              <w:t>договорные условия</w:t>
            </w:r>
            <w:r w:rsidRPr="0049187C">
              <w:rPr>
                <w:lang w:val="ru-RU" w:eastAsia="en-US"/>
              </w:rPr>
              <w:t xml:space="preserve"> финансового инструмента позволяют или требуют от эмитента или другой организации относить убытки на </w:t>
            </w:r>
            <w:r w:rsidR="00A85DBB">
              <w:rPr>
                <w:lang w:val="ru-RU" w:eastAsia="en-US"/>
              </w:rPr>
              <w:t xml:space="preserve">его </w:t>
            </w:r>
            <w:r w:rsidRPr="0049187C">
              <w:rPr>
                <w:lang w:val="ru-RU" w:eastAsia="en-US"/>
              </w:rPr>
              <w:t xml:space="preserve">держателя (например, путем списания номинальной стоимости или конвертации инструмента </w:t>
            </w:r>
            <w:r w:rsidRPr="0049187C">
              <w:rPr>
                <w:lang w:val="ru-RU"/>
              </w:rPr>
              <w:t>в фиксированное количество обыкновенных акций эмитента</w:t>
            </w:r>
            <w:r w:rsidRPr="00D84677">
              <w:rPr>
                <w:lang w:val="ru-RU" w:eastAsia="en-US"/>
              </w:rPr>
              <w:t>)</w:t>
            </w:r>
            <w:r w:rsidR="00A85DBB" w:rsidRPr="00D84677">
              <w:rPr>
                <w:lang w:val="ru-RU" w:eastAsia="en-US"/>
              </w:rPr>
              <w:t>,</w:t>
            </w:r>
            <w:r w:rsidRPr="00D84677">
              <w:rPr>
                <w:lang w:val="ru-RU" w:eastAsia="en-US"/>
              </w:rPr>
              <w:t xml:space="preserve"> при условии, что такие договорные условия являются подлинными, даже если вероятность </w:t>
            </w:r>
            <w:r w:rsidR="00A85DBB" w:rsidRPr="00D84677">
              <w:rPr>
                <w:lang w:val="ru-RU" w:eastAsia="en-US"/>
              </w:rPr>
              <w:t xml:space="preserve">такого </w:t>
            </w:r>
            <w:r w:rsidRPr="00D84677">
              <w:rPr>
                <w:lang w:val="ru-RU" w:eastAsia="en-US"/>
              </w:rPr>
              <w:t>отнесения убытка является маловероятной.</w:t>
            </w:r>
          </w:p>
        </w:tc>
      </w:tr>
    </w:tbl>
    <w:p w:rsidR="007D4BCC" w:rsidRPr="0049187C" w:rsidRDefault="007D4BCC" w:rsidP="007D4BCC">
      <w:pPr>
        <w:pStyle w:val="IASBNormalnpara"/>
        <w:rPr>
          <w:lang w:val="ru-RU"/>
        </w:rPr>
      </w:pPr>
    </w:p>
    <w:p w:rsidR="007D4BCC" w:rsidRPr="0049187C" w:rsidRDefault="007D4BCC" w:rsidP="007D4BCC">
      <w:pPr>
        <w:pStyle w:val="IASBNormalnpara"/>
        <w:rPr>
          <w:lang w:val="ru-RU"/>
        </w:rPr>
      </w:pPr>
      <w:r w:rsidRPr="0049187C">
        <w:rPr>
          <w:lang w:val="ru-RU"/>
        </w:rPr>
        <w:t>B4.1.14</w:t>
      </w:r>
      <w:r w:rsidRPr="0049187C">
        <w:rPr>
          <w:lang w:val="ru-RU"/>
        </w:rPr>
        <w:tab/>
        <w:t>Представленные ниже примеры иллюстрируют предусмотренные договором денежные потоки, которые не являются исключит</w:t>
      </w:r>
      <w:r w:rsidR="00A73D9D">
        <w:rPr>
          <w:lang w:val="ru-RU"/>
        </w:rPr>
        <w:t>ельно платежами в счет основной суммы</w:t>
      </w:r>
      <w:r w:rsidRPr="0049187C">
        <w:rPr>
          <w:lang w:val="ru-RU"/>
        </w:rPr>
        <w:t xml:space="preserve"> долга и процентов на непогашенную </w:t>
      </w:r>
      <w:r w:rsidR="00A73D9D">
        <w:rPr>
          <w:lang w:val="ru-RU"/>
        </w:rPr>
        <w:t>часть основной суммы</w:t>
      </w:r>
      <w:r w:rsidRPr="0049187C">
        <w:rPr>
          <w:lang w:val="ru-RU"/>
        </w:rPr>
        <w:t xml:space="preserve"> долга. Представленный перечень примеров не является исчерпывающим.</w:t>
      </w:r>
    </w:p>
    <w:p w:rsidR="007D4BCC" w:rsidRPr="0049187C" w:rsidRDefault="007D4BCC" w:rsidP="007D4BCC">
      <w:pPr>
        <w:pStyle w:val="IASBNormalnpara"/>
        <w:rPr>
          <w:lang w:val="ru-RU"/>
        </w:rPr>
      </w:pPr>
    </w:p>
    <w:tbl>
      <w:tblPr>
        <w:tblW w:w="0" w:type="auto"/>
        <w:tblInd w:w="964" w:type="dxa"/>
        <w:tblLayout w:type="fixed"/>
        <w:tblLook w:val="0000" w:firstRow="0" w:lastRow="0" w:firstColumn="0" w:lastColumn="0" w:noHBand="0" w:noVBand="0"/>
      </w:tblPr>
      <w:tblGrid>
        <w:gridCol w:w="3694"/>
        <w:gridCol w:w="4550"/>
      </w:tblGrid>
      <w:tr w:rsidR="007D4BCC" w:rsidRPr="0049187C" w:rsidTr="00C47E8A">
        <w:tblPrEx>
          <w:tblCellMar>
            <w:top w:w="0" w:type="dxa"/>
            <w:bottom w:w="0" w:type="dxa"/>
          </w:tblCellMar>
        </w:tblPrEx>
        <w:trPr>
          <w:cantSplit/>
          <w:tblHeader/>
        </w:trPr>
        <w:tc>
          <w:tcPr>
            <w:tcW w:w="3694" w:type="dxa"/>
            <w:tcBorders>
              <w:top w:val="single" w:sz="4" w:space="0" w:color="auto"/>
              <w:left w:val="single" w:sz="4" w:space="0" w:color="auto"/>
              <w:bottom w:val="single" w:sz="4" w:space="0" w:color="auto"/>
              <w:right w:val="single" w:sz="4" w:space="0" w:color="auto"/>
            </w:tcBorders>
            <w:vAlign w:val="bottom"/>
          </w:tcPr>
          <w:p w:rsidR="007D4BCC" w:rsidRPr="0049187C" w:rsidRDefault="007D4BCC" w:rsidP="00C47E8A">
            <w:pPr>
              <w:pStyle w:val="IASBTableHeaderArial"/>
              <w:rPr>
                <w:lang w:val="ru-RU"/>
              </w:rPr>
            </w:pPr>
            <w:r w:rsidRPr="0049187C">
              <w:rPr>
                <w:b/>
                <w:lang w:val="ru-RU"/>
              </w:rPr>
              <w:t>Инструмент</w:t>
            </w:r>
          </w:p>
        </w:tc>
        <w:tc>
          <w:tcPr>
            <w:tcW w:w="4550" w:type="dxa"/>
            <w:tcBorders>
              <w:top w:val="single" w:sz="4" w:space="0" w:color="auto"/>
              <w:left w:val="nil"/>
              <w:bottom w:val="single" w:sz="4" w:space="0" w:color="auto"/>
              <w:right w:val="single" w:sz="4" w:space="0" w:color="auto"/>
            </w:tcBorders>
            <w:vAlign w:val="bottom"/>
          </w:tcPr>
          <w:p w:rsidR="007D4BCC" w:rsidRPr="0049187C" w:rsidRDefault="007D4BCC" w:rsidP="00C47E8A">
            <w:pPr>
              <w:pStyle w:val="IASBTableHeaderArial"/>
              <w:rPr>
                <w:lang w:val="ru-RU"/>
              </w:rPr>
            </w:pPr>
            <w:r w:rsidRPr="0049187C">
              <w:rPr>
                <w:b/>
                <w:lang w:val="ru-RU"/>
              </w:rPr>
              <w:t>Анализ</w:t>
            </w:r>
          </w:p>
        </w:tc>
      </w:tr>
      <w:tr w:rsidR="007D4BCC" w:rsidRPr="0049187C" w:rsidTr="00C47E8A">
        <w:tblPrEx>
          <w:tblCellMar>
            <w:top w:w="0" w:type="dxa"/>
            <w:bottom w:w="0" w:type="dxa"/>
          </w:tblCellMar>
        </w:tblPrEx>
        <w:trPr>
          <w:cantSplit/>
        </w:trPr>
        <w:tc>
          <w:tcPr>
            <w:tcW w:w="3694" w:type="dxa"/>
            <w:tcBorders>
              <w:top w:val="nil"/>
              <w:left w:val="single" w:sz="4" w:space="0" w:color="auto"/>
              <w:bottom w:val="single" w:sz="4" w:space="0" w:color="auto"/>
              <w:right w:val="single" w:sz="4" w:space="0" w:color="auto"/>
            </w:tcBorders>
          </w:tcPr>
          <w:p w:rsidR="007D4BCC" w:rsidRPr="0049187C" w:rsidRDefault="007D4BCC" w:rsidP="00C47E8A">
            <w:pPr>
              <w:pStyle w:val="IASBTableTNR"/>
              <w:rPr>
                <w:lang w:val="ru-RU"/>
              </w:rPr>
            </w:pPr>
            <w:r w:rsidRPr="0049187C">
              <w:rPr>
                <w:b/>
                <w:lang w:val="ru-RU"/>
              </w:rPr>
              <w:t>Инструмент F</w:t>
            </w:r>
          </w:p>
          <w:p w:rsidR="007D4BCC" w:rsidRPr="0049187C" w:rsidRDefault="007D4BCC" w:rsidP="00C47E8A">
            <w:pPr>
              <w:pStyle w:val="IASBTableTNR"/>
              <w:rPr>
                <w:lang w:val="ru-RU"/>
              </w:rPr>
            </w:pPr>
            <w:r w:rsidRPr="0049187C">
              <w:rPr>
                <w:lang w:val="ru-RU"/>
              </w:rPr>
              <w:t xml:space="preserve">Инструмент F является облигацией, конвертируемой в фиксированное количество долевых инструментов эмитента. </w:t>
            </w:r>
          </w:p>
        </w:tc>
        <w:tc>
          <w:tcPr>
            <w:tcW w:w="4550" w:type="dxa"/>
            <w:tcBorders>
              <w:top w:val="nil"/>
              <w:left w:val="nil"/>
              <w:bottom w:val="single" w:sz="4" w:space="0" w:color="auto"/>
              <w:right w:val="single" w:sz="4" w:space="0" w:color="auto"/>
            </w:tcBorders>
          </w:tcPr>
          <w:p w:rsidR="007D4BCC" w:rsidRPr="0049187C" w:rsidRDefault="007D4BCC" w:rsidP="00C47E8A">
            <w:pPr>
              <w:pStyle w:val="IASBTableTNR"/>
              <w:rPr>
                <w:lang w:val="ru-RU"/>
              </w:rPr>
            </w:pPr>
            <w:r w:rsidRPr="0049187C">
              <w:rPr>
                <w:lang w:val="ru-RU"/>
              </w:rPr>
              <w:t>Держатель должен анализировать конвертируемую облигацию в целом.</w:t>
            </w:r>
          </w:p>
          <w:p w:rsidR="007D4BCC" w:rsidRPr="0049187C" w:rsidRDefault="007D4BCC" w:rsidP="00A73D9D">
            <w:pPr>
              <w:pStyle w:val="IASBTableTNR"/>
              <w:rPr>
                <w:lang w:val="ru-RU"/>
              </w:rPr>
            </w:pPr>
            <w:r w:rsidRPr="0049187C">
              <w:rPr>
                <w:lang w:val="ru-RU" w:eastAsia="en-US"/>
              </w:rPr>
              <w:t xml:space="preserve">Предусмотренные договором денежные потоки </w:t>
            </w:r>
            <w:r w:rsidRPr="0049187C">
              <w:rPr>
                <w:lang w:val="ru-RU"/>
              </w:rPr>
              <w:t xml:space="preserve">не </w:t>
            </w:r>
            <w:r w:rsidRPr="0049187C">
              <w:rPr>
                <w:lang w:val="ru-RU" w:eastAsia="en-US"/>
              </w:rPr>
              <w:t>явля</w:t>
            </w:r>
            <w:r w:rsidR="00A73D9D">
              <w:rPr>
                <w:lang w:val="ru-RU" w:eastAsia="en-US"/>
              </w:rPr>
              <w:t xml:space="preserve">ются платежами в счет основной суммы </w:t>
            </w:r>
            <w:r w:rsidRPr="0049187C">
              <w:rPr>
                <w:lang w:val="ru-RU" w:eastAsia="en-US"/>
              </w:rPr>
              <w:t>долга и процентов на</w:t>
            </w:r>
            <w:r w:rsidRPr="0049187C">
              <w:rPr>
                <w:lang w:val="ru-RU"/>
              </w:rPr>
              <w:t xml:space="preserve"> </w:t>
            </w:r>
            <w:r w:rsidRPr="0049187C">
              <w:rPr>
                <w:lang w:val="ru-RU" w:eastAsia="en-US"/>
              </w:rPr>
              <w:t xml:space="preserve">непогашенную </w:t>
            </w:r>
            <w:r w:rsidR="00A73D9D">
              <w:rPr>
                <w:lang w:val="ru-RU" w:eastAsia="en-US"/>
              </w:rPr>
              <w:t>часть основной суммы</w:t>
            </w:r>
            <w:r w:rsidRPr="0049187C">
              <w:rPr>
                <w:lang w:val="ru-RU" w:eastAsia="en-US"/>
              </w:rPr>
              <w:t xml:space="preserve"> долга, так как они отражают доход, </w:t>
            </w:r>
            <w:r w:rsidRPr="0049187C">
              <w:rPr>
                <w:lang w:val="ru-RU"/>
              </w:rPr>
              <w:t xml:space="preserve">который не соответствует условиям базового </w:t>
            </w:r>
            <w:r w:rsidRPr="0049187C">
              <w:rPr>
                <w:lang w:val="ru-RU" w:eastAsia="en-US"/>
              </w:rPr>
              <w:t>кредитного договора</w:t>
            </w:r>
            <w:r w:rsidRPr="0049187C">
              <w:rPr>
                <w:lang w:val="ru-RU"/>
              </w:rPr>
              <w:t xml:space="preserve"> (см. пункт B4.1.7A); т. е. доход связан со стоимостью собственного капитала эмитента.</w:t>
            </w:r>
          </w:p>
        </w:tc>
      </w:tr>
      <w:tr w:rsidR="007D4BCC" w:rsidRPr="0049187C" w:rsidTr="00C47E8A">
        <w:tblPrEx>
          <w:tblCellMar>
            <w:top w:w="0" w:type="dxa"/>
            <w:bottom w:w="0" w:type="dxa"/>
          </w:tblCellMar>
        </w:tblPrEx>
        <w:trPr>
          <w:cantSplit/>
        </w:trPr>
        <w:tc>
          <w:tcPr>
            <w:tcW w:w="3694" w:type="dxa"/>
            <w:tcBorders>
              <w:top w:val="nil"/>
              <w:left w:val="single" w:sz="4" w:space="0" w:color="auto"/>
              <w:bottom w:val="single" w:sz="4" w:space="0" w:color="auto"/>
              <w:right w:val="single" w:sz="4" w:space="0" w:color="auto"/>
            </w:tcBorders>
          </w:tcPr>
          <w:p w:rsidR="007D4BCC" w:rsidRPr="0049187C" w:rsidRDefault="007D4BCC" w:rsidP="00C47E8A">
            <w:pPr>
              <w:pStyle w:val="IASBTableTNR"/>
              <w:rPr>
                <w:lang w:val="ru-RU"/>
              </w:rPr>
            </w:pPr>
            <w:r w:rsidRPr="0049187C">
              <w:rPr>
                <w:b/>
                <w:lang w:val="ru-RU"/>
              </w:rPr>
              <w:t>Инструмент G</w:t>
            </w:r>
          </w:p>
          <w:p w:rsidR="007D4BCC" w:rsidRPr="0049187C" w:rsidRDefault="007D4BCC" w:rsidP="00C03F4D">
            <w:pPr>
              <w:pStyle w:val="IASBTableTNR"/>
              <w:rPr>
                <w:lang w:val="ru-RU"/>
              </w:rPr>
            </w:pPr>
            <w:r w:rsidRPr="0049187C">
              <w:rPr>
                <w:lang w:val="ru-RU"/>
              </w:rPr>
              <w:t xml:space="preserve">Инструмент G является займом с обратной плавающей процентной ставкой (т. е. процентная ставка </w:t>
            </w:r>
            <w:r w:rsidR="00045D8B" w:rsidRPr="0049187C">
              <w:rPr>
                <w:lang w:val="ru-RU"/>
              </w:rPr>
              <w:t>имеет обратную зависимость от</w:t>
            </w:r>
            <w:r w:rsidRPr="0049187C">
              <w:rPr>
                <w:lang w:val="ru-RU"/>
              </w:rPr>
              <w:t xml:space="preserve"> рыночной процентной ставк</w:t>
            </w:r>
            <w:r w:rsidR="00045D8B" w:rsidRPr="0049187C">
              <w:rPr>
                <w:lang w:val="ru-RU"/>
              </w:rPr>
              <w:t>и</w:t>
            </w:r>
            <w:r w:rsidRPr="0049187C">
              <w:rPr>
                <w:lang w:val="ru-RU"/>
              </w:rPr>
              <w:t>).</w:t>
            </w:r>
          </w:p>
        </w:tc>
        <w:tc>
          <w:tcPr>
            <w:tcW w:w="4550" w:type="dxa"/>
            <w:tcBorders>
              <w:top w:val="nil"/>
              <w:left w:val="nil"/>
              <w:bottom w:val="single" w:sz="4" w:space="0" w:color="auto"/>
              <w:right w:val="single" w:sz="4" w:space="0" w:color="auto"/>
            </w:tcBorders>
          </w:tcPr>
          <w:p w:rsidR="007D4BCC" w:rsidRPr="0049187C" w:rsidRDefault="007D4BCC" w:rsidP="00C47E8A">
            <w:pPr>
              <w:pStyle w:val="IASBTableTNR"/>
              <w:rPr>
                <w:lang w:val="ru-RU" w:eastAsia="en-US"/>
              </w:rPr>
            </w:pPr>
            <w:r w:rsidRPr="0049187C">
              <w:rPr>
                <w:lang w:val="ru-RU" w:eastAsia="en-US"/>
              </w:rPr>
              <w:t xml:space="preserve">Предусмотренные договором денежные потоки </w:t>
            </w:r>
            <w:r w:rsidRPr="0049187C">
              <w:rPr>
                <w:lang w:val="ru-RU"/>
              </w:rPr>
              <w:t xml:space="preserve">не </w:t>
            </w:r>
            <w:r w:rsidRPr="0049187C">
              <w:rPr>
                <w:lang w:val="ru-RU" w:eastAsia="en-US"/>
              </w:rPr>
              <w:t>являются исключит</w:t>
            </w:r>
            <w:r w:rsidR="00A73D9D">
              <w:rPr>
                <w:lang w:val="ru-RU" w:eastAsia="en-US"/>
              </w:rPr>
              <w:t>ельно платежами в счет основной суммы</w:t>
            </w:r>
            <w:r w:rsidRPr="0049187C">
              <w:rPr>
                <w:lang w:val="ru-RU" w:eastAsia="en-US"/>
              </w:rPr>
              <w:t xml:space="preserve"> долга и процентов на</w:t>
            </w:r>
            <w:r w:rsidRPr="0049187C">
              <w:rPr>
                <w:lang w:val="ru-RU"/>
              </w:rPr>
              <w:t xml:space="preserve"> </w:t>
            </w:r>
            <w:r w:rsidRPr="0049187C">
              <w:rPr>
                <w:lang w:val="ru-RU" w:eastAsia="en-US"/>
              </w:rPr>
              <w:t xml:space="preserve">непогашенную </w:t>
            </w:r>
            <w:r w:rsidR="00A73D9D">
              <w:rPr>
                <w:lang w:val="ru-RU" w:eastAsia="en-US"/>
              </w:rPr>
              <w:t>часть основной суммы</w:t>
            </w:r>
            <w:r w:rsidRPr="0049187C">
              <w:rPr>
                <w:lang w:val="ru-RU" w:eastAsia="en-US"/>
              </w:rPr>
              <w:t xml:space="preserve"> долга.</w:t>
            </w:r>
          </w:p>
          <w:p w:rsidR="007D4BCC" w:rsidRPr="0049187C" w:rsidRDefault="007D4BCC" w:rsidP="00A73D9D">
            <w:pPr>
              <w:pStyle w:val="IASBTableTNR"/>
              <w:rPr>
                <w:lang w:val="ru-RU" w:eastAsia="en-US"/>
              </w:rPr>
            </w:pPr>
            <w:r w:rsidRPr="0049187C">
              <w:rPr>
                <w:lang w:val="ru-RU" w:eastAsia="en-US"/>
              </w:rPr>
              <w:t xml:space="preserve">Сумма процентов не </w:t>
            </w:r>
            <w:r w:rsidR="00C67977">
              <w:rPr>
                <w:lang w:val="ru-RU" w:eastAsia="en-US"/>
              </w:rPr>
              <w:t>является возмещением за временн</w:t>
            </w:r>
            <w:r w:rsidR="00C67977">
              <w:rPr>
                <w:lang w:val="ru-RU"/>
              </w:rPr>
              <w:t>ý</w:t>
            </w:r>
            <w:r w:rsidRPr="0049187C">
              <w:rPr>
                <w:lang w:val="ru-RU" w:eastAsia="en-US"/>
              </w:rPr>
              <w:t>ю с</w:t>
            </w:r>
            <w:r w:rsidR="00A73D9D">
              <w:rPr>
                <w:lang w:val="ru-RU" w:eastAsia="en-US"/>
              </w:rPr>
              <w:t>тоимость денег по непогашенной части основной суммы</w:t>
            </w:r>
            <w:r w:rsidRPr="0049187C">
              <w:rPr>
                <w:lang w:val="ru-RU" w:eastAsia="en-US"/>
              </w:rPr>
              <w:t xml:space="preserve"> долга.</w:t>
            </w:r>
          </w:p>
        </w:tc>
      </w:tr>
      <w:tr w:rsidR="007D4BCC" w:rsidRPr="0049187C" w:rsidTr="00C47E8A">
        <w:tblPrEx>
          <w:tblCellMar>
            <w:top w:w="0" w:type="dxa"/>
            <w:bottom w:w="0" w:type="dxa"/>
          </w:tblCellMar>
        </w:tblPrEx>
        <w:trPr>
          <w:cantSplit/>
        </w:trPr>
        <w:tc>
          <w:tcPr>
            <w:tcW w:w="3694" w:type="dxa"/>
            <w:tcBorders>
              <w:top w:val="nil"/>
              <w:left w:val="single" w:sz="4" w:space="0" w:color="auto"/>
              <w:bottom w:val="single" w:sz="4" w:space="0" w:color="auto"/>
              <w:right w:val="single" w:sz="4" w:space="0" w:color="auto"/>
            </w:tcBorders>
          </w:tcPr>
          <w:p w:rsidR="007D4BCC" w:rsidRPr="0049187C" w:rsidRDefault="007D4BCC" w:rsidP="00C47E8A">
            <w:pPr>
              <w:pStyle w:val="IASBTableTNR"/>
              <w:tabs>
                <w:tab w:val="left" w:pos="1615"/>
              </w:tabs>
              <w:rPr>
                <w:lang w:val="ru-RU"/>
              </w:rPr>
            </w:pPr>
            <w:r w:rsidRPr="0049187C">
              <w:rPr>
                <w:b/>
                <w:lang w:val="ru-RU"/>
              </w:rPr>
              <w:t>Инструмент H</w:t>
            </w:r>
          </w:p>
          <w:p w:rsidR="007D4BCC" w:rsidRPr="0049187C" w:rsidRDefault="007D4BCC" w:rsidP="00C47E8A">
            <w:pPr>
              <w:pStyle w:val="IASBTableTNR"/>
              <w:rPr>
                <w:lang w:val="ru-RU"/>
              </w:rPr>
            </w:pPr>
            <w:r w:rsidRPr="0049187C">
              <w:rPr>
                <w:lang w:val="ru-RU"/>
              </w:rPr>
              <w:t xml:space="preserve">Инструмент Н является бессрочным инструментом, но эмитент может отозвать инструмент в любой момент времени и выплатить </w:t>
            </w:r>
            <w:r w:rsidR="00294BCF">
              <w:rPr>
                <w:lang w:val="ru-RU"/>
              </w:rPr>
              <w:t xml:space="preserve">его </w:t>
            </w:r>
            <w:r w:rsidRPr="0049187C">
              <w:rPr>
                <w:lang w:val="ru-RU"/>
              </w:rPr>
              <w:t>держателю номинальную стоимость плюс подлежащие выплате начисленные проценты.</w:t>
            </w:r>
          </w:p>
          <w:p w:rsidR="007D4BCC" w:rsidRPr="0049187C" w:rsidRDefault="007D4BCC" w:rsidP="00C47E8A">
            <w:pPr>
              <w:pStyle w:val="IASBTableTNR"/>
              <w:rPr>
                <w:lang w:val="ru-RU"/>
              </w:rPr>
            </w:pPr>
            <w:r w:rsidRPr="0049187C">
              <w:rPr>
                <w:lang w:val="ru-RU"/>
              </w:rPr>
              <w:t xml:space="preserve">По инструменту Н выплачивается рыночная процентная ставка, но выплата процентов может быть осуществлена, только если эмитент останется платежеспособным </w:t>
            </w:r>
            <w:r w:rsidR="00294BCF">
              <w:rPr>
                <w:lang w:val="ru-RU"/>
              </w:rPr>
              <w:t>непосредственно</w:t>
            </w:r>
            <w:r w:rsidRPr="0049187C">
              <w:rPr>
                <w:lang w:val="ru-RU"/>
              </w:rPr>
              <w:t xml:space="preserve"> после такой выплаты.</w:t>
            </w:r>
          </w:p>
          <w:p w:rsidR="007D4BCC" w:rsidRPr="0049187C" w:rsidRDefault="007D4BCC" w:rsidP="00C03F4D">
            <w:pPr>
              <w:pStyle w:val="IASBTableTNR"/>
              <w:rPr>
                <w:lang w:val="ru-RU"/>
              </w:rPr>
            </w:pPr>
            <w:r w:rsidRPr="0049187C">
              <w:rPr>
                <w:lang w:val="ru-RU"/>
              </w:rPr>
              <w:t>На отсроченн</w:t>
            </w:r>
            <w:r w:rsidR="00045D8B" w:rsidRPr="0049187C">
              <w:rPr>
                <w:lang w:val="ru-RU"/>
              </w:rPr>
              <w:t>ые суммы</w:t>
            </w:r>
            <w:r w:rsidRPr="0049187C">
              <w:rPr>
                <w:lang w:val="ru-RU"/>
              </w:rPr>
              <w:t xml:space="preserve"> процентов дополнительные проценты не начисляются.</w:t>
            </w:r>
          </w:p>
        </w:tc>
        <w:tc>
          <w:tcPr>
            <w:tcW w:w="4550" w:type="dxa"/>
            <w:tcBorders>
              <w:top w:val="nil"/>
              <w:left w:val="nil"/>
              <w:bottom w:val="single" w:sz="4" w:space="0" w:color="auto"/>
              <w:right w:val="single" w:sz="4" w:space="0" w:color="auto"/>
            </w:tcBorders>
          </w:tcPr>
          <w:p w:rsidR="007D4BCC" w:rsidRPr="0049187C" w:rsidRDefault="007D4BCC" w:rsidP="00C47E8A">
            <w:pPr>
              <w:pStyle w:val="IASBTableTNR"/>
              <w:rPr>
                <w:lang w:val="ru-RU" w:eastAsia="en-US"/>
              </w:rPr>
            </w:pPr>
            <w:r w:rsidRPr="0049187C">
              <w:rPr>
                <w:lang w:val="ru-RU" w:eastAsia="en-US"/>
              </w:rPr>
              <w:t xml:space="preserve">Предусмотренные договором денежные потоки </w:t>
            </w:r>
            <w:r w:rsidRPr="0049187C">
              <w:rPr>
                <w:lang w:val="ru-RU"/>
              </w:rPr>
              <w:t xml:space="preserve">не </w:t>
            </w:r>
            <w:r w:rsidRPr="0049187C">
              <w:rPr>
                <w:lang w:val="ru-RU" w:eastAsia="en-US"/>
              </w:rPr>
              <w:t>явл</w:t>
            </w:r>
            <w:r w:rsidR="00A73D9D">
              <w:rPr>
                <w:lang w:val="ru-RU" w:eastAsia="en-US"/>
              </w:rPr>
              <w:t>яются платежами в счет основной суммы</w:t>
            </w:r>
            <w:r w:rsidRPr="0049187C">
              <w:rPr>
                <w:lang w:val="ru-RU" w:eastAsia="en-US"/>
              </w:rPr>
              <w:t xml:space="preserve"> долга и процентов на</w:t>
            </w:r>
            <w:r w:rsidRPr="0049187C">
              <w:rPr>
                <w:lang w:val="ru-RU"/>
              </w:rPr>
              <w:t xml:space="preserve"> </w:t>
            </w:r>
            <w:r w:rsidRPr="0049187C">
              <w:rPr>
                <w:lang w:val="ru-RU" w:eastAsia="en-US"/>
              </w:rPr>
              <w:t xml:space="preserve">непогашенную </w:t>
            </w:r>
            <w:r w:rsidR="00A73D9D">
              <w:rPr>
                <w:lang w:val="ru-RU" w:eastAsia="en-US"/>
              </w:rPr>
              <w:t>часть основной суммы</w:t>
            </w:r>
            <w:r w:rsidRPr="0049187C">
              <w:rPr>
                <w:lang w:val="ru-RU" w:eastAsia="en-US"/>
              </w:rPr>
              <w:t xml:space="preserve"> долга. Это </w:t>
            </w:r>
            <w:r w:rsidR="00294BCF">
              <w:rPr>
                <w:lang w:val="ru-RU" w:eastAsia="en-US"/>
              </w:rPr>
              <w:t>обусловлено тем</w:t>
            </w:r>
            <w:r w:rsidRPr="0049187C">
              <w:rPr>
                <w:lang w:val="ru-RU" w:eastAsia="en-US"/>
              </w:rPr>
              <w:t xml:space="preserve">, что </w:t>
            </w:r>
            <w:r w:rsidR="007C6E9B">
              <w:rPr>
                <w:lang w:val="ru-RU" w:eastAsia="en-US"/>
              </w:rPr>
              <w:t xml:space="preserve">от </w:t>
            </w:r>
            <w:r w:rsidRPr="0049187C">
              <w:rPr>
                <w:lang w:val="ru-RU" w:eastAsia="en-US"/>
              </w:rPr>
              <w:t>эмитент</w:t>
            </w:r>
            <w:r w:rsidR="007C6E9B">
              <w:rPr>
                <w:lang w:val="ru-RU" w:eastAsia="en-US"/>
              </w:rPr>
              <w:t>а</w:t>
            </w:r>
            <w:r w:rsidRPr="0049187C">
              <w:rPr>
                <w:lang w:val="ru-RU" w:eastAsia="en-US"/>
              </w:rPr>
              <w:t xml:space="preserve"> </w:t>
            </w:r>
            <w:r w:rsidR="007C6E9B">
              <w:rPr>
                <w:lang w:val="ru-RU" w:eastAsia="en-US"/>
              </w:rPr>
              <w:t>могут потребовать</w:t>
            </w:r>
            <w:r w:rsidR="00294BCF" w:rsidRPr="0049187C">
              <w:rPr>
                <w:lang w:val="ru-RU" w:eastAsia="en-US"/>
              </w:rPr>
              <w:t xml:space="preserve"> </w:t>
            </w:r>
            <w:r w:rsidRPr="0049187C">
              <w:rPr>
                <w:lang w:val="ru-RU" w:eastAsia="en-US"/>
              </w:rPr>
              <w:t xml:space="preserve">отсрочить платежи по процентам и на эти отсроченные проценты дополнительные проценты не начисляются. В результате, суммы процентов не </w:t>
            </w:r>
            <w:r w:rsidR="00C67977">
              <w:rPr>
                <w:lang w:val="ru-RU" w:eastAsia="en-US"/>
              </w:rPr>
              <w:t>являются возмещением за временн</w:t>
            </w:r>
            <w:r w:rsidR="00C67977">
              <w:rPr>
                <w:lang w:val="ru-RU"/>
              </w:rPr>
              <w:t>ý</w:t>
            </w:r>
            <w:r w:rsidRPr="0049187C">
              <w:rPr>
                <w:lang w:val="ru-RU" w:eastAsia="en-US"/>
              </w:rPr>
              <w:t xml:space="preserve">ю стоимость денег по непогашенной </w:t>
            </w:r>
            <w:r w:rsidR="00A73D9D">
              <w:rPr>
                <w:lang w:val="ru-RU" w:eastAsia="en-US"/>
              </w:rPr>
              <w:t>части основной</w:t>
            </w:r>
            <w:r w:rsidRPr="0049187C">
              <w:rPr>
                <w:lang w:val="ru-RU" w:eastAsia="en-US"/>
              </w:rPr>
              <w:t xml:space="preserve"> </w:t>
            </w:r>
            <w:r w:rsidR="00A73D9D">
              <w:rPr>
                <w:lang w:val="ru-RU" w:eastAsia="en-US"/>
              </w:rPr>
              <w:t xml:space="preserve">суммы </w:t>
            </w:r>
            <w:r w:rsidRPr="0049187C">
              <w:rPr>
                <w:lang w:val="ru-RU" w:eastAsia="en-US"/>
              </w:rPr>
              <w:t>долга.</w:t>
            </w:r>
          </w:p>
          <w:p w:rsidR="007D4BCC" w:rsidRDefault="007D4BCC" w:rsidP="00A73D9D">
            <w:pPr>
              <w:pStyle w:val="IASBTableTNR"/>
              <w:rPr>
                <w:lang w:val="ru-RU" w:eastAsia="en-US"/>
              </w:rPr>
            </w:pPr>
            <w:r w:rsidRPr="0049187C">
              <w:rPr>
                <w:lang w:val="ru-RU" w:eastAsia="en-US"/>
              </w:rPr>
              <w:t xml:space="preserve">Если на отсроченные суммы начислены проценты, то предусмотренные договором денежные потоки </w:t>
            </w:r>
            <w:r w:rsidRPr="0049187C">
              <w:rPr>
                <w:lang w:val="ru-RU"/>
              </w:rPr>
              <w:t xml:space="preserve">могут быть </w:t>
            </w:r>
            <w:r w:rsidR="00A73D9D">
              <w:rPr>
                <w:lang w:val="ru-RU" w:eastAsia="en-US"/>
              </w:rPr>
              <w:t>платежами в счет основной суммы</w:t>
            </w:r>
            <w:r w:rsidRPr="0049187C">
              <w:rPr>
                <w:lang w:val="ru-RU" w:eastAsia="en-US"/>
              </w:rPr>
              <w:t xml:space="preserve"> долга и процентов на</w:t>
            </w:r>
            <w:r w:rsidRPr="0049187C">
              <w:rPr>
                <w:lang w:val="ru-RU"/>
              </w:rPr>
              <w:t xml:space="preserve"> </w:t>
            </w:r>
            <w:r w:rsidRPr="0049187C">
              <w:rPr>
                <w:lang w:val="ru-RU" w:eastAsia="en-US"/>
              </w:rPr>
              <w:t xml:space="preserve">непогашенную </w:t>
            </w:r>
            <w:r w:rsidR="00A73D9D">
              <w:rPr>
                <w:lang w:val="ru-RU" w:eastAsia="en-US"/>
              </w:rPr>
              <w:t>часть основной суммы</w:t>
            </w:r>
            <w:r w:rsidRPr="0049187C">
              <w:rPr>
                <w:lang w:val="ru-RU" w:eastAsia="en-US"/>
              </w:rPr>
              <w:t xml:space="preserve"> долга.</w:t>
            </w:r>
          </w:p>
          <w:p w:rsidR="004E0A26" w:rsidRPr="0049187C" w:rsidRDefault="004E0A26" w:rsidP="004E0A26">
            <w:pPr>
              <w:pStyle w:val="IASBTableTNR"/>
              <w:rPr>
                <w:lang w:val="ru-RU"/>
              </w:rPr>
            </w:pPr>
            <w:r w:rsidRPr="0049187C">
              <w:rPr>
                <w:lang w:val="ru-RU"/>
              </w:rPr>
              <w:t xml:space="preserve">Тот факт, что инструмент Н является бессрочным, сам по себе не означает, что </w:t>
            </w:r>
            <w:r w:rsidRPr="0049187C">
              <w:rPr>
                <w:lang w:val="ru-RU" w:eastAsia="en-US"/>
              </w:rPr>
              <w:t xml:space="preserve">предусмотренные договором денежные потоки </w:t>
            </w:r>
            <w:r w:rsidRPr="0049187C">
              <w:rPr>
                <w:lang w:val="ru-RU"/>
              </w:rPr>
              <w:t xml:space="preserve">не являются </w:t>
            </w:r>
            <w:r>
              <w:rPr>
                <w:lang w:val="ru-RU" w:eastAsia="en-US"/>
              </w:rPr>
              <w:t>платежами в счет основной суммы</w:t>
            </w:r>
            <w:r w:rsidRPr="0049187C">
              <w:rPr>
                <w:lang w:val="ru-RU" w:eastAsia="en-US"/>
              </w:rPr>
              <w:t xml:space="preserve"> долга и процентов на</w:t>
            </w:r>
            <w:r w:rsidRPr="0049187C">
              <w:rPr>
                <w:lang w:val="ru-RU"/>
              </w:rPr>
              <w:t xml:space="preserve"> </w:t>
            </w:r>
            <w:r w:rsidRPr="0049187C">
              <w:rPr>
                <w:lang w:val="ru-RU" w:eastAsia="en-US"/>
              </w:rPr>
              <w:t xml:space="preserve">непогашенную </w:t>
            </w:r>
            <w:r>
              <w:rPr>
                <w:lang w:val="ru-RU" w:eastAsia="en-US"/>
              </w:rPr>
              <w:t>часть основной суммы</w:t>
            </w:r>
            <w:r w:rsidRPr="0049187C">
              <w:rPr>
                <w:lang w:val="ru-RU" w:eastAsia="en-US"/>
              </w:rPr>
              <w:t xml:space="preserve"> долга. В сущности, бессрочный инстр</w:t>
            </w:r>
            <w:r>
              <w:rPr>
                <w:lang w:val="ru-RU" w:eastAsia="en-US"/>
              </w:rPr>
              <w:t>умент предусматривает непрерывные (неоднократные</w:t>
            </w:r>
            <w:r w:rsidRPr="0049187C">
              <w:rPr>
                <w:lang w:val="ru-RU" w:eastAsia="en-US"/>
              </w:rPr>
              <w:t xml:space="preserve">) </w:t>
            </w:r>
            <w:r>
              <w:rPr>
                <w:lang w:val="ru-RU" w:eastAsia="en-US"/>
              </w:rPr>
              <w:t>опционы на продление</w:t>
            </w:r>
            <w:r w:rsidRPr="0049187C">
              <w:rPr>
                <w:lang w:val="ru-RU" w:eastAsia="en-US"/>
              </w:rPr>
              <w:t>. Такая возможность может привести к возникновению предусмотренных договором денежных потоков, которые являются</w:t>
            </w:r>
            <w:r>
              <w:rPr>
                <w:lang w:val="ru-RU" w:eastAsia="en-US"/>
              </w:rPr>
              <w:t xml:space="preserve"> платежами в счет основной суммы</w:t>
            </w:r>
            <w:r w:rsidRPr="0049187C">
              <w:rPr>
                <w:lang w:val="ru-RU" w:eastAsia="en-US"/>
              </w:rPr>
              <w:t xml:space="preserve"> долга и процентов на</w:t>
            </w:r>
            <w:r w:rsidRPr="0049187C">
              <w:rPr>
                <w:lang w:val="ru-RU"/>
              </w:rPr>
              <w:t xml:space="preserve"> </w:t>
            </w:r>
            <w:r w:rsidRPr="0049187C">
              <w:rPr>
                <w:lang w:val="ru-RU" w:eastAsia="en-US"/>
              </w:rPr>
              <w:t xml:space="preserve">непогашенную </w:t>
            </w:r>
            <w:r>
              <w:rPr>
                <w:lang w:val="ru-RU" w:eastAsia="en-US"/>
              </w:rPr>
              <w:t>часть основной суммы</w:t>
            </w:r>
            <w:r w:rsidRPr="0049187C">
              <w:rPr>
                <w:lang w:val="ru-RU" w:eastAsia="en-US"/>
              </w:rPr>
              <w:t xml:space="preserve"> долга, если процентные платежи являются обязательными и должны производиться </w:t>
            </w:r>
            <w:r>
              <w:rPr>
                <w:lang w:val="ru-RU" w:eastAsia="en-US"/>
              </w:rPr>
              <w:t>бесконечно</w:t>
            </w:r>
            <w:r w:rsidRPr="0049187C">
              <w:rPr>
                <w:lang w:val="ru-RU" w:eastAsia="en-US"/>
              </w:rPr>
              <w:t>.</w:t>
            </w:r>
          </w:p>
          <w:p w:rsidR="004E0A26" w:rsidRPr="0049187C" w:rsidRDefault="004E0A26" w:rsidP="004E0A26">
            <w:pPr>
              <w:pStyle w:val="IASBTableTNR"/>
              <w:rPr>
                <w:lang w:val="ru-RU"/>
              </w:rPr>
            </w:pPr>
            <w:r w:rsidRPr="00321206">
              <w:rPr>
                <w:lang w:val="ru-RU"/>
              </w:rPr>
              <w:t xml:space="preserve">Кроме того, тот факт, что инструмент Н является отзывным, не означает, что </w:t>
            </w:r>
            <w:r w:rsidRPr="00321206">
              <w:rPr>
                <w:lang w:val="ru-RU" w:eastAsia="en-US"/>
              </w:rPr>
              <w:t xml:space="preserve">предусмотренные договором денежные потоки </w:t>
            </w:r>
            <w:r w:rsidRPr="00321206">
              <w:rPr>
                <w:lang w:val="ru-RU"/>
              </w:rPr>
              <w:t xml:space="preserve">не являются </w:t>
            </w:r>
            <w:r>
              <w:rPr>
                <w:lang w:val="ru-RU" w:eastAsia="en-US"/>
              </w:rPr>
              <w:t>платежами в счет основной суммы</w:t>
            </w:r>
            <w:r w:rsidRPr="00321206">
              <w:rPr>
                <w:lang w:val="ru-RU" w:eastAsia="en-US"/>
              </w:rPr>
              <w:t xml:space="preserve"> долга и процентов на</w:t>
            </w:r>
            <w:r w:rsidRPr="00321206">
              <w:rPr>
                <w:lang w:val="ru-RU"/>
              </w:rPr>
              <w:t xml:space="preserve"> </w:t>
            </w:r>
            <w:r w:rsidRPr="00321206">
              <w:rPr>
                <w:lang w:val="ru-RU" w:eastAsia="en-US"/>
              </w:rPr>
              <w:t xml:space="preserve">непогашенную </w:t>
            </w:r>
            <w:r>
              <w:rPr>
                <w:lang w:val="ru-RU" w:eastAsia="en-US"/>
              </w:rPr>
              <w:t>часть основной суммы</w:t>
            </w:r>
            <w:r w:rsidRPr="00321206">
              <w:rPr>
                <w:lang w:val="ru-RU" w:eastAsia="en-US"/>
              </w:rPr>
              <w:t xml:space="preserve"> долга, если только такой инструмент не отзывается с уплатой суммы, которая по существу не отражает выплату непогашенной </w:t>
            </w:r>
            <w:r>
              <w:rPr>
                <w:lang w:val="ru-RU" w:eastAsia="en-US"/>
              </w:rPr>
              <w:t>части основной суммы</w:t>
            </w:r>
            <w:r w:rsidRPr="00321206">
              <w:rPr>
                <w:lang w:val="ru-RU" w:eastAsia="en-US"/>
              </w:rPr>
              <w:t xml:space="preserve"> долга и процентов на</w:t>
            </w:r>
            <w:r w:rsidRPr="00321206">
              <w:rPr>
                <w:lang w:val="ru-RU"/>
              </w:rPr>
              <w:t xml:space="preserve"> </w:t>
            </w:r>
            <w:r w:rsidRPr="00321206">
              <w:rPr>
                <w:lang w:val="ru-RU" w:eastAsia="en-US"/>
              </w:rPr>
              <w:t xml:space="preserve">непогашенную </w:t>
            </w:r>
            <w:r>
              <w:rPr>
                <w:lang w:val="ru-RU" w:eastAsia="en-US"/>
              </w:rPr>
              <w:t>часть основной суммы</w:t>
            </w:r>
            <w:r w:rsidRPr="00321206">
              <w:rPr>
                <w:lang w:val="ru-RU" w:eastAsia="en-US"/>
              </w:rPr>
              <w:t xml:space="preserve"> долга. Даже если сумма, уплачиваемая при отзыве инструмента, включает в себя сумму, обоснованно компенсирующую держателю досрочное расторжение инструмента, предусмотренные договором денежные потоки </w:t>
            </w:r>
            <w:r w:rsidRPr="00321206">
              <w:rPr>
                <w:lang w:val="ru-RU"/>
              </w:rPr>
              <w:t xml:space="preserve">могут быть </w:t>
            </w:r>
            <w:r>
              <w:rPr>
                <w:lang w:val="ru-RU" w:eastAsia="en-US"/>
              </w:rPr>
              <w:t>платежами в счет основной суммы</w:t>
            </w:r>
            <w:r w:rsidRPr="00321206">
              <w:rPr>
                <w:lang w:val="ru-RU" w:eastAsia="en-US"/>
              </w:rPr>
              <w:t xml:space="preserve"> долга и процентов на</w:t>
            </w:r>
            <w:r w:rsidRPr="00321206">
              <w:rPr>
                <w:lang w:val="ru-RU"/>
              </w:rPr>
              <w:t xml:space="preserve"> </w:t>
            </w:r>
            <w:r w:rsidRPr="00321206">
              <w:rPr>
                <w:lang w:val="ru-RU" w:eastAsia="en-US"/>
              </w:rPr>
              <w:t xml:space="preserve">непогашенную </w:t>
            </w:r>
            <w:r>
              <w:rPr>
                <w:lang w:val="ru-RU" w:eastAsia="en-US"/>
              </w:rPr>
              <w:t>часть основной суммы</w:t>
            </w:r>
            <w:r w:rsidRPr="00321206">
              <w:rPr>
                <w:lang w:val="ru-RU" w:eastAsia="en-US"/>
              </w:rPr>
              <w:t xml:space="preserve"> долга.</w:t>
            </w:r>
            <w:r w:rsidRPr="0049187C">
              <w:rPr>
                <w:lang w:val="ru-RU" w:eastAsia="en-US"/>
              </w:rPr>
              <w:t xml:space="preserve"> (См. также пункт </w:t>
            </w:r>
            <w:r w:rsidRPr="0049187C">
              <w:rPr>
                <w:lang w:val="ru-RU"/>
              </w:rPr>
              <w:t>B4.1.12.</w:t>
            </w:r>
            <w:r w:rsidRPr="0049187C">
              <w:rPr>
                <w:lang w:val="ru-RU" w:eastAsia="en-US"/>
              </w:rPr>
              <w:t>)</w:t>
            </w:r>
          </w:p>
        </w:tc>
      </w:tr>
    </w:tbl>
    <w:p w:rsidR="007D4BCC" w:rsidRPr="0049187C" w:rsidRDefault="007D4BCC" w:rsidP="007D4BCC">
      <w:pPr>
        <w:pStyle w:val="IASBNormalnpara"/>
        <w:rPr>
          <w:lang w:val="ru-RU"/>
        </w:rPr>
      </w:pPr>
    </w:p>
    <w:p w:rsidR="007D4BCC" w:rsidRPr="0049187C" w:rsidRDefault="007D4BCC" w:rsidP="007D4BCC">
      <w:pPr>
        <w:pStyle w:val="IASBNormalnpara"/>
        <w:rPr>
          <w:lang w:val="ru-RU"/>
        </w:rPr>
      </w:pPr>
      <w:r w:rsidRPr="0049187C">
        <w:rPr>
          <w:lang w:val="ru-RU"/>
        </w:rPr>
        <w:t>B4.1.15</w:t>
      </w:r>
      <w:r w:rsidRPr="0049187C">
        <w:rPr>
          <w:lang w:val="ru-RU"/>
        </w:rPr>
        <w:tab/>
        <w:t xml:space="preserve">В </w:t>
      </w:r>
      <w:r w:rsidRPr="00C53521">
        <w:rPr>
          <w:lang w:val="ru-RU"/>
        </w:rPr>
        <w:t xml:space="preserve">некоторых случаях финансовый актив может характеризоваться предусмотренными договором денежными потоками, которые описываются как </w:t>
      </w:r>
      <w:r w:rsidR="00A73D9D">
        <w:rPr>
          <w:lang w:val="ru-RU"/>
        </w:rPr>
        <w:t>основная сумма</w:t>
      </w:r>
      <w:r w:rsidRPr="00C53521">
        <w:rPr>
          <w:lang w:val="ru-RU"/>
        </w:rPr>
        <w:t xml:space="preserve"> долга и проценты, но такие денежные</w:t>
      </w:r>
      <w:r w:rsidRPr="00DD72D9">
        <w:rPr>
          <w:lang w:val="ru-RU"/>
        </w:rPr>
        <w:t xml:space="preserve"> потоки</w:t>
      </w:r>
      <w:r w:rsidRPr="0049187C">
        <w:rPr>
          <w:lang w:val="ru-RU"/>
        </w:rPr>
        <w:t xml:space="preserve"> не представляю</w:t>
      </w:r>
      <w:r w:rsidR="00A73D9D">
        <w:rPr>
          <w:lang w:val="ru-RU"/>
        </w:rPr>
        <w:t>т собой платежи в счет основной суммы</w:t>
      </w:r>
      <w:r w:rsidRPr="0049187C">
        <w:rPr>
          <w:lang w:val="ru-RU"/>
        </w:rPr>
        <w:t xml:space="preserve"> долга и процентов на непогашенную </w:t>
      </w:r>
      <w:r w:rsidR="00A73D9D">
        <w:rPr>
          <w:lang w:val="ru-RU"/>
        </w:rPr>
        <w:t>часть основной суммы</w:t>
      </w:r>
      <w:r w:rsidRPr="0049187C">
        <w:rPr>
          <w:lang w:val="ru-RU"/>
        </w:rPr>
        <w:t xml:space="preserve"> долга в соответствии с пунктами 4.1.2(b), 4.1.2A(b) и 4.1.3 настоящего стандарта.</w:t>
      </w:r>
    </w:p>
    <w:p w:rsidR="007D4BCC" w:rsidRPr="0049187C" w:rsidRDefault="007D4BCC" w:rsidP="007D4BCC">
      <w:pPr>
        <w:pStyle w:val="IASBNormalnpara"/>
        <w:rPr>
          <w:lang w:val="ru-RU"/>
        </w:rPr>
      </w:pPr>
      <w:r w:rsidRPr="0049187C">
        <w:rPr>
          <w:lang w:val="ru-RU"/>
        </w:rPr>
        <w:t>B4.1.16</w:t>
      </w:r>
      <w:r w:rsidRPr="0049187C">
        <w:rPr>
          <w:lang w:val="ru-RU"/>
        </w:rPr>
        <w:tab/>
      </w:r>
      <w:r w:rsidR="00C53521">
        <w:rPr>
          <w:lang w:val="ru-RU"/>
        </w:rPr>
        <w:t>Это имеет место</w:t>
      </w:r>
      <w:r w:rsidRPr="0049187C">
        <w:rPr>
          <w:lang w:val="ru-RU"/>
        </w:rPr>
        <w:t>, если финансовый актив представляет собой инвестицию в определенные активы или денежные потоки и, следовательно, предусмотренные договором денежные потоки не являются исключительно платежами в</w:t>
      </w:r>
      <w:r w:rsidR="00A73D9D">
        <w:rPr>
          <w:lang w:val="ru-RU"/>
        </w:rPr>
        <w:t xml:space="preserve"> счет основной суммы</w:t>
      </w:r>
      <w:r w:rsidRPr="0049187C">
        <w:rPr>
          <w:lang w:val="ru-RU"/>
        </w:rPr>
        <w:t xml:space="preserve"> дол</w:t>
      </w:r>
      <w:r w:rsidR="00A73D9D">
        <w:rPr>
          <w:lang w:val="ru-RU"/>
        </w:rPr>
        <w:t>га и процентов на непогашенную часть</w:t>
      </w:r>
      <w:r w:rsidRPr="0049187C">
        <w:rPr>
          <w:lang w:val="ru-RU"/>
        </w:rPr>
        <w:t xml:space="preserve"> </w:t>
      </w:r>
      <w:r w:rsidR="00A73D9D">
        <w:rPr>
          <w:lang w:val="ru-RU"/>
        </w:rPr>
        <w:t>основной суммы</w:t>
      </w:r>
      <w:r w:rsidRPr="0049187C">
        <w:rPr>
          <w:lang w:val="ru-RU"/>
        </w:rPr>
        <w:t xml:space="preserve"> долга. Например, если согласно договорным условиям денежные потоки по финансовому активу увеличиваются по мере увеличения числа автомобилей, которые пользуются определенной платной дорогой, такие предусмотренные договором денежные потоки не соответствуют базовому кредитному договору. В результате, инструмент не будет удовлетворять </w:t>
      </w:r>
      <w:r w:rsidR="00C53521" w:rsidRPr="0049187C">
        <w:rPr>
          <w:lang w:val="ru-RU"/>
        </w:rPr>
        <w:t>услови</w:t>
      </w:r>
      <w:r w:rsidR="00C53521">
        <w:rPr>
          <w:lang w:val="ru-RU"/>
        </w:rPr>
        <w:t>ям</w:t>
      </w:r>
      <w:r w:rsidR="00C53521" w:rsidRPr="0049187C">
        <w:rPr>
          <w:lang w:val="ru-RU"/>
        </w:rPr>
        <w:t xml:space="preserve"> </w:t>
      </w:r>
      <w:r w:rsidRPr="0049187C">
        <w:rPr>
          <w:lang w:val="ru-RU"/>
        </w:rPr>
        <w:t xml:space="preserve">пунктов 4.1.2(b) и 4.1.2A(b). Это </w:t>
      </w:r>
      <w:r w:rsidR="00C53521">
        <w:rPr>
          <w:lang w:val="ru-RU"/>
        </w:rPr>
        <w:t>может иметь место и в том случае</w:t>
      </w:r>
      <w:r w:rsidRPr="0049187C">
        <w:rPr>
          <w:lang w:val="ru-RU"/>
        </w:rPr>
        <w:t xml:space="preserve">, когда требования кредитора ограничиваются </w:t>
      </w:r>
      <w:r w:rsidR="00C53521">
        <w:rPr>
          <w:lang w:val="ru-RU"/>
        </w:rPr>
        <w:t>оговоренными</w:t>
      </w:r>
      <w:r w:rsidR="00C53521" w:rsidRPr="0049187C">
        <w:rPr>
          <w:lang w:val="ru-RU"/>
        </w:rPr>
        <w:t xml:space="preserve"> </w:t>
      </w:r>
      <w:r w:rsidRPr="0049187C">
        <w:rPr>
          <w:lang w:val="ru-RU"/>
        </w:rPr>
        <w:t xml:space="preserve">активами должника или денежными потоками от </w:t>
      </w:r>
      <w:r w:rsidR="00C53521">
        <w:rPr>
          <w:lang w:val="ru-RU"/>
        </w:rPr>
        <w:t>оговоренных</w:t>
      </w:r>
      <w:r w:rsidR="00C53521" w:rsidRPr="0049187C">
        <w:rPr>
          <w:lang w:val="ru-RU"/>
        </w:rPr>
        <w:t xml:space="preserve"> </w:t>
      </w:r>
      <w:r w:rsidRPr="0049187C">
        <w:rPr>
          <w:lang w:val="ru-RU"/>
        </w:rPr>
        <w:t>активов (например, финансовый актив без права регресса).</w:t>
      </w:r>
    </w:p>
    <w:p w:rsidR="007D4BCC" w:rsidRPr="0049187C" w:rsidRDefault="007D4BCC" w:rsidP="007D4BCC">
      <w:pPr>
        <w:pStyle w:val="IASBNormalnpara"/>
        <w:rPr>
          <w:lang w:val="ru-RU"/>
        </w:rPr>
      </w:pPr>
      <w:r w:rsidRPr="0049187C">
        <w:rPr>
          <w:lang w:val="ru-RU"/>
        </w:rPr>
        <w:t>B4.1.17</w:t>
      </w:r>
      <w:r w:rsidRPr="0049187C">
        <w:rPr>
          <w:lang w:val="ru-RU"/>
        </w:rPr>
        <w:tab/>
      </w:r>
      <w:r w:rsidR="00C53521">
        <w:rPr>
          <w:lang w:val="ru-RU"/>
        </w:rPr>
        <w:t>Однако</w:t>
      </w:r>
      <w:r w:rsidRPr="0049187C">
        <w:rPr>
          <w:lang w:val="ru-RU"/>
        </w:rPr>
        <w:t>, тот факт, что финансовый актив не имеет права регресса, сам по себе не говорит о том, что финансовый актив не удовлетворяет условиям пунктов 4.1.2(b) и 4.1.2A(b). В таких случаях кредитор должен оценить (</w:t>
      </w:r>
      <w:r w:rsidR="009F4609">
        <w:rPr>
          <w:lang w:val="ru-RU"/>
        </w:rPr>
        <w:t>провести сквозной анализ</w:t>
      </w:r>
      <w:r w:rsidRPr="0049187C">
        <w:rPr>
          <w:lang w:val="ru-RU"/>
        </w:rPr>
        <w:t xml:space="preserve">) </w:t>
      </w:r>
      <w:r w:rsidR="009F4609">
        <w:rPr>
          <w:lang w:val="ru-RU"/>
        </w:rPr>
        <w:t>конкретные</w:t>
      </w:r>
      <w:r w:rsidRPr="0049187C">
        <w:rPr>
          <w:lang w:val="ru-RU"/>
        </w:rPr>
        <w:t xml:space="preserve"> базовые активы или денежные потоки, чтобы определить, являются ли предусмотренные договором денежные потоки по финансовому активу, которые подлежат классификации, платежами в счет </w:t>
      </w:r>
      <w:r w:rsidR="00A73D9D">
        <w:rPr>
          <w:lang w:val="ru-RU"/>
        </w:rPr>
        <w:t>основной суммы</w:t>
      </w:r>
      <w:r w:rsidRPr="0049187C">
        <w:rPr>
          <w:lang w:val="ru-RU"/>
        </w:rPr>
        <w:t xml:space="preserve"> долга и проц</w:t>
      </w:r>
      <w:r w:rsidR="009804C4">
        <w:rPr>
          <w:lang w:val="ru-RU"/>
        </w:rPr>
        <w:t>ентов на</w:t>
      </w:r>
      <w:r w:rsidRPr="0049187C">
        <w:rPr>
          <w:lang w:val="ru-RU"/>
        </w:rPr>
        <w:t xml:space="preserve"> непогашенную </w:t>
      </w:r>
      <w:r w:rsidR="00A73D9D">
        <w:rPr>
          <w:lang w:val="ru-RU"/>
        </w:rPr>
        <w:t>часть основной суммы</w:t>
      </w:r>
      <w:r w:rsidRPr="0049187C">
        <w:rPr>
          <w:lang w:val="ru-RU"/>
        </w:rPr>
        <w:t xml:space="preserve"> долга. Если у</w:t>
      </w:r>
      <w:r w:rsidR="00A349DA">
        <w:rPr>
          <w:lang w:val="ru-RU"/>
        </w:rPr>
        <w:t>словия финансового актива обусло</w:t>
      </w:r>
      <w:r w:rsidRPr="0049187C">
        <w:rPr>
          <w:lang w:val="ru-RU"/>
        </w:rPr>
        <w:t xml:space="preserve">вливают какие-либо другие денежные потоки или ограничивают денежные потоки таким образом, что они не соответствуют платежам, представляющим </w:t>
      </w:r>
      <w:r w:rsidR="00A21C50">
        <w:rPr>
          <w:lang w:val="ru-RU"/>
        </w:rPr>
        <w:t xml:space="preserve">собой </w:t>
      </w:r>
      <w:r w:rsidR="00A73D9D">
        <w:rPr>
          <w:lang w:val="ru-RU"/>
        </w:rPr>
        <w:t>основную сумму</w:t>
      </w:r>
      <w:r w:rsidRPr="0049187C">
        <w:rPr>
          <w:lang w:val="ru-RU"/>
        </w:rPr>
        <w:t xml:space="preserve"> долга и проценты, то финансовый актив не удовлетворяет условиям </w:t>
      </w:r>
      <w:r w:rsidR="00A21C50" w:rsidRPr="0049187C">
        <w:rPr>
          <w:lang w:val="ru-RU"/>
        </w:rPr>
        <w:t>пункт</w:t>
      </w:r>
      <w:r w:rsidR="00A21C50">
        <w:rPr>
          <w:lang w:val="ru-RU"/>
        </w:rPr>
        <w:t>ов</w:t>
      </w:r>
      <w:r w:rsidR="00A21C50" w:rsidRPr="0049187C">
        <w:rPr>
          <w:lang w:val="ru-RU"/>
        </w:rPr>
        <w:t xml:space="preserve"> </w:t>
      </w:r>
      <w:r w:rsidRPr="0049187C">
        <w:rPr>
          <w:lang w:val="ru-RU"/>
        </w:rPr>
        <w:t xml:space="preserve">4.1.2(b) и 4.1.2A(b). Тот факт, </w:t>
      </w:r>
      <w:r w:rsidR="00A21C50">
        <w:rPr>
          <w:lang w:val="ru-RU"/>
        </w:rPr>
        <w:t xml:space="preserve">являются ли </w:t>
      </w:r>
      <w:r w:rsidRPr="0049187C">
        <w:rPr>
          <w:lang w:val="ru-RU"/>
        </w:rPr>
        <w:t>базовые активы финансовыми или нефинансовыми активами, сам по себе не влияет на эту оценку.</w:t>
      </w:r>
    </w:p>
    <w:p w:rsidR="007D4BCC" w:rsidRPr="0049187C" w:rsidRDefault="007D4BCC" w:rsidP="007D4BCC">
      <w:pPr>
        <w:pStyle w:val="IASBNormalnpara"/>
        <w:rPr>
          <w:lang w:val="ru-RU"/>
        </w:rPr>
      </w:pPr>
      <w:r w:rsidRPr="0049187C">
        <w:rPr>
          <w:lang w:val="ru-RU"/>
        </w:rPr>
        <w:t>B4.1.18</w:t>
      </w:r>
      <w:r w:rsidRPr="0049187C">
        <w:rPr>
          <w:lang w:val="ru-RU"/>
        </w:rPr>
        <w:tab/>
        <w:t xml:space="preserve">Характеристика предусмотренных договором денежных потоков не влияет на классификацию финансового актива, если ее </w:t>
      </w:r>
      <w:r w:rsidR="00D03C47" w:rsidRPr="0049187C">
        <w:rPr>
          <w:lang w:val="ru-RU"/>
        </w:rPr>
        <w:t>влияние на</w:t>
      </w:r>
      <w:r w:rsidRPr="0049187C">
        <w:rPr>
          <w:lang w:val="ru-RU"/>
        </w:rPr>
        <w:t xml:space="preserve"> предусмотренны</w:t>
      </w:r>
      <w:r w:rsidR="00D03C47" w:rsidRPr="0049187C">
        <w:rPr>
          <w:lang w:val="ru-RU"/>
        </w:rPr>
        <w:t>е</w:t>
      </w:r>
      <w:r w:rsidRPr="0049187C">
        <w:rPr>
          <w:lang w:val="ru-RU"/>
        </w:rPr>
        <w:t xml:space="preserve"> договором денежны</w:t>
      </w:r>
      <w:r w:rsidR="00D03C47" w:rsidRPr="0049187C">
        <w:rPr>
          <w:lang w:val="ru-RU"/>
        </w:rPr>
        <w:t>е</w:t>
      </w:r>
      <w:r w:rsidRPr="0049187C">
        <w:rPr>
          <w:lang w:val="ru-RU"/>
        </w:rPr>
        <w:t xml:space="preserve"> поток</w:t>
      </w:r>
      <w:r w:rsidR="00D03C47" w:rsidRPr="0049187C">
        <w:rPr>
          <w:lang w:val="ru-RU"/>
        </w:rPr>
        <w:t>и</w:t>
      </w:r>
      <w:r w:rsidRPr="0049187C">
        <w:rPr>
          <w:lang w:val="ru-RU"/>
        </w:rPr>
        <w:t xml:space="preserve"> по финансовому активу является </w:t>
      </w:r>
      <w:r w:rsidR="00364D35">
        <w:rPr>
          <w:lang w:val="ru-RU"/>
        </w:rPr>
        <w:t>пренебрежимо малым</w:t>
      </w:r>
      <w:r w:rsidRPr="0049187C">
        <w:rPr>
          <w:lang w:val="ru-RU"/>
        </w:rPr>
        <w:t>. Для определения данного факта организация должна рассмотреть возможн</w:t>
      </w:r>
      <w:r w:rsidR="00D03C47" w:rsidRPr="0049187C">
        <w:rPr>
          <w:lang w:val="ru-RU"/>
        </w:rPr>
        <w:t>ое влияние</w:t>
      </w:r>
      <w:r w:rsidRPr="0049187C">
        <w:rPr>
          <w:lang w:val="ru-RU"/>
        </w:rPr>
        <w:t xml:space="preserve"> характеристики предусмотренных договором денежных потоков в каждом отчетном периоде и в совокупности на протяжении срока действия финансового инструмента. Более того, если </w:t>
      </w:r>
      <w:r w:rsidR="00D03C47" w:rsidRPr="0049187C">
        <w:rPr>
          <w:lang w:val="ru-RU"/>
        </w:rPr>
        <w:t>влияние</w:t>
      </w:r>
      <w:r w:rsidRPr="0049187C">
        <w:rPr>
          <w:lang w:val="ru-RU"/>
        </w:rPr>
        <w:t xml:space="preserve"> характеристики предусмотренных договором денежных потоков </w:t>
      </w:r>
      <w:r w:rsidR="00D03C47" w:rsidRPr="0049187C">
        <w:rPr>
          <w:lang w:val="ru-RU"/>
        </w:rPr>
        <w:t>на</w:t>
      </w:r>
      <w:r w:rsidRPr="0049187C">
        <w:rPr>
          <w:lang w:val="ru-RU"/>
        </w:rPr>
        <w:t xml:space="preserve"> предусмотренны</w:t>
      </w:r>
      <w:r w:rsidR="00D03C47" w:rsidRPr="0049187C">
        <w:rPr>
          <w:lang w:val="ru-RU"/>
        </w:rPr>
        <w:t>е</w:t>
      </w:r>
      <w:r w:rsidRPr="0049187C">
        <w:rPr>
          <w:lang w:val="ru-RU"/>
        </w:rPr>
        <w:t xml:space="preserve"> договором денежны</w:t>
      </w:r>
      <w:r w:rsidR="00D03C47" w:rsidRPr="0049187C">
        <w:rPr>
          <w:lang w:val="ru-RU"/>
        </w:rPr>
        <w:t>е</w:t>
      </w:r>
      <w:r w:rsidRPr="0049187C">
        <w:rPr>
          <w:lang w:val="ru-RU"/>
        </w:rPr>
        <w:t xml:space="preserve"> поток</w:t>
      </w:r>
      <w:r w:rsidR="00D03C47" w:rsidRPr="0049187C">
        <w:rPr>
          <w:lang w:val="ru-RU"/>
        </w:rPr>
        <w:t>и</w:t>
      </w:r>
      <w:r w:rsidRPr="0049187C">
        <w:rPr>
          <w:lang w:val="ru-RU"/>
        </w:rPr>
        <w:t xml:space="preserve"> по финансовому активу не является</w:t>
      </w:r>
      <w:r w:rsidR="00D03C47" w:rsidRPr="0049187C">
        <w:rPr>
          <w:lang w:val="ru-RU"/>
        </w:rPr>
        <w:t xml:space="preserve"> лишь</w:t>
      </w:r>
      <w:r w:rsidRPr="0049187C">
        <w:rPr>
          <w:lang w:val="ru-RU"/>
        </w:rPr>
        <w:t xml:space="preserve"> </w:t>
      </w:r>
      <w:r w:rsidR="00364D35">
        <w:rPr>
          <w:lang w:val="ru-RU"/>
        </w:rPr>
        <w:t>пренебрежимо малым</w:t>
      </w:r>
      <w:r w:rsidRPr="0049187C">
        <w:rPr>
          <w:lang w:val="ru-RU"/>
        </w:rPr>
        <w:t xml:space="preserve"> (в одном отчетном периоде или в совокупности), но характеристика предусмотренных договором денежных потоков не является подлинной, это никак не влияет на классификацию финансового актива. Характеристика денежных потоков не является подлинной, если она влияет на предусмотренные договором денежные потоки по инструменту только в случае наступления события, которое </w:t>
      </w:r>
      <w:r w:rsidR="009F4609">
        <w:rPr>
          <w:lang w:val="ru-RU"/>
        </w:rPr>
        <w:t>является</w:t>
      </w:r>
      <w:r w:rsidRPr="0049187C">
        <w:rPr>
          <w:lang w:val="ru-RU"/>
        </w:rPr>
        <w:t xml:space="preserve"> </w:t>
      </w:r>
      <w:r w:rsidR="009F4609">
        <w:rPr>
          <w:lang w:val="ru-RU"/>
        </w:rPr>
        <w:t>чрезвычайно редким</w:t>
      </w:r>
      <w:r w:rsidRPr="0049187C">
        <w:rPr>
          <w:lang w:val="ru-RU"/>
        </w:rPr>
        <w:t xml:space="preserve">, </w:t>
      </w:r>
      <w:r w:rsidR="009F4609">
        <w:rPr>
          <w:lang w:val="ru-RU"/>
        </w:rPr>
        <w:t>крайне необычным</w:t>
      </w:r>
      <w:r w:rsidRPr="0049187C">
        <w:rPr>
          <w:lang w:val="ru-RU"/>
        </w:rPr>
        <w:t xml:space="preserve"> и </w:t>
      </w:r>
      <w:r w:rsidR="009F4609">
        <w:rPr>
          <w:lang w:val="ru-RU"/>
        </w:rPr>
        <w:t xml:space="preserve">очень </w:t>
      </w:r>
      <w:r w:rsidRPr="0049187C">
        <w:rPr>
          <w:lang w:val="ru-RU"/>
        </w:rPr>
        <w:t>маловероятным.</w:t>
      </w:r>
    </w:p>
    <w:p w:rsidR="007D4BCC" w:rsidRPr="0049187C" w:rsidRDefault="007D4BCC" w:rsidP="007D4BCC">
      <w:pPr>
        <w:pStyle w:val="IASBNormalnpara"/>
        <w:rPr>
          <w:lang w:val="ru-RU"/>
        </w:rPr>
      </w:pPr>
      <w:r w:rsidRPr="0049187C">
        <w:rPr>
          <w:lang w:val="ru-RU"/>
        </w:rPr>
        <w:t>B4.1.19</w:t>
      </w:r>
      <w:r w:rsidRPr="0049187C">
        <w:rPr>
          <w:lang w:val="ru-RU"/>
        </w:rPr>
        <w:tab/>
        <w:t>Практически в каждой операции кредитования инструмент кредитора ранжируется по отношению к инструментам других кредиторов должника. Инструмент, который является субординированным по отношению к другим инструментам, может характеризоваться предусмотренными договором денежными потоками, которые</w:t>
      </w:r>
      <w:r w:rsidR="00A73D9D">
        <w:rPr>
          <w:lang w:val="ru-RU"/>
        </w:rPr>
        <w:t xml:space="preserve"> являются платежами в счет основной суммы</w:t>
      </w:r>
      <w:r w:rsidRPr="0049187C">
        <w:rPr>
          <w:lang w:val="ru-RU"/>
        </w:rPr>
        <w:t xml:space="preserve"> долга и процентов на непогашенную </w:t>
      </w:r>
      <w:r w:rsidR="00A73D9D">
        <w:rPr>
          <w:lang w:val="ru-RU"/>
        </w:rPr>
        <w:t>часть основной суммы</w:t>
      </w:r>
      <w:r w:rsidRPr="0049187C">
        <w:rPr>
          <w:lang w:val="ru-RU"/>
        </w:rPr>
        <w:t xml:space="preserve"> долга, если неплатеж должника является нарушением договора, </w:t>
      </w:r>
      <w:r w:rsidR="00A21C50">
        <w:rPr>
          <w:lang w:val="ru-RU"/>
        </w:rPr>
        <w:t>и</w:t>
      </w:r>
      <w:r w:rsidR="00A21C50" w:rsidRPr="0049187C">
        <w:rPr>
          <w:lang w:val="ru-RU"/>
        </w:rPr>
        <w:t xml:space="preserve"> </w:t>
      </w:r>
      <w:r w:rsidR="00A21C50">
        <w:rPr>
          <w:lang w:val="ru-RU"/>
        </w:rPr>
        <w:t xml:space="preserve">его </w:t>
      </w:r>
      <w:r w:rsidRPr="0049187C">
        <w:rPr>
          <w:lang w:val="ru-RU"/>
        </w:rPr>
        <w:t xml:space="preserve">держатель имеет </w:t>
      </w:r>
      <w:r w:rsidR="005E2633">
        <w:rPr>
          <w:lang w:val="ru-RU"/>
        </w:rPr>
        <w:t>предусмотренное договором</w:t>
      </w:r>
      <w:r w:rsidRPr="0049187C">
        <w:rPr>
          <w:lang w:val="ru-RU"/>
        </w:rPr>
        <w:t xml:space="preserve"> право на невыплаченные </w:t>
      </w:r>
      <w:r w:rsidR="00A73D9D">
        <w:rPr>
          <w:lang w:val="ru-RU"/>
        </w:rPr>
        <w:t>основные суммы</w:t>
      </w:r>
      <w:r w:rsidRPr="0049187C">
        <w:rPr>
          <w:lang w:val="ru-RU"/>
        </w:rPr>
        <w:t xml:space="preserve"> долга и процентов на непогашенную </w:t>
      </w:r>
      <w:r w:rsidR="00A73D9D">
        <w:rPr>
          <w:lang w:val="ru-RU"/>
        </w:rPr>
        <w:t>часть основной суммы</w:t>
      </w:r>
      <w:r w:rsidRPr="0049187C">
        <w:rPr>
          <w:lang w:val="ru-RU"/>
        </w:rPr>
        <w:t xml:space="preserve"> долга даже в случае банкротства должника. Например, торговая дебиторская задолженность, которая </w:t>
      </w:r>
      <w:r w:rsidR="00DD72D9">
        <w:rPr>
          <w:lang w:val="ru-RU"/>
        </w:rPr>
        <w:t>характеризует торгового</w:t>
      </w:r>
      <w:r w:rsidRPr="0049187C">
        <w:rPr>
          <w:lang w:val="ru-RU"/>
        </w:rPr>
        <w:t xml:space="preserve"> кредитора как непривилегированного кредитора, </w:t>
      </w:r>
      <w:r w:rsidR="00DD72D9">
        <w:rPr>
          <w:lang w:val="ru-RU"/>
        </w:rPr>
        <w:t>квалифицируется</w:t>
      </w:r>
      <w:r w:rsidR="00DD72D9" w:rsidRPr="0049187C">
        <w:rPr>
          <w:lang w:val="ru-RU"/>
        </w:rPr>
        <w:t xml:space="preserve"> </w:t>
      </w:r>
      <w:r w:rsidRPr="0049187C">
        <w:rPr>
          <w:lang w:val="ru-RU"/>
        </w:rPr>
        <w:t xml:space="preserve">как </w:t>
      </w:r>
      <w:r w:rsidR="00DD72D9">
        <w:rPr>
          <w:lang w:val="ru-RU"/>
        </w:rPr>
        <w:t>предусматривающая</w:t>
      </w:r>
      <w:r w:rsidR="00DD72D9" w:rsidRPr="0049187C">
        <w:rPr>
          <w:lang w:val="ru-RU"/>
        </w:rPr>
        <w:t xml:space="preserve"> </w:t>
      </w:r>
      <w:r w:rsidRPr="0049187C">
        <w:rPr>
          <w:lang w:val="ru-RU"/>
        </w:rPr>
        <w:t xml:space="preserve">платежи в счет </w:t>
      </w:r>
      <w:r w:rsidR="00A73D9D">
        <w:rPr>
          <w:lang w:val="ru-RU"/>
        </w:rPr>
        <w:t>основной суммы</w:t>
      </w:r>
      <w:r w:rsidRPr="0049187C">
        <w:rPr>
          <w:lang w:val="ru-RU"/>
        </w:rPr>
        <w:t xml:space="preserve"> долга и процентов на непогашенную </w:t>
      </w:r>
      <w:r w:rsidR="00A73D9D">
        <w:rPr>
          <w:lang w:val="ru-RU"/>
        </w:rPr>
        <w:t>часть основной суммы</w:t>
      </w:r>
      <w:r w:rsidRPr="0049187C">
        <w:rPr>
          <w:lang w:val="ru-RU"/>
        </w:rPr>
        <w:t xml:space="preserve"> долга. Это справедливо, даже если должник выдал обеспеченные займы, которые в случае банкротства </w:t>
      </w:r>
      <w:r w:rsidR="00DD72D9">
        <w:rPr>
          <w:lang w:val="ru-RU"/>
        </w:rPr>
        <w:t>предоставляли</w:t>
      </w:r>
      <w:r w:rsidR="00DD72D9" w:rsidRPr="0049187C">
        <w:rPr>
          <w:lang w:val="ru-RU"/>
        </w:rPr>
        <w:t xml:space="preserve"> </w:t>
      </w:r>
      <w:r w:rsidRPr="0049187C">
        <w:rPr>
          <w:lang w:val="ru-RU"/>
        </w:rPr>
        <w:t xml:space="preserve">бы </w:t>
      </w:r>
      <w:r w:rsidR="00DD72D9">
        <w:rPr>
          <w:lang w:val="ru-RU"/>
        </w:rPr>
        <w:t>кредитору по</w:t>
      </w:r>
      <w:r w:rsidR="00DD72D9" w:rsidRPr="0049187C">
        <w:rPr>
          <w:lang w:val="ru-RU"/>
        </w:rPr>
        <w:t xml:space="preserve"> </w:t>
      </w:r>
      <w:r w:rsidRPr="0049187C">
        <w:rPr>
          <w:lang w:val="ru-RU"/>
        </w:rPr>
        <w:t>займ</w:t>
      </w:r>
      <w:r w:rsidR="00DD72D9">
        <w:rPr>
          <w:lang w:val="ru-RU"/>
        </w:rPr>
        <w:t>у</w:t>
      </w:r>
      <w:r w:rsidRPr="0049187C">
        <w:rPr>
          <w:lang w:val="ru-RU"/>
        </w:rPr>
        <w:t xml:space="preserve"> приоритет по отношению к требованиям непривилегированного кредитора в отношении обеспечения, но не влияли бы на </w:t>
      </w:r>
      <w:r w:rsidR="005E2633">
        <w:rPr>
          <w:lang w:val="ru-RU"/>
        </w:rPr>
        <w:t>предусмотренное договором</w:t>
      </w:r>
      <w:r w:rsidRPr="0049187C">
        <w:rPr>
          <w:lang w:val="ru-RU"/>
        </w:rPr>
        <w:t xml:space="preserve"> право непривилегированного кредитора на невыплаченную </w:t>
      </w:r>
      <w:r w:rsidR="00A73D9D">
        <w:rPr>
          <w:lang w:val="ru-RU"/>
        </w:rPr>
        <w:t>основную сумму</w:t>
      </w:r>
      <w:r w:rsidRPr="0049187C">
        <w:rPr>
          <w:lang w:val="ru-RU"/>
        </w:rPr>
        <w:t xml:space="preserve"> долга и другие причитающиеся суммы.</w:t>
      </w:r>
    </w:p>
    <w:p w:rsidR="007D4BCC" w:rsidRPr="0049187C" w:rsidRDefault="007D4BCC" w:rsidP="007D4BCC">
      <w:pPr>
        <w:pStyle w:val="IASBSectionTitle4Ind"/>
        <w:rPr>
          <w:lang w:val="ru-RU"/>
        </w:rPr>
      </w:pPr>
      <w:r w:rsidRPr="0049187C">
        <w:rPr>
          <w:lang w:val="ru-RU"/>
        </w:rPr>
        <w:t>Инструменты, связанные договором</w:t>
      </w:r>
    </w:p>
    <w:p w:rsidR="007D4BCC" w:rsidRPr="0049187C" w:rsidRDefault="007D4BCC" w:rsidP="007D4BCC">
      <w:pPr>
        <w:pStyle w:val="IASBNormalnpara"/>
        <w:rPr>
          <w:lang w:val="ru-RU"/>
        </w:rPr>
      </w:pPr>
      <w:r w:rsidRPr="0049187C">
        <w:rPr>
          <w:lang w:val="ru-RU"/>
        </w:rPr>
        <w:t>B4.1.20</w:t>
      </w:r>
      <w:r w:rsidRPr="0049187C">
        <w:rPr>
          <w:lang w:val="ru-RU"/>
        </w:rPr>
        <w:tab/>
        <w:t xml:space="preserve">В некоторых видах операций эмитент может определить порядок приоритетности платежей держателям финансовых активов, используя несколько связанных договором инструментов, которые создают концентрацию кредитного риска (транши). Каждый транш имеет свой </w:t>
      </w:r>
      <w:r w:rsidR="00E14DDE">
        <w:rPr>
          <w:lang w:val="ru-RU"/>
        </w:rPr>
        <w:t>уровень</w:t>
      </w:r>
      <w:r w:rsidRPr="0049187C">
        <w:rPr>
          <w:lang w:val="ru-RU"/>
        </w:rPr>
        <w:t xml:space="preserve"> субординации, который определяет порядок, в котором денежные потоки, генерируемые эмитентом, распределяются на транш. В таких ситуациях держатели транша имеют право на выплаты </w:t>
      </w:r>
      <w:r w:rsidR="00A73D9D">
        <w:rPr>
          <w:lang w:val="ru-RU"/>
        </w:rPr>
        <w:t>основной суммы</w:t>
      </w:r>
      <w:r w:rsidRPr="0049187C">
        <w:rPr>
          <w:lang w:val="ru-RU"/>
        </w:rPr>
        <w:t xml:space="preserve"> долга и процентов на непогашенную </w:t>
      </w:r>
      <w:r w:rsidR="00A73D9D">
        <w:rPr>
          <w:lang w:val="ru-RU"/>
        </w:rPr>
        <w:t>часть основной суммы</w:t>
      </w:r>
      <w:r w:rsidRPr="0049187C">
        <w:rPr>
          <w:lang w:val="ru-RU"/>
        </w:rPr>
        <w:t xml:space="preserve"> долга, только если эмитент генерирует достаточно денежных потоков для оплаты по траншам </w:t>
      </w:r>
      <w:r w:rsidR="00E14DDE">
        <w:rPr>
          <w:lang w:val="ru-RU"/>
        </w:rPr>
        <w:t>более высокого</w:t>
      </w:r>
      <w:r w:rsidRPr="0049187C">
        <w:rPr>
          <w:lang w:val="ru-RU"/>
        </w:rPr>
        <w:t xml:space="preserve"> </w:t>
      </w:r>
      <w:r w:rsidR="00E14DDE">
        <w:rPr>
          <w:lang w:val="ru-RU"/>
        </w:rPr>
        <w:t>уровня</w:t>
      </w:r>
      <w:r w:rsidRPr="0049187C">
        <w:rPr>
          <w:lang w:val="ru-RU"/>
        </w:rPr>
        <w:t>.</w:t>
      </w:r>
    </w:p>
    <w:p w:rsidR="007D4BCC" w:rsidRPr="0049187C" w:rsidRDefault="007D4BCC" w:rsidP="007D4BCC">
      <w:pPr>
        <w:pStyle w:val="IASBNormalnpara"/>
        <w:rPr>
          <w:lang w:val="ru-RU"/>
        </w:rPr>
      </w:pPr>
      <w:r w:rsidRPr="0049187C">
        <w:rPr>
          <w:lang w:val="ru-RU"/>
        </w:rPr>
        <w:t>B4.1.21</w:t>
      </w:r>
      <w:r w:rsidRPr="0049187C">
        <w:rPr>
          <w:lang w:val="ru-RU"/>
        </w:rPr>
        <w:tab/>
        <w:t xml:space="preserve">В таких сделках транш обладает характеристикой денежных потоков, которые являются платежами в счет </w:t>
      </w:r>
      <w:r w:rsidR="00A73D9D">
        <w:rPr>
          <w:lang w:val="ru-RU"/>
        </w:rPr>
        <w:t>основной суммы</w:t>
      </w:r>
      <w:r w:rsidRPr="0049187C">
        <w:rPr>
          <w:lang w:val="ru-RU"/>
        </w:rPr>
        <w:t xml:space="preserve"> дол</w:t>
      </w:r>
      <w:r w:rsidR="00A73D9D">
        <w:rPr>
          <w:lang w:val="ru-RU"/>
        </w:rPr>
        <w:t>га и процентов на непогашенную часть основной суммы</w:t>
      </w:r>
      <w:r w:rsidRPr="0049187C">
        <w:rPr>
          <w:lang w:val="ru-RU"/>
        </w:rPr>
        <w:t xml:space="preserve"> долга, только если:</w:t>
      </w:r>
    </w:p>
    <w:p w:rsidR="007D4BCC" w:rsidRPr="0049187C" w:rsidRDefault="007D4BCC" w:rsidP="004D2F3F">
      <w:pPr>
        <w:pStyle w:val="IASBNormalnparaL1"/>
        <w:numPr>
          <w:ilvl w:val="0"/>
          <w:numId w:val="34"/>
        </w:numPr>
        <w:rPr>
          <w:lang w:val="ru-RU"/>
        </w:rPr>
      </w:pPr>
      <w:r w:rsidRPr="0049187C">
        <w:rPr>
          <w:lang w:val="ru-RU"/>
        </w:rPr>
        <w:t xml:space="preserve">договорные условия транша, который оценивается для классификации (без анализа базового пула финансовых инструментов), приводят к денежным потокам, которые являются исключительно платежами в счет </w:t>
      </w:r>
      <w:r w:rsidR="00A73D9D">
        <w:rPr>
          <w:lang w:val="ru-RU"/>
        </w:rPr>
        <w:t>основной суммы</w:t>
      </w:r>
      <w:r w:rsidRPr="0049187C">
        <w:rPr>
          <w:lang w:val="ru-RU"/>
        </w:rPr>
        <w:t xml:space="preserve"> долга и процентов на непогашенную </w:t>
      </w:r>
      <w:r w:rsidR="00A73D9D">
        <w:rPr>
          <w:lang w:val="ru-RU"/>
        </w:rPr>
        <w:t>часть основной суммы</w:t>
      </w:r>
      <w:r w:rsidRPr="0049187C">
        <w:rPr>
          <w:lang w:val="ru-RU"/>
        </w:rPr>
        <w:t xml:space="preserve"> долга (например, процентная ставка по траншу не связана с товарным индексом);</w:t>
      </w:r>
    </w:p>
    <w:p w:rsidR="007D4BCC" w:rsidRPr="0049187C" w:rsidRDefault="007D4BCC" w:rsidP="004D2F3F">
      <w:pPr>
        <w:pStyle w:val="IASBNormalnparaL1"/>
        <w:numPr>
          <w:ilvl w:val="0"/>
          <w:numId w:val="34"/>
        </w:numPr>
        <w:rPr>
          <w:lang w:val="ru-RU"/>
        </w:rPr>
      </w:pPr>
      <w:r w:rsidRPr="0049187C">
        <w:rPr>
          <w:lang w:val="ru-RU"/>
        </w:rPr>
        <w:t>базовый пул финансовых инструментов имеет характеристики денежных потоков, указанные в пунктах B4.1.23 и B4.1.24; и</w:t>
      </w:r>
    </w:p>
    <w:p w:rsidR="007D4BCC" w:rsidRPr="0049187C" w:rsidRDefault="007D4BCC" w:rsidP="004D2F3F">
      <w:pPr>
        <w:pStyle w:val="IASBNormalnparaL1"/>
        <w:numPr>
          <w:ilvl w:val="0"/>
          <w:numId w:val="34"/>
        </w:numPr>
        <w:rPr>
          <w:lang w:val="ru-RU"/>
        </w:rPr>
      </w:pPr>
      <w:r w:rsidRPr="0049187C">
        <w:rPr>
          <w:lang w:val="ru-RU"/>
        </w:rPr>
        <w:t xml:space="preserve">подверженность кредитному риску в базовом пуле финансовых инструментов, присущая траншу, равна или ниже кредитного риска базового пула финансовых инструментов (например, кредитный рейтинг транша, который оценивается для классификации, равен или выше кредитного рейтинга, который применялся бы к </w:t>
      </w:r>
      <w:r w:rsidR="00C047CC">
        <w:rPr>
          <w:lang w:val="ru-RU"/>
        </w:rPr>
        <w:t>единому</w:t>
      </w:r>
      <w:r w:rsidR="00C047CC" w:rsidRPr="0049187C">
        <w:rPr>
          <w:lang w:val="ru-RU"/>
        </w:rPr>
        <w:t xml:space="preserve"> </w:t>
      </w:r>
      <w:r w:rsidRPr="0049187C">
        <w:rPr>
          <w:lang w:val="ru-RU"/>
        </w:rPr>
        <w:t xml:space="preserve">траншу, используемому для финансирования базового пула </w:t>
      </w:r>
      <w:r w:rsidR="00C047CC" w:rsidRPr="0049187C">
        <w:rPr>
          <w:lang w:val="ru-RU"/>
        </w:rPr>
        <w:t>финансов</w:t>
      </w:r>
      <w:r w:rsidR="00C047CC">
        <w:rPr>
          <w:lang w:val="ru-RU"/>
        </w:rPr>
        <w:t>ых</w:t>
      </w:r>
      <w:r w:rsidR="00C047CC" w:rsidRPr="0049187C">
        <w:rPr>
          <w:lang w:val="ru-RU"/>
        </w:rPr>
        <w:t xml:space="preserve"> </w:t>
      </w:r>
      <w:r w:rsidRPr="0049187C">
        <w:rPr>
          <w:lang w:val="ru-RU"/>
        </w:rPr>
        <w:t>инструмент</w:t>
      </w:r>
      <w:r w:rsidR="00C047CC">
        <w:rPr>
          <w:lang w:val="ru-RU"/>
        </w:rPr>
        <w:t>ов</w:t>
      </w:r>
      <w:r w:rsidRPr="0049187C">
        <w:rPr>
          <w:lang w:val="ru-RU"/>
        </w:rPr>
        <w:t>).</w:t>
      </w:r>
    </w:p>
    <w:p w:rsidR="007D4BCC" w:rsidRPr="0049187C" w:rsidRDefault="007D4BCC" w:rsidP="007D4BCC">
      <w:pPr>
        <w:pStyle w:val="IASBNormalnpara"/>
        <w:rPr>
          <w:lang w:val="ru-RU"/>
        </w:rPr>
      </w:pPr>
      <w:r w:rsidRPr="0049187C">
        <w:rPr>
          <w:lang w:val="ru-RU"/>
        </w:rPr>
        <w:t>B4.1.22</w:t>
      </w:r>
      <w:r w:rsidRPr="0049187C">
        <w:rPr>
          <w:lang w:val="ru-RU"/>
        </w:rPr>
        <w:tab/>
        <w:t>Организация должна проводить</w:t>
      </w:r>
      <w:r w:rsidR="009F4609">
        <w:rPr>
          <w:lang w:val="ru-RU"/>
        </w:rPr>
        <w:t xml:space="preserve"> сквозной</w:t>
      </w:r>
      <w:r w:rsidRPr="0049187C">
        <w:rPr>
          <w:lang w:val="ru-RU"/>
        </w:rPr>
        <w:t xml:space="preserve"> анализ</w:t>
      </w:r>
      <w:r w:rsidR="009F4609">
        <w:rPr>
          <w:lang w:val="ru-RU"/>
        </w:rPr>
        <w:t xml:space="preserve"> инструмента</w:t>
      </w:r>
      <w:r w:rsidRPr="0049187C">
        <w:rPr>
          <w:lang w:val="ru-RU"/>
        </w:rPr>
        <w:t>, пока она не сможет определить базовый пул инструментов, который создает (а не передает) денежные потоки. Это является базовым пулом финансовых инструментов.</w:t>
      </w:r>
    </w:p>
    <w:p w:rsidR="007D4BCC" w:rsidRPr="0049187C" w:rsidRDefault="007D4BCC" w:rsidP="007D4BCC">
      <w:pPr>
        <w:pStyle w:val="IASBNormalnpara"/>
        <w:rPr>
          <w:lang w:val="ru-RU"/>
        </w:rPr>
      </w:pPr>
      <w:r w:rsidRPr="0049187C">
        <w:rPr>
          <w:lang w:val="ru-RU"/>
        </w:rPr>
        <w:t>B4.1.23</w:t>
      </w:r>
      <w:r w:rsidRPr="0049187C">
        <w:rPr>
          <w:lang w:val="ru-RU"/>
        </w:rPr>
        <w:tab/>
        <w:t>Базовый пул должен содержать один или несколько инструментов, которые имеют предусмотренные договором денежные потоки, являющиеся исключит</w:t>
      </w:r>
      <w:r w:rsidR="00A73D9D">
        <w:rPr>
          <w:lang w:val="ru-RU"/>
        </w:rPr>
        <w:t>ельно платежами в счет основной суммы</w:t>
      </w:r>
      <w:r w:rsidRPr="0049187C">
        <w:rPr>
          <w:lang w:val="ru-RU"/>
        </w:rPr>
        <w:t xml:space="preserve"> долга и процентов на непогашенную </w:t>
      </w:r>
      <w:r w:rsidR="00A73D9D">
        <w:rPr>
          <w:lang w:val="ru-RU"/>
        </w:rPr>
        <w:t>часть основной суммы</w:t>
      </w:r>
      <w:r w:rsidRPr="0049187C">
        <w:rPr>
          <w:lang w:val="ru-RU"/>
        </w:rPr>
        <w:t xml:space="preserve"> долга.</w:t>
      </w:r>
    </w:p>
    <w:p w:rsidR="007D4BCC" w:rsidRPr="0049187C" w:rsidRDefault="007D4BCC" w:rsidP="007D4BCC">
      <w:pPr>
        <w:pStyle w:val="IASBNormalnpara"/>
        <w:rPr>
          <w:lang w:val="ru-RU"/>
        </w:rPr>
      </w:pPr>
      <w:r w:rsidRPr="0049187C">
        <w:rPr>
          <w:lang w:val="ru-RU"/>
        </w:rPr>
        <w:t>B4.1.24</w:t>
      </w:r>
      <w:r w:rsidRPr="0049187C">
        <w:rPr>
          <w:lang w:val="ru-RU"/>
        </w:rPr>
        <w:tab/>
        <w:t>Базовый пул инструментов может включать также инструменты, которые:</w:t>
      </w:r>
    </w:p>
    <w:p w:rsidR="007D4BCC" w:rsidRPr="0049187C" w:rsidRDefault="007D4BCC" w:rsidP="004D2F3F">
      <w:pPr>
        <w:pStyle w:val="IASBNormalnparaL1"/>
        <w:numPr>
          <w:ilvl w:val="0"/>
          <w:numId w:val="35"/>
        </w:numPr>
        <w:rPr>
          <w:lang w:val="ru-RU"/>
        </w:rPr>
      </w:pPr>
      <w:r w:rsidRPr="0049187C">
        <w:rPr>
          <w:lang w:val="ru-RU"/>
        </w:rPr>
        <w:t xml:space="preserve">сокращают изменчивость денежных потоков по инструментам, указанным в пункте B4.1.23 и, в сочетании с инструментами, указанными в пункте B4.1.23, приводят к денежным потокам, которые являются исключительно платежами в счет </w:t>
      </w:r>
      <w:r w:rsidR="00A73D9D">
        <w:rPr>
          <w:lang w:val="ru-RU"/>
        </w:rPr>
        <w:t>основной суммы</w:t>
      </w:r>
      <w:r w:rsidRPr="0049187C">
        <w:rPr>
          <w:lang w:val="ru-RU"/>
        </w:rPr>
        <w:t xml:space="preserve"> долга и процентов на непогашенную </w:t>
      </w:r>
      <w:r w:rsidR="00A73D9D">
        <w:rPr>
          <w:lang w:val="ru-RU"/>
        </w:rPr>
        <w:t>часть</w:t>
      </w:r>
      <w:r w:rsidRPr="0049187C">
        <w:rPr>
          <w:lang w:val="ru-RU"/>
        </w:rPr>
        <w:t xml:space="preserve"> основн</w:t>
      </w:r>
      <w:r w:rsidR="00A73D9D">
        <w:rPr>
          <w:lang w:val="ru-RU"/>
        </w:rPr>
        <w:t>ой суммы</w:t>
      </w:r>
      <w:r w:rsidRPr="0049187C">
        <w:rPr>
          <w:lang w:val="ru-RU"/>
        </w:rPr>
        <w:t xml:space="preserve"> долга (например, </w:t>
      </w:r>
      <w:r w:rsidR="00C047CC">
        <w:rPr>
          <w:lang w:val="ru-RU"/>
        </w:rPr>
        <w:t>опционы</w:t>
      </w:r>
      <w:r w:rsidR="00A16E6E">
        <w:rPr>
          <w:lang w:val="ru-RU"/>
        </w:rPr>
        <w:t xml:space="preserve"> </w:t>
      </w:r>
      <w:r w:rsidR="00506D6C" w:rsidRPr="0049187C">
        <w:rPr>
          <w:lang w:val="ru-RU"/>
        </w:rPr>
        <w:t>«</w:t>
      </w:r>
      <w:r w:rsidRPr="0049187C">
        <w:rPr>
          <w:lang w:val="ru-RU"/>
        </w:rPr>
        <w:t>кэп</w:t>
      </w:r>
      <w:r w:rsidR="00506D6C" w:rsidRPr="0049187C">
        <w:rPr>
          <w:lang w:val="ru-RU"/>
        </w:rPr>
        <w:t>»</w:t>
      </w:r>
      <w:r w:rsidRPr="0049187C">
        <w:rPr>
          <w:lang w:val="ru-RU"/>
        </w:rPr>
        <w:t xml:space="preserve"> или </w:t>
      </w:r>
      <w:r w:rsidR="00506D6C" w:rsidRPr="0049187C">
        <w:rPr>
          <w:lang w:val="ru-RU"/>
        </w:rPr>
        <w:t>«</w:t>
      </w:r>
      <w:r w:rsidRPr="0049187C">
        <w:rPr>
          <w:lang w:val="ru-RU"/>
        </w:rPr>
        <w:t>флор</w:t>
      </w:r>
      <w:r w:rsidR="00506D6C" w:rsidRPr="0049187C">
        <w:rPr>
          <w:lang w:val="ru-RU"/>
        </w:rPr>
        <w:t>»</w:t>
      </w:r>
      <w:r w:rsidR="00C047CC">
        <w:rPr>
          <w:lang w:val="ru-RU"/>
        </w:rPr>
        <w:t xml:space="preserve"> на процентную ставку</w:t>
      </w:r>
      <w:r w:rsidRPr="0049187C">
        <w:rPr>
          <w:lang w:val="ru-RU"/>
        </w:rPr>
        <w:t xml:space="preserve"> или договор, который снижает кредитный риск по некоторым или всем инструментам, указанным в пункте B4.1.23); или</w:t>
      </w:r>
    </w:p>
    <w:p w:rsidR="007D4BCC" w:rsidRPr="0049187C" w:rsidRDefault="007D4BCC" w:rsidP="004D2F3F">
      <w:pPr>
        <w:pStyle w:val="IASBNormalnparaL1"/>
        <w:numPr>
          <w:ilvl w:val="0"/>
          <w:numId w:val="35"/>
        </w:numPr>
        <w:rPr>
          <w:lang w:val="ru-RU"/>
        </w:rPr>
      </w:pPr>
      <w:r w:rsidRPr="0049187C">
        <w:rPr>
          <w:lang w:val="ru-RU"/>
        </w:rPr>
        <w:t>приводят денежные потоки от траншей в соответствие с денежны</w:t>
      </w:r>
      <w:r w:rsidR="00506D6C" w:rsidRPr="0049187C">
        <w:rPr>
          <w:lang w:val="ru-RU"/>
        </w:rPr>
        <w:t>ми потоками</w:t>
      </w:r>
      <w:r w:rsidRPr="0049187C">
        <w:rPr>
          <w:lang w:val="ru-RU"/>
        </w:rPr>
        <w:t xml:space="preserve"> от пула базовых инструментов, указанных в пункте B4.1.23, что дает возможность устранить расхождения исключительно в следующих пунктах:</w:t>
      </w:r>
    </w:p>
    <w:p w:rsidR="007D4BCC" w:rsidRPr="0049187C" w:rsidRDefault="007D4BCC" w:rsidP="004D2F3F">
      <w:pPr>
        <w:pStyle w:val="IASBNormalnparaL2"/>
        <w:numPr>
          <w:ilvl w:val="0"/>
          <w:numId w:val="36"/>
        </w:numPr>
        <w:ind w:left="2127" w:hanging="562"/>
        <w:rPr>
          <w:lang w:val="ru-RU"/>
        </w:rPr>
      </w:pPr>
      <w:r w:rsidRPr="0049187C">
        <w:rPr>
          <w:lang w:val="ru-RU"/>
        </w:rPr>
        <w:t>является ли процентная ставка фиксированной или плавающей;</w:t>
      </w:r>
    </w:p>
    <w:p w:rsidR="007D4BCC" w:rsidRPr="0049187C" w:rsidRDefault="007D4BCC" w:rsidP="004D2F3F">
      <w:pPr>
        <w:pStyle w:val="IASBNormalnparaL2"/>
        <w:numPr>
          <w:ilvl w:val="0"/>
          <w:numId w:val="36"/>
        </w:numPr>
        <w:ind w:left="2127" w:hanging="562"/>
        <w:rPr>
          <w:lang w:val="ru-RU"/>
        </w:rPr>
      </w:pPr>
      <w:r w:rsidRPr="0049187C">
        <w:rPr>
          <w:lang w:val="ru-RU"/>
        </w:rPr>
        <w:t xml:space="preserve">валюта, в которой </w:t>
      </w:r>
      <w:r w:rsidR="00D16C37">
        <w:rPr>
          <w:lang w:val="ru-RU"/>
        </w:rPr>
        <w:t>выражены</w:t>
      </w:r>
      <w:r w:rsidRPr="0049187C">
        <w:rPr>
          <w:lang w:val="ru-RU"/>
        </w:rPr>
        <w:t xml:space="preserve"> денежные потоки, в том числе инфляция в той же валюте; или</w:t>
      </w:r>
    </w:p>
    <w:p w:rsidR="007D4BCC" w:rsidRPr="0049187C" w:rsidRDefault="007D4BCC" w:rsidP="004D2F3F">
      <w:pPr>
        <w:pStyle w:val="IASBNormalnparaL2"/>
        <w:numPr>
          <w:ilvl w:val="0"/>
          <w:numId w:val="36"/>
        </w:numPr>
        <w:ind w:left="2127" w:hanging="562"/>
        <w:rPr>
          <w:lang w:val="ru-RU"/>
        </w:rPr>
      </w:pPr>
      <w:r w:rsidRPr="0049187C">
        <w:rPr>
          <w:lang w:val="ru-RU"/>
        </w:rPr>
        <w:t>сроки денежных потоков.</w:t>
      </w:r>
    </w:p>
    <w:p w:rsidR="007D4BCC" w:rsidRPr="0049187C" w:rsidRDefault="007D4BCC" w:rsidP="007D4BCC">
      <w:pPr>
        <w:pStyle w:val="IASBNormalnpara"/>
        <w:rPr>
          <w:lang w:val="ru-RU"/>
        </w:rPr>
      </w:pPr>
      <w:r w:rsidRPr="0049187C">
        <w:rPr>
          <w:lang w:val="ru-RU"/>
        </w:rPr>
        <w:t>B4.1.25</w:t>
      </w:r>
      <w:r w:rsidRPr="0049187C">
        <w:rPr>
          <w:lang w:val="ru-RU"/>
        </w:rPr>
        <w:tab/>
        <w:t>Если ни один инструмент в пуле не удовлетворяет условиям пункта B4.1.23 или пункта B4.1.24, условия пункта B4.1.21(b) не выполн</w:t>
      </w:r>
      <w:r w:rsidR="00506D6C" w:rsidRPr="0049187C">
        <w:rPr>
          <w:lang w:val="ru-RU"/>
        </w:rPr>
        <w:t>яются</w:t>
      </w:r>
      <w:r w:rsidRPr="0049187C">
        <w:rPr>
          <w:lang w:val="ru-RU"/>
        </w:rPr>
        <w:t>. При проведении такой оценки детальный анализ каждого инструмента может не потребоваться. Однако организация должна применить суждение и провести анализ, достаточный для определения того, удовлетворяют л</w:t>
      </w:r>
      <w:r w:rsidR="00E14DDE">
        <w:rPr>
          <w:lang w:val="ru-RU"/>
        </w:rPr>
        <w:t>и инструменты в пуле условиям пунктов</w:t>
      </w:r>
      <w:r w:rsidRPr="0049187C">
        <w:rPr>
          <w:lang w:val="ru-RU"/>
        </w:rPr>
        <w:t xml:space="preserve"> B4.1.23–B4.1.24. (См. также указания </w:t>
      </w:r>
      <w:r w:rsidR="009F18F0" w:rsidRPr="0049187C">
        <w:rPr>
          <w:lang w:val="ru-RU"/>
        </w:rPr>
        <w:t>в пункте B4.1.18</w:t>
      </w:r>
      <w:r w:rsidR="009F18F0">
        <w:rPr>
          <w:lang w:val="ru-RU"/>
        </w:rPr>
        <w:t xml:space="preserve"> </w:t>
      </w:r>
      <w:r w:rsidRPr="0049187C">
        <w:rPr>
          <w:lang w:val="ru-RU"/>
        </w:rPr>
        <w:t xml:space="preserve">в отношении характеристик предусмотренных договором денежных потоков, которые имеют только </w:t>
      </w:r>
      <w:r w:rsidR="00364D35">
        <w:rPr>
          <w:lang w:val="ru-RU"/>
        </w:rPr>
        <w:t>пренебрежимо малый</w:t>
      </w:r>
      <w:r w:rsidRPr="0049187C">
        <w:rPr>
          <w:lang w:val="ru-RU"/>
        </w:rPr>
        <w:t xml:space="preserve"> эффект</w:t>
      </w:r>
      <w:r w:rsidR="00BE3232" w:rsidRPr="00397946">
        <w:rPr>
          <w:lang w:val="ru-RU"/>
        </w:rPr>
        <w:t>.</w:t>
      </w:r>
      <w:r w:rsidRPr="0049187C">
        <w:rPr>
          <w:lang w:val="ru-RU"/>
        </w:rPr>
        <w:t>)</w:t>
      </w:r>
    </w:p>
    <w:p w:rsidR="007D4BCC" w:rsidRPr="0049187C" w:rsidRDefault="007D4BCC" w:rsidP="007D4BCC">
      <w:pPr>
        <w:pStyle w:val="IASBNormalnpara"/>
        <w:rPr>
          <w:lang w:val="ru-RU"/>
        </w:rPr>
      </w:pPr>
      <w:r w:rsidRPr="0049187C">
        <w:rPr>
          <w:lang w:val="ru-RU"/>
        </w:rPr>
        <w:t>B4.1.26</w:t>
      </w:r>
      <w:r w:rsidRPr="0049187C">
        <w:rPr>
          <w:lang w:val="ru-RU"/>
        </w:rPr>
        <w:tab/>
        <w:t xml:space="preserve">Если держатель </w:t>
      </w:r>
      <w:r w:rsidR="009F18F0">
        <w:rPr>
          <w:lang w:val="ru-RU"/>
        </w:rPr>
        <w:t xml:space="preserve">инструмента </w:t>
      </w:r>
      <w:r w:rsidRPr="0049187C">
        <w:rPr>
          <w:lang w:val="ru-RU"/>
        </w:rPr>
        <w:t>не может оценить условия пункта B4.1.21 при первоначальном признании, транш должен оцениваться по справедливой стоимости через прибыль или убыток. Если базовый пул инс</w:t>
      </w:r>
      <w:r w:rsidR="00C577C1">
        <w:rPr>
          <w:lang w:val="ru-RU"/>
        </w:rPr>
        <w:t>трументов может измениться с момента</w:t>
      </w:r>
      <w:r w:rsidRPr="0049187C">
        <w:rPr>
          <w:lang w:val="ru-RU"/>
        </w:rPr>
        <w:t xml:space="preserve"> первоначального признания таким образом, что этот пул не будет </w:t>
      </w:r>
      <w:r w:rsidR="00E14DDE">
        <w:rPr>
          <w:lang w:val="ru-RU"/>
        </w:rPr>
        <w:t>удовлетворять условиям пунктов</w:t>
      </w:r>
      <w:r w:rsidRPr="0049187C">
        <w:rPr>
          <w:lang w:val="ru-RU"/>
        </w:rPr>
        <w:t xml:space="preserve"> B4.1.23–B4.1.24, транш не отвечает условиям пункта B4.1.21 и должен оцениваться по справедливой стоимости через прибыль или убыток. Однако если базовый пул включает инструменты, обеспеченные активами, кото</w:t>
      </w:r>
      <w:r w:rsidR="00E14DDE">
        <w:rPr>
          <w:lang w:val="ru-RU"/>
        </w:rPr>
        <w:t>рые не удовлетворяют условиям пунктов</w:t>
      </w:r>
      <w:r w:rsidRPr="0049187C">
        <w:rPr>
          <w:lang w:val="ru-RU"/>
        </w:rPr>
        <w:t xml:space="preserve"> B4.1.23–B4.1.24, способность </w:t>
      </w:r>
      <w:r w:rsidR="00506D6C" w:rsidRPr="0049187C">
        <w:rPr>
          <w:lang w:val="ru-RU"/>
        </w:rPr>
        <w:t>обратить взыскание на</w:t>
      </w:r>
      <w:r w:rsidRPr="0049187C">
        <w:rPr>
          <w:lang w:val="ru-RU"/>
        </w:rPr>
        <w:t xml:space="preserve"> таки</w:t>
      </w:r>
      <w:r w:rsidR="00506D6C" w:rsidRPr="0049187C">
        <w:rPr>
          <w:lang w:val="ru-RU"/>
        </w:rPr>
        <w:t>е</w:t>
      </w:r>
      <w:r w:rsidRPr="0049187C">
        <w:rPr>
          <w:lang w:val="ru-RU"/>
        </w:rPr>
        <w:t xml:space="preserve"> актив</w:t>
      </w:r>
      <w:r w:rsidR="00506D6C" w:rsidRPr="0049187C">
        <w:rPr>
          <w:lang w:val="ru-RU"/>
        </w:rPr>
        <w:t>ы</w:t>
      </w:r>
      <w:r w:rsidRPr="0049187C">
        <w:rPr>
          <w:lang w:val="ru-RU"/>
        </w:rPr>
        <w:t xml:space="preserve"> не должна приниматься во внимание для целей применения данного пункта, за исключением случаев, когда организация приобрела транш с намерением контролировать обеспечение.</w:t>
      </w:r>
    </w:p>
    <w:p w:rsidR="007D4BCC" w:rsidRPr="0049187C" w:rsidRDefault="007D4BCC" w:rsidP="007D4BCC">
      <w:pPr>
        <w:pStyle w:val="IASBSectionTitle2Ind"/>
        <w:rPr>
          <w:lang w:val="ru-RU"/>
        </w:rPr>
      </w:pPr>
      <w:r w:rsidRPr="0049187C">
        <w:rPr>
          <w:lang w:val="ru-RU"/>
        </w:rPr>
        <w:t xml:space="preserve">Возможность </w:t>
      </w:r>
      <w:r w:rsidR="00207E17">
        <w:rPr>
          <w:lang w:val="ru-RU"/>
        </w:rPr>
        <w:t xml:space="preserve">классификации </w:t>
      </w:r>
      <w:r w:rsidRPr="0049187C">
        <w:rPr>
          <w:lang w:val="ru-RU"/>
        </w:rPr>
        <w:t>финансов</w:t>
      </w:r>
      <w:r w:rsidR="00506D6C" w:rsidRPr="0049187C">
        <w:rPr>
          <w:lang w:val="ru-RU"/>
        </w:rPr>
        <w:t>ого</w:t>
      </w:r>
      <w:r w:rsidRPr="0049187C">
        <w:rPr>
          <w:lang w:val="ru-RU"/>
        </w:rPr>
        <w:t xml:space="preserve"> актив</w:t>
      </w:r>
      <w:r w:rsidR="00506D6C" w:rsidRPr="0049187C">
        <w:rPr>
          <w:lang w:val="ru-RU"/>
        </w:rPr>
        <w:t>а</w:t>
      </w:r>
      <w:r w:rsidRPr="0049187C">
        <w:rPr>
          <w:lang w:val="ru-RU"/>
        </w:rPr>
        <w:t xml:space="preserve"> или финансово</w:t>
      </w:r>
      <w:r w:rsidR="00506D6C" w:rsidRPr="0049187C">
        <w:rPr>
          <w:lang w:val="ru-RU"/>
        </w:rPr>
        <w:t>го</w:t>
      </w:r>
      <w:r w:rsidRPr="0049187C">
        <w:rPr>
          <w:lang w:val="ru-RU"/>
        </w:rPr>
        <w:t xml:space="preserve"> обязательств</w:t>
      </w:r>
      <w:r w:rsidR="00506D6C" w:rsidRPr="0049187C">
        <w:rPr>
          <w:lang w:val="ru-RU"/>
        </w:rPr>
        <w:t>а</w:t>
      </w:r>
      <w:r w:rsidRPr="0049187C">
        <w:rPr>
          <w:lang w:val="ru-RU"/>
        </w:rPr>
        <w:t xml:space="preserve"> </w:t>
      </w:r>
      <w:r w:rsidR="00D16C37">
        <w:rPr>
          <w:lang w:val="ru-RU"/>
        </w:rPr>
        <w:t>по усмотрению организации</w:t>
      </w:r>
      <w:r w:rsidR="00D16C37" w:rsidRPr="0049187C">
        <w:rPr>
          <w:lang w:val="ru-RU"/>
        </w:rPr>
        <w:t xml:space="preserve"> </w:t>
      </w:r>
      <w:r w:rsidRPr="0049187C">
        <w:rPr>
          <w:lang w:val="ru-RU"/>
        </w:rPr>
        <w:t>как оцениваем</w:t>
      </w:r>
      <w:r w:rsidR="00506D6C" w:rsidRPr="0049187C">
        <w:rPr>
          <w:lang w:val="ru-RU"/>
        </w:rPr>
        <w:t>ых</w:t>
      </w:r>
      <w:r w:rsidRPr="0049187C">
        <w:rPr>
          <w:lang w:val="ru-RU"/>
        </w:rPr>
        <w:t xml:space="preserve"> по справедливой стоим</w:t>
      </w:r>
      <w:r w:rsidR="00C25F1D">
        <w:rPr>
          <w:lang w:val="ru-RU"/>
        </w:rPr>
        <w:t>ости через прибыль или убыток (Р</w:t>
      </w:r>
      <w:r w:rsidRPr="0049187C">
        <w:rPr>
          <w:lang w:val="ru-RU"/>
        </w:rPr>
        <w:t>азделы 4.1 и 4.2)</w:t>
      </w:r>
    </w:p>
    <w:p w:rsidR="007D4BCC" w:rsidRPr="0049187C" w:rsidRDefault="007D4BCC" w:rsidP="007D4BCC">
      <w:pPr>
        <w:pStyle w:val="IASBNormalnpara"/>
        <w:rPr>
          <w:lang w:val="ru-RU"/>
        </w:rPr>
      </w:pPr>
      <w:r w:rsidRPr="0049187C">
        <w:rPr>
          <w:lang w:val="ru-RU"/>
        </w:rPr>
        <w:t>B4.1.27</w:t>
      </w:r>
      <w:r w:rsidRPr="0049187C">
        <w:rPr>
          <w:lang w:val="ru-RU"/>
        </w:rPr>
        <w:tab/>
        <w:t xml:space="preserve">В соответствии с условиями, изложенными в пунктах 4.1.5 и 4.2.2, настоящий стандарт разрешает организации </w:t>
      </w:r>
      <w:r w:rsidR="00057361">
        <w:rPr>
          <w:lang w:val="ru-RU"/>
        </w:rPr>
        <w:t xml:space="preserve">по собственному усмотрению </w:t>
      </w:r>
      <w:r w:rsidR="00207E17">
        <w:rPr>
          <w:lang w:val="ru-RU"/>
        </w:rPr>
        <w:t xml:space="preserve">классифицировать </w:t>
      </w:r>
      <w:r w:rsidRPr="0049187C">
        <w:rPr>
          <w:lang w:val="ru-RU"/>
        </w:rPr>
        <w:t xml:space="preserve">финансовый </w:t>
      </w:r>
      <w:r w:rsidR="00D27E77">
        <w:rPr>
          <w:lang w:val="ru-RU"/>
        </w:rPr>
        <w:t>актив, финансовое обязательство</w:t>
      </w:r>
      <w:r w:rsidRPr="0049187C">
        <w:rPr>
          <w:lang w:val="ru-RU"/>
        </w:rPr>
        <w:t xml:space="preserve"> или группу финансовых инструментов (финансовые а</w:t>
      </w:r>
      <w:r w:rsidR="00D27E77">
        <w:rPr>
          <w:lang w:val="ru-RU"/>
        </w:rPr>
        <w:t>ктивы, финансовые обязательства</w:t>
      </w:r>
      <w:r w:rsidRPr="0049187C">
        <w:rPr>
          <w:lang w:val="ru-RU"/>
        </w:rPr>
        <w:t xml:space="preserve"> или и те, и другие вместе) как оцениваемые по справедливой стоимости через прибыль или убыток при условии, что это обеспечит представление более уместной информации.</w:t>
      </w:r>
    </w:p>
    <w:p w:rsidR="007D4BCC" w:rsidRPr="0049187C" w:rsidRDefault="007D4BCC" w:rsidP="007D4BCC">
      <w:pPr>
        <w:pStyle w:val="IASBNormalnpara"/>
        <w:rPr>
          <w:lang w:val="ru-RU"/>
        </w:rPr>
      </w:pPr>
      <w:r w:rsidRPr="0049187C">
        <w:rPr>
          <w:lang w:val="ru-RU"/>
        </w:rPr>
        <w:t>B4.1.28</w:t>
      </w:r>
      <w:r w:rsidRPr="0049187C">
        <w:rPr>
          <w:lang w:val="ru-RU"/>
        </w:rPr>
        <w:tab/>
        <w:t xml:space="preserve">Решение организации </w:t>
      </w:r>
      <w:r w:rsidR="00057361">
        <w:rPr>
          <w:lang w:val="ru-RU"/>
        </w:rPr>
        <w:t xml:space="preserve">по собственному усмотрению </w:t>
      </w:r>
      <w:r w:rsidR="00207E17">
        <w:rPr>
          <w:lang w:val="ru-RU"/>
        </w:rPr>
        <w:t xml:space="preserve">классифицировать </w:t>
      </w:r>
      <w:r w:rsidRPr="0049187C">
        <w:rPr>
          <w:lang w:val="ru-RU"/>
        </w:rPr>
        <w:t>финансовый актив или финансовое обязательство как оцениваемые по справедливой стоимости через прибыль или убыток аналогично выбору учетной политики (хотя, в отличие о</w:t>
      </w:r>
      <w:r w:rsidR="00207E17">
        <w:rPr>
          <w:lang w:val="ru-RU"/>
        </w:rPr>
        <w:t>т выбора учетной политики, такую</w:t>
      </w:r>
      <w:r w:rsidRPr="0049187C">
        <w:rPr>
          <w:lang w:val="ru-RU"/>
        </w:rPr>
        <w:t xml:space="preserve"> </w:t>
      </w:r>
      <w:r w:rsidR="00207E17">
        <w:rPr>
          <w:lang w:val="ru-RU"/>
        </w:rPr>
        <w:t>классификацию</w:t>
      </w:r>
      <w:r w:rsidRPr="0049187C">
        <w:rPr>
          <w:lang w:val="ru-RU"/>
        </w:rPr>
        <w:t xml:space="preserve"> не требуется применять последовательно в отношении вс</w:t>
      </w:r>
      <w:r w:rsidR="00434A7C">
        <w:rPr>
          <w:lang w:val="ru-RU"/>
        </w:rPr>
        <w:t>ех аналогичных операций). Когда</w:t>
      </w:r>
      <w:r w:rsidRPr="0049187C">
        <w:rPr>
          <w:lang w:val="ru-RU"/>
        </w:rPr>
        <w:t xml:space="preserve"> организации </w:t>
      </w:r>
      <w:r w:rsidR="00434A7C">
        <w:rPr>
          <w:lang w:val="ru-RU"/>
        </w:rPr>
        <w:t>предоставляется такой выбор, согласно пункту</w:t>
      </w:r>
      <w:r w:rsidRPr="0049187C">
        <w:rPr>
          <w:lang w:val="ru-RU"/>
        </w:rPr>
        <w:t xml:space="preserve"> 14(b) МСФО (IAS) 8</w:t>
      </w:r>
      <w:r w:rsidR="00434A7C">
        <w:rPr>
          <w:lang w:val="ru-RU"/>
        </w:rPr>
        <w:t xml:space="preserve"> требуется, чтобы</w:t>
      </w:r>
      <w:r w:rsidRPr="0049187C">
        <w:rPr>
          <w:lang w:val="ru-RU"/>
        </w:rPr>
        <w:t xml:space="preserve"> выбранная </w:t>
      </w:r>
      <w:r w:rsidR="00434A7C">
        <w:rPr>
          <w:lang w:val="ru-RU"/>
        </w:rPr>
        <w:t xml:space="preserve">учетная </w:t>
      </w:r>
      <w:r w:rsidRPr="0049187C">
        <w:rPr>
          <w:lang w:val="ru-RU"/>
        </w:rPr>
        <w:t xml:space="preserve">политика </w:t>
      </w:r>
      <w:r w:rsidR="00434A7C">
        <w:rPr>
          <w:lang w:val="ru-RU"/>
        </w:rPr>
        <w:t>обеспечивала</w:t>
      </w:r>
      <w:r w:rsidRPr="0049187C">
        <w:rPr>
          <w:lang w:val="ru-RU"/>
        </w:rPr>
        <w:t xml:space="preserve"> представление</w:t>
      </w:r>
      <w:r w:rsidR="00434A7C">
        <w:rPr>
          <w:lang w:val="ru-RU"/>
        </w:rPr>
        <w:t xml:space="preserve"> в финансовой отчетности</w:t>
      </w:r>
      <w:r w:rsidRPr="0049187C">
        <w:rPr>
          <w:lang w:val="ru-RU"/>
        </w:rPr>
        <w:t xml:space="preserve"> надежной и более уместной информации о </w:t>
      </w:r>
      <w:r w:rsidR="00434A7C">
        <w:rPr>
          <w:lang w:val="ru-RU"/>
        </w:rPr>
        <w:t>влиянии</w:t>
      </w:r>
      <w:r w:rsidRPr="0049187C">
        <w:rPr>
          <w:lang w:val="ru-RU"/>
        </w:rPr>
        <w:t xml:space="preserve"> операций, прочих событий и условий на финансовое положение, финансовые результаты деятельности или денежные потоки организации. Например, в случае </w:t>
      </w:r>
      <w:r w:rsidR="00207E17">
        <w:rPr>
          <w:lang w:val="ru-RU"/>
        </w:rPr>
        <w:t>классификации</w:t>
      </w:r>
      <w:r w:rsidRPr="0049187C">
        <w:rPr>
          <w:lang w:val="ru-RU"/>
        </w:rPr>
        <w:t xml:space="preserve"> финансового обязательства</w:t>
      </w:r>
      <w:r w:rsidR="00207E17">
        <w:rPr>
          <w:lang w:val="ru-RU"/>
        </w:rPr>
        <w:t xml:space="preserve"> по усмотрению организации</w:t>
      </w:r>
      <w:r w:rsidRPr="0049187C">
        <w:rPr>
          <w:lang w:val="ru-RU"/>
        </w:rPr>
        <w:t xml:space="preserve"> как оцениваемого по справедливой стоимости через прибыль или убыток, пункт 4.2.2 определяет два условия, при которых выполняется требование по представлению более уместной информации. Следовательно, для того чтобы</w:t>
      </w:r>
      <w:r w:rsidR="00207E17">
        <w:rPr>
          <w:lang w:val="ru-RU"/>
        </w:rPr>
        <w:t xml:space="preserve"> иметь возможность выбрать такую</w:t>
      </w:r>
      <w:r w:rsidRPr="0049187C">
        <w:rPr>
          <w:lang w:val="ru-RU"/>
        </w:rPr>
        <w:t xml:space="preserve"> </w:t>
      </w:r>
      <w:r w:rsidR="00207E17">
        <w:rPr>
          <w:lang w:val="ru-RU"/>
        </w:rPr>
        <w:t>классификацию</w:t>
      </w:r>
      <w:r w:rsidRPr="0049187C">
        <w:rPr>
          <w:lang w:val="ru-RU"/>
        </w:rPr>
        <w:t xml:space="preserve"> в соответствии с пунктом 4.2.2, организации нужно показать, что она удовлетворяет одному (или обоим) из этих двух условий.</w:t>
      </w:r>
    </w:p>
    <w:p w:rsidR="007D4BCC" w:rsidRPr="0049187C" w:rsidRDefault="00207E17" w:rsidP="007D4BCC">
      <w:pPr>
        <w:pStyle w:val="IASBSectionTitle3Ind"/>
        <w:rPr>
          <w:lang w:val="ru-RU"/>
        </w:rPr>
      </w:pPr>
      <w:bookmarkStart w:id="213" w:name="F27867239"/>
      <w:r>
        <w:rPr>
          <w:lang w:val="ru-RU"/>
        </w:rPr>
        <w:t>Классификация по усмотрению организации</w:t>
      </w:r>
      <w:r w:rsidR="007D4BCC" w:rsidRPr="0049187C">
        <w:rPr>
          <w:lang w:val="ru-RU"/>
        </w:rPr>
        <w:t xml:space="preserve"> финансовых активов или финансовых обязательств как оцениваемых по справедливой стоимости через прибыль или убыток устраняет или значительно сокращает учетное несоответствие</w:t>
      </w:r>
      <w:bookmarkEnd w:id="213"/>
    </w:p>
    <w:p w:rsidR="007D4BCC" w:rsidRPr="0049187C" w:rsidRDefault="007D4BCC" w:rsidP="007D4BCC">
      <w:pPr>
        <w:pStyle w:val="IASBNormalnpara"/>
        <w:rPr>
          <w:lang w:val="ru-RU"/>
        </w:rPr>
      </w:pPr>
      <w:r w:rsidRPr="0049187C">
        <w:rPr>
          <w:lang w:val="ru-RU"/>
        </w:rPr>
        <w:t>B4.1.29</w:t>
      </w:r>
      <w:r w:rsidRPr="0049187C">
        <w:rPr>
          <w:lang w:val="ru-RU"/>
        </w:rPr>
        <w:tab/>
        <w:t xml:space="preserve">Оценка финансового актива или финансового обязательства и классификация признанных изменений в его стоимости определяются </w:t>
      </w:r>
      <w:r w:rsidR="00BC46F3">
        <w:rPr>
          <w:lang w:val="ru-RU"/>
        </w:rPr>
        <w:t>классификацией соответствующего</w:t>
      </w:r>
      <w:r w:rsidRPr="0049187C">
        <w:rPr>
          <w:lang w:val="ru-RU"/>
        </w:rPr>
        <w:t xml:space="preserve"> </w:t>
      </w:r>
      <w:r w:rsidR="00BC46F3">
        <w:rPr>
          <w:lang w:val="ru-RU"/>
        </w:rPr>
        <w:t>объекта</w:t>
      </w:r>
      <w:r w:rsidRPr="0049187C">
        <w:rPr>
          <w:lang w:val="ru-RU"/>
        </w:rPr>
        <w:t xml:space="preserve"> и </w:t>
      </w:r>
      <w:r w:rsidR="00BC46F3">
        <w:rPr>
          <w:lang w:val="ru-RU"/>
        </w:rPr>
        <w:t>тем</w:t>
      </w:r>
      <w:r w:rsidRPr="0049187C">
        <w:rPr>
          <w:lang w:val="ru-RU"/>
        </w:rPr>
        <w:t>, является ли</w:t>
      </w:r>
      <w:r w:rsidR="0057748C">
        <w:rPr>
          <w:lang w:val="ru-RU"/>
        </w:rPr>
        <w:t xml:space="preserve"> </w:t>
      </w:r>
      <w:r w:rsidR="00BC46F3">
        <w:rPr>
          <w:lang w:val="ru-RU"/>
        </w:rPr>
        <w:t>этот объект</w:t>
      </w:r>
      <w:r w:rsidR="0057748C">
        <w:rPr>
          <w:lang w:val="ru-RU"/>
        </w:rPr>
        <w:t xml:space="preserve"> частью </w:t>
      </w:r>
      <w:r w:rsidR="00207E17">
        <w:rPr>
          <w:lang w:val="ru-RU"/>
        </w:rPr>
        <w:t>определенных по усмотрению организации</w:t>
      </w:r>
      <w:r w:rsidR="0057748C">
        <w:rPr>
          <w:lang w:val="ru-RU"/>
        </w:rPr>
        <w:t xml:space="preserve"> отношений</w:t>
      </w:r>
      <w:r w:rsidRPr="0049187C">
        <w:rPr>
          <w:lang w:val="ru-RU"/>
        </w:rPr>
        <w:t xml:space="preserve"> хеджирования. Эти требования могут привести к возникновению </w:t>
      </w:r>
      <w:r w:rsidR="000A0F2B">
        <w:rPr>
          <w:lang w:val="ru-RU"/>
        </w:rPr>
        <w:t>непоследовательности</w:t>
      </w:r>
      <w:r w:rsidR="00FD6780">
        <w:rPr>
          <w:lang w:val="ru-RU"/>
        </w:rPr>
        <w:t xml:space="preserve"> подходов к оценке или признанию</w:t>
      </w:r>
      <w:r w:rsidRPr="0049187C">
        <w:rPr>
          <w:lang w:val="ru-RU"/>
        </w:rPr>
        <w:t xml:space="preserve"> (иногда </w:t>
      </w:r>
      <w:r w:rsidR="00B86993">
        <w:rPr>
          <w:lang w:val="ru-RU"/>
        </w:rPr>
        <w:t>именуемой</w:t>
      </w:r>
      <w:r w:rsidR="00C5716B" w:rsidRPr="0049187C">
        <w:rPr>
          <w:lang w:val="ru-RU"/>
        </w:rPr>
        <w:t xml:space="preserve"> </w:t>
      </w:r>
      <w:r w:rsidR="001676B6" w:rsidRPr="0049187C">
        <w:rPr>
          <w:lang w:val="ru-RU"/>
        </w:rPr>
        <w:t>«</w:t>
      </w:r>
      <w:r w:rsidRPr="0049187C">
        <w:rPr>
          <w:lang w:val="ru-RU"/>
        </w:rPr>
        <w:t>учетным несоответствием</w:t>
      </w:r>
      <w:r w:rsidR="001676B6" w:rsidRPr="0049187C">
        <w:rPr>
          <w:lang w:val="ru-RU"/>
        </w:rPr>
        <w:t>»</w:t>
      </w:r>
      <w:r w:rsidRPr="0049187C">
        <w:rPr>
          <w:lang w:val="ru-RU"/>
        </w:rPr>
        <w:t xml:space="preserve">), когда, например, при отсутствии </w:t>
      </w:r>
      <w:r w:rsidR="00207E17">
        <w:rPr>
          <w:lang w:val="ru-RU"/>
        </w:rPr>
        <w:t>классификации</w:t>
      </w:r>
      <w:r w:rsidR="00C5716B" w:rsidRPr="0049187C">
        <w:rPr>
          <w:lang w:val="ru-RU"/>
        </w:rPr>
        <w:t xml:space="preserve"> </w:t>
      </w:r>
      <w:r w:rsidRPr="0049187C">
        <w:rPr>
          <w:lang w:val="ru-RU"/>
        </w:rPr>
        <w:t xml:space="preserve">финансового </w:t>
      </w:r>
      <w:r w:rsidR="00C5716B">
        <w:rPr>
          <w:lang w:val="ru-RU"/>
        </w:rPr>
        <w:t>обязательства</w:t>
      </w:r>
      <w:r w:rsidR="00207E17">
        <w:rPr>
          <w:lang w:val="ru-RU"/>
        </w:rPr>
        <w:t xml:space="preserve"> по усмотрению организации</w:t>
      </w:r>
      <w:r w:rsidR="00C5716B" w:rsidRPr="0049187C">
        <w:rPr>
          <w:lang w:val="ru-RU"/>
        </w:rPr>
        <w:t xml:space="preserve"> </w:t>
      </w:r>
      <w:r w:rsidRPr="0049187C">
        <w:rPr>
          <w:lang w:val="ru-RU"/>
        </w:rPr>
        <w:t>как оцениваемого по справедливой стоимости через прибыль или убыток, финансовый актив будет классифицироваться как оцениваемый впоследствии по справедливой стоимости через прибыль или убыток, а обязательство, которое организация считает связанным с таким активом, будет оцениваться по амортизированной стоимости (</w:t>
      </w:r>
      <w:r w:rsidR="00BC46F3">
        <w:rPr>
          <w:lang w:val="ru-RU"/>
        </w:rPr>
        <w:t>когда изменения</w:t>
      </w:r>
      <w:r w:rsidRPr="0049187C">
        <w:rPr>
          <w:lang w:val="ru-RU"/>
        </w:rPr>
        <w:t xml:space="preserve"> справедливой стоимости</w:t>
      </w:r>
      <w:r w:rsidR="00BC46F3">
        <w:rPr>
          <w:lang w:val="ru-RU"/>
        </w:rPr>
        <w:t xml:space="preserve"> не признаются</w:t>
      </w:r>
      <w:r w:rsidRPr="0049187C">
        <w:rPr>
          <w:lang w:val="ru-RU"/>
        </w:rPr>
        <w:t xml:space="preserve">). </w:t>
      </w:r>
      <w:r w:rsidR="00033DDE">
        <w:rPr>
          <w:lang w:val="ru-RU"/>
        </w:rPr>
        <w:t>В</w:t>
      </w:r>
      <w:r w:rsidR="00033DDE" w:rsidRPr="0049187C">
        <w:rPr>
          <w:lang w:val="ru-RU"/>
        </w:rPr>
        <w:t xml:space="preserve"> </w:t>
      </w:r>
      <w:r w:rsidRPr="0049187C">
        <w:rPr>
          <w:lang w:val="ru-RU"/>
        </w:rPr>
        <w:t>подобных обстоятельствах организация может прийти к заключению, что в ее финансовой отчетности будет представлена более уместная информация, если и актив, и обязательство будут оцениваться по справедливой стоимости через прибыль или убыток.</w:t>
      </w:r>
    </w:p>
    <w:p w:rsidR="007D4BCC" w:rsidRPr="0049187C" w:rsidRDefault="007D4BCC" w:rsidP="007D4BCC">
      <w:pPr>
        <w:pStyle w:val="IASBNormalnpara"/>
        <w:rPr>
          <w:lang w:val="ru-RU"/>
        </w:rPr>
      </w:pPr>
      <w:r w:rsidRPr="0049187C">
        <w:rPr>
          <w:lang w:val="ru-RU"/>
        </w:rPr>
        <w:t>B4.1.30</w:t>
      </w:r>
      <w:r w:rsidRPr="0049187C">
        <w:rPr>
          <w:lang w:val="ru-RU"/>
        </w:rPr>
        <w:tab/>
      </w:r>
      <w:bookmarkStart w:id="214" w:name="F27188032"/>
      <w:r w:rsidRPr="0049187C">
        <w:rPr>
          <w:lang w:val="ru-RU"/>
        </w:rPr>
        <w:t xml:space="preserve">Приведенные ниже примеры показывают, когда это условие может выполняться. Во всех случаях организация вправе использовать данное условие для </w:t>
      </w:r>
      <w:r w:rsidR="00057361">
        <w:rPr>
          <w:lang w:val="ru-RU"/>
        </w:rPr>
        <w:t>классификации по собственному</w:t>
      </w:r>
      <w:r w:rsidR="00207E17">
        <w:rPr>
          <w:lang w:val="ru-RU"/>
        </w:rPr>
        <w:t xml:space="preserve"> усмотрению</w:t>
      </w:r>
      <w:r w:rsidRPr="0049187C">
        <w:rPr>
          <w:lang w:val="ru-RU"/>
        </w:rPr>
        <w:t xml:space="preserve"> финансовых активов или финансовых обязательств как оцениваемых по справедливой стоимости через прибыль или убыток, только если при этом соблюдается принцип, приведенный в пунктах 4.1.5 или 4.2.2(а):</w:t>
      </w:r>
      <w:bookmarkEnd w:id="214"/>
    </w:p>
    <w:p w:rsidR="000F041D" w:rsidRPr="000F041D" w:rsidRDefault="000F041D" w:rsidP="000F041D">
      <w:pPr>
        <w:numPr>
          <w:ilvl w:val="0"/>
          <w:numId w:val="37"/>
        </w:numPr>
        <w:spacing w:before="100"/>
        <w:jc w:val="both"/>
        <w:rPr>
          <w:sz w:val="19"/>
          <w:szCs w:val="20"/>
          <w:lang w:val="ru-RU"/>
        </w:rPr>
      </w:pPr>
      <w:bookmarkStart w:id="215" w:name="F27188035"/>
      <w:r w:rsidRPr="000F041D">
        <w:rPr>
          <w:sz w:val="19"/>
          <w:szCs w:val="20"/>
          <w:lang w:val="ru-RU"/>
        </w:rPr>
        <w:t>у организации имеются договоры, относящиеся к сфере применения МСФО</w:t>
      </w:r>
      <w:r w:rsidRPr="00B172FE">
        <w:rPr>
          <w:sz w:val="19"/>
          <w:szCs w:val="20"/>
        </w:rPr>
        <w:t> </w:t>
      </w:r>
      <w:r w:rsidRPr="000F041D">
        <w:rPr>
          <w:sz w:val="19"/>
          <w:szCs w:val="20"/>
          <w:lang w:val="ru-RU"/>
        </w:rPr>
        <w:t>(</w:t>
      </w:r>
      <w:r w:rsidRPr="00B172FE">
        <w:rPr>
          <w:sz w:val="19"/>
          <w:szCs w:val="20"/>
        </w:rPr>
        <w:t>IFRS</w:t>
      </w:r>
      <w:r w:rsidRPr="000F041D">
        <w:rPr>
          <w:sz w:val="19"/>
          <w:szCs w:val="20"/>
          <w:lang w:val="ru-RU"/>
        </w:rPr>
        <w:t>)</w:t>
      </w:r>
      <w:r w:rsidRPr="00B172FE">
        <w:rPr>
          <w:sz w:val="19"/>
          <w:szCs w:val="20"/>
        </w:rPr>
        <w:t> </w:t>
      </w:r>
      <w:r w:rsidRPr="000F041D">
        <w:rPr>
          <w:sz w:val="19"/>
          <w:szCs w:val="20"/>
          <w:lang w:val="ru-RU"/>
        </w:rPr>
        <w:t>17 (оценка которых включает текущую информацию), и финансовые активы, которые организация считает связанными с такими обязательствами и которые, в противном случае, оценивались бы либо по справедливой стоимости через прочий совокупный доход, либо по амортизированной стоимости.</w:t>
      </w:r>
    </w:p>
    <w:p w:rsidR="007D4BCC" w:rsidRPr="0049187C" w:rsidRDefault="007D4BCC" w:rsidP="004D2F3F">
      <w:pPr>
        <w:pStyle w:val="IASBNormalnparaL1"/>
        <w:numPr>
          <w:ilvl w:val="0"/>
          <w:numId w:val="37"/>
        </w:numPr>
        <w:rPr>
          <w:lang w:val="ru-RU"/>
        </w:rPr>
      </w:pPr>
      <w:r w:rsidRPr="0049187C">
        <w:rPr>
          <w:lang w:val="ru-RU"/>
        </w:rPr>
        <w:t>у организации имеются обязательства по договорам страхования, оценка которых включает текущую информацию (что допустимо в соответствии с пунктом 24 МСФО (IFRS) 4), и финансовые активы, которые организация считает связанными с такими обязательствами и которые, в противном случае, оценивались бы либо по справедливой стоимости через прочий совокупный доход, либо по амортизированной стоимости.</w:t>
      </w:r>
      <w:bookmarkEnd w:id="215"/>
    </w:p>
    <w:p w:rsidR="007D4BCC" w:rsidRPr="0049187C" w:rsidRDefault="007D4BCC" w:rsidP="004D2F3F">
      <w:pPr>
        <w:pStyle w:val="IASBNormalnparaL1"/>
        <w:numPr>
          <w:ilvl w:val="0"/>
          <w:numId w:val="37"/>
        </w:numPr>
        <w:rPr>
          <w:lang w:val="ru-RU"/>
        </w:rPr>
      </w:pPr>
      <w:bookmarkStart w:id="216" w:name="F27188037"/>
      <w:r w:rsidRPr="0049187C">
        <w:rPr>
          <w:lang w:val="ru-RU"/>
        </w:rPr>
        <w:t>у организации имеются финансовые активы, финансовые обязательства или одновременно и финансовые активы, и финансовые обязательства, подверженные общему риску, напр</w:t>
      </w:r>
      <w:r w:rsidR="00AE2C86">
        <w:rPr>
          <w:lang w:val="ru-RU"/>
        </w:rPr>
        <w:t>имер, процентному риску, и это</w:t>
      </w:r>
      <w:r w:rsidRPr="0049187C">
        <w:rPr>
          <w:lang w:val="ru-RU"/>
        </w:rPr>
        <w:t xml:space="preserve"> вызыв</w:t>
      </w:r>
      <w:r w:rsidR="003C5E8C">
        <w:rPr>
          <w:lang w:val="ru-RU"/>
        </w:rPr>
        <w:t xml:space="preserve">ает противоположные изменения </w:t>
      </w:r>
      <w:r w:rsidRPr="0049187C">
        <w:rPr>
          <w:lang w:val="ru-RU"/>
        </w:rPr>
        <w:t>их справедливой стоимости, имеющие тенденцию к взаимной компенсации. Однако только часть инструментов оценивалась бы по справедливой стоимости через прибыль или убыток (например, только производные инструменты или инструменты, классифицируемые как предназначенные для торговли). Также может сложиться ситуация, когда требования для</w:t>
      </w:r>
      <w:r w:rsidR="000A0F2B">
        <w:rPr>
          <w:lang w:val="ru-RU"/>
        </w:rPr>
        <w:t xml:space="preserve"> применения</w:t>
      </w:r>
      <w:r w:rsidRPr="0049187C">
        <w:rPr>
          <w:lang w:val="ru-RU"/>
        </w:rPr>
        <w:t xml:space="preserve"> учета хеджирования не выполняются, например, в связи с невыполнением требований в отношении эффективности хеджирования, установленных в пункте 6.4.1.</w:t>
      </w:r>
      <w:bookmarkEnd w:id="216"/>
    </w:p>
    <w:p w:rsidR="007D4BCC" w:rsidRPr="0049187C" w:rsidRDefault="007D4BCC" w:rsidP="004D2F3F">
      <w:pPr>
        <w:pStyle w:val="IASBNormalnparaL1"/>
        <w:numPr>
          <w:ilvl w:val="0"/>
          <w:numId w:val="37"/>
        </w:numPr>
        <w:rPr>
          <w:lang w:val="ru-RU"/>
        </w:rPr>
      </w:pPr>
      <w:bookmarkStart w:id="217" w:name="F27188039"/>
      <w:r w:rsidRPr="0049187C">
        <w:rPr>
          <w:lang w:val="ru-RU"/>
        </w:rPr>
        <w:t>у организации имеются финансовые активы, финансовые обязательства или одновременно и финансовые активы, и финансовые обязательства, подверженные общему риску, например, процентному риску, который вызыв</w:t>
      </w:r>
      <w:r w:rsidR="003C5E8C">
        <w:rPr>
          <w:lang w:val="ru-RU"/>
        </w:rPr>
        <w:t xml:space="preserve">ает противоположные изменения </w:t>
      </w:r>
      <w:r w:rsidRPr="0049187C">
        <w:rPr>
          <w:lang w:val="ru-RU"/>
        </w:rPr>
        <w:t xml:space="preserve">их справедливой стоимости, имеющие тенденцию к взаимной компенсации, и при этом критерии для </w:t>
      </w:r>
      <w:r w:rsidR="00207E17">
        <w:rPr>
          <w:lang w:val="ru-RU"/>
        </w:rPr>
        <w:t>определения по усмотрению организации</w:t>
      </w:r>
      <w:r w:rsidRPr="0049187C">
        <w:rPr>
          <w:lang w:val="ru-RU"/>
        </w:rPr>
        <w:t xml:space="preserve"> данных финансовых активов или финансовых обязательств в качестве инструмента хеджирования не выполняются, поскольку они не оцениваются по справедливой стоимости через прибыль или убыток. Кроме того, в отсутствие учета хеджирования имеет место значительное несоответствие при признании прибылей и убытков. Например, организация профинансировала определенную группу займов путем выпуска обращающихся на рынке </w:t>
      </w:r>
      <w:r w:rsidR="003C5E8C">
        <w:rPr>
          <w:lang w:val="ru-RU"/>
        </w:rPr>
        <w:t xml:space="preserve">облигаций, при этом изменения </w:t>
      </w:r>
      <w:r w:rsidRPr="0049187C">
        <w:rPr>
          <w:lang w:val="ru-RU"/>
        </w:rPr>
        <w:t>справедливой стоимости займов и облигаций имеют тенденцию к взаимной компенсации. Если в дополнение к этому организация регулярно покупает и продает облигации, но редко покупает и продает займы, если вообще это делает, учет и займов и облигаций по справедливой стоимости через прибыль или убыток устраняет несоответствие в сроках признания прибылей и убытков, которое в противном случае возникало бы в связи с оценкой и займов и облигаций по амортизированной стоимости и признанием прибыли или убытка в каждом случае обратной покупки облигации.</w:t>
      </w:r>
      <w:bookmarkEnd w:id="217"/>
    </w:p>
    <w:p w:rsidR="007D4BCC" w:rsidRPr="0049187C" w:rsidRDefault="007D4BCC" w:rsidP="007D4BCC">
      <w:pPr>
        <w:pStyle w:val="IASBNormalnpara"/>
        <w:rPr>
          <w:lang w:val="ru-RU"/>
        </w:rPr>
      </w:pPr>
      <w:r w:rsidRPr="0049187C">
        <w:rPr>
          <w:lang w:val="ru-RU"/>
        </w:rPr>
        <w:t>B4.1.31</w:t>
      </w:r>
      <w:r w:rsidRPr="0049187C">
        <w:rPr>
          <w:lang w:val="ru-RU"/>
        </w:rPr>
        <w:tab/>
        <w:t xml:space="preserve">В случаях, аналогичных описанному в предыдущем пункте, </w:t>
      </w:r>
      <w:r w:rsidR="00207E17">
        <w:rPr>
          <w:lang w:val="ru-RU"/>
        </w:rPr>
        <w:t>классификация по усмотрению организации</w:t>
      </w:r>
      <w:r w:rsidRPr="0049187C">
        <w:rPr>
          <w:lang w:val="ru-RU"/>
        </w:rPr>
        <w:t xml:space="preserve"> при первоначальном признании финансовых активов и финансовых обязательств, которые в противном случае оценивались бы иначе, как оцениваемых по справедливой стоимости через прибыль или убыток, может устранить или значительно сократить </w:t>
      </w:r>
      <w:r w:rsidR="00FD6780">
        <w:rPr>
          <w:lang w:val="ru-RU"/>
        </w:rPr>
        <w:t>непоследовательность подходов к оценке или признанию</w:t>
      </w:r>
      <w:r w:rsidRPr="0049187C">
        <w:rPr>
          <w:lang w:val="ru-RU"/>
        </w:rPr>
        <w:t xml:space="preserve"> и обеспечить представление более уместной информации. В практических целях организация не обязана одновременно осуществлять операции с активами и обязательствами, приводящим</w:t>
      </w:r>
      <w:r w:rsidR="00FA54EA">
        <w:rPr>
          <w:lang w:val="ru-RU"/>
        </w:rPr>
        <w:t>и к возникновению непоследовательности подходов к оценке или признанию</w:t>
      </w:r>
      <w:r w:rsidRPr="0049187C">
        <w:rPr>
          <w:lang w:val="ru-RU"/>
        </w:rPr>
        <w:t>. Д</w:t>
      </w:r>
      <w:r w:rsidR="00E1095F">
        <w:rPr>
          <w:lang w:val="ru-RU"/>
        </w:rPr>
        <w:t>опускается обоснованный временн</w:t>
      </w:r>
      <w:r w:rsidR="00E1095F" w:rsidRPr="00B44571">
        <w:rPr>
          <w:lang w:val="ru-RU"/>
        </w:rPr>
        <w:t>ó</w:t>
      </w:r>
      <w:r w:rsidRPr="0049187C">
        <w:rPr>
          <w:lang w:val="ru-RU"/>
        </w:rPr>
        <w:t xml:space="preserve">й разрыв при условии, что каждая операция при первоначальном признании </w:t>
      </w:r>
      <w:r w:rsidR="00207E17">
        <w:rPr>
          <w:lang w:val="ru-RU"/>
        </w:rPr>
        <w:t>классифицируется по усмотрению организации</w:t>
      </w:r>
      <w:r w:rsidRPr="0049187C">
        <w:rPr>
          <w:lang w:val="ru-RU"/>
        </w:rPr>
        <w:t xml:space="preserve"> как оцениваемая по справедливой стоимости через прибыль или убыток, и что в этот момент </w:t>
      </w:r>
      <w:r w:rsidR="00033DDE">
        <w:rPr>
          <w:lang w:val="ru-RU"/>
        </w:rPr>
        <w:t>ожидается, что оставшиеся операции будут осуществлены</w:t>
      </w:r>
      <w:r w:rsidRPr="0049187C">
        <w:rPr>
          <w:lang w:val="ru-RU"/>
        </w:rPr>
        <w:t>.</w:t>
      </w:r>
    </w:p>
    <w:p w:rsidR="007D4BCC" w:rsidRPr="0049187C" w:rsidRDefault="007D4BCC" w:rsidP="007D4BCC">
      <w:pPr>
        <w:pStyle w:val="IASBNormalnpara"/>
        <w:rPr>
          <w:lang w:val="ru-RU"/>
        </w:rPr>
      </w:pPr>
      <w:r w:rsidRPr="0049187C">
        <w:rPr>
          <w:lang w:val="ru-RU"/>
        </w:rPr>
        <w:t>B4.1.32</w:t>
      </w:r>
      <w:r w:rsidRPr="0049187C">
        <w:rPr>
          <w:lang w:val="ru-RU"/>
        </w:rPr>
        <w:tab/>
        <w:t xml:space="preserve">Если </w:t>
      </w:r>
      <w:r w:rsidR="00CD3637">
        <w:rPr>
          <w:lang w:val="ru-RU"/>
        </w:rPr>
        <w:t>классификация по усмотрению организации</w:t>
      </w:r>
      <w:r w:rsidRPr="0049187C">
        <w:rPr>
          <w:lang w:val="ru-RU"/>
        </w:rPr>
        <w:t xml:space="preserve"> лишь части финансовых активов и финансовых обязательств, приводящи</w:t>
      </w:r>
      <w:r w:rsidR="00DC18BA">
        <w:rPr>
          <w:lang w:val="ru-RU"/>
        </w:rPr>
        <w:t>х к возникновению непоследовательности</w:t>
      </w:r>
      <w:r w:rsidRPr="0049187C">
        <w:rPr>
          <w:lang w:val="ru-RU"/>
        </w:rPr>
        <w:t>, как оцениваемых по справедливой стоимости через прибыль или убыток, не обеспечивает устранение или значительное</w:t>
      </w:r>
      <w:r w:rsidR="00D27E77">
        <w:rPr>
          <w:lang w:val="ru-RU"/>
        </w:rPr>
        <w:t xml:space="preserve"> сокращение этой</w:t>
      </w:r>
      <w:r w:rsidR="00DC18BA">
        <w:rPr>
          <w:lang w:val="ru-RU"/>
        </w:rPr>
        <w:t xml:space="preserve"> непоследовательности</w:t>
      </w:r>
      <w:r w:rsidRPr="0049187C">
        <w:rPr>
          <w:lang w:val="ru-RU"/>
        </w:rPr>
        <w:t xml:space="preserve"> и, следовательно, предоставление более уместной информации</w:t>
      </w:r>
      <w:r w:rsidR="00CD3637">
        <w:rPr>
          <w:lang w:val="ru-RU"/>
        </w:rPr>
        <w:t>, то производить такую классификацию</w:t>
      </w:r>
      <w:r w:rsidRPr="0049187C">
        <w:rPr>
          <w:lang w:val="ru-RU"/>
        </w:rPr>
        <w:t xml:space="preserve"> не разрешается. Однако разрешается производить </w:t>
      </w:r>
      <w:r w:rsidR="00CD3637">
        <w:rPr>
          <w:lang w:val="ru-RU"/>
        </w:rPr>
        <w:t>классификацию по усмотрению организации</w:t>
      </w:r>
      <w:r w:rsidRPr="0049187C">
        <w:rPr>
          <w:lang w:val="ru-RU"/>
        </w:rPr>
        <w:t xml:space="preserve"> лишь части из определенного количества аналогичных финансовых активов или аналогичных финансовых обязательств, если это приводит к значительному сокращению (возможно, даже большему, чем в состоянии обеспечить все прочие разрешенные способы </w:t>
      </w:r>
      <w:r w:rsidR="00CD3637">
        <w:rPr>
          <w:lang w:val="ru-RU"/>
        </w:rPr>
        <w:t>классификации</w:t>
      </w:r>
      <w:r w:rsidRPr="0049187C">
        <w:rPr>
          <w:lang w:val="ru-RU"/>
        </w:rPr>
        <w:t xml:space="preserve">) </w:t>
      </w:r>
      <w:r w:rsidR="00DC18BA">
        <w:rPr>
          <w:lang w:val="ru-RU"/>
        </w:rPr>
        <w:t>непоследовательности</w:t>
      </w:r>
      <w:r w:rsidRPr="0049187C">
        <w:rPr>
          <w:lang w:val="ru-RU"/>
        </w:rPr>
        <w:t>. Допустим, например, что у организации есть определенное количество аналогичных финансовых обязательств, в сумме составляющих 100</w:t>
      </w:r>
      <w:r w:rsidR="00E32F0E" w:rsidRPr="0049187C">
        <w:rPr>
          <w:lang w:val="ru-RU"/>
        </w:rPr>
        <w:t xml:space="preserve"> д.</w:t>
      </w:r>
      <w:r w:rsidR="00942A77" w:rsidRPr="0049187C">
        <w:rPr>
          <w:lang w:val="ru-RU"/>
        </w:rPr>
        <w:t> </w:t>
      </w:r>
      <w:r w:rsidR="00E32F0E" w:rsidRPr="0049187C">
        <w:rPr>
          <w:lang w:val="ru-RU"/>
        </w:rPr>
        <w:t>е.</w:t>
      </w:r>
      <w:r w:rsidRPr="0049187C">
        <w:rPr>
          <w:lang w:val="ru-RU"/>
        </w:rPr>
        <w:t>, и определенное количество аналогичных финансовых активов, в сумме составляющих 50</w:t>
      </w:r>
      <w:r w:rsidR="00E32F0E" w:rsidRPr="0049187C">
        <w:rPr>
          <w:lang w:val="ru-RU"/>
        </w:rPr>
        <w:t xml:space="preserve"> д. е.</w:t>
      </w:r>
      <w:r w:rsidRPr="0049187C">
        <w:rPr>
          <w:lang w:val="ru-RU"/>
        </w:rPr>
        <w:t>, но оцениваемых с использованием другой базы. Организация может знач</w:t>
      </w:r>
      <w:r w:rsidR="00FD6780">
        <w:rPr>
          <w:lang w:val="ru-RU"/>
        </w:rPr>
        <w:t>ительно сократить непоследовательность подходов к оценке</w:t>
      </w:r>
      <w:r w:rsidRPr="0049187C">
        <w:rPr>
          <w:lang w:val="ru-RU"/>
        </w:rPr>
        <w:t xml:space="preserve">, если при первоначальном признании </w:t>
      </w:r>
      <w:r w:rsidR="00057361">
        <w:rPr>
          <w:lang w:val="ru-RU"/>
        </w:rPr>
        <w:t xml:space="preserve">по собственному усмотрению </w:t>
      </w:r>
      <w:r w:rsidR="00CD3637">
        <w:rPr>
          <w:lang w:val="ru-RU"/>
        </w:rPr>
        <w:t xml:space="preserve">классифицирует </w:t>
      </w:r>
      <w:r w:rsidRPr="0049187C">
        <w:rPr>
          <w:lang w:val="ru-RU"/>
        </w:rPr>
        <w:t>как оцениваемые по справедливой стоимости через прибыль или убыток все активы, но лишь часть обязательств (например, отдельные обязательства, в сумме составляющие 45</w:t>
      </w:r>
      <w:r w:rsidR="00E32F0E" w:rsidRPr="0049187C">
        <w:rPr>
          <w:lang w:val="ru-RU"/>
        </w:rPr>
        <w:t xml:space="preserve"> д. е.</w:t>
      </w:r>
      <w:r w:rsidRPr="0049187C">
        <w:rPr>
          <w:lang w:val="ru-RU"/>
        </w:rPr>
        <w:t xml:space="preserve">). Однако, поскольку только весь финансовый инструмент может быть </w:t>
      </w:r>
      <w:r w:rsidR="00CD3637">
        <w:rPr>
          <w:lang w:val="ru-RU"/>
        </w:rPr>
        <w:t>классифицирован по усмотрению организации</w:t>
      </w:r>
      <w:r w:rsidRPr="0049187C">
        <w:rPr>
          <w:lang w:val="ru-RU"/>
        </w:rPr>
        <w:t xml:space="preserve"> как оцениваемый по справедливой стоимости через прибыль или убыток, в представленном выше примере организация обязана </w:t>
      </w:r>
      <w:r w:rsidR="00CD3637">
        <w:rPr>
          <w:lang w:val="ru-RU"/>
        </w:rPr>
        <w:t>классифицировать</w:t>
      </w:r>
      <w:r w:rsidRPr="0049187C">
        <w:rPr>
          <w:lang w:val="ru-RU"/>
        </w:rPr>
        <w:t xml:space="preserve"> </w:t>
      </w:r>
      <w:r w:rsidR="00DC18BA">
        <w:rPr>
          <w:lang w:val="ru-RU"/>
        </w:rPr>
        <w:t>указанным образом одно или несколько</w:t>
      </w:r>
      <w:r w:rsidRPr="0049187C">
        <w:rPr>
          <w:lang w:val="ru-RU"/>
        </w:rPr>
        <w:t xml:space="preserve"> обязательств</w:t>
      </w:r>
      <w:r w:rsidR="004F0DA5" w:rsidRPr="0049187C">
        <w:rPr>
          <w:lang w:val="ru-RU"/>
        </w:rPr>
        <w:t xml:space="preserve"> </w:t>
      </w:r>
      <w:r w:rsidR="004539CD">
        <w:rPr>
          <w:lang w:val="ru-RU"/>
        </w:rPr>
        <w:t>целиком</w:t>
      </w:r>
      <w:r w:rsidRPr="0049187C">
        <w:rPr>
          <w:lang w:val="ru-RU"/>
        </w:rPr>
        <w:t xml:space="preserve">. Она не может </w:t>
      </w:r>
      <w:r w:rsidR="00057361">
        <w:rPr>
          <w:lang w:val="ru-RU"/>
        </w:rPr>
        <w:t xml:space="preserve">по собственному усмотрению </w:t>
      </w:r>
      <w:r w:rsidR="00CD3637">
        <w:rPr>
          <w:lang w:val="ru-RU"/>
        </w:rPr>
        <w:t xml:space="preserve">классифицировать </w:t>
      </w:r>
      <w:r w:rsidRPr="0049187C">
        <w:rPr>
          <w:lang w:val="ru-RU"/>
        </w:rPr>
        <w:t>компонент обяза</w:t>
      </w:r>
      <w:r w:rsidR="003C5E8C">
        <w:rPr>
          <w:lang w:val="ru-RU"/>
        </w:rPr>
        <w:t xml:space="preserve">тельства (например, изменения </w:t>
      </w:r>
      <w:r w:rsidRPr="0049187C">
        <w:rPr>
          <w:lang w:val="ru-RU"/>
        </w:rPr>
        <w:t>стоимости, относящиеся только к одному ви</w:t>
      </w:r>
      <w:r w:rsidR="003C5E8C">
        <w:rPr>
          <w:lang w:val="ru-RU"/>
        </w:rPr>
        <w:t>ду риска, такие как изменения базовой процентной ставки</w:t>
      </w:r>
      <w:r w:rsidRPr="0049187C">
        <w:rPr>
          <w:lang w:val="ru-RU"/>
        </w:rPr>
        <w:t xml:space="preserve">) или какую-либо </w:t>
      </w:r>
      <w:r w:rsidR="004539CD">
        <w:rPr>
          <w:lang w:val="ru-RU"/>
        </w:rPr>
        <w:t>часть</w:t>
      </w:r>
      <w:r w:rsidR="004539CD" w:rsidRPr="0049187C">
        <w:rPr>
          <w:lang w:val="ru-RU"/>
        </w:rPr>
        <w:t xml:space="preserve"> </w:t>
      </w:r>
      <w:r w:rsidRPr="0049187C">
        <w:rPr>
          <w:lang w:val="ru-RU"/>
        </w:rPr>
        <w:t>(т.</w:t>
      </w:r>
      <w:r w:rsidR="00E32F0E" w:rsidRPr="0049187C">
        <w:rPr>
          <w:lang w:val="ru-RU"/>
        </w:rPr>
        <w:t xml:space="preserve"> </w:t>
      </w:r>
      <w:r w:rsidR="00AE2C86">
        <w:rPr>
          <w:lang w:val="ru-RU"/>
        </w:rPr>
        <w:t>е. пропорциональную</w:t>
      </w:r>
      <w:r w:rsidR="004539CD">
        <w:rPr>
          <w:lang w:val="ru-RU"/>
        </w:rPr>
        <w:t xml:space="preserve"> долю</w:t>
      </w:r>
      <w:r w:rsidRPr="0049187C">
        <w:rPr>
          <w:lang w:val="ru-RU"/>
        </w:rPr>
        <w:t>) обязательства.</w:t>
      </w:r>
    </w:p>
    <w:p w:rsidR="007D4BCC" w:rsidRPr="0049187C" w:rsidRDefault="007D4BCC" w:rsidP="007D4BCC">
      <w:pPr>
        <w:pStyle w:val="IASBSectionTitle3Ind"/>
        <w:rPr>
          <w:lang w:val="ru-RU"/>
        </w:rPr>
      </w:pPr>
      <w:r w:rsidRPr="0049187C">
        <w:rPr>
          <w:lang w:val="ru-RU"/>
        </w:rPr>
        <w:t>Организация осуществляет управление группой финансовых обязательств или финансовых активов и финансовых обязательств и оценивает финансовые результаты такой группы на основе справедливой стоимости</w:t>
      </w:r>
    </w:p>
    <w:p w:rsidR="007D4BCC" w:rsidRPr="0049187C" w:rsidRDefault="007D4BCC" w:rsidP="007D4BCC">
      <w:pPr>
        <w:pStyle w:val="IASBNormalnpara"/>
        <w:rPr>
          <w:lang w:val="ru-RU"/>
        </w:rPr>
      </w:pPr>
      <w:r w:rsidRPr="0049187C">
        <w:rPr>
          <w:lang w:val="ru-RU"/>
        </w:rPr>
        <w:t>B4.1.33</w:t>
      </w:r>
      <w:r w:rsidRPr="0049187C">
        <w:rPr>
          <w:lang w:val="ru-RU"/>
        </w:rPr>
        <w:tab/>
        <w:t>Организация может управлять</w:t>
      </w:r>
      <w:r w:rsidR="009F4609">
        <w:rPr>
          <w:lang w:val="ru-RU"/>
        </w:rPr>
        <w:t xml:space="preserve"> и оценивать группу</w:t>
      </w:r>
      <w:r w:rsidRPr="0049187C">
        <w:rPr>
          <w:lang w:val="ru-RU"/>
        </w:rPr>
        <w:t xml:space="preserve"> финансовых обязательств или</w:t>
      </w:r>
      <w:r w:rsidR="009F4609">
        <w:rPr>
          <w:lang w:val="ru-RU"/>
        </w:rPr>
        <w:t xml:space="preserve"> совместно</w:t>
      </w:r>
      <w:r w:rsidRPr="0049187C">
        <w:rPr>
          <w:lang w:val="ru-RU"/>
        </w:rPr>
        <w:t xml:space="preserve"> финансовых активов и финансовых обязательств</w:t>
      </w:r>
      <w:r w:rsidR="009F4609">
        <w:rPr>
          <w:lang w:val="ru-RU"/>
        </w:rPr>
        <w:t xml:space="preserve"> таким образом, чтобы оценка</w:t>
      </w:r>
      <w:r w:rsidRPr="0049187C">
        <w:rPr>
          <w:lang w:val="ru-RU"/>
        </w:rPr>
        <w:t xml:space="preserve"> такой группы по справедливой стоимости че</w:t>
      </w:r>
      <w:r w:rsidR="009F4609">
        <w:rPr>
          <w:lang w:val="ru-RU"/>
        </w:rPr>
        <w:t>рез прибыль или убыток обеспечила</w:t>
      </w:r>
      <w:r w:rsidRPr="0049187C">
        <w:rPr>
          <w:lang w:val="ru-RU"/>
        </w:rPr>
        <w:t xml:space="preserve"> представление более уместной информации. В данном случае акцент делается на том, каким образом организация осуществляет управление и оценку результатов, нежели на характере ее финансовых инструментов.</w:t>
      </w:r>
    </w:p>
    <w:p w:rsidR="007D4BCC" w:rsidRPr="0049187C" w:rsidRDefault="007D4BCC" w:rsidP="007D4BCC">
      <w:pPr>
        <w:pStyle w:val="IASBNormalnpara"/>
        <w:rPr>
          <w:lang w:val="ru-RU"/>
        </w:rPr>
      </w:pPr>
      <w:r w:rsidRPr="0049187C">
        <w:rPr>
          <w:lang w:val="ru-RU"/>
        </w:rPr>
        <w:t>B4.1.34</w:t>
      </w:r>
      <w:r w:rsidRPr="0049187C">
        <w:rPr>
          <w:lang w:val="ru-RU"/>
        </w:rPr>
        <w:tab/>
        <w:t xml:space="preserve">Например, организация может использовать данное условие для </w:t>
      </w:r>
      <w:r w:rsidR="00CD3637">
        <w:rPr>
          <w:lang w:val="ru-RU"/>
        </w:rPr>
        <w:t xml:space="preserve">классификации по </w:t>
      </w:r>
      <w:r w:rsidR="00057361">
        <w:rPr>
          <w:lang w:val="ru-RU"/>
        </w:rPr>
        <w:t>собственному усмотрению</w:t>
      </w:r>
      <w:r w:rsidRPr="0049187C">
        <w:rPr>
          <w:lang w:val="ru-RU"/>
        </w:rPr>
        <w:t xml:space="preserve"> финансовых обязательств как оцениваемых по справедливой стоимости через прибыль или убыток, если она соблюдает принцип, установленный пунктом 4.2.2(b), и у организации </w:t>
      </w:r>
      <w:r w:rsidR="007F3284">
        <w:rPr>
          <w:lang w:val="ru-RU"/>
        </w:rPr>
        <w:t>имеются</w:t>
      </w:r>
      <w:r w:rsidR="007F3284" w:rsidRPr="0049187C">
        <w:rPr>
          <w:lang w:val="ru-RU"/>
        </w:rPr>
        <w:t xml:space="preserve"> </w:t>
      </w:r>
      <w:r w:rsidRPr="0049187C">
        <w:rPr>
          <w:lang w:val="ru-RU"/>
        </w:rPr>
        <w:t>финансовые активы и финансовые обязательств</w:t>
      </w:r>
      <w:r w:rsidR="009F4609">
        <w:rPr>
          <w:lang w:val="ru-RU"/>
        </w:rPr>
        <w:t>а, подверженные одному или нескольким</w:t>
      </w:r>
      <w:r w:rsidRPr="0049187C">
        <w:rPr>
          <w:lang w:val="ru-RU"/>
        </w:rPr>
        <w:t xml:space="preserve"> общим рискам, а управление этими рисками и их оценка производятся на основе справедливой стоимости в соответствии с </w:t>
      </w:r>
      <w:r w:rsidR="0066336F">
        <w:rPr>
          <w:lang w:val="ru-RU"/>
        </w:rPr>
        <w:t>документально оформленной</w:t>
      </w:r>
      <w:r w:rsidRPr="0049187C">
        <w:rPr>
          <w:lang w:val="ru-RU"/>
        </w:rPr>
        <w:t xml:space="preserve"> политикой управления активами и обязательствами. В качестве примера можно рассмотреть организацию, которая выпустила </w:t>
      </w:r>
      <w:r w:rsidR="004F0DA5" w:rsidRPr="0049187C">
        <w:rPr>
          <w:lang w:val="ru-RU"/>
        </w:rPr>
        <w:t>«</w:t>
      </w:r>
      <w:r w:rsidRPr="0049187C">
        <w:rPr>
          <w:lang w:val="ru-RU"/>
        </w:rPr>
        <w:t>структурированные продукты</w:t>
      </w:r>
      <w:r w:rsidR="004F0DA5" w:rsidRPr="0049187C">
        <w:rPr>
          <w:lang w:val="ru-RU"/>
        </w:rPr>
        <w:t>»</w:t>
      </w:r>
      <w:r w:rsidRPr="0049187C">
        <w:rPr>
          <w:lang w:val="ru-RU"/>
        </w:rPr>
        <w:t>, содержащие множественные встроенные производные инструменты, и управляет связанными с ними рисками на основе справедливой стоимости с использованием комбинации производных и непроизводных финансовых инструментов.</w:t>
      </w:r>
    </w:p>
    <w:p w:rsidR="007D4BCC" w:rsidRPr="0049187C" w:rsidRDefault="007D4BCC" w:rsidP="007D4BCC">
      <w:pPr>
        <w:pStyle w:val="IASBNormalnpara"/>
        <w:rPr>
          <w:lang w:val="ru-RU"/>
        </w:rPr>
      </w:pPr>
      <w:r w:rsidRPr="0049187C">
        <w:rPr>
          <w:lang w:val="ru-RU"/>
        </w:rPr>
        <w:t>B4.1.35</w:t>
      </w:r>
      <w:r w:rsidRPr="0049187C">
        <w:rPr>
          <w:lang w:val="ru-RU"/>
        </w:rPr>
        <w:tab/>
        <w:t xml:space="preserve">Как указывалось выше, выполнение этого условия зависит от того, каким образом организация управляет рассматриваемой группой финансовых инструментов и оценивает связанные с ней результаты. Соответственно (с учетом требования к </w:t>
      </w:r>
      <w:r w:rsidR="00CD3637">
        <w:rPr>
          <w:lang w:val="ru-RU"/>
        </w:rPr>
        <w:t>классификации по усмотрению организации</w:t>
      </w:r>
      <w:r w:rsidRPr="0049187C">
        <w:rPr>
          <w:lang w:val="ru-RU"/>
        </w:rPr>
        <w:t xml:space="preserve"> при первоначальном признании),</w:t>
      </w:r>
      <w:r w:rsidR="00CD3637">
        <w:rPr>
          <w:lang w:val="ru-RU"/>
        </w:rPr>
        <w:t xml:space="preserve"> организация, которая </w:t>
      </w:r>
      <w:r w:rsidR="00057361">
        <w:rPr>
          <w:lang w:val="ru-RU"/>
        </w:rPr>
        <w:t xml:space="preserve">по собственному усмотрению </w:t>
      </w:r>
      <w:r w:rsidR="00CD3637">
        <w:rPr>
          <w:lang w:val="ru-RU"/>
        </w:rPr>
        <w:t>классифицирует</w:t>
      </w:r>
      <w:r w:rsidRPr="0049187C">
        <w:rPr>
          <w:lang w:val="ru-RU"/>
        </w:rPr>
        <w:t xml:space="preserve"> финансовые обязательства</w:t>
      </w:r>
      <w:r w:rsidR="00CD3637">
        <w:rPr>
          <w:lang w:val="ru-RU"/>
        </w:rPr>
        <w:t xml:space="preserve"> </w:t>
      </w:r>
      <w:r w:rsidRPr="0049187C">
        <w:rPr>
          <w:lang w:val="ru-RU"/>
        </w:rPr>
        <w:t xml:space="preserve">как оцениваемые по справедливой стоимости через прибыль или убыток, на основе этого условия, должна аналогичным образом </w:t>
      </w:r>
      <w:r w:rsidR="00CD3637">
        <w:rPr>
          <w:lang w:val="ru-RU"/>
        </w:rPr>
        <w:t>классифицировать</w:t>
      </w:r>
      <w:r w:rsidRPr="0049187C">
        <w:rPr>
          <w:lang w:val="ru-RU"/>
        </w:rPr>
        <w:t xml:space="preserve"> все удовлетворяющие установленным критериям финансовые обязательства, управление которыми, равно как и оценка, осуществляется </w:t>
      </w:r>
      <w:r w:rsidR="007F3284">
        <w:rPr>
          <w:lang w:val="ru-RU"/>
        </w:rPr>
        <w:t>совместно</w:t>
      </w:r>
      <w:r w:rsidRPr="0049187C">
        <w:rPr>
          <w:lang w:val="ru-RU"/>
        </w:rPr>
        <w:t>.</w:t>
      </w:r>
    </w:p>
    <w:p w:rsidR="007D4BCC" w:rsidRPr="0049187C" w:rsidRDefault="007D4BCC" w:rsidP="007D4BCC">
      <w:pPr>
        <w:pStyle w:val="IASBNormalnpara"/>
        <w:rPr>
          <w:lang w:val="ru-RU"/>
        </w:rPr>
      </w:pPr>
      <w:r w:rsidRPr="0049187C">
        <w:rPr>
          <w:lang w:val="ru-RU"/>
        </w:rPr>
        <w:t>B4.1.36</w:t>
      </w:r>
      <w:r w:rsidRPr="0049187C">
        <w:rPr>
          <w:lang w:val="ru-RU"/>
        </w:rPr>
        <w:tab/>
        <w:t>Документ</w:t>
      </w:r>
      <w:r w:rsidR="007F3284">
        <w:rPr>
          <w:lang w:val="ru-RU"/>
        </w:rPr>
        <w:t>ация</w:t>
      </w:r>
      <w:r w:rsidRPr="0049187C">
        <w:rPr>
          <w:lang w:val="ru-RU"/>
        </w:rPr>
        <w:t>, регламентирующ</w:t>
      </w:r>
      <w:r w:rsidR="007F3284">
        <w:rPr>
          <w:lang w:val="ru-RU"/>
        </w:rPr>
        <w:t>ая</w:t>
      </w:r>
      <w:r w:rsidRPr="0049187C">
        <w:rPr>
          <w:lang w:val="ru-RU"/>
        </w:rPr>
        <w:t xml:space="preserve"> стратегию организации, не обязательно </w:t>
      </w:r>
      <w:r w:rsidR="007F3284" w:rsidRPr="0049187C">
        <w:rPr>
          <w:lang w:val="ru-RU"/>
        </w:rPr>
        <w:t>долж</w:t>
      </w:r>
      <w:r w:rsidR="007F3284">
        <w:rPr>
          <w:lang w:val="ru-RU"/>
        </w:rPr>
        <w:t>на</w:t>
      </w:r>
      <w:r w:rsidR="007F3284" w:rsidRPr="0049187C">
        <w:rPr>
          <w:lang w:val="ru-RU"/>
        </w:rPr>
        <w:t xml:space="preserve"> </w:t>
      </w:r>
      <w:r w:rsidRPr="0049187C">
        <w:rPr>
          <w:lang w:val="ru-RU"/>
        </w:rPr>
        <w:t xml:space="preserve">быть </w:t>
      </w:r>
      <w:r w:rsidR="007F3284" w:rsidRPr="0049187C">
        <w:rPr>
          <w:lang w:val="ru-RU"/>
        </w:rPr>
        <w:t>объемн</w:t>
      </w:r>
      <w:r w:rsidR="007F3284">
        <w:rPr>
          <w:lang w:val="ru-RU"/>
        </w:rPr>
        <w:t>ой</w:t>
      </w:r>
      <w:r w:rsidRPr="0049187C">
        <w:rPr>
          <w:lang w:val="ru-RU"/>
        </w:rPr>
        <w:t>, однако он</w:t>
      </w:r>
      <w:r w:rsidR="007F3284">
        <w:rPr>
          <w:lang w:val="ru-RU"/>
        </w:rPr>
        <w:t>а</w:t>
      </w:r>
      <w:r w:rsidRPr="0049187C">
        <w:rPr>
          <w:lang w:val="ru-RU"/>
        </w:rPr>
        <w:t xml:space="preserve"> долж</w:t>
      </w:r>
      <w:r w:rsidR="007F3284">
        <w:rPr>
          <w:lang w:val="ru-RU"/>
        </w:rPr>
        <w:t>на</w:t>
      </w:r>
      <w:r w:rsidRPr="0049187C">
        <w:rPr>
          <w:lang w:val="ru-RU"/>
        </w:rPr>
        <w:t xml:space="preserve"> быть достаточн</w:t>
      </w:r>
      <w:r w:rsidR="007F3284">
        <w:rPr>
          <w:lang w:val="ru-RU"/>
        </w:rPr>
        <w:t>ой</w:t>
      </w:r>
      <w:r w:rsidRPr="0049187C">
        <w:rPr>
          <w:lang w:val="ru-RU"/>
        </w:rPr>
        <w:t xml:space="preserve"> для того, чтобы продемонстрировать соблюдение пункта 4.2.2(b). </w:t>
      </w:r>
      <w:r w:rsidR="00793CBD">
        <w:rPr>
          <w:lang w:val="ru-RU"/>
        </w:rPr>
        <w:t>Составление данной документации для каждой отдельной статьи не требуется</w:t>
      </w:r>
      <w:r w:rsidRPr="0049187C">
        <w:rPr>
          <w:lang w:val="ru-RU"/>
        </w:rPr>
        <w:t>,</w:t>
      </w:r>
      <w:r w:rsidR="00A16E6E">
        <w:rPr>
          <w:lang w:val="ru-RU"/>
        </w:rPr>
        <w:t xml:space="preserve"> </w:t>
      </w:r>
      <w:r w:rsidR="00793CBD">
        <w:rPr>
          <w:lang w:val="ru-RU"/>
        </w:rPr>
        <w:t xml:space="preserve">она </w:t>
      </w:r>
      <w:r w:rsidRPr="0049187C">
        <w:rPr>
          <w:lang w:val="ru-RU"/>
        </w:rPr>
        <w:t xml:space="preserve">может относиться ко всему портфелю в целом. Например, если система управления результатами деятельности подразделения, утвержденная ключевым управленческим персоналом организации, явно свидетельствует о том, что результаты его деятельности оцениваются на </w:t>
      </w:r>
      <w:r w:rsidR="00FF06D9" w:rsidRPr="0049187C">
        <w:rPr>
          <w:lang w:val="ru-RU"/>
        </w:rPr>
        <w:t xml:space="preserve">такой </w:t>
      </w:r>
      <w:r w:rsidRPr="0049187C">
        <w:rPr>
          <w:lang w:val="ru-RU"/>
        </w:rPr>
        <w:t>основе, дополнительной документации, демонстрирующей соблюдение пункта 4.2.2(b), не требуется.</w:t>
      </w:r>
    </w:p>
    <w:p w:rsidR="007D4BCC" w:rsidRPr="0049187C" w:rsidRDefault="007D4BCC" w:rsidP="007D4BCC">
      <w:pPr>
        <w:pStyle w:val="IASBSectionTitle2Ind"/>
        <w:rPr>
          <w:lang w:val="ru-RU"/>
        </w:rPr>
      </w:pPr>
      <w:r w:rsidRPr="0049187C">
        <w:rPr>
          <w:lang w:val="ru-RU"/>
        </w:rPr>
        <w:t>Встро</w:t>
      </w:r>
      <w:r w:rsidR="00C25F1D">
        <w:rPr>
          <w:lang w:val="ru-RU"/>
        </w:rPr>
        <w:t>енные производные инструменты (Р</w:t>
      </w:r>
      <w:r w:rsidRPr="0049187C">
        <w:rPr>
          <w:lang w:val="ru-RU"/>
        </w:rPr>
        <w:t>аздел 4.3)</w:t>
      </w:r>
    </w:p>
    <w:p w:rsidR="007D4BCC" w:rsidRPr="0049187C" w:rsidRDefault="007D4BCC" w:rsidP="007D4BCC">
      <w:pPr>
        <w:pStyle w:val="IASBNormalnpara"/>
        <w:rPr>
          <w:lang w:val="ru-RU"/>
        </w:rPr>
      </w:pPr>
      <w:r w:rsidRPr="0049187C">
        <w:rPr>
          <w:lang w:val="ru-RU"/>
        </w:rPr>
        <w:t>B4.3.1</w:t>
      </w:r>
      <w:r w:rsidRPr="0049187C">
        <w:rPr>
          <w:lang w:val="ru-RU"/>
        </w:rPr>
        <w:tab/>
      </w:r>
      <w:r w:rsidR="00FF06D9" w:rsidRPr="0049187C">
        <w:rPr>
          <w:lang w:val="ru-RU"/>
        </w:rPr>
        <w:t>Когда</w:t>
      </w:r>
      <w:r w:rsidRPr="0049187C">
        <w:rPr>
          <w:lang w:val="ru-RU"/>
        </w:rPr>
        <w:t xml:space="preserve"> организация становится стороной гибридного договора с основным договором, который не является активом, </w:t>
      </w:r>
      <w:r w:rsidR="00FF06D9" w:rsidRPr="0049187C">
        <w:rPr>
          <w:lang w:val="ru-RU"/>
        </w:rPr>
        <w:t>относящимся к</w:t>
      </w:r>
      <w:r w:rsidRPr="0049187C">
        <w:rPr>
          <w:lang w:val="ru-RU"/>
        </w:rPr>
        <w:t xml:space="preserve"> сфер</w:t>
      </w:r>
      <w:r w:rsidR="00FF06D9" w:rsidRPr="0049187C">
        <w:rPr>
          <w:lang w:val="ru-RU"/>
        </w:rPr>
        <w:t>е</w:t>
      </w:r>
      <w:r w:rsidRPr="0049187C">
        <w:rPr>
          <w:lang w:val="ru-RU"/>
        </w:rPr>
        <w:t xml:space="preserve"> применения настоящего стандарта, пункт 4.3.3 требует, чтобы организация идентифицировала любой встроенный производный инструмент, оценила необходимость его отделения от основного договора, и оцени</w:t>
      </w:r>
      <w:r w:rsidR="002138AC" w:rsidRPr="0049187C">
        <w:rPr>
          <w:lang w:val="ru-RU"/>
        </w:rPr>
        <w:t>ва</w:t>
      </w:r>
      <w:r w:rsidRPr="0049187C">
        <w:rPr>
          <w:lang w:val="ru-RU"/>
        </w:rPr>
        <w:t>ла производные инструменты</w:t>
      </w:r>
      <w:r w:rsidR="00793CBD">
        <w:rPr>
          <w:lang w:val="ru-RU"/>
        </w:rPr>
        <w:t>, которые должны быть отделены,</w:t>
      </w:r>
      <w:r w:rsidRPr="0049187C">
        <w:rPr>
          <w:lang w:val="ru-RU"/>
        </w:rPr>
        <w:t xml:space="preserve"> по справедливой стоимости при первоначальном признании и впоследствии – по справедливой стоимости через прибыль или убыток.</w:t>
      </w:r>
    </w:p>
    <w:p w:rsidR="007D4BCC" w:rsidRPr="0049187C" w:rsidRDefault="007D4BCC" w:rsidP="007D4BCC">
      <w:pPr>
        <w:pStyle w:val="IASBNormalnpara"/>
        <w:rPr>
          <w:lang w:val="ru-RU"/>
        </w:rPr>
      </w:pPr>
      <w:r w:rsidRPr="0049187C">
        <w:rPr>
          <w:lang w:val="ru-RU"/>
        </w:rPr>
        <w:t>B4.3.2</w:t>
      </w:r>
      <w:r w:rsidRPr="0049187C">
        <w:rPr>
          <w:lang w:val="ru-RU"/>
        </w:rPr>
        <w:tab/>
        <w:t xml:space="preserve">Если основной договор не содержит установленного или заранее определенного срока погашения и представляет собой остаточную долю в чистых активах организации, он имеет экономические характеристики и риски долевого инструмента, при этом встроенный производный инструмент, чтобы рассматриваться </w:t>
      </w:r>
      <w:r w:rsidR="00906A6F">
        <w:rPr>
          <w:lang w:val="ru-RU"/>
        </w:rPr>
        <w:t>в качестве</w:t>
      </w:r>
      <w:r w:rsidR="00906A6F" w:rsidRPr="0049187C">
        <w:rPr>
          <w:lang w:val="ru-RU"/>
        </w:rPr>
        <w:t xml:space="preserve"> </w:t>
      </w:r>
      <w:r w:rsidRPr="00A876BE">
        <w:rPr>
          <w:lang w:val="ru-RU"/>
        </w:rPr>
        <w:t>имеющ</w:t>
      </w:r>
      <w:r w:rsidR="00906A6F" w:rsidRPr="00A876BE">
        <w:rPr>
          <w:lang w:val="ru-RU"/>
        </w:rPr>
        <w:t>его</w:t>
      </w:r>
      <w:r w:rsidRPr="00A876BE">
        <w:rPr>
          <w:lang w:val="ru-RU"/>
        </w:rPr>
        <w:t xml:space="preserve"> тесную связь с основным договором</w:t>
      </w:r>
      <w:r w:rsidRPr="0049187C">
        <w:rPr>
          <w:lang w:val="ru-RU"/>
        </w:rPr>
        <w:t>, должен обладать характеристиками долевого инструмента, относящимися к той же самой организации. Если основной договор не является долевым инструментом и соответствует определению финансового инструмента, он имеет экономические характеристики и риски долгового инструмента.</w:t>
      </w:r>
    </w:p>
    <w:p w:rsidR="007D4BCC" w:rsidRPr="0049187C" w:rsidRDefault="007D4BCC" w:rsidP="007D4BCC">
      <w:pPr>
        <w:pStyle w:val="IASBNormalnpara"/>
        <w:rPr>
          <w:lang w:val="ru-RU"/>
        </w:rPr>
      </w:pPr>
      <w:r w:rsidRPr="0049187C">
        <w:rPr>
          <w:lang w:val="ru-RU"/>
        </w:rPr>
        <w:t>B4.3.3</w:t>
      </w:r>
      <w:r w:rsidRPr="0049187C">
        <w:rPr>
          <w:lang w:val="ru-RU"/>
        </w:rPr>
        <w:tab/>
        <w:t xml:space="preserve">Встроенный неопционный производный инструмент (например, встроенный форвардный </w:t>
      </w:r>
      <w:r w:rsidR="00C13DD3">
        <w:rPr>
          <w:lang w:val="ru-RU"/>
        </w:rPr>
        <w:t>договор</w:t>
      </w:r>
      <w:r w:rsidRPr="0049187C">
        <w:rPr>
          <w:lang w:val="ru-RU"/>
        </w:rPr>
        <w:t xml:space="preserve"> или своп) отделяется от основного договора на основе его указанных или подразумеваемых основных условий с тем, чтобы он имел нулевую справедливую стоимость при первоначальном признании. Встроенный опционный производный инструмент (например, встроенный пут-опцион кол</w:t>
      </w:r>
      <w:r w:rsidR="00851FB3">
        <w:rPr>
          <w:lang w:val="ru-RU"/>
        </w:rPr>
        <w:t>л</w:t>
      </w:r>
      <w:r w:rsidRPr="0049187C">
        <w:rPr>
          <w:lang w:val="ru-RU"/>
        </w:rPr>
        <w:t xml:space="preserve">-опцион, </w:t>
      </w:r>
      <w:r w:rsidR="00851FB3">
        <w:rPr>
          <w:lang w:val="ru-RU"/>
        </w:rPr>
        <w:t xml:space="preserve">опционы </w:t>
      </w:r>
      <w:r w:rsidR="001676B6" w:rsidRPr="0049187C">
        <w:rPr>
          <w:lang w:val="ru-RU"/>
        </w:rPr>
        <w:t>«</w:t>
      </w:r>
      <w:r w:rsidRPr="0049187C">
        <w:rPr>
          <w:lang w:val="ru-RU"/>
        </w:rPr>
        <w:t>кэп</w:t>
      </w:r>
      <w:r w:rsidR="001676B6" w:rsidRPr="0049187C">
        <w:rPr>
          <w:lang w:val="ru-RU"/>
        </w:rPr>
        <w:t>»</w:t>
      </w:r>
      <w:r w:rsidR="00851FB3">
        <w:rPr>
          <w:lang w:val="ru-RU"/>
        </w:rPr>
        <w:t xml:space="preserve"> или</w:t>
      </w:r>
      <w:r w:rsidRPr="0049187C">
        <w:rPr>
          <w:lang w:val="ru-RU"/>
        </w:rPr>
        <w:t xml:space="preserve"> </w:t>
      </w:r>
      <w:r w:rsidR="001676B6" w:rsidRPr="0049187C">
        <w:rPr>
          <w:lang w:val="ru-RU"/>
        </w:rPr>
        <w:t>«</w:t>
      </w:r>
      <w:r w:rsidRPr="0049187C">
        <w:rPr>
          <w:lang w:val="ru-RU"/>
        </w:rPr>
        <w:t>флор</w:t>
      </w:r>
      <w:r w:rsidR="001676B6" w:rsidRPr="0049187C">
        <w:rPr>
          <w:lang w:val="ru-RU"/>
        </w:rPr>
        <w:t>»</w:t>
      </w:r>
      <w:r w:rsidRPr="0049187C">
        <w:rPr>
          <w:lang w:val="ru-RU"/>
        </w:rPr>
        <w:t xml:space="preserve"> или свопцион) отделяется от основного договора на основе указанных условий опциона. Первоначальная балансовая стоимость основного инструмента </w:t>
      </w:r>
      <w:r w:rsidR="00851FB3">
        <w:rPr>
          <w:lang w:val="ru-RU"/>
        </w:rPr>
        <w:t>равна</w:t>
      </w:r>
      <w:r w:rsidRPr="0049187C">
        <w:rPr>
          <w:lang w:val="ru-RU"/>
        </w:rPr>
        <w:t xml:space="preserve"> остаточной сумме после отделения встроенного производного инструмента.</w:t>
      </w:r>
    </w:p>
    <w:p w:rsidR="007D4BCC" w:rsidRPr="0049187C" w:rsidRDefault="007D4BCC" w:rsidP="007D4BCC">
      <w:pPr>
        <w:pStyle w:val="IASBNormalnpara"/>
        <w:rPr>
          <w:lang w:val="ru-RU"/>
        </w:rPr>
      </w:pPr>
      <w:r w:rsidRPr="0049187C">
        <w:rPr>
          <w:lang w:val="ru-RU"/>
        </w:rPr>
        <w:t>B4.3.4</w:t>
      </w:r>
      <w:r w:rsidRPr="0049187C">
        <w:rPr>
          <w:lang w:val="ru-RU"/>
        </w:rPr>
        <w:tab/>
        <w:t>Как правило, множественные встроенные производные инструменты, содержащиеся в одном гибридном договоре, учитываются как один составной встроенный производный инструмент. Однако, встроенные производные инструменты, которые классифицируются как собственный капитал (см. МСФО (IAS) 32</w:t>
      </w:r>
      <w:r w:rsidR="00F55306">
        <w:rPr>
          <w:lang w:val="ru-RU"/>
        </w:rPr>
        <w:t xml:space="preserve"> </w:t>
      </w:r>
      <w:r w:rsidR="00F55306" w:rsidRPr="00F55306">
        <w:rPr>
          <w:i/>
          <w:lang w:val="ru-RU"/>
        </w:rPr>
        <w:t>«Финансовые инструменты: представление»</w:t>
      </w:r>
      <w:r w:rsidRPr="0049187C">
        <w:rPr>
          <w:lang w:val="ru-RU"/>
        </w:rPr>
        <w:t>), учитываются отдельно от инструментов, которые классифицируются как активы или обязательства. Кроме того, если гибридный договор имеет более одного встроенного производного инструмента и эти производные инструменты подвержены разным рискам, легко отделимы и независимы друг от друга, они учитываются отдельно друг от друга.</w:t>
      </w:r>
    </w:p>
    <w:p w:rsidR="007D4BCC" w:rsidRPr="0049187C" w:rsidRDefault="007D4BCC" w:rsidP="007D4BCC">
      <w:pPr>
        <w:pStyle w:val="IASBNormalnpara"/>
        <w:rPr>
          <w:lang w:val="ru-RU"/>
        </w:rPr>
      </w:pPr>
      <w:r w:rsidRPr="0049187C">
        <w:rPr>
          <w:lang w:val="ru-RU"/>
        </w:rPr>
        <w:t>B4.3.5</w:t>
      </w:r>
      <w:r w:rsidRPr="0049187C">
        <w:rPr>
          <w:lang w:val="ru-RU"/>
        </w:rPr>
        <w:tab/>
        <w:t xml:space="preserve">Экономические характеристики и риски встроенного производного инструмента не имеют тесной связи с основным договором (пункт 4.3.3(a)) в приведенных ниже примерах. В случаях, рассмотренных в данных примерах, при допущении, что условия </w:t>
      </w:r>
      <w:r w:rsidR="00851FB3" w:rsidRPr="0049187C">
        <w:rPr>
          <w:lang w:val="ru-RU"/>
        </w:rPr>
        <w:t>пункт</w:t>
      </w:r>
      <w:r w:rsidR="00851FB3">
        <w:rPr>
          <w:lang w:val="ru-RU"/>
        </w:rPr>
        <w:t>ов</w:t>
      </w:r>
      <w:r w:rsidR="00851FB3" w:rsidRPr="0049187C">
        <w:rPr>
          <w:lang w:val="ru-RU"/>
        </w:rPr>
        <w:t xml:space="preserve"> </w:t>
      </w:r>
      <w:r w:rsidRPr="0049187C">
        <w:rPr>
          <w:lang w:val="ru-RU"/>
        </w:rPr>
        <w:t>4.3.3(b) и (c) выполняются, организация учитывает встроенный производный инструмент отдельно от основного договора.</w:t>
      </w:r>
    </w:p>
    <w:p w:rsidR="007D4BCC" w:rsidRPr="0049187C" w:rsidRDefault="007D4BCC" w:rsidP="00397946">
      <w:pPr>
        <w:pStyle w:val="IASBNormalnparaL1"/>
        <w:numPr>
          <w:ilvl w:val="0"/>
          <w:numId w:val="38"/>
        </w:numPr>
        <w:autoSpaceDE w:val="0"/>
        <w:autoSpaceDN w:val="0"/>
        <w:adjustRightInd w:val="0"/>
        <w:ind w:hanging="344"/>
        <w:rPr>
          <w:lang w:val="ru-RU"/>
        </w:rPr>
      </w:pPr>
      <w:r w:rsidRPr="0049187C">
        <w:rPr>
          <w:lang w:val="ru-RU"/>
        </w:rPr>
        <w:t xml:space="preserve">Пут-опцион, встроенный в инструмент, который позволяет держателю требовать от эмитента </w:t>
      </w:r>
      <w:r w:rsidR="002138AC" w:rsidRPr="0049187C">
        <w:rPr>
          <w:lang w:val="ru-RU"/>
        </w:rPr>
        <w:t>выкупа</w:t>
      </w:r>
      <w:r w:rsidRPr="0049187C">
        <w:rPr>
          <w:lang w:val="ru-RU"/>
        </w:rPr>
        <w:t xml:space="preserve"> данного инструмента за денежные средства или другие активы, величина которых меняется в зависимости от изменения стоимости или индекса акций или товаров, не имеет тесной связи с основным долговым инструментом.</w:t>
      </w:r>
    </w:p>
    <w:p w:rsidR="007D4BCC" w:rsidRPr="0049187C" w:rsidRDefault="007D4BCC" w:rsidP="004D2F3F">
      <w:pPr>
        <w:pStyle w:val="IASBNormalnparaL1"/>
        <w:numPr>
          <w:ilvl w:val="0"/>
          <w:numId w:val="38"/>
        </w:numPr>
        <w:rPr>
          <w:lang w:val="ru-RU"/>
        </w:rPr>
      </w:pPr>
      <w:r w:rsidRPr="0049187C">
        <w:rPr>
          <w:lang w:val="ru-RU"/>
        </w:rPr>
        <w:t xml:space="preserve">Право </w:t>
      </w:r>
      <w:r w:rsidR="00851FB3">
        <w:rPr>
          <w:lang w:val="ru-RU"/>
        </w:rPr>
        <w:t xml:space="preserve">на продление </w:t>
      </w:r>
      <w:r w:rsidRPr="0049187C">
        <w:rPr>
          <w:lang w:val="ru-RU"/>
        </w:rPr>
        <w:t xml:space="preserve">или автоматическое условие продления </w:t>
      </w:r>
      <w:r w:rsidR="00851FB3">
        <w:rPr>
          <w:lang w:val="ru-RU"/>
        </w:rPr>
        <w:t>срока</w:t>
      </w:r>
      <w:r w:rsidRPr="0049187C">
        <w:rPr>
          <w:lang w:val="ru-RU"/>
        </w:rPr>
        <w:t>, оставшегося до погашения долгово</w:t>
      </w:r>
      <w:r w:rsidR="00851FB3">
        <w:rPr>
          <w:lang w:val="ru-RU"/>
        </w:rPr>
        <w:t>го</w:t>
      </w:r>
      <w:r w:rsidRPr="0049187C">
        <w:rPr>
          <w:lang w:val="ru-RU"/>
        </w:rPr>
        <w:t xml:space="preserve"> инструмент</w:t>
      </w:r>
      <w:r w:rsidR="00851FB3">
        <w:rPr>
          <w:lang w:val="ru-RU"/>
        </w:rPr>
        <w:t>а</w:t>
      </w:r>
      <w:r w:rsidRPr="0049187C">
        <w:rPr>
          <w:lang w:val="ru-RU"/>
        </w:rPr>
        <w:t xml:space="preserve">, не </w:t>
      </w:r>
      <w:r w:rsidR="00851FB3" w:rsidRPr="0049187C">
        <w:rPr>
          <w:lang w:val="ru-RU"/>
        </w:rPr>
        <w:t>име</w:t>
      </w:r>
      <w:r w:rsidR="00851FB3">
        <w:rPr>
          <w:lang w:val="ru-RU"/>
        </w:rPr>
        <w:t>ю</w:t>
      </w:r>
      <w:r w:rsidR="00851FB3" w:rsidRPr="0049187C">
        <w:rPr>
          <w:lang w:val="ru-RU"/>
        </w:rPr>
        <w:t xml:space="preserve">т </w:t>
      </w:r>
      <w:r w:rsidRPr="0049187C">
        <w:rPr>
          <w:lang w:val="ru-RU"/>
        </w:rPr>
        <w:t xml:space="preserve">тесной связи с основным долговым инструментом, за исключением случаев, когда в момент продления осуществляется одновременная корректировка до приблизительной текущей рыночной процентной ставки. Если организация выпускает долговой инструмент, </w:t>
      </w:r>
      <w:r w:rsidR="00F6560E">
        <w:rPr>
          <w:lang w:val="ru-RU"/>
        </w:rPr>
        <w:t>и</w:t>
      </w:r>
      <w:r w:rsidR="00F6560E" w:rsidRPr="0049187C">
        <w:rPr>
          <w:lang w:val="ru-RU"/>
        </w:rPr>
        <w:t xml:space="preserve"> </w:t>
      </w:r>
      <w:r w:rsidRPr="0049187C">
        <w:rPr>
          <w:lang w:val="ru-RU"/>
        </w:rPr>
        <w:t xml:space="preserve">держатель этого долгового инструмента выпускает колл-опцион в отношении долгового инструмента третьей стороне, эмитент рассматривает такой колл-опцион как продлевающий </w:t>
      </w:r>
      <w:r w:rsidR="00F6560E">
        <w:rPr>
          <w:lang w:val="ru-RU"/>
        </w:rPr>
        <w:t>срок</w:t>
      </w:r>
      <w:r w:rsidR="00F6560E" w:rsidRPr="0049187C">
        <w:rPr>
          <w:lang w:val="ru-RU"/>
        </w:rPr>
        <w:t xml:space="preserve"> </w:t>
      </w:r>
      <w:r w:rsidRPr="0049187C">
        <w:rPr>
          <w:lang w:val="ru-RU"/>
        </w:rPr>
        <w:t>до погашения долгового инструмента, при условии, что от эмитента можно потребовать участия или содействия в перепродаже долгового инструмента в результате исполнения колл-опциона.</w:t>
      </w:r>
    </w:p>
    <w:p w:rsidR="007D4BCC" w:rsidRPr="0049187C" w:rsidRDefault="007D4BCC" w:rsidP="004D2F3F">
      <w:pPr>
        <w:pStyle w:val="IASBNormalnparaL1"/>
        <w:numPr>
          <w:ilvl w:val="0"/>
          <w:numId w:val="38"/>
        </w:numPr>
        <w:rPr>
          <w:lang w:val="ru-RU"/>
        </w:rPr>
      </w:pPr>
      <w:r w:rsidRPr="0049187C">
        <w:rPr>
          <w:lang w:val="ru-RU"/>
        </w:rPr>
        <w:t xml:space="preserve">Индексируемые по </w:t>
      </w:r>
      <w:r w:rsidR="00F6560E">
        <w:rPr>
          <w:lang w:val="ru-RU"/>
        </w:rPr>
        <w:t>ценам долевых инструментов</w:t>
      </w:r>
      <w:r w:rsidR="009F4609">
        <w:rPr>
          <w:lang w:val="ru-RU"/>
        </w:rPr>
        <w:t xml:space="preserve"> платежи по процентам</w:t>
      </w:r>
      <w:r w:rsidRPr="0049187C">
        <w:rPr>
          <w:lang w:val="ru-RU"/>
        </w:rPr>
        <w:t xml:space="preserve"> или </w:t>
      </w:r>
      <w:r w:rsidR="00A73D9D">
        <w:rPr>
          <w:lang w:val="ru-RU"/>
        </w:rPr>
        <w:t>основной сумме долга</w:t>
      </w:r>
      <w:r w:rsidRPr="0049187C">
        <w:rPr>
          <w:lang w:val="ru-RU"/>
        </w:rPr>
        <w:t>, встроенные в основной долговой инструмент или в договор страхования</w:t>
      </w:r>
      <w:r w:rsidR="002138AC" w:rsidRPr="0049187C">
        <w:rPr>
          <w:lang w:val="ru-RU"/>
        </w:rPr>
        <w:t xml:space="preserve"> (</w:t>
      </w:r>
      <w:r w:rsidRPr="0049187C">
        <w:rPr>
          <w:lang w:val="ru-RU"/>
        </w:rPr>
        <w:t xml:space="preserve">посредством которых величина процентов или </w:t>
      </w:r>
      <w:r w:rsidR="00A73D9D">
        <w:rPr>
          <w:lang w:val="ru-RU"/>
        </w:rPr>
        <w:t xml:space="preserve">основной суммы </w:t>
      </w:r>
      <w:r w:rsidRPr="0049187C">
        <w:rPr>
          <w:lang w:val="ru-RU"/>
        </w:rPr>
        <w:t>долга привязана к стоимости долевых инструментов</w:t>
      </w:r>
      <w:r w:rsidR="002138AC" w:rsidRPr="0049187C">
        <w:rPr>
          <w:lang w:val="ru-RU"/>
        </w:rPr>
        <w:t>)</w:t>
      </w:r>
      <w:r w:rsidRPr="0049187C">
        <w:rPr>
          <w:lang w:val="ru-RU"/>
        </w:rPr>
        <w:t>, не имеют тесной связи с основным инструментом, так как риск</w:t>
      </w:r>
      <w:r w:rsidR="00F6560E">
        <w:rPr>
          <w:lang w:val="ru-RU"/>
        </w:rPr>
        <w:t>и</w:t>
      </w:r>
      <w:r w:rsidRPr="0049187C">
        <w:rPr>
          <w:lang w:val="ru-RU"/>
        </w:rPr>
        <w:t xml:space="preserve">, </w:t>
      </w:r>
      <w:r w:rsidR="00F6560E" w:rsidRPr="0049187C">
        <w:rPr>
          <w:lang w:val="ru-RU"/>
        </w:rPr>
        <w:t>присущи</w:t>
      </w:r>
      <w:r w:rsidR="00F6560E">
        <w:rPr>
          <w:lang w:val="ru-RU"/>
        </w:rPr>
        <w:t>е</w:t>
      </w:r>
      <w:r w:rsidR="00F6560E" w:rsidRPr="0049187C">
        <w:rPr>
          <w:lang w:val="ru-RU"/>
        </w:rPr>
        <w:t xml:space="preserve"> </w:t>
      </w:r>
      <w:r w:rsidRPr="0049187C">
        <w:rPr>
          <w:lang w:val="ru-RU"/>
        </w:rPr>
        <w:t>основному инструменту, и риск</w:t>
      </w:r>
      <w:r w:rsidR="00F6560E">
        <w:rPr>
          <w:lang w:val="ru-RU"/>
        </w:rPr>
        <w:t>и</w:t>
      </w:r>
      <w:r w:rsidRPr="0049187C">
        <w:rPr>
          <w:lang w:val="ru-RU"/>
        </w:rPr>
        <w:t xml:space="preserve"> встроенного производного инструмента</w:t>
      </w:r>
      <w:r w:rsidR="00F6560E">
        <w:rPr>
          <w:lang w:val="ru-RU"/>
        </w:rPr>
        <w:t>, различаются</w:t>
      </w:r>
      <w:r w:rsidRPr="0049187C">
        <w:rPr>
          <w:lang w:val="ru-RU"/>
        </w:rPr>
        <w:t>.</w:t>
      </w:r>
    </w:p>
    <w:p w:rsidR="007D4BCC" w:rsidRPr="0049187C" w:rsidRDefault="007D4BCC" w:rsidP="004D2F3F">
      <w:pPr>
        <w:pStyle w:val="IASBNormalnparaL1"/>
        <w:numPr>
          <w:ilvl w:val="0"/>
          <w:numId w:val="38"/>
        </w:numPr>
        <w:rPr>
          <w:lang w:val="ru-RU"/>
        </w:rPr>
      </w:pPr>
      <w:r w:rsidRPr="0049187C">
        <w:rPr>
          <w:lang w:val="ru-RU"/>
        </w:rPr>
        <w:t xml:space="preserve">Индексируемые по </w:t>
      </w:r>
      <w:r w:rsidR="00F6560E">
        <w:rPr>
          <w:lang w:val="ru-RU"/>
        </w:rPr>
        <w:t xml:space="preserve">ценам на </w:t>
      </w:r>
      <w:r w:rsidRPr="0049187C">
        <w:rPr>
          <w:lang w:val="ru-RU"/>
        </w:rPr>
        <w:t>товар</w:t>
      </w:r>
      <w:r w:rsidR="00F6560E">
        <w:rPr>
          <w:lang w:val="ru-RU"/>
        </w:rPr>
        <w:t>ы</w:t>
      </w:r>
      <w:r w:rsidRPr="0049187C">
        <w:rPr>
          <w:lang w:val="ru-RU"/>
        </w:rPr>
        <w:t xml:space="preserve"> </w:t>
      </w:r>
      <w:r w:rsidR="009F4609">
        <w:rPr>
          <w:lang w:val="ru-RU"/>
        </w:rPr>
        <w:t>пл</w:t>
      </w:r>
      <w:r w:rsidR="00A73D9D">
        <w:rPr>
          <w:lang w:val="ru-RU"/>
        </w:rPr>
        <w:t>атежи по процентам или основной сумме долга</w:t>
      </w:r>
      <w:r w:rsidRPr="0049187C">
        <w:rPr>
          <w:lang w:val="ru-RU"/>
        </w:rPr>
        <w:t>, встроенные в основной долговой инструмент или в договор страхования</w:t>
      </w:r>
      <w:r w:rsidR="00466C2E" w:rsidRPr="0049187C">
        <w:rPr>
          <w:lang w:val="ru-RU"/>
        </w:rPr>
        <w:t xml:space="preserve"> (</w:t>
      </w:r>
      <w:r w:rsidRPr="0049187C">
        <w:rPr>
          <w:lang w:val="ru-RU"/>
        </w:rPr>
        <w:t>посредством которых величина процентов или основной суммы долга привязана к цене товара (например, золота)</w:t>
      </w:r>
      <w:r w:rsidR="00466C2E" w:rsidRPr="0049187C">
        <w:rPr>
          <w:lang w:val="ru-RU"/>
        </w:rPr>
        <w:t>)</w:t>
      </w:r>
      <w:r w:rsidRPr="0049187C">
        <w:rPr>
          <w:lang w:val="ru-RU"/>
        </w:rPr>
        <w:t xml:space="preserve">, не имеют тесной связи с основным инструментом, так как риски, </w:t>
      </w:r>
      <w:r w:rsidR="00F6560E" w:rsidRPr="0049187C">
        <w:rPr>
          <w:lang w:val="ru-RU"/>
        </w:rPr>
        <w:t>присущи</w:t>
      </w:r>
      <w:r w:rsidR="00F6560E">
        <w:rPr>
          <w:lang w:val="ru-RU"/>
        </w:rPr>
        <w:t>е</w:t>
      </w:r>
      <w:r w:rsidR="00F6560E" w:rsidRPr="0049187C">
        <w:rPr>
          <w:lang w:val="ru-RU"/>
        </w:rPr>
        <w:t xml:space="preserve"> </w:t>
      </w:r>
      <w:r w:rsidRPr="0049187C">
        <w:rPr>
          <w:lang w:val="ru-RU"/>
        </w:rPr>
        <w:t>основному инструменту, и риски встроенного производного инструмента</w:t>
      </w:r>
      <w:r w:rsidR="00F6560E">
        <w:rPr>
          <w:lang w:val="ru-RU"/>
        </w:rPr>
        <w:t>, различаются</w:t>
      </w:r>
      <w:r w:rsidRPr="0049187C">
        <w:rPr>
          <w:lang w:val="ru-RU"/>
        </w:rPr>
        <w:t>.</w:t>
      </w:r>
    </w:p>
    <w:p w:rsidR="007D4BCC" w:rsidRPr="0049187C" w:rsidRDefault="007D4BCC" w:rsidP="004D2F3F">
      <w:pPr>
        <w:pStyle w:val="IASBNormalnparaL1"/>
        <w:numPr>
          <w:ilvl w:val="0"/>
          <w:numId w:val="38"/>
        </w:numPr>
        <w:rPr>
          <w:lang w:val="ru-RU"/>
        </w:rPr>
      </w:pPr>
      <w:r w:rsidRPr="0049187C">
        <w:rPr>
          <w:lang w:val="ru-RU"/>
        </w:rPr>
        <w:t>Колл-опцион, пут-опцион или опцион на досрочное погашение, встроенные в основной долговой договор или договор страхования, не имеют тесной связи с основным договором, за исключением тех случаев, когда:</w:t>
      </w:r>
    </w:p>
    <w:p w:rsidR="007D4BCC" w:rsidRPr="0049187C" w:rsidRDefault="007D4BCC" w:rsidP="004D2F3F">
      <w:pPr>
        <w:pStyle w:val="IASBNormalnparaL2"/>
        <w:numPr>
          <w:ilvl w:val="0"/>
          <w:numId w:val="39"/>
        </w:numPr>
        <w:ind w:left="2127" w:hanging="562"/>
        <w:rPr>
          <w:lang w:val="ru-RU"/>
        </w:rPr>
      </w:pPr>
      <w:r w:rsidRPr="0049187C">
        <w:rPr>
          <w:lang w:val="ru-RU"/>
        </w:rPr>
        <w:t>цена исполнения опциона примерно равна амортизированной стоимости основного долгового инструмента или балансовой стоимости основного договора страхования на каждую дату исполнения; или</w:t>
      </w:r>
    </w:p>
    <w:p w:rsidR="007D4BCC" w:rsidRPr="0049187C" w:rsidRDefault="007D4BCC" w:rsidP="004D2F3F">
      <w:pPr>
        <w:pStyle w:val="IASBNormalnparaL2"/>
        <w:numPr>
          <w:ilvl w:val="0"/>
          <w:numId w:val="39"/>
        </w:numPr>
        <w:ind w:left="2127" w:hanging="562"/>
        <w:rPr>
          <w:lang w:val="ru-RU"/>
        </w:rPr>
      </w:pPr>
      <w:r w:rsidRPr="0049187C">
        <w:rPr>
          <w:lang w:val="ru-RU"/>
        </w:rPr>
        <w:t xml:space="preserve">цена исполнения опциона на досрочное погашение возмещает кредитору сумму в размере примерной приведенной стоимости потерянных процентов за оставшийся срок действия основного договора. </w:t>
      </w:r>
      <w:r w:rsidR="00F6560E">
        <w:rPr>
          <w:lang w:val="ru-RU"/>
        </w:rPr>
        <w:t>Утраченные</w:t>
      </w:r>
      <w:r w:rsidR="00F6560E" w:rsidRPr="0049187C">
        <w:rPr>
          <w:lang w:val="ru-RU"/>
        </w:rPr>
        <w:t xml:space="preserve"> </w:t>
      </w:r>
      <w:r w:rsidRPr="0049187C">
        <w:rPr>
          <w:lang w:val="ru-RU"/>
        </w:rPr>
        <w:t xml:space="preserve">проценты рассчитываются как произведение досрочно погашенной </w:t>
      </w:r>
      <w:r w:rsidR="00A73D9D">
        <w:rPr>
          <w:lang w:val="ru-RU"/>
        </w:rPr>
        <w:t>основной суммы</w:t>
      </w:r>
      <w:r w:rsidRPr="0049187C">
        <w:rPr>
          <w:lang w:val="ru-RU"/>
        </w:rPr>
        <w:t xml:space="preserve"> долга и разницы в </w:t>
      </w:r>
      <w:r w:rsidR="00F6560E" w:rsidRPr="0049187C">
        <w:rPr>
          <w:lang w:val="ru-RU"/>
        </w:rPr>
        <w:t>процентн</w:t>
      </w:r>
      <w:r w:rsidR="00F6560E">
        <w:rPr>
          <w:lang w:val="ru-RU"/>
        </w:rPr>
        <w:t>ых</w:t>
      </w:r>
      <w:r w:rsidR="00F6560E" w:rsidRPr="0049187C">
        <w:rPr>
          <w:lang w:val="ru-RU"/>
        </w:rPr>
        <w:t xml:space="preserve"> </w:t>
      </w:r>
      <w:r w:rsidRPr="0049187C">
        <w:rPr>
          <w:lang w:val="ru-RU"/>
        </w:rPr>
        <w:t>ставк</w:t>
      </w:r>
      <w:r w:rsidR="00F6560E">
        <w:rPr>
          <w:lang w:val="ru-RU"/>
        </w:rPr>
        <w:t>ах</w:t>
      </w:r>
      <w:r w:rsidRPr="0049187C">
        <w:rPr>
          <w:lang w:val="ru-RU"/>
        </w:rPr>
        <w:t>. Разница в процентн</w:t>
      </w:r>
      <w:r w:rsidR="00F6560E">
        <w:rPr>
          <w:lang w:val="ru-RU"/>
        </w:rPr>
        <w:t>ых</w:t>
      </w:r>
      <w:r w:rsidRPr="0049187C">
        <w:rPr>
          <w:lang w:val="ru-RU"/>
        </w:rPr>
        <w:t xml:space="preserve"> ставк</w:t>
      </w:r>
      <w:r w:rsidR="00F6560E">
        <w:rPr>
          <w:lang w:val="ru-RU"/>
        </w:rPr>
        <w:t>ах</w:t>
      </w:r>
      <w:r w:rsidR="007213EA">
        <w:rPr>
          <w:lang w:val="ru-RU"/>
        </w:rPr>
        <w:t xml:space="preserve"> – </w:t>
      </w:r>
      <w:r w:rsidRPr="0049187C">
        <w:rPr>
          <w:lang w:val="ru-RU"/>
        </w:rPr>
        <w:t xml:space="preserve">это превышение эффективной процентной ставки по основному договору над эффективной процентной ставкой, которую получила бы организация на дату досрочного погашения, если бы реинвестировала досрочно погашенную </w:t>
      </w:r>
      <w:r w:rsidR="00A73D9D">
        <w:rPr>
          <w:lang w:val="ru-RU"/>
        </w:rPr>
        <w:t>основную сумму</w:t>
      </w:r>
      <w:r w:rsidRPr="0049187C">
        <w:rPr>
          <w:lang w:val="ru-RU"/>
        </w:rPr>
        <w:t xml:space="preserve"> долга в аналогичный договор на оставшийся срок основного договора.</w:t>
      </w:r>
    </w:p>
    <w:p w:rsidR="007D4BCC" w:rsidRPr="0049187C" w:rsidRDefault="007D4BCC" w:rsidP="007D4BCC">
      <w:pPr>
        <w:autoSpaceDE w:val="0"/>
        <w:autoSpaceDN w:val="0"/>
        <w:adjustRightInd w:val="0"/>
        <w:spacing w:before="240" w:after="100" w:afterAutospacing="1"/>
        <w:ind w:left="1559"/>
        <w:jc w:val="both"/>
        <w:rPr>
          <w:sz w:val="19"/>
          <w:szCs w:val="20"/>
          <w:lang w:val="ru-RU"/>
        </w:rPr>
      </w:pPr>
      <w:r w:rsidRPr="0049187C">
        <w:rPr>
          <w:sz w:val="19"/>
          <w:szCs w:val="20"/>
          <w:lang w:val="ru-RU"/>
        </w:rPr>
        <w:t>Анализ наличия тесной связи колл-опциона или пут-опциона с основным долговым договором о</w:t>
      </w:r>
      <w:r w:rsidR="00466C2E" w:rsidRPr="0049187C">
        <w:rPr>
          <w:sz w:val="19"/>
          <w:szCs w:val="20"/>
          <w:lang w:val="ru-RU"/>
        </w:rPr>
        <w:t>существляется</w:t>
      </w:r>
      <w:r w:rsidRPr="0049187C">
        <w:rPr>
          <w:sz w:val="19"/>
          <w:szCs w:val="20"/>
          <w:lang w:val="ru-RU"/>
        </w:rPr>
        <w:t xml:space="preserve"> до отделения элемента </w:t>
      </w:r>
      <w:r w:rsidR="000B7E6F">
        <w:rPr>
          <w:sz w:val="19"/>
          <w:szCs w:val="20"/>
          <w:lang w:val="ru-RU"/>
        </w:rPr>
        <w:t>«</w:t>
      </w:r>
      <w:r w:rsidRPr="0049187C">
        <w:rPr>
          <w:sz w:val="19"/>
          <w:szCs w:val="20"/>
          <w:lang w:val="ru-RU"/>
        </w:rPr>
        <w:t>собственн</w:t>
      </w:r>
      <w:r w:rsidR="000B7E6F">
        <w:rPr>
          <w:sz w:val="19"/>
          <w:szCs w:val="20"/>
          <w:lang w:val="ru-RU"/>
        </w:rPr>
        <w:t>ый</w:t>
      </w:r>
      <w:r w:rsidRPr="0049187C">
        <w:rPr>
          <w:sz w:val="19"/>
          <w:szCs w:val="20"/>
          <w:lang w:val="ru-RU"/>
        </w:rPr>
        <w:t xml:space="preserve"> капитал</w:t>
      </w:r>
      <w:r w:rsidR="000B7E6F">
        <w:rPr>
          <w:sz w:val="19"/>
          <w:szCs w:val="20"/>
          <w:lang w:val="ru-RU"/>
        </w:rPr>
        <w:t>»</w:t>
      </w:r>
      <w:r w:rsidRPr="0049187C">
        <w:rPr>
          <w:sz w:val="19"/>
          <w:szCs w:val="20"/>
          <w:lang w:val="ru-RU"/>
        </w:rPr>
        <w:t xml:space="preserve"> конвертируемого долгового инструмента в соответствии с МСФО (IAS) 32.</w:t>
      </w:r>
    </w:p>
    <w:p w:rsidR="007D4BCC" w:rsidRPr="0049187C" w:rsidRDefault="00466C2E" w:rsidP="004D2F3F">
      <w:pPr>
        <w:pStyle w:val="IASBNormalnparaL1"/>
        <w:numPr>
          <w:ilvl w:val="0"/>
          <w:numId w:val="38"/>
        </w:numPr>
        <w:rPr>
          <w:lang w:val="ru-RU"/>
        </w:rPr>
      </w:pPr>
      <w:r w:rsidRPr="0049187C">
        <w:rPr>
          <w:lang w:val="ru-RU"/>
        </w:rPr>
        <w:t>К</w:t>
      </w:r>
      <w:r w:rsidR="007D4BCC" w:rsidRPr="0049187C">
        <w:rPr>
          <w:lang w:val="ru-RU"/>
        </w:rPr>
        <w:t xml:space="preserve">редитные производные инструменты, встроенные в основной долговой инструмент, которые позволяют одной </w:t>
      </w:r>
      <w:r w:rsidR="007D4BCC" w:rsidRPr="00D84677">
        <w:rPr>
          <w:lang w:val="ru-RU"/>
        </w:rPr>
        <w:t>стороне (</w:t>
      </w:r>
      <w:r w:rsidRPr="00D84677">
        <w:rPr>
          <w:lang w:val="ru-RU"/>
        </w:rPr>
        <w:t>«</w:t>
      </w:r>
      <w:r w:rsidR="007D4BCC" w:rsidRPr="00D84677">
        <w:rPr>
          <w:lang w:val="ru-RU"/>
        </w:rPr>
        <w:t>выгодоприобретателю</w:t>
      </w:r>
      <w:r w:rsidRPr="00D84677">
        <w:rPr>
          <w:lang w:val="ru-RU"/>
        </w:rPr>
        <w:t>»</w:t>
      </w:r>
      <w:r w:rsidR="007D4BCC" w:rsidRPr="00D84677">
        <w:rPr>
          <w:lang w:val="ru-RU"/>
        </w:rPr>
        <w:t>) передать кредитный риск по определенному активу, возможно, не находящемуся в его собственности, другой стороне (</w:t>
      </w:r>
      <w:r w:rsidRPr="00D84677">
        <w:rPr>
          <w:lang w:val="ru-RU"/>
        </w:rPr>
        <w:t>«</w:t>
      </w:r>
      <w:r w:rsidR="007D4BCC" w:rsidRPr="00D84677">
        <w:rPr>
          <w:lang w:val="ru-RU"/>
        </w:rPr>
        <w:t>гаранту</w:t>
      </w:r>
      <w:r w:rsidRPr="00D84677">
        <w:rPr>
          <w:lang w:val="ru-RU"/>
        </w:rPr>
        <w:t>»</w:t>
      </w:r>
      <w:r w:rsidR="007D4BCC" w:rsidRPr="00D84677">
        <w:rPr>
          <w:lang w:val="ru-RU"/>
        </w:rPr>
        <w:t>)</w:t>
      </w:r>
      <w:r w:rsidRPr="00D84677">
        <w:rPr>
          <w:lang w:val="ru-RU"/>
        </w:rPr>
        <w:t>, не имеют</w:t>
      </w:r>
      <w:r w:rsidRPr="0049187C">
        <w:rPr>
          <w:lang w:val="ru-RU"/>
        </w:rPr>
        <w:t xml:space="preserve"> тесной связи с основным долговым инструментом</w:t>
      </w:r>
      <w:r w:rsidR="007D4BCC" w:rsidRPr="0049187C">
        <w:rPr>
          <w:lang w:val="ru-RU"/>
        </w:rPr>
        <w:t>. Такие кредитные производные инструменты позволяют гаранту принять на себя кредитный риск, связанный с указанным активом, не владея им напрямую.</w:t>
      </w:r>
    </w:p>
    <w:p w:rsidR="007D4BCC" w:rsidRPr="0049187C" w:rsidRDefault="007D4BCC" w:rsidP="007D4BCC">
      <w:pPr>
        <w:pStyle w:val="IASBNormalnpara"/>
        <w:rPr>
          <w:lang w:val="ru-RU"/>
        </w:rPr>
      </w:pPr>
      <w:r w:rsidRPr="0049187C">
        <w:rPr>
          <w:lang w:val="ru-RU"/>
        </w:rPr>
        <w:t>B4.3.6</w:t>
      </w:r>
      <w:r w:rsidRPr="0049187C">
        <w:rPr>
          <w:lang w:val="ru-RU"/>
        </w:rPr>
        <w:tab/>
      </w:r>
      <w:r w:rsidRPr="00B66D1F">
        <w:rPr>
          <w:lang w:val="ru-RU"/>
        </w:rPr>
        <w:t>Примером гибридного</w:t>
      </w:r>
      <w:r w:rsidRPr="00E66053">
        <w:rPr>
          <w:lang w:val="ru-RU"/>
        </w:rPr>
        <w:t xml:space="preserve"> договора является финансовый инструмент, дающий </w:t>
      </w:r>
      <w:r w:rsidR="00A4512B" w:rsidRPr="00E66053">
        <w:rPr>
          <w:lang w:val="ru-RU"/>
        </w:rPr>
        <w:t xml:space="preserve">его </w:t>
      </w:r>
      <w:r w:rsidRPr="00E66053">
        <w:rPr>
          <w:lang w:val="ru-RU"/>
        </w:rPr>
        <w:t>держателю право вернуть финансовый инструмент эмитенту в обмен на денежные средства или другие финансовые активы, величина которых меняется в зависи</w:t>
      </w:r>
      <w:r w:rsidR="00786E89">
        <w:rPr>
          <w:lang w:val="ru-RU"/>
        </w:rPr>
        <w:t>мости от изменения индекса долевых инструментов</w:t>
      </w:r>
      <w:r w:rsidRPr="00E66053">
        <w:rPr>
          <w:lang w:val="ru-RU"/>
        </w:rPr>
        <w:t xml:space="preserve"> или товара, котор</w:t>
      </w:r>
      <w:r w:rsidRPr="0091236B">
        <w:rPr>
          <w:lang w:val="ru-RU"/>
        </w:rPr>
        <w:t>ый может</w:t>
      </w:r>
      <w:r w:rsidRPr="004A0E6F">
        <w:rPr>
          <w:lang w:val="ru-RU"/>
        </w:rPr>
        <w:t xml:space="preserve"> повышаться</w:t>
      </w:r>
      <w:r w:rsidRPr="0049187C">
        <w:rPr>
          <w:lang w:val="ru-RU"/>
        </w:rPr>
        <w:t xml:space="preserve"> или понижаться (</w:t>
      </w:r>
      <w:r w:rsidR="00466C2E" w:rsidRPr="0049187C">
        <w:rPr>
          <w:lang w:val="ru-RU"/>
        </w:rPr>
        <w:t>«</w:t>
      </w:r>
      <w:r w:rsidRPr="0049187C">
        <w:rPr>
          <w:lang w:val="ru-RU"/>
        </w:rPr>
        <w:t>инструмент с правом обратной продажи</w:t>
      </w:r>
      <w:r w:rsidR="00466C2E" w:rsidRPr="0049187C">
        <w:rPr>
          <w:lang w:val="ru-RU"/>
        </w:rPr>
        <w:t>»</w:t>
      </w:r>
      <w:r w:rsidRPr="0049187C">
        <w:rPr>
          <w:lang w:val="ru-RU"/>
        </w:rPr>
        <w:t>). За исключением тех случаев, когда при первоначальном признании эмитент классифицирует инструмент с правом обратной продажи в качестве финансового обязательства</w:t>
      </w:r>
      <w:r w:rsidR="00DE0EF7">
        <w:rPr>
          <w:lang w:val="ru-RU"/>
        </w:rPr>
        <w:t>, оцениваемого</w:t>
      </w:r>
      <w:r w:rsidRPr="0049187C">
        <w:rPr>
          <w:lang w:val="ru-RU"/>
        </w:rPr>
        <w:t xml:space="preserve"> по справедливой стоимости через прибыль или убыток, он должен отделить встроенный производный инструмент (т.</w:t>
      </w:r>
      <w:r w:rsidR="00466C2E" w:rsidRPr="0049187C">
        <w:rPr>
          <w:lang w:val="ru-RU"/>
        </w:rPr>
        <w:t xml:space="preserve"> </w:t>
      </w:r>
      <w:r w:rsidRPr="0049187C">
        <w:rPr>
          <w:lang w:val="ru-RU"/>
        </w:rPr>
        <w:t xml:space="preserve">е. индексируемую выплату </w:t>
      </w:r>
      <w:r w:rsidR="00A73D9D">
        <w:rPr>
          <w:lang w:val="ru-RU"/>
        </w:rPr>
        <w:t>основной суммы</w:t>
      </w:r>
      <w:r w:rsidRPr="0049187C">
        <w:rPr>
          <w:lang w:val="ru-RU"/>
        </w:rPr>
        <w:t xml:space="preserve"> долга) в соответствии с пунктом 4.3.3, так как основной договор является долговым инструментом в соответствии с пунктом B4.3.2, а в соответствии с пунктом B4.3.5(a) индексированная выплата </w:t>
      </w:r>
      <w:r w:rsidR="00A73D9D">
        <w:rPr>
          <w:lang w:val="ru-RU"/>
        </w:rPr>
        <w:t>основной суммы</w:t>
      </w:r>
      <w:r w:rsidRPr="0049187C">
        <w:rPr>
          <w:lang w:val="ru-RU"/>
        </w:rPr>
        <w:t xml:space="preserve"> долга не имеет тесной связи с основным долговым инструментом. В связи с тем, что выплата </w:t>
      </w:r>
      <w:r w:rsidR="00A73D9D">
        <w:rPr>
          <w:lang w:val="ru-RU"/>
        </w:rPr>
        <w:t>основной суммы</w:t>
      </w:r>
      <w:r w:rsidRPr="0049187C">
        <w:rPr>
          <w:lang w:val="ru-RU"/>
        </w:rPr>
        <w:t xml:space="preserve"> долга может увеличиваться или уменьшаться, встроенный производный инструмент является неопционным производным инструментом, стоимость которого индексируется по баз</w:t>
      </w:r>
      <w:r w:rsidR="00AE2C86">
        <w:rPr>
          <w:lang w:val="ru-RU"/>
        </w:rPr>
        <w:t>овой</w:t>
      </w:r>
      <w:r w:rsidRPr="0049187C">
        <w:rPr>
          <w:lang w:val="ru-RU"/>
        </w:rPr>
        <w:t xml:space="preserve"> переменной.</w:t>
      </w:r>
    </w:p>
    <w:p w:rsidR="007D4BCC" w:rsidRPr="0049187C" w:rsidRDefault="007D4BCC" w:rsidP="007D4BCC">
      <w:pPr>
        <w:pStyle w:val="IASBNormalnpara"/>
        <w:rPr>
          <w:lang w:val="ru-RU"/>
        </w:rPr>
      </w:pPr>
      <w:r w:rsidRPr="0049187C">
        <w:rPr>
          <w:lang w:val="ru-RU"/>
        </w:rPr>
        <w:t>B4.3.7</w:t>
      </w:r>
      <w:r w:rsidRPr="0049187C">
        <w:rPr>
          <w:lang w:val="ru-RU"/>
        </w:rPr>
        <w:tab/>
        <w:t>В случае с инструментом с правом обратной продажи, который в любое время можно продать обратно эмитенту за денежную сумму, равную пропорциональной доле стоимости чистых активов организации (например, паи взаимного инвестиционного фонда открытого типа или некоторые инвестиционные продукты, связанные с паями), эффект отделения встроенного производного инструмента и учета каждого компонента состоит в оценке гибри</w:t>
      </w:r>
      <w:r w:rsidR="00637236">
        <w:rPr>
          <w:lang w:val="ru-RU"/>
        </w:rPr>
        <w:t>дного договора в</w:t>
      </w:r>
      <w:r w:rsidRPr="0049187C">
        <w:rPr>
          <w:lang w:val="ru-RU"/>
        </w:rPr>
        <w:t xml:space="preserve"> сумме погашения, которая подлежала бы оплате на</w:t>
      </w:r>
      <w:r w:rsidR="0058040D">
        <w:rPr>
          <w:lang w:val="ru-RU"/>
        </w:rPr>
        <w:t xml:space="preserve"> дату</w:t>
      </w:r>
      <w:r w:rsidRPr="0049187C">
        <w:rPr>
          <w:lang w:val="ru-RU"/>
        </w:rPr>
        <w:t xml:space="preserve"> </w:t>
      </w:r>
      <w:r w:rsidR="0058040D">
        <w:rPr>
          <w:lang w:val="ru-RU"/>
        </w:rPr>
        <w:t>окончания</w:t>
      </w:r>
      <w:r w:rsidRPr="0049187C">
        <w:rPr>
          <w:lang w:val="ru-RU"/>
        </w:rPr>
        <w:t xml:space="preserve"> отчетного периода, если бы держатель исполнил свое право продать инструмент обратно эмитенту.</w:t>
      </w:r>
    </w:p>
    <w:p w:rsidR="007D4BCC" w:rsidRPr="0049187C" w:rsidRDefault="007D4BCC" w:rsidP="007D4BCC">
      <w:pPr>
        <w:pStyle w:val="IASBNormalnpara"/>
        <w:rPr>
          <w:lang w:val="ru-RU"/>
        </w:rPr>
      </w:pPr>
      <w:r w:rsidRPr="0049187C">
        <w:rPr>
          <w:lang w:val="ru-RU"/>
        </w:rPr>
        <w:t>B4.3.8</w:t>
      </w:r>
      <w:r w:rsidRPr="0049187C">
        <w:rPr>
          <w:lang w:val="ru-RU"/>
        </w:rPr>
        <w:tab/>
      </w:r>
      <w:bookmarkStart w:id="218" w:name="F27188041"/>
      <w:r w:rsidRPr="0049187C">
        <w:rPr>
          <w:lang w:val="ru-RU"/>
        </w:rPr>
        <w:t>В приведенных ниже примерах экономические характеристики и риски встроенного производного инструмента имеют тесную связь с экономическими характеристиками и рисками основного договора. В случаях, рассмотренных в данных примерах, организация не учитывает встроенный производный инструмент отдельно от основного договора.</w:t>
      </w:r>
      <w:bookmarkEnd w:id="218"/>
    </w:p>
    <w:p w:rsidR="007D4BCC" w:rsidRPr="0049187C" w:rsidRDefault="007D4BCC" w:rsidP="004D2F3F">
      <w:pPr>
        <w:pStyle w:val="IASBNormalnparaL1"/>
        <w:numPr>
          <w:ilvl w:val="0"/>
          <w:numId w:val="40"/>
        </w:numPr>
        <w:rPr>
          <w:lang w:val="ru-RU"/>
        </w:rPr>
      </w:pPr>
      <w:bookmarkStart w:id="219" w:name="F32626169"/>
      <w:r w:rsidRPr="0049187C">
        <w:rPr>
          <w:lang w:val="ru-RU"/>
        </w:rPr>
        <w:t>Встроенный производный инструмент, в основе которого лежит процентная ставка или индекс процентной ставки, который может изменить сумму процентов, которые в противном случае были бы выплачены или получены по процентному основному долговому договору или договору страхования, имеет тесную связь с основным договором, кроме случаев, когда расчеты по гибридному договору могут быть произведены таким образом, что его держатель не сможет возместить практически всю стоимость признанной инвестиции или встроенный производный инструмент может, как минимум, удвоить первоначальную норму доходности держателя по основному договору и привести к норме доходности, по меньшей мере, в два раза превышающей рыночную доходность по договору, имеющему такие же условия, что и основной договор.</w:t>
      </w:r>
    </w:p>
    <w:bookmarkEnd w:id="219"/>
    <w:p w:rsidR="007D4BCC" w:rsidRPr="0049187C" w:rsidRDefault="007D4BCC" w:rsidP="004D2F3F">
      <w:pPr>
        <w:pStyle w:val="IASBNormalnparaL1"/>
        <w:numPr>
          <w:ilvl w:val="0"/>
          <w:numId w:val="40"/>
        </w:numPr>
        <w:rPr>
          <w:lang w:val="ru-RU"/>
        </w:rPr>
      </w:pPr>
      <w:r w:rsidRPr="0049187C">
        <w:rPr>
          <w:lang w:val="ru-RU"/>
        </w:rPr>
        <w:t xml:space="preserve">Встроенный </w:t>
      </w:r>
      <w:r w:rsidR="005B62E1" w:rsidRPr="0049187C">
        <w:rPr>
          <w:lang w:val="ru-RU"/>
        </w:rPr>
        <w:t>«</w:t>
      </w:r>
      <w:r w:rsidRPr="0049187C">
        <w:rPr>
          <w:lang w:val="ru-RU"/>
        </w:rPr>
        <w:t>флор</w:t>
      </w:r>
      <w:r w:rsidR="005B62E1" w:rsidRPr="0049187C">
        <w:rPr>
          <w:lang w:val="ru-RU"/>
        </w:rPr>
        <w:t>»</w:t>
      </w:r>
      <w:r w:rsidRPr="0049187C">
        <w:rPr>
          <w:lang w:val="ru-RU"/>
        </w:rPr>
        <w:t xml:space="preserve"> или </w:t>
      </w:r>
      <w:r w:rsidR="005B62E1" w:rsidRPr="0049187C">
        <w:rPr>
          <w:lang w:val="ru-RU"/>
        </w:rPr>
        <w:t>«</w:t>
      </w:r>
      <w:r w:rsidRPr="0049187C">
        <w:rPr>
          <w:lang w:val="ru-RU"/>
        </w:rPr>
        <w:t>кэп</w:t>
      </w:r>
      <w:r w:rsidR="005B62E1" w:rsidRPr="0049187C">
        <w:rPr>
          <w:lang w:val="ru-RU"/>
        </w:rPr>
        <w:t>»</w:t>
      </w:r>
      <w:r w:rsidRPr="0049187C">
        <w:rPr>
          <w:lang w:val="ru-RU"/>
        </w:rPr>
        <w:t xml:space="preserve"> процентной ставки по долговому договору или договору страхования тесно связан с основным договором при условии, что в момент заключения договора </w:t>
      </w:r>
      <w:r w:rsidR="005B62E1" w:rsidRPr="0049187C">
        <w:rPr>
          <w:lang w:val="ru-RU"/>
        </w:rPr>
        <w:t>«</w:t>
      </w:r>
      <w:r w:rsidRPr="0049187C">
        <w:rPr>
          <w:lang w:val="ru-RU"/>
        </w:rPr>
        <w:t>кэп</w:t>
      </w:r>
      <w:r w:rsidR="005B62E1" w:rsidRPr="0049187C">
        <w:rPr>
          <w:lang w:val="ru-RU"/>
        </w:rPr>
        <w:t>»</w:t>
      </w:r>
      <w:r w:rsidRPr="0049187C">
        <w:rPr>
          <w:lang w:val="ru-RU"/>
        </w:rPr>
        <w:t xml:space="preserve"> находится на уровне рыночной</w:t>
      </w:r>
      <w:r w:rsidR="00786E89">
        <w:rPr>
          <w:lang w:val="ru-RU"/>
        </w:rPr>
        <w:t xml:space="preserve"> процентной ставки или выше</w:t>
      </w:r>
      <w:r w:rsidRPr="0049187C">
        <w:rPr>
          <w:lang w:val="ru-RU"/>
        </w:rPr>
        <w:t xml:space="preserve"> </w:t>
      </w:r>
      <w:r w:rsidR="00786E89">
        <w:rPr>
          <w:lang w:val="ru-RU"/>
        </w:rPr>
        <w:t>н</w:t>
      </w:r>
      <w:r w:rsidRPr="0049187C">
        <w:rPr>
          <w:lang w:val="ru-RU"/>
        </w:rPr>
        <w:t xml:space="preserve">ее, а </w:t>
      </w:r>
      <w:r w:rsidR="005B62E1" w:rsidRPr="0049187C">
        <w:rPr>
          <w:lang w:val="ru-RU"/>
        </w:rPr>
        <w:t>«</w:t>
      </w:r>
      <w:r w:rsidRPr="0049187C">
        <w:rPr>
          <w:lang w:val="ru-RU"/>
        </w:rPr>
        <w:t>флор</w:t>
      </w:r>
      <w:r w:rsidR="005B62E1" w:rsidRPr="0049187C">
        <w:rPr>
          <w:lang w:val="ru-RU"/>
        </w:rPr>
        <w:t>»</w:t>
      </w:r>
      <w:r w:rsidRPr="0049187C">
        <w:rPr>
          <w:lang w:val="ru-RU"/>
        </w:rPr>
        <w:t xml:space="preserve"> находится на уровне рыноч</w:t>
      </w:r>
      <w:r w:rsidR="00786E89">
        <w:rPr>
          <w:lang w:val="ru-RU"/>
        </w:rPr>
        <w:t>ной процентной ставки или ниже</w:t>
      </w:r>
      <w:r w:rsidRPr="0049187C">
        <w:rPr>
          <w:lang w:val="ru-RU"/>
        </w:rPr>
        <w:t xml:space="preserve"> </w:t>
      </w:r>
      <w:r w:rsidR="00786E89">
        <w:rPr>
          <w:lang w:val="ru-RU"/>
        </w:rPr>
        <w:t>н</w:t>
      </w:r>
      <w:r w:rsidRPr="0049187C">
        <w:rPr>
          <w:lang w:val="ru-RU"/>
        </w:rPr>
        <w:t xml:space="preserve">ее, при этом </w:t>
      </w:r>
      <w:r w:rsidR="005B62E1" w:rsidRPr="0049187C">
        <w:rPr>
          <w:lang w:val="ru-RU"/>
        </w:rPr>
        <w:t>«</w:t>
      </w:r>
      <w:r w:rsidRPr="0049187C">
        <w:rPr>
          <w:lang w:val="ru-RU"/>
        </w:rPr>
        <w:t>кэп</w:t>
      </w:r>
      <w:r w:rsidR="005B62E1" w:rsidRPr="0049187C">
        <w:rPr>
          <w:lang w:val="ru-RU"/>
        </w:rPr>
        <w:t>»</w:t>
      </w:r>
      <w:r w:rsidRPr="0049187C">
        <w:rPr>
          <w:lang w:val="ru-RU"/>
        </w:rPr>
        <w:t xml:space="preserve"> и </w:t>
      </w:r>
      <w:r w:rsidR="005B62E1" w:rsidRPr="0049187C">
        <w:rPr>
          <w:lang w:val="ru-RU"/>
        </w:rPr>
        <w:t>«</w:t>
      </w:r>
      <w:r w:rsidRPr="0049187C">
        <w:rPr>
          <w:lang w:val="ru-RU"/>
        </w:rPr>
        <w:t>флор</w:t>
      </w:r>
      <w:r w:rsidR="005B62E1" w:rsidRPr="0049187C">
        <w:rPr>
          <w:lang w:val="ru-RU"/>
        </w:rPr>
        <w:t>»</w:t>
      </w:r>
      <w:r w:rsidRPr="0049187C">
        <w:rPr>
          <w:lang w:val="ru-RU"/>
        </w:rPr>
        <w:t xml:space="preserve"> не подве</w:t>
      </w:r>
      <w:r w:rsidR="0007709F">
        <w:rPr>
          <w:lang w:val="ru-RU"/>
        </w:rPr>
        <w:t>ржены эффекту рычага</w:t>
      </w:r>
      <w:r w:rsidRPr="0049187C">
        <w:rPr>
          <w:lang w:val="ru-RU"/>
        </w:rPr>
        <w:t xml:space="preserve"> по отношению к основном</w:t>
      </w:r>
      <w:r w:rsidR="00A42D14">
        <w:rPr>
          <w:lang w:val="ru-RU"/>
        </w:rPr>
        <w:t>у договору. Аналогичным образом</w:t>
      </w:r>
      <w:r w:rsidRPr="0049187C">
        <w:rPr>
          <w:lang w:val="ru-RU"/>
        </w:rPr>
        <w:t xml:space="preserve"> условия, включенные в договор на покупку или продажу актива (например, товара), которые устанавливают </w:t>
      </w:r>
      <w:r w:rsidR="005B62E1" w:rsidRPr="0049187C">
        <w:rPr>
          <w:lang w:val="ru-RU"/>
        </w:rPr>
        <w:t>«</w:t>
      </w:r>
      <w:r w:rsidRPr="0049187C">
        <w:rPr>
          <w:lang w:val="ru-RU"/>
        </w:rPr>
        <w:t>кэп</w:t>
      </w:r>
      <w:r w:rsidR="005B62E1" w:rsidRPr="0049187C">
        <w:rPr>
          <w:lang w:val="ru-RU"/>
        </w:rPr>
        <w:t>»</w:t>
      </w:r>
      <w:r w:rsidRPr="0049187C">
        <w:rPr>
          <w:lang w:val="ru-RU"/>
        </w:rPr>
        <w:t xml:space="preserve"> и </w:t>
      </w:r>
      <w:r w:rsidR="005B62E1" w:rsidRPr="0049187C">
        <w:rPr>
          <w:lang w:val="ru-RU"/>
        </w:rPr>
        <w:t>«</w:t>
      </w:r>
      <w:r w:rsidRPr="0049187C">
        <w:rPr>
          <w:lang w:val="ru-RU"/>
        </w:rPr>
        <w:t>флор</w:t>
      </w:r>
      <w:r w:rsidR="005B62E1" w:rsidRPr="0049187C">
        <w:rPr>
          <w:lang w:val="ru-RU"/>
        </w:rPr>
        <w:t>»</w:t>
      </w:r>
      <w:r w:rsidRPr="0049187C">
        <w:rPr>
          <w:lang w:val="ru-RU"/>
        </w:rPr>
        <w:t xml:space="preserve"> цены, подлежащей уплате или получению за этот актив, тесно связаны с основным договором, если </w:t>
      </w:r>
      <w:r w:rsidR="005B62E1" w:rsidRPr="0049187C">
        <w:rPr>
          <w:lang w:val="ru-RU"/>
        </w:rPr>
        <w:t>«</w:t>
      </w:r>
      <w:r w:rsidRPr="0049187C">
        <w:rPr>
          <w:lang w:val="ru-RU"/>
        </w:rPr>
        <w:t>кэп</w:t>
      </w:r>
      <w:r w:rsidR="005B62E1" w:rsidRPr="0049187C">
        <w:rPr>
          <w:lang w:val="ru-RU"/>
        </w:rPr>
        <w:t>»</w:t>
      </w:r>
      <w:r w:rsidRPr="0049187C">
        <w:rPr>
          <w:lang w:val="ru-RU"/>
        </w:rPr>
        <w:t xml:space="preserve"> и </w:t>
      </w:r>
      <w:r w:rsidR="005B62E1" w:rsidRPr="0049187C">
        <w:rPr>
          <w:lang w:val="ru-RU"/>
        </w:rPr>
        <w:t>«</w:t>
      </w:r>
      <w:r w:rsidRPr="0049187C">
        <w:rPr>
          <w:lang w:val="ru-RU"/>
        </w:rPr>
        <w:t>флор</w:t>
      </w:r>
      <w:r w:rsidR="005B62E1" w:rsidRPr="0049187C">
        <w:rPr>
          <w:lang w:val="ru-RU"/>
        </w:rPr>
        <w:t>»</w:t>
      </w:r>
      <w:r w:rsidRPr="0049187C">
        <w:rPr>
          <w:lang w:val="ru-RU"/>
        </w:rPr>
        <w:t xml:space="preserve"> имели невыгодную цену исполнения в момент заключения договора и не подве</w:t>
      </w:r>
      <w:r w:rsidR="0007709F">
        <w:rPr>
          <w:lang w:val="ru-RU"/>
        </w:rPr>
        <w:t>ржены эффекту рычага</w:t>
      </w:r>
      <w:r w:rsidRPr="0049187C">
        <w:rPr>
          <w:lang w:val="ru-RU"/>
        </w:rPr>
        <w:t>.</w:t>
      </w:r>
    </w:p>
    <w:p w:rsidR="007D4BCC" w:rsidRPr="0049187C" w:rsidRDefault="007D4BCC" w:rsidP="004D2F3F">
      <w:pPr>
        <w:pStyle w:val="IASBNormalnparaL1"/>
        <w:numPr>
          <w:ilvl w:val="0"/>
          <w:numId w:val="40"/>
        </w:numPr>
        <w:rPr>
          <w:lang w:val="ru-RU"/>
        </w:rPr>
      </w:pPr>
      <w:r w:rsidRPr="0049187C">
        <w:rPr>
          <w:lang w:val="ru-RU"/>
        </w:rPr>
        <w:t xml:space="preserve">Встроенный производный инструмент на иностранную валюту, который обеспечивает поток выплат процентов или основной суммы, выраженных в иностранной валюте, и встроен в основной долговой инструмент (например, </w:t>
      </w:r>
      <w:r w:rsidR="00786E89">
        <w:rPr>
          <w:lang w:val="ru-RU"/>
        </w:rPr>
        <w:t xml:space="preserve">бивалютная </w:t>
      </w:r>
      <w:r w:rsidRPr="0049187C">
        <w:rPr>
          <w:lang w:val="ru-RU"/>
        </w:rPr>
        <w:t>обли</w:t>
      </w:r>
      <w:r w:rsidR="00786E89">
        <w:rPr>
          <w:lang w:val="ru-RU"/>
        </w:rPr>
        <w:t>гация</w:t>
      </w:r>
      <w:r w:rsidRPr="0049187C">
        <w:rPr>
          <w:lang w:val="ru-RU"/>
        </w:rPr>
        <w:t xml:space="preserve">), тесно связан с основным долговым инструментом. Такой производный инструмент не отделяется от основного инструмента, поскольку в соответствии с МСФО (IAS) 21 </w:t>
      </w:r>
      <w:r w:rsidRPr="004D2F3F">
        <w:rPr>
          <w:i/>
          <w:lang w:val="ru-RU"/>
        </w:rPr>
        <w:t>«Влияние изменений валютных курсов»</w:t>
      </w:r>
      <w:r w:rsidRPr="0049187C">
        <w:rPr>
          <w:lang w:val="ru-RU"/>
        </w:rPr>
        <w:t xml:space="preserve"> прибыли или убытки от изменения курсов иностранных валют по монетарным статьям должны признаваться в составе прибыли или убытка.</w:t>
      </w:r>
    </w:p>
    <w:p w:rsidR="007D4BCC" w:rsidRPr="0049187C" w:rsidRDefault="007D4BCC" w:rsidP="004D2F3F">
      <w:pPr>
        <w:pStyle w:val="IASBNormalnparaL1"/>
        <w:numPr>
          <w:ilvl w:val="0"/>
          <w:numId w:val="40"/>
        </w:numPr>
        <w:rPr>
          <w:lang w:val="ru-RU"/>
        </w:rPr>
      </w:pPr>
      <w:r w:rsidRPr="0049187C">
        <w:rPr>
          <w:lang w:val="ru-RU"/>
        </w:rPr>
        <w:t xml:space="preserve">Производный инструмент на иностранную валюту, встроенный в основной договор, являющийся договором </w:t>
      </w:r>
      <w:r w:rsidR="00A063F6" w:rsidRPr="0049187C">
        <w:rPr>
          <w:lang w:val="ru-RU"/>
        </w:rPr>
        <w:t xml:space="preserve">страхования </w:t>
      </w:r>
      <w:r w:rsidRPr="0049187C">
        <w:rPr>
          <w:lang w:val="ru-RU"/>
        </w:rPr>
        <w:t>или не являющийся финансовым инструментом (например, договор на покупку или продажу нефинансово</w:t>
      </w:r>
      <w:r w:rsidR="00264E7C">
        <w:rPr>
          <w:lang w:val="ru-RU"/>
        </w:rPr>
        <w:t>го</w:t>
      </w:r>
      <w:r w:rsidRPr="0049187C">
        <w:rPr>
          <w:lang w:val="ru-RU"/>
        </w:rPr>
        <w:t xml:space="preserve"> </w:t>
      </w:r>
      <w:r w:rsidR="00264E7C">
        <w:rPr>
          <w:lang w:val="ru-RU"/>
        </w:rPr>
        <w:t>объекта</w:t>
      </w:r>
      <w:r w:rsidRPr="0049187C">
        <w:rPr>
          <w:lang w:val="ru-RU"/>
        </w:rPr>
        <w:t xml:space="preserve">, цена по которому </w:t>
      </w:r>
      <w:r w:rsidR="00BC46F3">
        <w:rPr>
          <w:lang w:val="ru-RU"/>
        </w:rPr>
        <w:t>выражена</w:t>
      </w:r>
      <w:r w:rsidRPr="0049187C">
        <w:rPr>
          <w:lang w:val="ru-RU"/>
        </w:rPr>
        <w:t xml:space="preserve"> в иностранной валюте), тесно связан с основным договором при условии, что он не подв</w:t>
      </w:r>
      <w:r w:rsidR="0007709F">
        <w:rPr>
          <w:lang w:val="ru-RU"/>
        </w:rPr>
        <w:t>ержен эффекту рычага</w:t>
      </w:r>
      <w:r w:rsidRPr="0049187C">
        <w:rPr>
          <w:lang w:val="ru-RU"/>
        </w:rPr>
        <w:t xml:space="preserve">, не содержит </w:t>
      </w:r>
      <w:r w:rsidR="00E66053">
        <w:rPr>
          <w:lang w:val="ru-RU"/>
        </w:rPr>
        <w:t>характеристик</w:t>
      </w:r>
      <w:r w:rsidR="00E66053" w:rsidRPr="0049187C">
        <w:rPr>
          <w:lang w:val="ru-RU"/>
        </w:rPr>
        <w:t xml:space="preserve"> </w:t>
      </w:r>
      <w:r w:rsidR="00A42D14">
        <w:rPr>
          <w:lang w:val="ru-RU"/>
        </w:rPr>
        <w:t>опциона</w:t>
      </w:r>
      <w:r w:rsidRPr="0049187C">
        <w:rPr>
          <w:lang w:val="ru-RU"/>
        </w:rPr>
        <w:t xml:space="preserve"> и требует, чтобы платежи были </w:t>
      </w:r>
      <w:r w:rsidR="005306B3">
        <w:rPr>
          <w:lang w:val="ru-RU"/>
        </w:rPr>
        <w:t>выражены</w:t>
      </w:r>
      <w:r w:rsidRPr="0049187C">
        <w:rPr>
          <w:lang w:val="ru-RU"/>
        </w:rPr>
        <w:t xml:space="preserve"> в одной из следующих валют:</w:t>
      </w:r>
    </w:p>
    <w:p w:rsidR="007D4BCC" w:rsidRPr="0049187C" w:rsidRDefault="007D4BCC" w:rsidP="004D2F3F">
      <w:pPr>
        <w:pStyle w:val="IASBNormalnparaL2"/>
        <w:numPr>
          <w:ilvl w:val="0"/>
          <w:numId w:val="41"/>
        </w:numPr>
        <w:ind w:left="2127" w:hanging="639"/>
        <w:rPr>
          <w:lang w:val="ru-RU"/>
        </w:rPr>
      </w:pPr>
      <w:r w:rsidRPr="0049187C">
        <w:rPr>
          <w:lang w:val="ru-RU"/>
        </w:rPr>
        <w:t>функциональной валюте одной из основных сторон по договору;</w:t>
      </w:r>
    </w:p>
    <w:p w:rsidR="007D4BCC" w:rsidRPr="0049187C" w:rsidRDefault="007D4BCC" w:rsidP="004D2F3F">
      <w:pPr>
        <w:pStyle w:val="IASBNormalnparaL2"/>
        <w:numPr>
          <w:ilvl w:val="0"/>
          <w:numId w:val="41"/>
        </w:numPr>
        <w:ind w:left="2127" w:hanging="639"/>
        <w:rPr>
          <w:lang w:val="ru-RU"/>
        </w:rPr>
      </w:pPr>
      <w:r w:rsidRPr="0049187C">
        <w:rPr>
          <w:lang w:val="ru-RU"/>
        </w:rPr>
        <w:t xml:space="preserve">валюте, в которой обычно </w:t>
      </w:r>
      <w:r w:rsidR="005306B3">
        <w:rPr>
          <w:lang w:val="ru-RU"/>
        </w:rPr>
        <w:t>устанавливается</w:t>
      </w:r>
      <w:r w:rsidRPr="0049187C">
        <w:rPr>
          <w:lang w:val="ru-RU"/>
        </w:rPr>
        <w:t xml:space="preserve"> цена </w:t>
      </w:r>
      <w:r w:rsidR="00A063F6" w:rsidRPr="0049187C">
        <w:rPr>
          <w:lang w:val="ru-RU"/>
        </w:rPr>
        <w:t xml:space="preserve">соответствующих </w:t>
      </w:r>
      <w:r w:rsidRPr="0049187C">
        <w:rPr>
          <w:lang w:val="ru-RU"/>
        </w:rPr>
        <w:t>приобретаемых или поставляемых товара или услуги в ходе коммерческих операций по всему миру (например, доллар США для операций с сырой нефтью); или</w:t>
      </w:r>
    </w:p>
    <w:p w:rsidR="007D4BCC" w:rsidRPr="0049187C" w:rsidRDefault="007D4BCC" w:rsidP="004D2F3F">
      <w:pPr>
        <w:pStyle w:val="IASBNormalnparaL2"/>
        <w:numPr>
          <w:ilvl w:val="0"/>
          <w:numId w:val="41"/>
        </w:numPr>
        <w:ind w:left="2127" w:hanging="639"/>
        <w:rPr>
          <w:lang w:val="ru-RU"/>
        </w:rPr>
      </w:pPr>
      <w:r w:rsidRPr="0049187C">
        <w:rPr>
          <w:lang w:val="ru-RU"/>
        </w:rPr>
        <w:t>валюте, которая широко используется в договорах на покупку</w:t>
      </w:r>
      <w:r w:rsidR="00264E7C">
        <w:rPr>
          <w:lang w:val="ru-RU"/>
        </w:rPr>
        <w:t xml:space="preserve"> или продажу нефинансовых объектов</w:t>
      </w:r>
      <w:r w:rsidRPr="0049187C">
        <w:rPr>
          <w:lang w:val="ru-RU"/>
        </w:rPr>
        <w:t xml:space="preserve"> в экономической среде, в которой совершается операция (например, относительно стабильная и ликвидная валюта, обычно используемая при совершении внутренних и</w:t>
      </w:r>
      <w:r w:rsidR="00A063F6" w:rsidRPr="0049187C">
        <w:rPr>
          <w:lang w:val="ru-RU"/>
        </w:rPr>
        <w:t>ли</w:t>
      </w:r>
      <w:r w:rsidRPr="0049187C">
        <w:rPr>
          <w:lang w:val="ru-RU"/>
        </w:rPr>
        <w:t xml:space="preserve"> внешнеторговых операций).</w:t>
      </w:r>
    </w:p>
    <w:p w:rsidR="007D4BCC" w:rsidRPr="0049187C" w:rsidRDefault="007D4BCC" w:rsidP="004D2F3F">
      <w:pPr>
        <w:pStyle w:val="IASBNormalnparaL1"/>
        <w:numPr>
          <w:ilvl w:val="0"/>
          <w:numId w:val="40"/>
        </w:numPr>
        <w:rPr>
          <w:lang w:val="ru-RU"/>
        </w:rPr>
      </w:pPr>
      <w:r w:rsidRPr="0049187C">
        <w:rPr>
          <w:lang w:val="ru-RU"/>
        </w:rPr>
        <w:t>Встроенный опцион на досрочное погашение в процентном стрипе или стрипе основной суммы тесно связан с основным договором, при условии, что основной договор (i) первоначально появился в результате отделения права на получение предусмотренных договором денежных потоков по финансовому инструменту, который сам по себе не содержал встроенный производный инструмент, и (ii) не содержит каких-либо условий, отсутствующих в первоначальном основном долговом договоре.</w:t>
      </w:r>
    </w:p>
    <w:p w:rsidR="007D4BCC" w:rsidRPr="0049187C" w:rsidRDefault="00047253" w:rsidP="00047253">
      <w:pPr>
        <w:pStyle w:val="IASBNormalnparaL1"/>
        <w:numPr>
          <w:ilvl w:val="0"/>
          <w:numId w:val="40"/>
        </w:numPr>
        <w:rPr>
          <w:lang w:val="ru-RU"/>
        </w:rPr>
      </w:pPr>
      <w:r w:rsidRPr="00047253">
        <w:rPr>
          <w:lang w:val="ru-RU"/>
        </w:rPr>
        <w:t>Встроенный производный инструмент в основном договоре аренды тесно связан с основным договором, если встроенный производный инструмент представляет собой (i) индекс, привязанный к инфляции, например, индексирование арендных платежей по индексу потребительских цен (при условии, что аренда не подвержена эффекту рычага и индекс привязан к инфляции в экономической среде, в которой ведет свою деятельность организация), (ii) переменные арендные платежи, основанные на соответствующем объеме продаж, или (iii) переменные арендные платежи, основанные на переменных процентных ставках.</w:t>
      </w:r>
    </w:p>
    <w:p w:rsidR="007D4BCC" w:rsidRPr="0049187C" w:rsidRDefault="007D4BCC" w:rsidP="004D2F3F">
      <w:pPr>
        <w:pStyle w:val="IASBNormalnparaL1"/>
        <w:numPr>
          <w:ilvl w:val="0"/>
          <w:numId w:val="40"/>
        </w:numPr>
        <w:rPr>
          <w:lang w:val="ru-RU"/>
        </w:rPr>
      </w:pPr>
      <w:r w:rsidRPr="0049187C">
        <w:rPr>
          <w:lang w:val="ru-RU"/>
        </w:rPr>
        <w:t>Привязка к стоимости пая, встроенная в основной финансовый инструмент или основной договор страхования</w:t>
      </w:r>
      <w:r w:rsidR="00945CD1">
        <w:rPr>
          <w:lang w:val="ru-RU"/>
        </w:rPr>
        <w:t>,</w:t>
      </w:r>
      <w:r w:rsidRPr="0049187C">
        <w:rPr>
          <w:lang w:val="ru-RU"/>
        </w:rPr>
        <w:t xml:space="preserve"> тесно связана с основным инструментом или основным договором, если платежи, выраженные в паях, оцениваются по текущей стоимости </w:t>
      </w:r>
      <w:r w:rsidR="00A063F6" w:rsidRPr="0049187C">
        <w:rPr>
          <w:lang w:val="ru-RU"/>
        </w:rPr>
        <w:t>пая</w:t>
      </w:r>
      <w:r w:rsidRPr="0049187C">
        <w:rPr>
          <w:lang w:val="ru-RU"/>
        </w:rPr>
        <w:t xml:space="preserve">, отражающей справедливую стоимость активов фонда. Привязка к стоимости пая является договорным условием, требующим осуществления платежей, </w:t>
      </w:r>
      <w:r w:rsidR="005306B3">
        <w:rPr>
          <w:lang w:val="ru-RU"/>
        </w:rPr>
        <w:t>выраженных</w:t>
      </w:r>
      <w:r w:rsidRPr="0049187C">
        <w:rPr>
          <w:lang w:val="ru-RU"/>
        </w:rPr>
        <w:t xml:space="preserve"> в паях внутреннего или внешнего инвестиционного фонда.</w:t>
      </w:r>
    </w:p>
    <w:p w:rsidR="007D4BCC" w:rsidRPr="0049187C" w:rsidRDefault="007D4BCC" w:rsidP="004D2F3F">
      <w:pPr>
        <w:pStyle w:val="IASBNormalnparaL1"/>
        <w:numPr>
          <w:ilvl w:val="0"/>
          <w:numId w:val="40"/>
        </w:numPr>
        <w:rPr>
          <w:lang w:val="ru-RU"/>
        </w:rPr>
      </w:pPr>
      <w:r w:rsidRPr="0049187C">
        <w:rPr>
          <w:lang w:val="ru-RU"/>
        </w:rPr>
        <w:t>Производный инструмент, встроенный в договор страхования, тесно связан с основным договором страхования, если встроенный производный инструмент и основной договор страхования настолько взаимозависимы, что организация не может оценить встроенный производный инструмент отдельно (т.</w:t>
      </w:r>
      <w:r w:rsidR="00A063F6" w:rsidRPr="0049187C">
        <w:rPr>
          <w:lang w:val="ru-RU"/>
        </w:rPr>
        <w:t xml:space="preserve"> </w:t>
      </w:r>
      <w:r w:rsidRPr="0049187C">
        <w:rPr>
          <w:lang w:val="ru-RU"/>
        </w:rPr>
        <w:t>е. без рассмотрения основного договора).</w:t>
      </w:r>
    </w:p>
    <w:p w:rsidR="007D4BCC" w:rsidRPr="0049187C" w:rsidRDefault="007D4BCC" w:rsidP="007D4BCC">
      <w:pPr>
        <w:pStyle w:val="IASBSectionTitle3Ind"/>
        <w:rPr>
          <w:lang w:val="ru-RU"/>
        </w:rPr>
      </w:pPr>
      <w:r w:rsidRPr="0049187C">
        <w:rPr>
          <w:lang w:val="ru-RU"/>
        </w:rPr>
        <w:t>Инструменты, содержащие встроенные производные инструменты</w:t>
      </w:r>
    </w:p>
    <w:p w:rsidR="007D4BCC" w:rsidRPr="0049187C" w:rsidRDefault="007D4BCC" w:rsidP="007D4BCC">
      <w:pPr>
        <w:pStyle w:val="IASBNormalnpara"/>
        <w:rPr>
          <w:lang w:val="ru-RU"/>
        </w:rPr>
      </w:pPr>
      <w:r w:rsidRPr="0049187C">
        <w:rPr>
          <w:lang w:val="ru-RU"/>
        </w:rPr>
        <w:t>B4.3.9</w:t>
      </w:r>
      <w:r w:rsidRPr="0049187C">
        <w:rPr>
          <w:lang w:val="ru-RU"/>
        </w:rPr>
        <w:tab/>
        <w:t xml:space="preserve">Как указано в пункте B4.3.1, если организация становится стороной гибридного договора с основным договором, который не является активом, </w:t>
      </w:r>
      <w:r w:rsidR="00A063F6" w:rsidRPr="0049187C">
        <w:rPr>
          <w:lang w:val="ru-RU"/>
        </w:rPr>
        <w:t>относящимся к</w:t>
      </w:r>
      <w:r w:rsidRPr="0049187C">
        <w:rPr>
          <w:lang w:val="ru-RU"/>
        </w:rPr>
        <w:t xml:space="preserve"> сфер</w:t>
      </w:r>
      <w:r w:rsidR="00A063F6" w:rsidRPr="0049187C">
        <w:rPr>
          <w:lang w:val="ru-RU"/>
        </w:rPr>
        <w:t>е</w:t>
      </w:r>
      <w:r w:rsidRPr="0049187C">
        <w:rPr>
          <w:lang w:val="ru-RU"/>
        </w:rPr>
        <w:t xml:space="preserve"> применения настоящего стандарта, и содержит один или несколько встроенных производных инструментов, пункт 4.3.3 требует, чтобы организация идентифицировала такой встроенный производный инструмент, оценила необходимость его отделения от основного договора и оцени</w:t>
      </w:r>
      <w:r w:rsidR="00A063F6" w:rsidRPr="0049187C">
        <w:rPr>
          <w:lang w:val="ru-RU"/>
        </w:rPr>
        <w:t>ва</w:t>
      </w:r>
      <w:r w:rsidRPr="0049187C">
        <w:rPr>
          <w:lang w:val="ru-RU"/>
        </w:rPr>
        <w:t>ла производные инструменты</w:t>
      </w:r>
      <w:r w:rsidR="00E66053">
        <w:rPr>
          <w:lang w:val="ru-RU"/>
        </w:rPr>
        <w:t>, которые должны быть отделены,</w:t>
      </w:r>
      <w:r w:rsidRPr="0049187C">
        <w:rPr>
          <w:lang w:val="ru-RU"/>
        </w:rPr>
        <w:t xml:space="preserve"> по справедливой стоимости при первоначальном признании и впоследствии. Эти требования могут оказаться более сложными или привести к возникновению менее надежных оценок по сравнению с оценкой всего </w:t>
      </w:r>
      <w:r w:rsidR="0091236B">
        <w:rPr>
          <w:lang w:val="ru-RU"/>
        </w:rPr>
        <w:t>инструмента</w:t>
      </w:r>
      <w:r w:rsidR="0091236B" w:rsidRPr="0049187C">
        <w:rPr>
          <w:lang w:val="ru-RU"/>
        </w:rPr>
        <w:t xml:space="preserve"> </w:t>
      </w:r>
      <w:r w:rsidRPr="0049187C">
        <w:rPr>
          <w:lang w:val="ru-RU"/>
        </w:rPr>
        <w:t xml:space="preserve">по справедливой стоимости через прибыль или убыток. По этой причине настоящий стандарт разрешает </w:t>
      </w:r>
      <w:r w:rsidR="00CD3637">
        <w:rPr>
          <w:lang w:val="ru-RU"/>
        </w:rPr>
        <w:t>классификацию по усмотрению организации</w:t>
      </w:r>
      <w:r w:rsidRPr="0049187C">
        <w:rPr>
          <w:lang w:val="ru-RU"/>
        </w:rPr>
        <w:t xml:space="preserve"> </w:t>
      </w:r>
      <w:r w:rsidR="00A063F6" w:rsidRPr="0049187C">
        <w:rPr>
          <w:lang w:val="ru-RU"/>
        </w:rPr>
        <w:t xml:space="preserve">всего </w:t>
      </w:r>
      <w:r w:rsidRPr="0049187C">
        <w:rPr>
          <w:lang w:val="ru-RU"/>
        </w:rPr>
        <w:t xml:space="preserve">гибридного договора как оцениваемого по справедливой стоимости </w:t>
      </w:r>
      <w:r w:rsidR="00A063F6" w:rsidRPr="0049187C">
        <w:rPr>
          <w:lang w:val="ru-RU"/>
        </w:rPr>
        <w:t>че</w:t>
      </w:r>
      <w:r w:rsidRPr="0049187C">
        <w:rPr>
          <w:lang w:val="ru-RU"/>
        </w:rPr>
        <w:t>рез прибыль или убыток.</w:t>
      </w:r>
    </w:p>
    <w:p w:rsidR="007D4BCC" w:rsidRPr="0049187C" w:rsidRDefault="00CD3637" w:rsidP="007D4BCC">
      <w:pPr>
        <w:pStyle w:val="IASBNormalnpara"/>
        <w:rPr>
          <w:lang w:val="ru-RU"/>
        </w:rPr>
      </w:pPr>
      <w:r>
        <w:rPr>
          <w:lang w:val="ru-RU"/>
        </w:rPr>
        <w:t>B4.3.10</w:t>
      </w:r>
      <w:r>
        <w:rPr>
          <w:lang w:val="ru-RU"/>
        </w:rPr>
        <w:tab/>
        <w:t>Такая</w:t>
      </w:r>
      <w:r w:rsidR="007D4BCC" w:rsidRPr="0049187C">
        <w:rPr>
          <w:lang w:val="ru-RU"/>
        </w:rPr>
        <w:t xml:space="preserve"> </w:t>
      </w:r>
      <w:r>
        <w:rPr>
          <w:lang w:val="ru-RU"/>
        </w:rPr>
        <w:t>классификация по усмотрению организации</w:t>
      </w:r>
      <w:r w:rsidR="007D4BCC" w:rsidRPr="0049187C">
        <w:rPr>
          <w:lang w:val="ru-RU"/>
        </w:rPr>
        <w:t xml:space="preserve"> может </w:t>
      </w:r>
      <w:r>
        <w:rPr>
          <w:lang w:val="ru-RU"/>
        </w:rPr>
        <w:t>быть использована</w:t>
      </w:r>
      <w:r w:rsidR="007D4BCC" w:rsidRPr="0049187C">
        <w:rPr>
          <w:lang w:val="ru-RU"/>
        </w:rPr>
        <w:t xml:space="preserve"> вне зависимости от того, разрешено ли отделение встроенных производных инструментов от основного договора согласно пункту 4.3.3 или нет. Однако пункт 4.3.5 не может использоваться для обоснования </w:t>
      </w:r>
      <w:r>
        <w:rPr>
          <w:lang w:val="ru-RU"/>
        </w:rPr>
        <w:t xml:space="preserve">классификации </w:t>
      </w:r>
      <w:r w:rsidR="007D4BCC" w:rsidRPr="0049187C">
        <w:rPr>
          <w:lang w:val="ru-RU"/>
        </w:rPr>
        <w:t>гибридного договора</w:t>
      </w:r>
      <w:r>
        <w:rPr>
          <w:lang w:val="ru-RU"/>
        </w:rPr>
        <w:t xml:space="preserve"> по усмотрению организации</w:t>
      </w:r>
      <w:r w:rsidR="007D4BCC" w:rsidRPr="0049187C">
        <w:rPr>
          <w:lang w:val="ru-RU"/>
        </w:rPr>
        <w:t xml:space="preserve"> как оцениваемого по справедливой стоимости через прибыль или убыток в случаях, предусмотренных пунктами 4.3.5(a) и (b), поскольку это не приводит ни к упрощению учета, ни к повышению надежности информации.</w:t>
      </w:r>
    </w:p>
    <w:p w:rsidR="007D4BCC" w:rsidRPr="0049187C" w:rsidRDefault="00786E89" w:rsidP="007D4BCC">
      <w:pPr>
        <w:pStyle w:val="IASBSectionTitle3Ind"/>
        <w:rPr>
          <w:lang w:val="ru-RU"/>
        </w:rPr>
      </w:pPr>
      <w:r>
        <w:rPr>
          <w:lang w:val="ru-RU"/>
        </w:rPr>
        <w:t>Повторный анализ</w:t>
      </w:r>
      <w:r w:rsidR="007D4BCC" w:rsidRPr="0049187C">
        <w:rPr>
          <w:lang w:val="ru-RU"/>
        </w:rPr>
        <w:t xml:space="preserve"> встроенных производных инструментов</w:t>
      </w:r>
    </w:p>
    <w:p w:rsidR="007D4BCC" w:rsidRPr="0049187C" w:rsidRDefault="007D4BCC" w:rsidP="007D4BCC">
      <w:pPr>
        <w:pStyle w:val="IASBNormalnpara"/>
        <w:rPr>
          <w:lang w:val="ru-RU"/>
        </w:rPr>
      </w:pPr>
      <w:r w:rsidRPr="0049187C">
        <w:rPr>
          <w:lang w:val="ru-RU"/>
        </w:rPr>
        <w:t>B4.3.11</w:t>
      </w:r>
      <w:r w:rsidRPr="0049187C">
        <w:rPr>
          <w:lang w:val="ru-RU"/>
        </w:rPr>
        <w:tab/>
        <w:t xml:space="preserve">В соответствии с пунктом 4.3.3 организация должна оценить необходимость отделения встроенного производного инструмента от основного договора и его учета как производного инструмента, когда организация </w:t>
      </w:r>
      <w:r w:rsidR="0091236B" w:rsidRPr="0049187C">
        <w:rPr>
          <w:lang w:val="ru-RU"/>
        </w:rPr>
        <w:t xml:space="preserve">впервые </w:t>
      </w:r>
      <w:r w:rsidRPr="0049187C">
        <w:rPr>
          <w:lang w:val="ru-RU"/>
        </w:rPr>
        <w:t>становится стороной договора. П</w:t>
      </w:r>
      <w:r w:rsidR="00A40C98" w:rsidRPr="0049187C">
        <w:rPr>
          <w:lang w:val="ru-RU"/>
        </w:rPr>
        <w:t xml:space="preserve">оследующий </w:t>
      </w:r>
      <w:r w:rsidR="00AE2C86">
        <w:rPr>
          <w:lang w:val="ru-RU"/>
        </w:rPr>
        <w:t>повторный анализ</w:t>
      </w:r>
      <w:r w:rsidRPr="0049187C">
        <w:rPr>
          <w:lang w:val="ru-RU"/>
        </w:rPr>
        <w:t xml:space="preserve"> запрещается, кроме случаев, когда условия договора изменяются настолько, что значительно модифицируют денежные потоки, которые в противном случае требовались бы в соответствии с договором, при этом </w:t>
      </w:r>
      <w:r w:rsidR="00AE2C86">
        <w:rPr>
          <w:lang w:val="ru-RU"/>
        </w:rPr>
        <w:t>повторный анализ</w:t>
      </w:r>
      <w:r w:rsidRPr="0049187C">
        <w:rPr>
          <w:lang w:val="ru-RU"/>
        </w:rPr>
        <w:t xml:space="preserve"> является обязательным. Организация определяет, является ли модификация денежных потоков значительной путем анализа степени изменения ожидаемых будущих денежных потоков, связанных с данным встроенным производным инструментом, основным договором или и тем, и другим, и то</w:t>
      </w:r>
      <w:r w:rsidR="00A40C98" w:rsidRPr="0049187C">
        <w:rPr>
          <w:lang w:val="ru-RU"/>
        </w:rPr>
        <w:t>го</w:t>
      </w:r>
      <w:r w:rsidRPr="0049187C">
        <w:rPr>
          <w:lang w:val="ru-RU"/>
        </w:rPr>
        <w:t>, является ли изменение значительным по сравнению с ранее ожида</w:t>
      </w:r>
      <w:r w:rsidR="00A40C98" w:rsidRPr="0049187C">
        <w:rPr>
          <w:lang w:val="ru-RU"/>
        </w:rPr>
        <w:t>вшимися</w:t>
      </w:r>
      <w:r w:rsidRPr="0049187C">
        <w:rPr>
          <w:lang w:val="ru-RU"/>
        </w:rPr>
        <w:t xml:space="preserve"> денежными потоками по договору.</w:t>
      </w:r>
    </w:p>
    <w:p w:rsidR="007D4BCC" w:rsidRPr="0049187C" w:rsidRDefault="007D4BCC" w:rsidP="007D4BCC">
      <w:pPr>
        <w:pStyle w:val="IASBNormalnpara"/>
        <w:rPr>
          <w:lang w:val="ru-RU"/>
        </w:rPr>
      </w:pPr>
      <w:r w:rsidRPr="0049187C">
        <w:rPr>
          <w:lang w:val="ru-RU"/>
        </w:rPr>
        <w:t>B4.3.12</w:t>
      </w:r>
      <w:r w:rsidRPr="0049187C">
        <w:rPr>
          <w:lang w:val="ru-RU"/>
        </w:rPr>
        <w:tab/>
        <w:t>Пункт B4.3.11 не применяется к встроенным производным инструментам в договорах, приобретенных при:</w:t>
      </w:r>
    </w:p>
    <w:p w:rsidR="007D4BCC" w:rsidRPr="0049187C" w:rsidRDefault="00A35DF0" w:rsidP="004D2F3F">
      <w:pPr>
        <w:pStyle w:val="IASBNormalnparaL1"/>
        <w:numPr>
          <w:ilvl w:val="0"/>
          <w:numId w:val="42"/>
        </w:numPr>
        <w:ind w:left="1418" w:hanging="425"/>
        <w:rPr>
          <w:lang w:val="ru-RU"/>
        </w:rPr>
      </w:pPr>
      <w:r>
        <w:rPr>
          <w:lang w:val="ru-RU"/>
        </w:rPr>
        <w:t>объединении бизнесов</w:t>
      </w:r>
      <w:r w:rsidR="007D4BCC" w:rsidRPr="0049187C">
        <w:rPr>
          <w:lang w:val="ru-RU"/>
        </w:rPr>
        <w:t xml:space="preserve"> (в соответствии с определением в МСФО (IFRS) 3 </w:t>
      </w:r>
      <w:r w:rsidR="00A40C98" w:rsidRPr="004D2F3F">
        <w:rPr>
          <w:i/>
          <w:lang w:val="ru-RU"/>
        </w:rPr>
        <w:t>«</w:t>
      </w:r>
      <w:r>
        <w:rPr>
          <w:i/>
          <w:lang w:val="ru-RU"/>
        </w:rPr>
        <w:t>Объединения бизнесов</w:t>
      </w:r>
      <w:r w:rsidR="00A40C98" w:rsidRPr="004D2F3F">
        <w:rPr>
          <w:i/>
          <w:lang w:val="ru-RU"/>
        </w:rPr>
        <w:t>»</w:t>
      </w:r>
      <w:r w:rsidR="007D4BCC" w:rsidRPr="0049187C">
        <w:rPr>
          <w:lang w:val="ru-RU"/>
        </w:rPr>
        <w:t>);</w:t>
      </w:r>
    </w:p>
    <w:p w:rsidR="007D4BCC" w:rsidRPr="0049187C" w:rsidRDefault="007D4BCC" w:rsidP="004D2F3F">
      <w:pPr>
        <w:pStyle w:val="IASBNormalnparaL1"/>
        <w:numPr>
          <w:ilvl w:val="0"/>
          <w:numId w:val="42"/>
        </w:numPr>
        <w:ind w:left="1418" w:hanging="425"/>
        <w:rPr>
          <w:lang w:val="ru-RU"/>
        </w:rPr>
      </w:pPr>
      <w:r w:rsidRPr="0049187C">
        <w:rPr>
          <w:lang w:val="ru-RU"/>
        </w:rPr>
        <w:t>объединении организаций или бизнесов, находящихся под общим контролем, как описано в пунктах B1</w:t>
      </w:r>
      <w:r w:rsidR="00A876BE" w:rsidRPr="008872E8">
        <w:rPr>
          <w:lang w:val="ru-RU"/>
        </w:rPr>
        <w:t>–</w:t>
      </w:r>
      <w:r w:rsidRPr="0049187C">
        <w:rPr>
          <w:lang w:val="ru-RU"/>
        </w:rPr>
        <w:t>B4 МСФО (IFRS) 3; или</w:t>
      </w:r>
    </w:p>
    <w:p w:rsidR="007D4BCC" w:rsidRPr="0049187C" w:rsidRDefault="007D4BCC" w:rsidP="004D2F3F">
      <w:pPr>
        <w:pStyle w:val="IASBNormalnparaL1"/>
        <w:numPr>
          <w:ilvl w:val="0"/>
          <w:numId w:val="42"/>
        </w:numPr>
        <w:ind w:left="1418" w:hanging="425"/>
        <w:rPr>
          <w:lang w:val="ru-RU"/>
        </w:rPr>
      </w:pPr>
      <w:r w:rsidRPr="0049187C">
        <w:rPr>
          <w:lang w:val="ru-RU"/>
        </w:rPr>
        <w:t xml:space="preserve"> создании совместного предприятия в соответствии с определением в МСФО (IFRS) 11 </w:t>
      </w:r>
      <w:r w:rsidR="00A40C98" w:rsidRPr="004D2F3F">
        <w:rPr>
          <w:i/>
          <w:lang w:val="ru-RU"/>
        </w:rPr>
        <w:t>«</w:t>
      </w:r>
      <w:r w:rsidRPr="004D2F3F">
        <w:rPr>
          <w:i/>
          <w:lang w:val="ru-RU"/>
        </w:rPr>
        <w:t>Совместное предпринимательств</w:t>
      </w:r>
      <w:r w:rsidR="00A40C98" w:rsidRPr="004D2F3F">
        <w:rPr>
          <w:i/>
          <w:lang w:val="ru-RU"/>
        </w:rPr>
        <w:t>о»</w:t>
      </w:r>
      <w:r w:rsidRPr="0049187C">
        <w:rPr>
          <w:lang w:val="ru-RU"/>
        </w:rPr>
        <w:t xml:space="preserve">, </w:t>
      </w:r>
    </w:p>
    <w:p w:rsidR="007D4BCC" w:rsidRPr="0049187C" w:rsidRDefault="007D4BCC" w:rsidP="007D4BCC">
      <w:pPr>
        <w:pStyle w:val="IASBNormalnparaP"/>
        <w:rPr>
          <w:lang w:val="ru-RU"/>
        </w:rPr>
      </w:pPr>
      <w:bookmarkStart w:id="220" w:name="F32626221"/>
      <w:r w:rsidRPr="0049187C">
        <w:rPr>
          <w:lang w:val="ru-RU"/>
        </w:rPr>
        <w:t>или к их возможному повторному анализу на дату приобретения</w:t>
      </w:r>
      <w:r w:rsidR="00D0061C" w:rsidRPr="0049187C">
        <w:rPr>
          <w:vertAlign w:val="superscript"/>
          <w:lang w:val="ru-RU"/>
        </w:rPr>
        <w:footnoteReference w:id="4"/>
      </w:r>
      <w:r w:rsidRPr="0049187C">
        <w:rPr>
          <w:lang w:val="ru-RU"/>
        </w:rPr>
        <w:t>.</w:t>
      </w:r>
      <w:bookmarkEnd w:id="220"/>
    </w:p>
    <w:p w:rsidR="007D4BCC" w:rsidRPr="0049187C" w:rsidRDefault="007D4BCC" w:rsidP="007D4BCC">
      <w:pPr>
        <w:pStyle w:val="IASBSectionTitle2Ind"/>
        <w:rPr>
          <w:lang w:val="ru-RU"/>
        </w:rPr>
      </w:pPr>
      <w:r w:rsidRPr="0049187C">
        <w:rPr>
          <w:lang w:val="ru-RU"/>
        </w:rPr>
        <w:t>Реклассификация финансовых активов (Раздел 4.4)</w:t>
      </w:r>
    </w:p>
    <w:p w:rsidR="007D4BCC" w:rsidRPr="0049187C" w:rsidRDefault="007D4BCC" w:rsidP="007D4BCC">
      <w:pPr>
        <w:pStyle w:val="IASBSectionTitle3Ind"/>
        <w:rPr>
          <w:lang w:val="ru-RU"/>
        </w:rPr>
      </w:pPr>
      <w:r w:rsidRPr="0049187C">
        <w:rPr>
          <w:lang w:val="ru-RU"/>
        </w:rPr>
        <w:t>Реклассификация финансовых активов</w:t>
      </w:r>
    </w:p>
    <w:p w:rsidR="007D4BCC" w:rsidRPr="0049187C" w:rsidRDefault="007D4BCC" w:rsidP="007D4BCC">
      <w:pPr>
        <w:pStyle w:val="IASBNormalnpara"/>
        <w:rPr>
          <w:lang w:val="ru-RU"/>
        </w:rPr>
      </w:pPr>
      <w:r w:rsidRPr="0049187C">
        <w:rPr>
          <w:lang w:val="ru-RU"/>
        </w:rPr>
        <w:t>B4.4.1</w:t>
      </w:r>
      <w:r w:rsidRPr="0049187C">
        <w:rPr>
          <w:lang w:val="ru-RU"/>
        </w:rPr>
        <w:tab/>
        <w:t xml:space="preserve">В соответствии с пунктом 4.4.1 организация должна реклассифицировать финансовые активы в том случае, если </w:t>
      </w:r>
      <w:r w:rsidR="00855588">
        <w:rPr>
          <w:lang w:val="ru-RU"/>
        </w:rPr>
        <w:t>она</w:t>
      </w:r>
      <w:r w:rsidR="00855588" w:rsidRPr="0049187C">
        <w:rPr>
          <w:lang w:val="ru-RU"/>
        </w:rPr>
        <w:t xml:space="preserve"> </w:t>
      </w:r>
      <w:r w:rsidRPr="0049187C">
        <w:rPr>
          <w:lang w:val="ru-RU"/>
        </w:rPr>
        <w:t>изменила бизнес-модель</w:t>
      </w:r>
      <w:r w:rsidR="00855588">
        <w:rPr>
          <w:lang w:val="ru-RU"/>
        </w:rPr>
        <w:t xml:space="preserve">, используемую для </w:t>
      </w:r>
      <w:r w:rsidR="00855588" w:rsidRPr="0049187C">
        <w:rPr>
          <w:lang w:val="ru-RU"/>
        </w:rPr>
        <w:t>управлени</w:t>
      </w:r>
      <w:r w:rsidR="00855588">
        <w:rPr>
          <w:lang w:val="ru-RU"/>
        </w:rPr>
        <w:t>я</w:t>
      </w:r>
      <w:r w:rsidR="00855588" w:rsidRPr="0049187C">
        <w:rPr>
          <w:lang w:val="ru-RU"/>
        </w:rPr>
        <w:t xml:space="preserve"> </w:t>
      </w:r>
      <w:r w:rsidRPr="0049187C">
        <w:rPr>
          <w:lang w:val="ru-RU"/>
        </w:rPr>
        <w:t xml:space="preserve">данными финансовыми активами. Предполагается, что такие изменения будут происходить </w:t>
      </w:r>
      <w:r w:rsidR="00855588">
        <w:rPr>
          <w:lang w:val="ru-RU"/>
        </w:rPr>
        <w:t>редко</w:t>
      </w:r>
      <w:r w:rsidRPr="0049187C">
        <w:rPr>
          <w:lang w:val="ru-RU"/>
        </w:rPr>
        <w:t xml:space="preserve">. Такие изменения должны определяться высшим руководством организации в результате внешних или внутренних изменений и должны быть значительными для деятельности организации и очевидными для внешних сторон. </w:t>
      </w:r>
      <w:r w:rsidR="00A40C98" w:rsidRPr="0049187C">
        <w:rPr>
          <w:lang w:val="ru-RU"/>
        </w:rPr>
        <w:t>Соответственно</w:t>
      </w:r>
      <w:r w:rsidRPr="0049187C">
        <w:rPr>
          <w:lang w:val="ru-RU"/>
        </w:rPr>
        <w:t xml:space="preserve">, изменение в бизнес-модели организации произойдет </w:t>
      </w:r>
      <w:r w:rsidR="00206110">
        <w:rPr>
          <w:lang w:val="ru-RU"/>
        </w:rPr>
        <w:t>тогда</w:t>
      </w:r>
      <w:r w:rsidR="005F7A7F" w:rsidRPr="0049187C">
        <w:rPr>
          <w:lang w:val="ru-RU"/>
        </w:rPr>
        <w:t xml:space="preserve"> и </w:t>
      </w:r>
      <w:r w:rsidRPr="0049187C">
        <w:rPr>
          <w:lang w:val="ru-RU"/>
        </w:rPr>
        <w:t>только тогда, когда организация нач</w:t>
      </w:r>
      <w:r w:rsidR="00A40C98" w:rsidRPr="0049187C">
        <w:rPr>
          <w:lang w:val="ru-RU"/>
        </w:rPr>
        <w:t>нет</w:t>
      </w:r>
      <w:r w:rsidRPr="0049187C">
        <w:rPr>
          <w:lang w:val="ru-RU"/>
        </w:rPr>
        <w:t xml:space="preserve"> или прекра</w:t>
      </w:r>
      <w:r w:rsidR="00A40C98" w:rsidRPr="0049187C">
        <w:rPr>
          <w:lang w:val="ru-RU"/>
        </w:rPr>
        <w:t>тит</w:t>
      </w:r>
      <w:r w:rsidRPr="0049187C">
        <w:rPr>
          <w:lang w:val="ru-RU"/>
        </w:rPr>
        <w:t xml:space="preserve"> осуществлять значительную деятельность; например, если организация приобре</w:t>
      </w:r>
      <w:r w:rsidR="00A40C98" w:rsidRPr="0049187C">
        <w:rPr>
          <w:lang w:val="ru-RU"/>
        </w:rPr>
        <w:t>ла</w:t>
      </w:r>
      <w:r w:rsidRPr="0049187C">
        <w:rPr>
          <w:lang w:val="ru-RU"/>
        </w:rPr>
        <w:t>, произв</w:t>
      </w:r>
      <w:r w:rsidR="00A40C98" w:rsidRPr="0049187C">
        <w:rPr>
          <w:lang w:val="ru-RU"/>
        </w:rPr>
        <w:t>ела</w:t>
      </w:r>
      <w:r w:rsidRPr="0049187C">
        <w:rPr>
          <w:lang w:val="ru-RU"/>
        </w:rPr>
        <w:t xml:space="preserve"> выбытие или прекра</w:t>
      </w:r>
      <w:r w:rsidR="00A40C98" w:rsidRPr="0049187C">
        <w:rPr>
          <w:lang w:val="ru-RU"/>
        </w:rPr>
        <w:t>тила</w:t>
      </w:r>
      <w:r w:rsidRPr="0049187C">
        <w:rPr>
          <w:lang w:val="ru-RU"/>
        </w:rPr>
        <w:t xml:space="preserve"> </w:t>
      </w:r>
      <w:r w:rsidR="00A40C98" w:rsidRPr="0049187C">
        <w:rPr>
          <w:lang w:val="ru-RU"/>
        </w:rPr>
        <w:t xml:space="preserve">деятельность </w:t>
      </w:r>
      <w:r w:rsidRPr="0049187C">
        <w:rPr>
          <w:lang w:val="ru-RU"/>
        </w:rPr>
        <w:t xml:space="preserve">направления бизнеса. Примеры изменения </w:t>
      </w:r>
      <w:r w:rsidR="00855588">
        <w:rPr>
          <w:lang w:val="ru-RU"/>
        </w:rPr>
        <w:t xml:space="preserve">в </w:t>
      </w:r>
      <w:r w:rsidRPr="0049187C">
        <w:rPr>
          <w:lang w:val="ru-RU"/>
        </w:rPr>
        <w:t>бизнес-модели включают следующее:</w:t>
      </w:r>
    </w:p>
    <w:p w:rsidR="007D4BCC" w:rsidRPr="0049187C" w:rsidRDefault="007D4BCC" w:rsidP="004D2F3F">
      <w:pPr>
        <w:pStyle w:val="IASBNormalnparaL1"/>
        <w:numPr>
          <w:ilvl w:val="0"/>
          <w:numId w:val="43"/>
        </w:numPr>
        <w:rPr>
          <w:lang w:val="ru-RU"/>
        </w:rPr>
      </w:pPr>
      <w:r w:rsidRPr="0049187C">
        <w:rPr>
          <w:lang w:val="ru-RU"/>
        </w:rPr>
        <w:t>Организация имеет портфель коммерческих займов, которые она удерживает с целью продажи в краткосрочной перспективе. Организация приобретает компанию, которая управляет коммерческими займами и придерживается бизнес-модели, при которой займы удерживаются с целью получения предусмотренных договором денежных потоков. Портфель коммерческих займов больше не предназначается для продажи и теперь управляется вместе с приобретенными ко</w:t>
      </w:r>
      <w:r w:rsidR="009559ED">
        <w:rPr>
          <w:lang w:val="ru-RU"/>
        </w:rPr>
        <w:t>ммерческими займами; все вместе</w:t>
      </w:r>
      <w:r w:rsidRPr="0049187C">
        <w:rPr>
          <w:lang w:val="ru-RU"/>
        </w:rPr>
        <w:t xml:space="preserve"> они удерживаются для получения предусмотренных договором денежных потоков.</w:t>
      </w:r>
    </w:p>
    <w:p w:rsidR="007D4BCC" w:rsidRPr="0049187C" w:rsidRDefault="007D4BCC" w:rsidP="004D2F3F">
      <w:pPr>
        <w:pStyle w:val="IASBNormalnparaL1"/>
        <w:numPr>
          <w:ilvl w:val="0"/>
          <w:numId w:val="43"/>
        </w:numPr>
        <w:rPr>
          <w:lang w:val="ru-RU"/>
        </w:rPr>
      </w:pPr>
      <w:r w:rsidRPr="0049187C">
        <w:rPr>
          <w:lang w:val="ru-RU"/>
        </w:rPr>
        <w:t>Организация, предоставляющая финансовые услуги, принимает решение прекратить свою деятельность по ипотечному кредитованию физических лиц. По данному виду деятельности больше не принимаются новые клиенты, и организация, предоставляющая финансовые услуги, активно рекламирует свой портфель ипотечных займов для продажи.</w:t>
      </w:r>
    </w:p>
    <w:p w:rsidR="007D4BCC" w:rsidRPr="0049187C" w:rsidRDefault="007D4BCC" w:rsidP="007D4BCC">
      <w:pPr>
        <w:pStyle w:val="IASBNormalnpara"/>
        <w:rPr>
          <w:lang w:val="ru-RU"/>
        </w:rPr>
      </w:pPr>
      <w:r w:rsidRPr="0049187C">
        <w:rPr>
          <w:lang w:val="ru-RU"/>
        </w:rPr>
        <w:t>B4.4.2</w:t>
      </w:r>
      <w:r w:rsidRPr="0049187C">
        <w:rPr>
          <w:lang w:val="ru-RU"/>
        </w:rPr>
        <w:tab/>
        <w:t>Изменение цели бизнес-модели</w:t>
      </w:r>
      <w:r w:rsidR="009030F0">
        <w:rPr>
          <w:lang w:val="ru-RU"/>
        </w:rPr>
        <w:t>, используемой</w:t>
      </w:r>
      <w:r w:rsidRPr="0049187C">
        <w:rPr>
          <w:lang w:val="ru-RU"/>
        </w:rPr>
        <w:t xml:space="preserve"> организаци</w:t>
      </w:r>
      <w:r w:rsidR="009030F0">
        <w:rPr>
          <w:lang w:val="ru-RU"/>
        </w:rPr>
        <w:t>ей,</w:t>
      </w:r>
      <w:r w:rsidRPr="0049187C">
        <w:rPr>
          <w:lang w:val="ru-RU"/>
        </w:rPr>
        <w:t xml:space="preserve"> должно иметь место до даты реклассификации. Например, если организация, предоставляющая финансовые услуги, 15 февраля принимает решение закрыть свою деятельность по ипотечному кредитованию физических лиц и, следовательно, должна реклассифицировать все соответствующие финансовые активы 1 апреля (т</w:t>
      </w:r>
      <w:r w:rsidR="006D5C84" w:rsidRPr="0049187C">
        <w:rPr>
          <w:lang w:val="ru-RU"/>
        </w:rPr>
        <w:t>.</w:t>
      </w:r>
      <w:r w:rsidR="00F037BD">
        <w:rPr>
          <w:lang w:val="ru-RU"/>
        </w:rPr>
        <w:t> </w:t>
      </w:r>
      <w:r w:rsidRPr="0049187C">
        <w:rPr>
          <w:lang w:val="ru-RU"/>
        </w:rPr>
        <w:t>е</w:t>
      </w:r>
      <w:r w:rsidR="006D5C84" w:rsidRPr="0049187C">
        <w:rPr>
          <w:lang w:val="ru-RU"/>
        </w:rPr>
        <w:t>.</w:t>
      </w:r>
      <w:r w:rsidRPr="0049187C">
        <w:rPr>
          <w:lang w:val="ru-RU"/>
        </w:rPr>
        <w:t xml:space="preserve"> в первый день следующего отчетного периода орг</w:t>
      </w:r>
      <w:r w:rsidR="009559ED">
        <w:rPr>
          <w:lang w:val="ru-RU"/>
        </w:rPr>
        <w:t>анизации), организация не должна</w:t>
      </w:r>
      <w:r w:rsidRPr="0049187C">
        <w:rPr>
          <w:lang w:val="ru-RU"/>
        </w:rPr>
        <w:t xml:space="preserve"> принимать новых клиентов по данному виду деятельности или иным образом участвовать в видах деятельности, соотносимых с ее прежней бизнес-моделью, после 15 февраля.</w:t>
      </w:r>
    </w:p>
    <w:p w:rsidR="007D4BCC" w:rsidRPr="0049187C" w:rsidRDefault="007D4BCC" w:rsidP="007D4BCC">
      <w:pPr>
        <w:pStyle w:val="IASBNormalnpara"/>
        <w:rPr>
          <w:lang w:val="ru-RU"/>
        </w:rPr>
      </w:pPr>
      <w:r w:rsidRPr="0049187C">
        <w:rPr>
          <w:lang w:val="ru-RU"/>
        </w:rPr>
        <w:t>B4.4.3</w:t>
      </w:r>
      <w:r w:rsidRPr="0049187C">
        <w:rPr>
          <w:lang w:val="ru-RU"/>
        </w:rPr>
        <w:tab/>
        <w:t xml:space="preserve">Следующие ситуации не представляют собой изменения </w:t>
      </w:r>
      <w:r w:rsidR="00B70362">
        <w:rPr>
          <w:lang w:val="ru-RU"/>
        </w:rPr>
        <w:t xml:space="preserve">в </w:t>
      </w:r>
      <w:r w:rsidRPr="0049187C">
        <w:rPr>
          <w:lang w:val="ru-RU"/>
        </w:rPr>
        <w:t>бизнес-модели:</w:t>
      </w:r>
    </w:p>
    <w:p w:rsidR="007D4BCC" w:rsidRPr="0049187C" w:rsidRDefault="007D4BCC" w:rsidP="004D2F3F">
      <w:pPr>
        <w:pStyle w:val="IASBNormalnparaL1"/>
        <w:numPr>
          <w:ilvl w:val="0"/>
          <w:numId w:val="44"/>
        </w:numPr>
        <w:rPr>
          <w:lang w:val="ru-RU"/>
        </w:rPr>
      </w:pPr>
      <w:r w:rsidRPr="0049187C">
        <w:rPr>
          <w:lang w:val="ru-RU"/>
        </w:rPr>
        <w:t xml:space="preserve">изменение </w:t>
      </w:r>
      <w:r w:rsidR="00B70362" w:rsidRPr="0049187C">
        <w:rPr>
          <w:lang w:val="ru-RU"/>
        </w:rPr>
        <w:t>намерени</w:t>
      </w:r>
      <w:r w:rsidR="00B70362">
        <w:rPr>
          <w:lang w:val="ru-RU"/>
        </w:rPr>
        <w:t>й</w:t>
      </w:r>
      <w:r w:rsidR="00B70362" w:rsidRPr="0049187C">
        <w:rPr>
          <w:lang w:val="ru-RU"/>
        </w:rPr>
        <w:t xml:space="preserve"> </w:t>
      </w:r>
      <w:r w:rsidRPr="0049187C">
        <w:rPr>
          <w:lang w:val="ru-RU"/>
        </w:rPr>
        <w:t>в отношении определенных финансовых активов (даже в обстоятельствах значитель</w:t>
      </w:r>
      <w:r w:rsidR="00F037BD">
        <w:rPr>
          <w:lang w:val="ru-RU"/>
        </w:rPr>
        <w:t>ных изменений рыночных условий);</w:t>
      </w:r>
    </w:p>
    <w:p w:rsidR="007D4BCC" w:rsidRPr="0049187C" w:rsidRDefault="007D4BCC" w:rsidP="004D2F3F">
      <w:pPr>
        <w:pStyle w:val="IASBNormalnparaL1"/>
        <w:numPr>
          <w:ilvl w:val="0"/>
          <w:numId w:val="44"/>
        </w:numPr>
        <w:rPr>
          <w:lang w:val="ru-RU"/>
        </w:rPr>
      </w:pPr>
      <w:r w:rsidRPr="0049187C">
        <w:rPr>
          <w:lang w:val="ru-RU"/>
        </w:rPr>
        <w:t xml:space="preserve">временное исчезновение определенного рынка </w:t>
      </w:r>
      <w:r w:rsidR="00B70362">
        <w:rPr>
          <w:lang w:val="ru-RU"/>
        </w:rPr>
        <w:t xml:space="preserve">для </w:t>
      </w:r>
      <w:r w:rsidR="00F037BD">
        <w:rPr>
          <w:lang w:val="ru-RU"/>
        </w:rPr>
        <w:t>финансовых активов;</w:t>
      </w:r>
    </w:p>
    <w:p w:rsidR="007D4BCC" w:rsidRPr="0049187C" w:rsidRDefault="007D4BCC" w:rsidP="004D2F3F">
      <w:pPr>
        <w:pStyle w:val="IASBNormalnparaL1"/>
        <w:numPr>
          <w:ilvl w:val="0"/>
          <w:numId w:val="44"/>
        </w:numPr>
        <w:rPr>
          <w:lang w:val="ru-RU"/>
        </w:rPr>
      </w:pPr>
      <w:r w:rsidRPr="0049187C">
        <w:rPr>
          <w:lang w:val="ru-RU"/>
        </w:rPr>
        <w:t>передача финансовых активов между подразделениями организаци</w:t>
      </w:r>
      <w:r w:rsidR="006D5C84" w:rsidRPr="0049187C">
        <w:rPr>
          <w:lang w:val="ru-RU"/>
        </w:rPr>
        <w:t>и</w:t>
      </w:r>
      <w:r w:rsidRPr="0049187C">
        <w:rPr>
          <w:lang w:val="ru-RU"/>
        </w:rPr>
        <w:t xml:space="preserve">, </w:t>
      </w:r>
      <w:r w:rsidR="00B70362">
        <w:rPr>
          <w:lang w:val="ru-RU"/>
        </w:rPr>
        <w:t>использующими</w:t>
      </w:r>
      <w:r w:rsidR="00B70362" w:rsidRPr="0049187C">
        <w:rPr>
          <w:lang w:val="ru-RU"/>
        </w:rPr>
        <w:t xml:space="preserve"> различны</w:t>
      </w:r>
      <w:r w:rsidR="00B70362">
        <w:rPr>
          <w:lang w:val="ru-RU"/>
        </w:rPr>
        <w:t>е</w:t>
      </w:r>
      <w:r w:rsidR="00B70362" w:rsidRPr="0049187C">
        <w:rPr>
          <w:lang w:val="ru-RU"/>
        </w:rPr>
        <w:t xml:space="preserve"> </w:t>
      </w:r>
      <w:r w:rsidRPr="0049187C">
        <w:rPr>
          <w:lang w:val="ru-RU"/>
        </w:rPr>
        <w:t>бизнес-</w:t>
      </w:r>
      <w:r w:rsidR="00B70362" w:rsidRPr="0049187C">
        <w:rPr>
          <w:lang w:val="ru-RU"/>
        </w:rPr>
        <w:t>модел</w:t>
      </w:r>
      <w:r w:rsidR="00B70362">
        <w:rPr>
          <w:lang w:val="ru-RU"/>
        </w:rPr>
        <w:t>и</w:t>
      </w:r>
      <w:r w:rsidRPr="0049187C">
        <w:rPr>
          <w:lang w:val="ru-RU"/>
        </w:rPr>
        <w:t>.</w:t>
      </w:r>
    </w:p>
    <w:p w:rsidR="001529CA" w:rsidRPr="0049187C" w:rsidRDefault="00954DDE">
      <w:pPr>
        <w:pStyle w:val="IASBSectionTitle1NonInd"/>
        <w:rPr>
          <w:lang w:val="ru-RU"/>
        </w:rPr>
      </w:pPr>
      <w:r w:rsidRPr="0049187C">
        <w:rPr>
          <w:lang w:val="ru-RU"/>
        </w:rPr>
        <w:t>Оценка</w:t>
      </w:r>
      <w:r w:rsidR="001529CA" w:rsidRPr="0049187C">
        <w:rPr>
          <w:lang w:val="ru-RU"/>
        </w:rPr>
        <w:t xml:space="preserve"> (</w:t>
      </w:r>
      <w:r w:rsidR="00C25F1D">
        <w:rPr>
          <w:lang w:val="ru-RU"/>
        </w:rPr>
        <w:t>Г</w:t>
      </w:r>
      <w:r w:rsidRPr="0049187C">
        <w:rPr>
          <w:lang w:val="ru-RU"/>
        </w:rPr>
        <w:t>лава</w:t>
      </w:r>
      <w:r w:rsidR="001529CA" w:rsidRPr="0049187C">
        <w:rPr>
          <w:lang w:val="ru-RU"/>
        </w:rPr>
        <w:t xml:space="preserve"> 5)</w:t>
      </w:r>
      <w:bookmarkEnd w:id="0"/>
    </w:p>
    <w:p w:rsidR="001529CA" w:rsidRPr="0049187C" w:rsidRDefault="00954DDE">
      <w:pPr>
        <w:pStyle w:val="IASBSectionTitle2Ind"/>
        <w:rPr>
          <w:lang w:val="ru-RU"/>
        </w:rPr>
      </w:pPr>
      <w:bookmarkStart w:id="221" w:name="F32626248"/>
      <w:r w:rsidRPr="0049187C">
        <w:rPr>
          <w:lang w:val="ru-RU"/>
        </w:rPr>
        <w:t>Первоначальная оценка</w:t>
      </w:r>
      <w:r w:rsidR="001529CA" w:rsidRPr="0049187C">
        <w:rPr>
          <w:lang w:val="ru-RU"/>
        </w:rPr>
        <w:t xml:space="preserve"> (</w:t>
      </w:r>
      <w:r w:rsidR="00C25F1D">
        <w:rPr>
          <w:lang w:val="ru-RU"/>
        </w:rPr>
        <w:t>Р</w:t>
      </w:r>
      <w:r w:rsidRPr="0049187C">
        <w:rPr>
          <w:lang w:val="ru-RU"/>
        </w:rPr>
        <w:t>аздел</w:t>
      </w:r>
      <w:r w:rsidR="001529CA" w:rsidRPr="0049187C">
        <w:rPr>
          <w:lang w:val="ru-RU"/>
        </w:rPr>
        <w:t xml:space="preserve"> 5.1)</w:t>
      </w:r>
      <w:bookmarkEnd w:id="221"/>
    </w:p>
    <w:p w:rsidR="000D4CAC" w:rsidRPr="0049187C" w:rsidRDefault="001529CA">
      <w:pPr>
        <w:pStyle w:val="IASBNormalnpara"/>
        <w:rPr>
          <w:lang w:val="ru-RU"/>
        </w:rPr>
      </w:pPr>
      <w:r w:rsidRPr="0049187C">
        <w:rPr>
          <w:lang w:val="ru-RU"/>
        </w:rPr>
        <w:t>B5.1.1</w:t>
      </w:r>
      <w:r w:rsidRPr="0049187C">
        <w:rPr>
          <w:lang w:val="ru-RU"/>
        </w:rPr>
        <w:tab/>
      </w:r>
      <w:bookmarkStart w:id="222" w:name="F32626249"/>
      <w:r w:rsidR="00EC085F" w:rsidRPr="007A6CF7">
        <w:rPr>
          <w:lang w:val="ru-RU"/>
        </w:rPr>
        <w:t>Справедливой стоимостью финансового инструмента при первоначальном признании обычно является цена сделки (т. е. справедливая стоимость возмещения, переданного или полученно</w:t>
      </w:r>
      <w:r w:rsidR="00EC085F">
        <w:rPr>
          <w:lang w:val="ru-RU"/>
        </w:rPr>
        <w:t>го</w:t>
      </w:r>
      <w:r w:rsidR="000D4CAC" w:rsidRPr="0049187C">
        <w:rPr>
          <w:lang w:val="ru-RU"/>
        </w:rPr>
        <w:t xml:space="preserve">; также см. пункт B5.1.2A и МСФО (IFRS) 13). </w:t>
      </w:r>
      <w:r w:rsidR="00EC085F" w:rsidRPr="007A6CF7">
        <w:rPr>
          <w:lang w:val="ru-RU"/>
        </w:rPr>
        <w:t xml:space="preserve">Однако если какая-то часть возмещения, переданного или полученного, относится не к финансовому инструменту, а к чему-либо другому, то организация должна оценить справедливую стоимость данного финансового инструмента. Например, справедливая стоимость долгосрочного займа или дебиторской задолженности, по которым не предусмотрены проценты, может быть оценена как приведенная стоимость всех будущих денежных поступлений, дисконтированных с использованием </w:t>
      </w:r>
      <w:r w:rsidR="00EC085F">
        <w:rPr>
          <w:lang w:val="ru-RU"/>
        </w:rPr>
        <w:t>превалирующей</w:t>
      </w:r>
      <w:r w:rsidR="00EC085F" w:rsidRPr="007A6CF7">
        <w:rPr>
          <w:lang w:val="ru-RU"/>
        </w:rPr>
        <w:t xml:space="preserve"> рыночной ставки (ставок) процента для аналогичного инструмента (аналогичного в отношении валюты, срока, типа процентной ставки и других факторов) с аналогичным кредитным рейтингом. Сумма, предоставленная взаймы сверх этой справедливой стоимости, является расходом или уменьшением дохода, за исключением случаев, когда она подлежит признанию как какой-либо другой вид актива</w:t>
      </w:r>
      <w:r w:rsidR="000D4CAC" w:rsidRPr="0049187C">
        <w:rPr>
          <w:lang w:val="ru-RU"/>
        </w:rPr>
        <w:t xml:space="preserve">. </w:t>
      </w:r>
    </w:p>
    <w:bookmarkEnd w:id="222"/>
    <w:p w:rsidR="001529CA" w:rsidRPr="0049187C" w:rsidRDefault="001529CA">
      <w:pPr>
        <w:pStyle w:val="IASBNormalnpara"/>
        <w:rPr>
          <w:lang w:val="ru-RU"/>
        </w:rPr>
      </w:pPr>
      <w:r w:rsidRPr="0049187C">
        <w:rPr>
          <w:lang w:val="ru-RU"/>
        </w:rPr>
        <w:t>B5.1.2</w:t>
      </w:r>
      <w:r w:rsidRPr="0049187C">
        <w:rPr>
          <w:lang w:val="ru-RU"/>
        </w:rPr>
        <w:tab/>
      </w:r>
      <w:bookmarkStart w:id="223" w:name="F32626255"/>
      <w:r w:rsidR="00EC085F" w:rsidRPr="007A6CF7">
        <w:rPr>
          <w:lang w:val="ru-RU"/>
        </w:rPr>
        <w:t>Если организация предоставляет заем под нерыночную процентную ставку (например, 5 процентов, в то время как рыночная ставка по аналогичным займам равна 8 проц</w:t>
      </w:r>
      <w:r w:rsidR="00EC085F">
        <w:rPr>
          <w:lang w:val="ru-RU"/>
        </w:rPr>
        <w:t>ентам)</w:t>
      </w:r>
      <w:r w:rsidR="00EC085F" w:rsidRPr="007A6CF7">
        <w:rPr>
          <w:lang w:val="ru-RU"/>
        </w:rPr>
        <w:t xml:space="preserve"> и получает в качестве компенсации первоначальный платеж, она признает зае</w:t>
      </w:r>
      <w:r w:rsidR="00EC085F">
        <w:rPr>
          <w:lang w:val="ru-RU"/>
        </w:rPr>
        <w:t>м по справедливой стоимости, т. </w:t>
      </w:r>
      <w:r w:rsidR="00EC085F" w:rsidRPr="007A6CF7">
        <w:rPr>
          <w:lang w:val="ru-RU"/>
        </w:rPr>
        <w:t>е. за вычетом полученного платежа</w:t>
      </w:r>
      <w:r w:rsidR="000D4CAC" w:rsidRPr="0049187C">
        <w:rPr>
          <w:lang w:val="ru-RU"/>
        </w:rPr>
        <w:t>.</w:t>
      </w:r>
      <w:bookmarkEnd w:id="223"/>
    </w:p>
    <w:p w:rsidR="000D4CAC" w:rsidRPr="0049187C" w:rsidRDefault="001529CA">
      <w:pPr>
        <w:pStyle w:val="IASBNormalnpara"/>
        <w:rPr>
          <w:lang w:val="ru-RU"/>
        </w:rPr>
      </w:pPr>
      <w:r w:rsidRPr="0049187C">
        <w:rPr>
          <w:lang w:val="ru-RU"/>
        </w:rPr>
        <w:t>B5.1.2A</w:t>
      </w:r>
      <w:r w:rsidRPr="0049187C">
        <w:rPr>
          <w:lang w:val="ru-RU"/>
        </w:rPr>
        <w:tab/>
      </w:r>
      <w:bookmarkStart w:id="224" w:name="F32626258"/>
      <w:r w:rsidR="000D4CAC" w:rsidRPr="0049187C">
        <w:rPr>
          <w:lang w:val="ru-RU"/>
        </w:rPr>
        <w:t xml:space="preserve">Наилучшим подтверждением справедливой стоимости финансового инструмента при первоначальном признании, как правило, является цена </w:t>
      </w:r>
      <w:r w:rsidR="003C3EED">
        <w:rPr>
          <w:lang w:val="ru-RU"/>
        </w:rPr>
        <w:t>сделки</w:t>
      </w:r>
      <w:r w:rsidR="003C3EED" w:rsidRPr="0049187C">
        <w:rPr>
          <w:lang w:val="ru-RU"/>
        </w:rPr>
        <w:t xml:space="preserve"> </w:t>
      </w:r>
      <w:r w:rsidR="00A2669C">
        <w:rPr>
          <w:lang w:val="ru-RU"/>
        </w:rPr>
        <w:t>(т.</w:t>
      </w:r>
      <w:r w:rsidR="00A2669C">
        <w:t> </w:t>
      </w:r>
      <w:r w:rsidR="000D4CAC" w:rsidRPr="0049187C">
        <w:rPr>
          <w:lang w:val="ru-RU"/>
        </w:rPr>
        <w:t>е. справедливая стоимость возмещен</w:t>
      </w:r>
      <w:r w:rsidR="002F707F">
        <w:rPr>
          <w:lang w:val="ru-RU"/>
        </w:rPr>
        <w:t>ия, переданного или полученного;</w:t>
      </w:r>
      <w:r w:rsidR="000D4CAC" w:rsidRPr="0049187C">
        <w:rPr>
          <w:lang w:val="ru-RU"/>
        </w:rPr>
        <w:t xml:space="preserve"> также см. МСФО (IFRS) 13). Если организация определяет, что справедливая стоимость при первоначальном признании отличается от цены </w:t>
      </w:r>
      <w:r w:rsidR="003C3EED">
        <w:rPr>
          <w:lang w:val="ru-RU"/>
        </w:rPr>
        <w:t>сделки</w:t>
      </w:r>
      <w:r w:rsidR="000D4CAC" w:rsidRPr="0049187C">
        <w:rPr>
          <w:lang w:val="ru-RU"/>
        </w:rPr>
        <w:t xml:space="preserve">, как отмечено в пункте 5.1.1A, организация должна учитывать этот инструмент на указанную дату следующим образом: </w:t>
      </w:r>
    </w:p>
    <w:bookmarkEnd w:id="224"/>
    <w:p w:rsidR="000D4CAC" w:rsidRPr="00A2669C" w:rsidRDefault="001529CA">
      <w:pPr>
        <w:pStyle w:val="IASBNormalnparaL1"/>
        <w:rPr>
          <w:lang w:val="ru-RU"/>
        </w:rPr>
      </w:pPr>
      <w:r w:rsidRPr="0049187C">
        <w:rPr>
          <w:lang w:val="ru-RU"/>
        </w:rPr>
        <w:t>(a)</w:t>
      </w:r>
      <w:r w:rsidRPr="0049187C">
        <w:rPr>
          <w:lang w:val="ru-RU"/>
        </w:rPr>
        <w:tab/>
      </w:r>
      <w:bookmarkStart w:id="225" w:name="F32626264"/>
      <w:r w:rsidR="000D4CAC" w:rsidRPr="0049187C">
        <w:rPr>
          <w:lang w:val="ru-RU"/>
        </w:rPr>
        <w:t xml:space="preserve">в </w:t>
      </w:r>
      <w:r w:rsidR="004A0E6F">
        <w:rPr>
          <w:lang w:val="ru-RU"/>
        </w:rPr>
        <w:t xml:space="preserve">сумме </w:t>
      </w:r>
      <w:r w:rsidR="000D4CAC" w:rsidRPr="0049187C">
        <w:rPr>
          <w:lang w:val="ru-RU"/>
        </w:rPr>
        <w:t xml:space="preserve">оценки, требуемой пунктом 5.1.1, если </w:t>
      </w:r>
      <w:r w:rsidR="004A0E6F">
        <w:rPr>
          <w:lang w:val="ru-RU"/>
        </w:rPr>
        <w:t>данная</w:t>
      </w:r>
      <w:r w:rsidR="004A0E6F" w:rsidRPr="0049187C">
        <w:rPr>
          <w:lang w:val="ru-RU"/>
        </w:rPr>
        <w:t xml:space="preserve"> </w:t>
      </w:r>
      <w:r w:rsidR="000D4CAC" w:rsidRPr="0049187C">
        <w:rPr>
          <w:lang w:val="ru-RU"/>
        </w:rPr>
        <w:t>справедливая стоимость подтверждается котируемой ценой на идентичный актив или обяз</w:t>
      </w:r>
      <w:r w:rsidR="00A2669C">
        <w:rPr>
          <w:lang w:val="ru-RU"/>
        </w:rPr>
        <w:t>ательство на активном рынке (т. </w:t>
      </w:r>
      <w:r w:rsidR="000D4CAC" w:rsidRPr="0049187C">
        <w:rPr>
          <w:lang w:val="ru-RU"/>
        </w:rPr>
        <w:t xml:space="preserve">е. исходные данные 1 Уровня) или основывается на модели оценки, при которой используются </w:t>
      </w:r>
      <w:r w:rsidR="004439A0" w:rsidRPr="0049187C">
        <w:rPr>
          <w:lang w:val="ru-RU"/>
        </w:rPr>
        <w:t>только</w:t>
      </w:r>
      <w:r w:rsidR="000D4CAC" w:rsidRPr="0049187C">
        <w:rPr>
          <w:lang w:val="ru-RU"/>
        </w:rPr>
        <w:t xml:space="preserve"> данные наблюдаемого рынка. Организация должна признавать разницу между справедливой стоимостью при первоначальном признании и ценой </w:t>
      </w:r>
      <w:r w:rsidR="003C3EED">
        <w:rPr>
          <w:lang w:val="ru-RU"/>
        </w:rPr>
        <w:t>сделки</w:t>
      </w:r>
      <w:r w:rsidR="003C3EED" w:rsidRPr="0049187C">
        <w:rPr>
          <w:lang w:val="ru-RU"/>
        </w:rPr>
        <w:t xml:space="preserve"> </w:t>
      </w:r>
      <w:r w:rsidR="00A2669C">
        <w:rPr>
          <w:lang w:val="ru-RU"/>
        </w:rPr>
        <w:t>в качестве прибыли или убытка;</w:t>
      </w:r>
    </w:p>
    <w:bookmarkEnd w:id="225"/>
    <w:p w:rsidR="000D4CAC" w:rsidRPr="0049187C" w:rsidRDefault="000D4CAC">
      <w:pPr>
        <w:pStyle w:val="IASBNormalnparaL1"/>
        <w:rPr>
          <w:lang w:val="ru-RU"/>
        </w:rPr>
      </w:pPr>
      <w:r w:rsidRPr="0049187C">
        <w:rPr>
          <w:lang w:val="ru-RU"/>
        </w:rPr>
        <w:t xml:space="preserve"> </w:t>
      </w:r>
      <w:r w:rsidR="001529CA" w:rsidRPr="0049187C">
        <w:rPr>
          <w:lang w:val="ru-RU"/>
        </w:rPr>
        <w:t>(b)</w:t>
      </w:r>
      <w:r w:rsidR="001529CA" w:rsidRPr="0049187C">
        <w:rPr>
          <w:lang w:val="ru-RU"/>
        </w:rPr>
        <w:tab/>
      </w:r>
      <w:bookmarkStart w:id="226" w:name="F32626272"/>
      <w:r w:rsidRPr="0049187C">
        <w:rPr>
          <w:lang w:val="ru-RU"/>
        </w:rPr>
        <w:t xml:space="preserve">во всех остальных случаях </w:t>
      </w:r>
      <w:r w:rsidR="004A0E6F">
        <w:rPr>
          <w:lang w:val="ru-RU"/>
        </w:rPr>
        <w:t>в сумме</w:t>
      </w:r>
      <w:r w:rsidR="004A0E6F" w:rsidRPr="0049187C">
        <w:rPr>
          <w:lang w:val="ru-RU"/>
        </w:rPr>
        <w:t xml:space="preserve"> </w:t>
      </w:r>
      <w:r w:rsidRPr="0049187C">
        <w:rPr>
          <w:lang w:val="ru-RU"/>
        </w:rPr>
        <w:t>оценк</w:t>
      </w:r>
      <w:r w:rsidR="004A0E6F">
        <w:rPr>
          <w:lang w:val="ru-RU"/>
        </w:rPr>
        <w:t>и</w:t>
      </w:r>
      <w:r w:rsidRPr="0049187C">
        <w:rPr>
          <w:lang w:val="ru-RU"/>
        </w:rPr>
        <w:t>, требуемой пунктом 5.1.1, скорректированной, чтобы отсрочить разницу между справедливой стоимостью при первоначальном п</w:t>
      </w:r>
      <w:r w:rsidR="00C577C1">
        <w:rPr>
          <w:lang w:val="ru-RU"/>
        </w:rPr>
        <w:t xml:space="preserve">ризнании и ценой </w:t>
      </w:r>
      <w:r w:rsidR="003C3EED">
        <w:rPr>
          <w:lang w:val="ru-RU"/>
        </w:rPr>
        <w:t>сделки</w:t>
      </w:r>
      <w:r w:rsidR="00C577C1">
        <w:rPr>
          <w:lang w:val="ru-RU"/>
        </w:rPr>
        <w:t>. С момента</w:t>
      </w:r>
      <w:r w:rsidRPr="0049187C">
        <w:rPr>
          <w:lang w:val="ru-RU"/>
        </w:rPr>
        <w:t xml:space="preserve"> первоначального признания </w:t>
      </w:r>
      <w:r w:rsidR="004439A0" w:rsidRPr="0049187C">
        <w:rPr>
          <w:lang w:val="ru-RU"/>
        </w:rPr>
        <w:t>организация должна</w:t>
      </w:r>
      <w:r w:rsidRPr="0049187C">
        <w:rPr>
          <w:lang w:val="ru-RU"/>
        </w:rPr>
        <w:t xml:space="preserve"> призна</w:t>
      </w:r>
      <w:r w:rsidR="004A0E6F">
        <w:rPr>
          <w:lang w:val="ru-RU"/>
        </w:rPr>
        <w:t>ва</w:t>
      </w:r>
      <w:r w:rsidRPr="0049187C">
        <w:rPr>
          <w:lang w:val="ru-RU"/>
        </w:rPr>
        <w:t>ть эту отложенную разницу как прибыль или убыток</w:t>
      </w:r>
      <w:r w:rsidR="00A16E6E">
        <w:rPr>
          <w:lang w:val="ru-RU"/>
        </w:rPr>
        <w:t xml:space="preserve"> </w:t>
      </w:r>
      <w:r w:rsidRPr="0049187C">
        <w:rPr>
          <w:lang w:val="ru-RU"/>
        </w:rPr>
        <w:t xml:space="preserve">только в той мере, в которой она возникает в результате изменения фактора (в том числе временного), который участники рынка учитывали </w:t>
      </w:r>
      <w:r w:rsidR="004A0E6F" w:rsidRPr="0049187C">
        <w:rPr>
          <w:lang w:val="ru-RU"/>
        </w:rPr>
        <w:t xml:space="preserve">бы </w:t>
      </w:r>
      <w:r w:rsidRPr="0049187C">
        <w:rPr>
          <w:lang w:val="ru-RU"/>
        </w:rPr>
        <w:t>при установлении цены актива или обязательства.</w:t>
      </w:r>
    </w:p>
    <w:p w:rsidR="001529CA" w:rsidRPr="0049187C" w:rsidRDefault="004439A0">
      <w:pPr>
        <w:pStyle w:val="IASBSectionTitle2Ind"/>
        <w:rPr>
          <w:lang w:val="ru-RU"/>
        </w:rPr>
      </w:pPr>
      <w:bookmarkStart w:id="227" w:name="F32626276"/>
      <w:bookmarkEnd w:id="226"/>
      <w:r w:rsidRPr="0049187C">
        <w:rPr>
          <w:lang w:val="ru-RU"/>
        </w:rPr>
        <w:t>Последующая оценка</w:t>
      </w:r>
      <w:r w:rsidR="001529CA" w:rsidRPr="0049187C">
        <w:rPr>
          <w:lang w:val="ru-RU"/>
        </w:rPr>
        <w:t xml:space="preserve"> (</w:t>
      </w:r>
      <w:r w:rsidR="00C25F1D">
        <w:rPr>
          <w:lang w:val="ru-RU"/>
        </w:rPr>
        <w:t>Р</w:t>
      </w:r>
      <w:r w:rsidRPr="0049187C">
        <w:rPr>
          <w:lang w:val="ru-RU"/>
        </w:rPr>
        <w:t>азделы</w:t>
      </w:r>
      <w:r w:rsidR="001529CA" w:rsidRPr="0049187C">
        <w:rPr>
          <w:lang w:val="ru-RU"/>
        </w:rPr>
        <w:t xml:space="preserve"> 5.2 </w:t>
      </w:r>
      <w:r w:rsidRPr="0049187C">
        <w:rPr>
          <w:lang w:val="ru-RU"/>
        </w:rPr>
        <w:t>и</w:t>
      </w:r>
      <w:r w:rsidR="001529CA" w:rsidRPr="0049187C">
        <w:rPr>
          <w:lang w:val="ru-RU"/>
        </w:rPr>
        <w:t xml:space="preserve"> 5.3)</w:t>
      </w:r>
      <w:bookmarkEnd w:id="227"/>
    </w:p>
    <w:p w:rsidR="004439A0" w:rsidRPr="0049187C" w:rsidRDefault="001529CA">
      <w:pPr>
        <w:pStyle w:val="IASBNormalnpara"/>
        <w:rPr>
          <w:lang w:val="ru-RU"/>
        </w:rPr>
      </w:pPr>
      <w:r w:rsidRPr="0049187C">
        <w:rPr>
          <w:lang w:val="ru-RU"/>
        </w:rPr>
        <w:t>B5.2.1</w:t>
      </w:r>
      <w:r w:rsidRPr="0049187C">
        <w:rPr>
          <w:lang w:val="ru-RU"/>
        </w:rPr>
        <w:tab/>
      </w:r>
      <w:bookmarkStart w:id="228" w:name="F32626279"/>
      <w:r w:rsidR="004439A0" w:rsidRPr="0049187C">
        <w:rPr>
          <w:lang w:val="ru-RU"/>
        </w:rPr>
        <w:t>В случае, если финансовый инструмент, который был ранее признан как финансовый актив, оценивается по справедливой сто</w:t>
      </w:r>
      <w:r w:rsidR="00EC0906">
        <w:rPr>
          <w:lang w:val="ru-RU"/>
        </w:rPr>
        <w:t>имости через прибыль или убыток</w:t>
      </w:r>
      <w:r w:rsidR="004439A0" w:rsidRPr="0049187C">
        <w:rPr>
          <w:lang w:val="ru-RU"/>
        </w:rPr>
        <w:t xml:space="preserve"> и его справедливая стоимость падает ниже нуля, он является финансовым обязательством, оцениваемым в соответствии с пунктом 4.2.1. Однако, гибридные договоры, включающие основные договоры, которые являются активами, </w:t>
      </w:r>
      <w:r w:rsidR="009F4F5B" w:rsidRPr="0049187C">
        <w:rPr>
          <w:lang w:val="ru-RU"/>
        </w:rPr>
        <w:t>относящимися к</w:t>
      </w:r>
      <w:r w:rsidR="004439A0" w:rsidRPr="0049187C">
        <w:rPr>
          <w:lang w:val="ru-RU"/>
        </w:rPr>
        <w:t xml:space="preserve"> сфер</w:t>
      </w:r>
      <w:r w:rsidR="009F4F5B" w:rsidRPr="0049187C">
        <w:rPr>
          <w:lang w:val="ru-RU"/>
        </w:rPr>
        <w:t>е</w:t>
      </w:r>
      <w:r w:rsidR="004439A0" w:rsidRPr="0049187C">
        <w:rPr>
          <w:lang w:val="ru-RU"/>
        </w:rPr>
        <w:t xml:space="preserve"> применения настоящего стандарта, всегда оцениваются в соответствии с пунктом 4.3.2.</w:t>
      </w:r>
    </w:p>
    <w:bookmarkEnd w:id="228"/>
    <w:p w:rsidR="001529CA" w:rsidRPr="0049187C" w:rsidRDefault="001529CA" w:rsidP="004439A0">
      <w:pPr>
        <w:pStyle w:val="IASBNormalnpara"/>
        <w:rPr>
          <w:lang w:val="ru-RU"/>
        </w:rPr>
      </w:pPr>
      <w:r w:rsidRPr="0049187C">
        <w:rPr>
          <w:lang w:val="ru-RU"/>
        </w:rPr>
        <w:t>B5.2.2</w:t>
      </w:r>
      <w:r w:rsidRPr="0049187C">
        <w:rPr>
          <w:lang w:val="ru-RU"/>
        </w:rPr>
        <w:tab/>
      </w:r>
      <w:bookmarkStart w:id="229" w:name="F32626284"/>
      <w:r w:rsidR="004439A0" w:rsidRPr="0049187C">
        <w:rPr>
          <w:lang w:val="ru-RU"/>
        </w:rPr>
        <w:t>Следующий пример иллюстрирует учет затрат по сделке при первоначальной и последующей оценке финансового актива, оцениваемого по справедливой стоимости</w:t>
      </w:r>
      <w:r w:rsidR="00D71689">
        <w:rPr>
          <w:lang w:val="ru-RU"/>
        </w:rPr>
        <w:t xml:space="preserve"> через</w:t>
      </w:r>
      <w:r w:rsidR="004439A0" w:rsidRPr="0049187C">
        <w:rPr>
          <w:lang w:val="ru-RU"/>
        </w:rPr>
        <w:t xml:space="preserve"> </w:t>
      </w:r>
      <w:r w:rsidR="00D71689" w:rsidRPr="0049187C">
        <w:rPr>
          <w:lang w:val="ru-RU"/>
        </w:rPr>
        <w:t>проч</w:t>
      </w:r>
      <w:r w:rsidR="00D71689">
        <w:rPr>
          <w:lang w:val="ru-RU"/>
        </w:rPr>
        <w:t>ий</w:t>
      </w:r>
      <w:r w:rsidR="00D71689" w:rsidRPr="0049187C">
        <w:rPr>
          <w:lang w:val="ru-RU"/>
        </w:rPr>
        <w:t xml:space="preserve"> </w:t>
      </w:r>
      <w:r w:rsidR="004439A0" w:rsidRPr="0049187C">
        <w:rPr>
          <w:lang w:val="ru-RU"/>
        </w:rPr>
        <w:t>совокупн</w:t>
      </w:r>
      <w:r w:rsidR="00D71689">
        <w:rPr>
          <w:lang w:val="ru-RU"/>
        </w:rPr>
        <w:t>ый</w:t>
      </w:r>
      <w:r w:rsidR="004439A0" w:rsidRPr="0049187C">
        <w:rPr>
          <w:lang w:val="ru-RU"/>
        </w:rPr>
        <w:t xml:space="preserve"> доход в соответствии с пунктом</w:t>
      </w:r>
      <w:r w:rsidRPr="0049187C">
        <w:rPr>
          <w:lang w:val="ru-RU"/>
        </w:rPr>
        <w:t xml:space="preserve"> 5.7.5 </w:t>
      </w:r>
      <w:r w:rsidR="004439A0" w:rsidRPr="0049187C">
        <w:rPr>
          <w:lang w:val="ru-RU"/>
        </w:rPr>
        <w:t>либо</w:t>
      </w:r>
      <w:r w:rsidRPr="0049187C">
        <w:rPr>
          <w:lang w:val="ru-RU"/>
        </w:rPr>
        <w:t xml:space="preserve"> 4.1.2A. </w:t>
      </w:r>
      <w:r w:rsidR="004439A0" w:rsidRPr="0049187C">
        <w:rPr>
          <w:lang w:val="ru-RU"/>
        </w:rPr>
        <w:t xml:space="preserve">Организация приобретает финансовый актив за </w:t>
      </w:r>
      <w:r w:rsidRPr="0049187C">
        <w:rPr>
          <w:lang w:val="ru-RU"/>
        </w:rPr>
        <w:t>100</w:t>
      </w:r>
      <w:r w:rsidR="004439A0" w:rsidRPr="0049187C">
        <w:rPr>
          <w:lang w:val="ru-RU"/>
        </w:rPr>
        <w:t xml:space="preserve"> д. е.</w:t>
      </w:r>
      <w:r w:rsidRPr="0049187C">
        <w:rPr>
          <w:lang w:val="ru-RU"/>
        </w:rPr>
        <w:t xml:space="preserve"> </w:t>
      </w:r>
      <w:r w:rsidR="004439A0" w:rsidRPr="0049187C">
        <w:rPr>
          <w:lang w:val="ru-RU"/>
        </w:rPr>
        <w:t>плюс комиссия</w:t>
      </w:r>
      <w:r w:rsidR="00D71689">
        <w:rPr>
          <w:lang w:val="ru-RU"/>
        </w:rPr>
        <w:t>, уплаченная при приобретении</w:t>
      </w:r>
      <w:r w:rsidR="001D1E2F">
        <w:rPr>
          <w:lang w:val="ru-RU"/>
        </w:rPr>
        <w:t>,</w:t>
      </w:r>
      <w:r w:rsidR="004439A0" w:rsidRPr="0049187C">
        <w:rPr>
          <w:lang w:val="ru-RU"/>
        </w:rPr>
        <w:t xml:space="preserve"> в размере 2 д. е</w:t>
      </w:r>
      <w:r w:rsidRPr="0049187C">
        <w:rPr>
          <w:lang w:val="ru-RU"/>
        </w:rPr>
        <w:t xml:space="preserve">. </w:t>
      </w:r>
      <w:r w:rsidR="004439A0" w:rsidRPr="0049187C">
        <w:rPr>
          <w:lang w:val="ru-RU"/>
        </w:rPr>
        <w:t xml:space="preserve">Первоначально организация признает актив по стоимости 102 д. е. Конец отчетного периода наступает день спустя, когда рыночная котировка актива составляет 100 д. е. Если бы актив был продан, то была бы уплачена комиссия в размере 3 д. е. На эту дату организация оценивает актив в размере 100 д. е. (без учета возможной комиссии при продаже), а убыток в размере 2 д. е. признает в составе прочего совокупного дохода. Если финансовый актив оценивается по справедливой стоимости через прочий совокупный доход в соответствии с пунктом </w:t>
      </w:r>
      <w:r w:rsidRPr="0049187C">
        <w:rPr>
          <w:lang w:val="ru-RU"/>
        </w:rPr>
        <w:t xml:space="preserve">4.1.2A, </w:t>
      </w:r>
      <w:r w:rsidR="004439A0" w:rsidRPr="0049187C">
        <w:rPr>
          <w:lang w:val="ru-RU"/>
        </w:rPr>
        <w:t>затраты по сделке амортизируются в составе прибыли или убытка с использованием метода эффективной процентной ставки</w:t>
      </w:r>
      <w:r w:rsidRPr="0049187C">
        <w:rPr>
          <w:lang w:val="ru-RU"/>
        </w:rPr>
        <w:t>.</w:t>
      </w:r>
      <w:bookmarkEnd w:id="229"/>
    </w:p>
    <w:p w:rsidR="001529CA" w:rsidRPr="0049187C" w:rsidRDefault="001529CA">
      <w:pPr>
        <w:pStyle w:val="IASBNormalnpara"/>
        <w:rPr>
          <w:lang w:val="ru-RU"/>
        </w:rPr>
      </w:pPr>
      <w:r w:rsidRPr="0049187C">
        <w:rPr>
          <w:lang w:val="ru-RU"/>
        </w:rPr>
        <w:t>B5.2.2A</w:t>
      </w:r>
      <w:r w:rsidRPr="0049187C">
        <w:rPr>
          <w:lang w:val="ru-RU"/>
        </w:rPr>
        <w:tab/>
      </w:r>
      <w:bookmarkStart w:id="230" w:name="F32626287"/>
      <w:r w:rsidR="004439A0" w:rsidRPr="0049187C">
        <w:rPr>
          <w:lang w:val="ru-RU"/>
        </w:rPr>
        <w:t>Последующая оценка финансового актива или финансового обязательства, а также последующее признание прибылей и убытков, описанные в пункте B5.1.2A, должны соответствовать требованиям настоящего стандарта</w:t>
      </w:r>
      <w:r w:rsidRPr="0049187C">
        <w:rPr>
          <w:lang w:val="ru-RU"/>
        </w:rPr>
        <w:t xml:space="preserve">. </w:t>
      </w:r>
      <w:bookmarkEnd w:id="230"/>
    </w:p>
    <w:p w:rsidR="001529CA" w:rsidRPr="0049187C" w:rsidRDefault="004439A0">
      <w:pPr>
        <w:pStyle w:val="IASBSectionTitle3Ind"/>
        <w:rPr>
          <w:lang w:val="ru-RU"/>
        </w:rPr>
      </w:pPr>
      <w:r w:rsidRPr="0049187C">
        <w:rPr>
          <w:lang w:val="ru-RU"/>
        </w:rPr>
        <w:t xml:space="preserve">Инвестиции в долевые инструменты и договоры </w:t>
      </w:r>
      <w:r w:rsidR="004F2AD4">
        <w:rPr>
          <w:lang w:val="ru-RU"/>
        </w:rPr>
        <w:t>в отношении таких</w:t>
      </w:r>
      <w:r w:rsidRPr="0049187C">
        <w:rPr>
          <w:lang w:val="ru-RU"/>
        </w:rPr>
        <w:t xml:space="preserve"> инвестици</w:t>
      </w:r>
      <w:r w:rsidR="004F2AD4">
        <w:rPr>
          <w:lang w:val="ru-RU"/>
        </w:rPr>
        <w:t>й</w:t>
      </w:r>
    </w:p>
    <w:p w:rsidR="001529CA" w:rsidRPr="0049187C" w:rsidRDefault="001529CA">
      <w:pPr>
        <w:pStyle w:val="IASBNormalnpara"/>
        <w:rPr>
          <w:lang w:val="ru-RU"/>
        </w:rPr>
      </w:pPr>
      <w:r w:rsidRPr="0049187C">
        <w:rPr>
          <w:lang w:val="ru-RU"/>
        </w:rPr>
        <w:t>B5.2.3</w:t>
      </w:r>
      <w:r w:rsidRPr="0049187C">
        <w:rPr>
          <w:lang w:val="ru-RU"/>
        </w:rPr>
        <w:tab/>
      </w:r>
      <w:bookmarkStart w:id="231" w:name="F32626294"/>
      <w:r w:rsidR="00B65F5F" w:rsidRPr="0049187C">
        <w:rPr>
          <w:lang w:val="ru-RU"/>
        </w:rPr>
        <w:t xml:space="preserve">Все инвестиции в долевые инструменты и договоры </w:t>
      </w:r>
      <w:r w:rsidR="004F2AD4">
        <w:rPr>
          <w:lang w:val="ru-RU"/>
        </w:rPr>
        <w:t>в отношении</w:t>
      </w:r>
      <w:r w:rsidR="004F2AD4" w:rsidRPr="0049187C">
        <w:rPr>
          <w:lang w:val="ru-RU"/>
        </w:rPr>
        <w:t xml:space="preserve"> </w:t>
      </w:r>
      <w:r w:rsidR="00D71689">
        <w:rPr>
          <w:lang w:val="ru-RU"/>
        </w:rPr>
        <w:t>таки</w:t>
      </w:r>
      <w:r w:rsidR="004F2AD4">
        <w:rPr>
          <w:lang w:val="ru-RU"/>
        </w:rPr>
        <w:t>х</w:t>
      </w:r>
      <w:r w:rsidR="00D71689" w:rsidRPr="0049187C">
        <w:rPr>
          <w:lang w:val="ru-RU"/>
        </w:rPr>
        <w:t xml:space="preserve"> </w:t>
      </w:r>
      <w:r w:rsidR="00B65F5F" w:rsidRPr="0049187C">
        <w:rPr>
          <w:lang w:val="ru-RU"/>
        </w:rPr>
        <w:t>инструмент</w:t>
      </w:r>
      <w:r w:rsidR="004F2AD4">
        <w:rPr>
          <w:lang w:val="ru-RU"/>
        </w:rPr>
        <w:t>ов</w:t>
      </w:r>
      <w:r w:rsidR="00B65F5F" w:rsidRPr="0049187C">
        <w:rPr>
          <w:lang w:val="ru-RU"/>
        </w:rPr>
        <w:t xml:space="preserve"> должны оцениваться по справедливой стоимости. </w:t>
      </w:r>
      <w:r w:rsidR="00347830">
        <w:rPr>
          <w:lang w:val="ru-RU"/>
        </w:rPr>
        <w:t xml:space="preserve">Однако в редких обстоятельствах </w:t>
      </w:r>
      <w:r w:rsidR="00C034FB">
        <w:rPr>
          <w:lang w:val="ru-RU"/>
        </w:rPr>
        <w:t xml:space="preserve">первоначальная </w:t>
      </w:r>
      <w:r w:rsidR="00347830">
        <w:rPr>
          <w:lang w:val="ru-RU"/>
        </w:rPr>
        <w:t>стоимость может быть приемлемой оценкой справедливой стоимости.</w:t>
      </w:r>
      <w:r w:rsidR="00B65F5F" w:rsidRPr="0049187C">
        <w:rPr>
          <w:lang w:val="ru-RU"/>
        </w:rPr>
        <w:t xml:space="preserve"> </w:t>
      </w:r>
      <w:r w:rsidR="00347830">
        <w:rPr>
          <w:lang w:val="ru-RU"/>
        </w:rPr>
        <w:t>Это</w:t>
      </w:r>
      <w:r w:rsidR="00B65F5F" w:rsidRPr="0049187C">
        <w:rPr>
          <w:lang w:val="ru-RU"/>
        </w:rPr>
        <w:t xml:space="preserve"> может </w:t>
      </w:r>
      <w:r w:rsidR="00347830">
        <w:rPr>
          <w:lang w:val="ru-RU"/>
        </w:rPr>
        <w:t>иметь место</w:t>
      </w:r>
      <w:r w:rsidR="00347830" w:rsidRPr="0049187C">
        <w:rPr>
          <w:lang w:val="ru-RU"/>
        </w:rPr>
        <w:t xml:space="preserve"> </w:t>
      </w:r>
      <w:r w:rsidR="00B65F5F" w:rsidRPr="0049187C">
        <w:rPr>
          <w:lang w:val="ru-RU"/>
        </w:rPr>
        <w:t xml:space="preserve">в том случае, если </w:t>
      </w:r>
      <w:r w:rsidR="00347830">
        <w:rPr>
          <w:lang w:val="ru-RU"/>
        </w:rPr>
        <w:t>доступной</w:t>
      </w:r>
      <w:r w:rsidR="00347830" w:rsidRPr="0049187C">
        <w:rPr>
          <w:lang w:val="ru-RU"/>
        </w:rPr>
        <w:t xml:space="preserve"> </w:t>
      </w:r>
      <w:r w:rsidR="00B65F5F" w:rsidRPr="0049187C">
        <w:rPr>
          <w:lang w:val="ru-RU"/>
        </w:rPr>
        <w:t xml:space="preserve">новой информации недостаточно для оценки справедливой стоимости, или существует широкий диапазон возможных оценок справедливой стоимости, а </w:t>
      </w:r>
      <w:r w:rsidR="00C034FB">
        <w:rPr>
          <w:lang w:val="ru-RU"/>
        </w:rPr>
        <w:t xml:space="preserve">первоначальная </w:t>
      </w:r>
      <w:r w:rsidR="00B65F5F" w:rsidRPr="0049187C">
        <w:rPr>
          <w:lang w:val="ru-RU"/>
        </w:rPr>
        <w:t>стоимость представляет собой наилучшую оценку справедливой стоимости в пределах данного диапазона</w:t>
      </w:r>
      <w:r w:rsidRPr="0049187C">
        <w:rPr>
          <w:lang w:val="ru-RU"/>
        </w:rPr>
        <w:t>.</w:t>
      </w:r>
      <w:bookmarkEnd w:id="231"/>
    </w:p>
    <w:p w:rsidR="001529CA" w:rsidRPr="0049187C" w:rsidRDefault="001529CA">
      <w:pPr>
        <w:pStyle w:val="IASBNormalnpara"/>
        <w:rPr>
          <w:lang w:val="ru-RU"/>
        </w:rPr>
      </w:pPr>
      <w:r w:rsidRPr="0049187C">
        <w:rPr>
          <w:lang w:val="ru-RU"/>
        </w:rPr>
        <w:t>B5.2.4</w:t>
      </w:r>
      <w:r w:rsidRPr="0049187C">
        <w:rPr>
          <w:lang w:val="ru-RU"/>
        </w:rPr>
        <w:tab/>
      </w:r>
      <w:bookmarkStart w:id="232" w:name="F32626302"/>
      <w:r w:rsidR="00B65F5F" w:rsidRPr="0049187C">
        <w:rPr>
          <w:lang w:val="ru-RU"/>
        </w:rPr>
        <w:t xml:space="preserve">Признаки того, что </w:t>
      </w:r>
      <w:r w:rsidR="00C034FB">
        <w:rPr>
          <w:lang w:val="ru-RU"/>
        </w:rPr>
        <w:t xml:space="preserve">первоначальная </w:t>
      </w:r>
      <w:r w:rsidR="00B65F5F" w:rsidRPr="0049187C">
        <w:rPr>
          <w:lang w:val="ru-RU"/>
        </w:rPr>
        <w:t>стоимость может не отражать справедливую стоимость</w:t>
      </w:r>
      <w:r w:rsidR="00347830">
        <w:rPr>
          <w:lang w:val="ru-RU"/>
        </w:rPr>
        <w:t xml:space="preserve"> включают</w:t>
      </w:r>
      <w:r w:rsidRPr="0049187C">
        <w:rPr>
          <w:lang w:val="ru-RU"/>
        </w:rPr>
        <w:t>:</w:t>
      </w:r>
      <w:bookmarkEnd w:id="232"/>
    </w:p>
    <w:p w:rsidR="001529CA" w:rsidRPr="0049187C" w:rsidRDefault="001529CA">
      <w:pPr>
        <w:pStyle w:val="IASBNormalnparaL1"/>
        <w:rPr>
          <w:lang w:val="ru-RU"/>
        </w:rPr>
      </w:pPr>
      <w:r w:rsidRPr="0049187C">
        <w:rPr>
          <w:lang w:val="ru-RU"/>
        </w:rPr>
        <w:t>(a)</w:t>
      </w:r>
      <w:r w:rsidRPr="0049187C">
        <w:rPr>
          <w:lang w:val="ru-RU"/>
        </w:rPr>
        <w:tab/>
      </w:r>
      <w:bookmarkStart w:id="233" w:name="F32626307"/>
      <w:r w:rsidR="00B65F5F" w:rsidRPr="0049187C">
        <w:rPr>
          <w:lang w:val="ru-RU"/>
        </w:rPr>
        <w:t>значительное изменение результатов деятельности объекта инвестиций по сравнению с бюджетом, планами или целевыми ориентирами</w:t>
      </w:r>
      <w:bookmarkEnd w:id="233"/>
      <w:r w:rsidR="00EC0906">
        <w:rPr>
          <w:lang w:val="ru-RU"/>
        </w:rPr>
        <w:t>;</w:t>
      </w:r>
    </w:p>
    <w:p w:rsidR="001529CA" w:rsidRPr="0049187C" w:rsidRDefault="001529CA">
      <w:pPr>
        <w:pStyle w:val="IASBNormalnparaL1"/>
        <w:rPr>
          <w:lang w:val="ru-RU"/>
        </w:rPr>
      </w:pPr>
      <w:r w:rsidRPr="0049187C">
        <w:rPr>
          <w:lang w:val="ru-RU"/>
        </w:rPr>
        <w:t>(b)</w:t>
      </w:r>
      <w:r w:rsidRPr="0049187C">
        <w:rPr>
          <w:lang w:val="ru-RU"/>
        </w:rPr>
        <w:tab/>
      </w:r>
      <w:bookmarkStart w:id="234" w:name="F32626309"/>
      <w:r w:rsidR="00B65F5F" w:rsidRPr="0049187C">
        <w:rPr>
          <w:lang w:val="ru-RU"/>
        </w:rPr>
        <w:t>изменения в ожиданиях, что будут достигнуты технические целевые ориентиры продукта объекта инвестиций</w:t>
      </w:r>
      <w:bookmarkEnd w:id="234"/>
      <w:r w:rsidR="00EC0906">
        <w:rPr>
          <w:lang w:val="ru-RU"/>
        </w:rPr>
        <w:t>;</w:t>
      </w:r>
    </w:p>
    <w:p w:rsidR="001529CA" w:rsidRPr="0049187C" w:rsidRDefault="001529CA">
      <w:pPr>
        <w:pStyle w:val="IASBNormalnparaL1"/>
        <w:rPr>
          <w:lang w:val="ru-RU"/>
        </w:rPr>
      </w:pPr>
      <w:r w:rsidRPr="0049187C">
        <w:rPr>
          <w:lang w:val="ru-RU"/>
        </w:rPr>
        <w:t>(c)</w:t>
      </w:r>
      <w:r w:rsidRPr="0049187C">
        <w:rPr>
          <w:lang w:val="ru-RU"/>
        </w:rPr>
        <w:tab/>
      </w:r>
      <w:bookmarkStart w:id="235" w:name="F32626311"/>
      <w:r w:rsidR="00B65F5F" w:rsidRPr="0049187C">
        <w:rPr>
          <w:lang w:val="ru-RU"/>
        </w:rPr>
        <w:t xml:space="preserve">значительное изменение на рынке </w:t>
      </w:r>
      <w:r w:rsidR="00347830">
        <w:rPr>
          <w:lang w:val="ru-RU"/>
        </w:rPr>
        <w:t>долевых инструментов</w:t>
      </w:r>
      <w:r w:rsidR="00347830" w:rsidRPr="0049187C">
        <w:rPr>
          <w:lang w:val="ru-RU"/>
        </w:rPr>
        <w:t xml:space="preserve"> </w:t>
      </w:r>
      <w:r w:rsidR="00B65F5F" w:rsidRPr="0049187C">
        <w:rPr>
          <w:lang w:val="ru-RU"/>
        </w:rPr>
        <w:t>объекта инвестиций или его продукции или потенциальной продукции</w:t>
      </w:r>
      <w:bookmarkEnd w:id="235"/>
      <w:r w:rsidR="00EC0906">
        <w:rPr>
          <w:lang w:val="ru-RU"/>
        </w:rPr>
        <w:t>;</w:t>
      </w:r>
    </w:p>
    <w:p w:rsidR="001529CA" w:rsidRPr="0049187C" w:rsidRDefault="001529CA">
      <w:pPr>
        <w:pStyle w:val="IASBNormalnparaL1"/>
        <w:rPr>
          <w:lang w:val="ru-RU"/>
        </w:rPr>
      </w:pPr>
      <w:r w:rsidRPr="0049187C">
        <w:rPr>
          <w:lang w:val="ru-RU"/>
        </w:rPr>
        <w:t>(d)</w:t>
      </w:r>
      <w:r w:rsidRPr="0049187C">
        <w:rPr>
          <w:lang w:val="ru-RU"/>
        </w:rPr>
        <w:tab/>
      </w:r>
      <w:bookmarkStart w:id="236" w:name="F32626313"/>
      <w:r w:rsidR="00B65F5F" w:rsidRPr="0049187C">
        <w:rPr>
          <w:lang w:val="ru-RU"/>
        </w:rPr>
        <w:t>значительное изменение условий глобальной экономики или экономической среды, в которой осуществляет свою деятельность объект инвестиций</w:t>
      </w:r>
      <w:bookmarkEnd w:id="236"/>
      <w:r w:rsidR="00EC0906">
        <w:rPr>
          <w:lang w:val="ru-RU"/>
        </w:rPr>
        <w:t>;</w:t>
      </w:r>
    </w:p>
    <w:p w:rsidR="001529CA" w:rsidRPr="0049187C" w:rsidRDefault="001529CA">
      <w:pPr>
        <w:pStyle w:val="IASBNormalnparaL1"/>
        <w:rPr>
          <w:lang w:val="ru-RU"/>
        </w:rPr>
      </w:pPr>
      <w:r w:rsidRPr="0049187C">
        <w:rPr>
          <w:lang w:val="ru-RU"/>
        </w:rPr>
        <w:t>(e)</w:t>
      </w:r>
      <w:r w:rsidRPr="0049187C">
        <w:rPr>
          <w:lang w:val="ru-RU"/>
        </w:rPr>
        <w:tab/>
      </w:r>
      <w:bookmarkStart w:id="237" w:name="F32626315"/>
      <w:r w:rsidR="00B65F5F" w:rsidRPr="0049187C">
        <w:rPr>
          <w:lang w:val="ru-RU"/>
        </w:rPr>
        <w:t xml:space="preserve">значительное изменение результатов деятельности сопоставимых </w:t>
      </w:r>
      <w:r w:rsidR="00991561" w:rsidRPr="0049187C">
        <w:rPr>
          <w:lang w:val="ru-RU"/>
        </w:rPr>
        <w:t>организаций</w:t>
      </w:r>
      <w:r w:rsidR="00B65F5F" w:rsidRPr="0049187C">
        <w:rPr>
          <w:lang w:val="ru-RU"/>
        </w:rPr>
        <w:t xml:space="preserve"> или оценок, подразумеваемых на общем рынке</w:t>
      </w:r>
      <w:bookmarkEnd w:id="237"/>
      <w:r w:rsidR="00EC0906">
        <w:rPr>
          <w:lang w:val="ru-RU"/>
        </w:rPr>
        <w:t>;</w:t>
      </w:r>
    </w:p>
    <w:p w:rsidR="001529CA" w:rsidRPr="0049187C" w:rsidRDefault="001529CA">
      <w:pPr>
        <w:pStyle w:val="IASBNormalnparaL1"/>
        <w:rPr>
          <w:lang w:val="ru-RU"/>
        </w:rPr>
      </w:pPr>
      <w:r w:rsidRPr="0049187C">
        <w:rPr>
          <w:lang w:val="ru-RU"/>
        </w:rPr>
        <w:t>(f)</w:t>
      </w:r>
      <w:r w:rsidRPr="0049187C">
        <w:rPr>
          <w:lang w:val="ru-RU"/>
        </w:rPr>
        <w:tab/>
      </w:r>
      <w:bookmarkStart w:id="238" w:name="F32626317"/>
      <w:r w:rsidR="00B65F5F" w:rsidRPr="0049187C">
        <w:rPr>
          <w:lang w:val="ru-RU"/>
        </w:rPr>
        <w:t xml:space="preserve">внутренние аспекты объекта инвестиций, такие как мошенничество, коммерческие споры, </w:t>
      </w:r>
      <w:r w:rsidR="00D54363">
        <w:rPr>
          <w:lang w:val="ru-RU"/>
        </w:rPr>
        <w:t>судебные разбирательства</w:t>
      </w:r>
      <w:r w:rsidR="00B65F5F" w:rsidRPr="0049187C">
        <w:rPr>
          <w:lang w:val="ru-RU"/>
        </w:rPr>
        <w:t>, изменения в управлении или стратегии</w:t>
      </w:r>
      <w:bookmarkEnd w:id="238"/>
      <w:r w:rsidR="00EC0906">
        <w:rPr>
          <w:lang w:val="ru-RU"/>
        </w:rPr>
        <w:t>;</w:t>
      </w:r>
    </w:p>
    <w:p w:rsidR="001529CA" w:rsidRPr="0049187C" w:rsidRDefault="001529CA">
      <w:pPr>
        <w:pStyle w:val="IASBNormalnparaL1"/>
        <w:rPr>
          <w:lang w:val="ru-RU"/>
        </w:rPr>
      </w:pPr>
      <w:r w:rsidRPr="0049187C">
        <w:rPr>
          <w:lang w:val="ru-RU"/>
        </w:rPr>
        <w:t>(g)</w:t>
      </w:r>
      <w:r w:rsidRPr="0049187C">
        <w:rPr>
          <w:lang w:val="ru-RU"/>
        </w:rPr>
        <w:tab/>
      </w:r>
      <w:bookmarkStart w:id="239" w:name="F32626319"/>
      <w:r w:rsidR="00B65F5F" w:rsidRPr="0049187C">
        <w:rPr>
          <w:lang w:val="ru-RU"/>
        </w:rPr>
        <w:t xml:space="preserve">данные, полученные на основе внешних сделок с </w:t>
      </w:r>
      <w:r w:rsidR="00D54363">
        <w:rPr>
          <w:lang w:val="ru-RU"/>
        </w:rPr>
        <w:t>долевыми инструментами</w:t>
      </w:r>
      <w:r w:rsidR="00D54363" w:rsidRPr="0049187C">
        <w:rPr>
          <w:lang w:val="ru-RU"/>
        </w:rPr>
        <w:t xml:space="preserve"> </w:t>
      </w:r>
      <w:r w:rsidR="00B65F5F" w:rsidRPr="0049187C">
        <w:rPr>
          <w:lang w:val="ru-RU"/>
        </w:rPr>
        <w:t>объекта инвестиций, совершенных либо объектом инвестиций (например, новый выпуск акций), либо путем передачи долевых инструментов между третьими сторонами</w:t>
      </w:r>
      <w:r w:rsidRPr="0049187C">
        <w:rPr>
          <w:lang w:val="ru-RU"/>
        </w:rPr>
        <w:t>.</w:t>
      </w:r>
      <w:bookmarkEnd w:id="239"/>
    </w:p>
    <w:p w:rsidR="001529CA" w:rsidRPr="0049187C" w:rsidRDefault="001529CA">
      <w:pPr>
        <w:pStyle w:val="IASBNormalnpara"/>
        <w:rPr>
          <w:lang w:val="ru-RU"/>
        </w:rPr>
      </w:pPr>
      <w:r w:rsidRPr="0049187C">
        <w:rPr>
          <w:lang w:val="ru-RU"/>
        </w:rPr>
        <w:t>B5.2.5</w:t>
      </w:r>
      <w:r w:rsidRPr="0049187C">
        <w:rPr>
          <w:lang w:val="ru-RU"/>
        </w:rPr>
        <w:tab/>
      </w:r>
      <w:bookmarkStart w:id="240" w:name="F32626320"/>
      <w:r w:rsidR="00B65F5F" w:rsidRPr="0049187C">
        <w:rPr>
          <w:lang w:val="ru-RU"/>
        </w:rPr>
        <w:t>Перечень, представленный в пункте</w:t>
      </w:r>
      <w:r w:rsidRPr="0049187C">
        <w:rPr>
          <w:lang w:val="ru-RU"/>
        </w:rPr>
        <w:t xml:space="preserve"> B5.2.4</w:t>
      </w:r>
      <w:r w:rsidR="00B65F5F" w:rsidRPr="0049187C">
        <w:rPr>
          <w:lang w:val="ru-RU"/>
        </w:rPr>
        <w:t>,</w:t>
      </w:r>
      <w:r w:rsidRPr="0049187C">
        <w:rPr>
          <w:lang w:val="ru-RU"/>
        </w:rPr>
        <w:t xml:space="preserve"> </w:t>
      </w:r>
      <w:r w:rsidR="00B65F5F" w:rsidRPr="0049187C">
        <w:rPr>
          <w:lang w:val="ru-RU"/>
        </w:rPr>
        <w:t>не является исчерпывающим</w:t>
      </w:r>
      <w:r w:rsidRPr="0049187C">
        <w:rPr>
          <w:lang w:val="ru-RU"/>
        </w:rPr>
        <w:t xml:space="preserve">. </w:t>
      </w:r>
      <w:r w:rsidR="00B65F5F" w:rsidRPr="0049187C">
        <w:rPr>
          <w:lang w:val="ru-RU"/>
        </w:rPr>
        <w:t>Организация должна использовать всю</w:t>
      </w:r>
      <w:r w:rsidRPr="0049187C">
        <w:rPr>
          <w:lang w:val="ru-RU"/>
        </w:rPr>
        <w:t xml:space="preserve"> </w:t>
      </w:r>
      <w:r w:rsidR="00B65F5F" w:rsidRPr="0049187C">
        <w:rPr>
          <w:lang w:val="ru-RU"/>
        </w:rPr>
        <w:t xml:space="preserve">информацию о результатах деятельности и операциях объекта инвестиций, которая становится доступной после даты первоначального признания. </w:t>
      </w:r>
      <w:r w:rsidR="00D54363">
        <w:rPr>
          <w:lang w:val="ru-RU"/>
        </w:rPr>
        <w:t xml:space="preserve">В той степени, в которой такие факторы </w:t>
      </w:r>
      <w:r w:rsidR="004F2AD4">
        <w:rPr>
          <w:lang w:val="ru-RU"/>
        </w:rPr>
        <w:t xml:space="preserve">имеют место, </w:t>
      </w:r>
      <w:r w:rsidR="00B65F5F" w:rsidRPr="0049187C">
        <w:rPr>
          <w:lang w:val="ru-RU"/>
        </w:rPr>
        <w:t xml:space="preserve">они могут указывать на то, что </w:t>
      </w:r>
      <w:r w:rsidR="00C034FB">
        <w:rPr>
          <w:lang w:val="ru-RU"/>
        </w:rPr>
        <w:t xml:space="preserve">первоначальная </w:t>
      </w:r>
      <w:r w:rsidR="00B65F5F" w:rsidRPr="0049187C">
        <w:rPr>
          <w:lang w:val="ru-RU"/>
        </w:rPr>
        <w:t>стоимость не отражает справедливую стоимость</w:t>
      </w:r>
      <w:r w:rsidRPr="0049187C">
        <w:rPr>
          <w:lang w:val="ru-RU"/>
        </w:rPr>
        <w:t xml:space="preserve">. </w:t>
      </w:r>
      <w:r w:rsidR="00B65F5F" w:rsidRPr="0049187C">
        <w:rPr>
          <w:lang w:val="ru-RU"/>
        </w:rPr>
        <w:t>В таких случаях организация должна оценить справедливую стоимость.</w:t>
      </w:r>
      <w:r w:rsidRPr="0049187C">
        <w:rPr>
          <w:lang w:val="ru-RU"/>
        </w:rPr>
        <w:t xml:space="preserve"> </w:t>
      </w:r>
      <w:bookmarkEnd w:id="240"/>
    </w:p>
    <w:p w:rsidR="001529CA" w:rsidRPr="0049187C" w:rsidRDefault="001529CA">
      <w:pPr>
        <w:pStyle w:val="IASBNormalnpara"/>
        <w:rPr>
          <w:lang w:val="ru-RU"/>
        </w:rPr>
      </w:pPr>
      <w:r w:rsidRPr="0049187C">
        <w:rPr>
          <w:lang w:val="ru-RU"/>
        </w:rPr>
        <w:t>B5.2.6</w:t>
      </w:r>
      <w:r w:rsidRPr="0049187C">
        <w:rPr>
          <w:lang w:val="ru-RU"/>
        </w:rPr>
        <w:tab/>
      </w:r>
      <w:bookmarkStart w:id="241" w:name="F32626323"/>
      <w:r w:rsidR="00C034FB">
        <w:rPr>
          <w:lang w:val="ru-RU"/>
        </w:rPr>
        <w:t xml:space="preserve">Первоначальная </w:t>
      </w:r>
      <w:r w:rsidR="00B65F5F" w:rsidRPr="0049187C">
        <w:rPr>
          <w:lang w:val="ru-RU"/>
        </w:rPr>
        <w:t xml:space="preserve">стоимость не является наилучшей оценкой справедливой стоимости для инвестиций в котируемые долевые инструменты (или договоры </w:t>
      </w:r>
      <w:r w:rsidR="004F2AD4">
        <w:rPr>
          <w:lang w:val="ru-RU"/>
        </w:rPr>
        <w:t>в отношении</w:t>
      </w:r>
      <w:r w:rsidR="004F2AD4" w:rsidRPr="0049187C">
        <w:rPr>
          <w:lang w:val="ru-RU"/>
        </w:rPr>
        <w:t xml:space="preserve"> котируемы</w:t>
      </w:r>
      <w:r w:rsidR="004F2AD4">
        <w:rPr>
          <w:lang w:val="ru-RU"/>
        </w:rPr>
        <w:t>х</w:t>
      </w:r>
      <w:r w:rsidR="004F2AD4" w:rsidRPr="0049187C">
        <w:rPr>
          <w:lang w:val="ru-RU"/>
        </w:rPr>
        <w:t xml:space="preserve"> долевы</w:t>
      </w:r>
      <w:r w:rsidR="004F2AD4">
        <w:rPr>
          <w:lang w:val="ru-RU"/>
        </w:rPr>
        <w:t>х</w:t>
      </w:r>
      <w:r w:rsidR="004F2AD4" w:rsidRPr="0049187C">
        <w:rPr>
          <w:lang w:val="ru-RU"/>
        </w:rPr>
        <w:t xml:space="preserve"> </w:t>
      </w:r>
      <w:r w:rsidR="00B65F5F" w:rsidRPr="0049187C">
        <w:rPr>
          <w:lang w:val="ru-RU"/>
        </w:rPr>
        <w:t>инструмент</w:t>
      </w:r>
      <w:r w:rsidR="004F2AD4">
        <w:rPr>
          <w:lang w:val="ru-RU"/>
        </w:rPr>
        <w:t>ов</w:t>
      </w:r>
      <w:r w:rsidR="00B65F5F" w:rsidRPr="0049187C">
        <w:rPr>
          <w:lang w:val="ru-RU"/>
        </w:rPr>
        <w:t>)</w:t>
      </w:r>
      <w:r w:rsidR="00D0061C" w:rsidRPr="00397946">
        <w:rPr>
          <w:lang w:val="ru-RU"/>
        </w:rPr>
        <w:t>.</w:t>
      </w:r>
      <w:r w:rsidRPr="0049187C">
        <w:rPr>
          <w:lang w:val="ru-RU"/>
        </w:rPr>
        <w:t xml:space="preserve"> </w:t>
      </w:r>
      <w:bookmarkEnd w:id="241"/>
    </w:p>
    <w:p w:rsidR="001529CA" w:rsidRPr="0049187C" w:rsidRDefault="00CE3DA3">
      <w:pPr>
        <w:pStyle w:val="IASBSectionTitle2Ind"/>
        <w:rPr>
          <w:lang w:val="ru-RU"/>
        </w:rPr>
      </w:pPr>
      <w:bookmarkStart w:id="242" w:name="F32626235"/>
      <w:r w:rsidRPr="0049187C">
        <w:rPr>
          <w:lang w:val="ru-RU"/>
        </w:rPr>
        <w:t>Оценка по амортизированной стоимости</w:t>
      </w:r>
      <w:r w:rsidR="001529CA" w:rsidRPr="0049187C">
        <w:rPr>
          <w:lang w:val="ru-RU"/>
        </w:rPr>
        <w:t xml:space="preserve"> (</w:t>
      </w:r>
      <w:r w:rsidR="00C25F1D">
        <w:rPr>
          <w:lang w:val="ru-RU"/>
        </w:rPr>
        <w:t>Р</w:t>
      </w:r>
      <w:r w:rsidRPr="0049187C">
        <w:rPr>
          <w:lang w:val="ru-RU"/>
        </w:rPr>
        <w:t>аздел</w:t>
      </w:r>
      <w:r w:rsidR="001529CA" w:rsidRPr="0049187C">
        <w:rPr>
          <w:lang w:val="ru-RU"/>
        </w:rPr>
        <w:t xml:space="preserve"> 5.4)</w:t>
      </w:r>
      <w:bookmarkEnd w:id="242"/>
    </w:p>
    <w:p w:rsidR="001529CA" w:rsidRPr="0049187C" w:rsidRDefault="00CE3DA3">
      <w:pPr>
        <w:pStyle w:val="IASBSectionTitle3Ind"/>
        <w:rPr>
          <w:lang w:val="ru-RU"/>
        </w:rPr>
      </w:pPr>
      <w:r w:rsidRPr="0049187C">
        <w:rPr>
          <w:lang w:val="ru-RU"/>
        </w:rPr>
        <w:t>Метод эффективной процентной ставки</w:t>
      </w:r>
    </w:p>
    <w:p w:rsidR="001529CA" w:rsidRPr="0049187C" w:rsidRDefault="001529CA">
      <w:pPr>
        <w:pStyle w:val="IASBNormalnpara"/>
        <w:rPr>
          <w:lang w:val="ru-RU"/>
        </w:rPr>
      </w:pPr>
      <w:r w:rsidRPr="0049187C">
        <w:rPr>
          <w:lang w:val="ru-RU"/>
        </w:rPr>
        <w:t>B5.4.1</w:t>
      </w:r>
      <w:r w:rsidRPr="0049187C">
        <w:rPr>
          <w:lang w:val="ru-RU"/>
        </w:rPr>
        <w:tab/>
      </w:r>
      <w:r w:rsidR="001735D2" w:rsidRPr="0049187C">
        <w:rPr>
          <w:lang w:val="ru-RU"/>
        </w:rPr>
        <w:t xml:space="preserve">При применении метода эффективной процентной ставки, организация </w:t>
      </w:r>
      <w:r w:rsidR="00C034FB">
        <w:rPr>
          <w:lang w:val="ru-RU"/>
        </w:rPr>
        <w:t>идентифицирует те вознаграждения</w:t>
      </w:r>
      <w:r w:rsidR="001735D2" w:rsidRPr="0049187C">
        <w:rPr>
          <w:lang w:val="ru-RU"/>
        </w:rPr>
        <w:t>,</w:t>
      </w:r>
      <w:r w:rsidR="00C034FB">
        <w:rPr>
          <w:lang w:val="ru-RU"/>
        </w:rPr>
        <w:t xml:space="preserve"> которые</w:t>
      </w:r>
      <w:r w:rsidR="001735D2" w:rsidRPr="0049187C">
        <w:rPr>
          <w:lang w:val="ru-RU"/>
        </w:rPr>
        <w:t xml:space="preserve"> являю</w:t>
      </w:r>
      <w:r w:rsidR="00C034FB">
        <w:rPr>
          <w:lang w:val="ru-RU"/>
        </w:rPr>
        <w:t>тся</w:t>
      </w:r>
      <w:r w:rsidR="001735D2" w:rsidRPr="0049187C">
        <w:rPr>
          <w:lang w:val="ru-RU"/>
        </w:rPr>
        <w:t xml:space="preserve"> неотъемлемой частью эффективной процентной ставки финансовог</w:t>
      </w:r>
      <w:r w:rsidR="00C034FB">
        <w:rPr>
          <w:lang w:val="ru-RU"/>
        </w:rPr>
        <w:t>о инструмента. Описание вознаграждений</w:t>
      </w:r>
      <w:r w:rsidR="001735D2" w:rsidRPr="0049187C">
        <w:rPr>
          <w:lang w:val="ru-RU"/>
        </w:rPr>
        <w:t xml:space="preserve"> за финансовые услуги может не </w:t>
      </w:r>
      <w:r w:rsidR="00C034FB">
        <w:rPr>
          <w:lang w:val="ru-RU"/>
        </w:rPr>
        <w:t>отражать</w:t>
      </w:r>
      <w:r w:rsidR="001735D2" w:rsidRPr="0049187C">
        <w:rPr>
          <w:lang w:val="ru-RU"/>
        </w:rPr>
        <w:t xml:space="preserve"> характер и содержание оказываемых услуг. </w:t>
      </w:r>
      <w:r w:rsidR="00C034FB">
        <w:rPr>
          <w:lang w:val="ru-RU"/>
        </w:rPr>
        <w:t>Вознаграждения</w:t>
      </w:r>
      <w:r w:rsidR="001735D2" w:rsidRPr="0049187C">
        <w:rPr>
          <w:lang w:val="ru-RU"/>
        </w:rPr>
        <w:t>, являющиеся неотъемлемой частью эффективной процентной ставки финансового инструмента, учитываются в качестве корректировки эффективной процентной ставки, за исключением случаев, когда финансовый инструмент оценив</w:t>
      </w:r>
      <w:r w:rsidR="00664E3E">
        <w:rPr>
          <w:lang w:val="ru-RU"/>
        </w:rPr>
        <w:t>ается по справедливой стоимости</w:t>
      </w:r>
      <w:r w:rsidR="001735D2" w:rsidRPr="0049187C">
        <w:rPr>
          <w:lang w:val="ru-RU"/>
        </w:rPr>
        <w:t xml:space="preserve"> </w:t>
      </w:r>
      <w:r w:rsidR="004F2AD4">
        <w:rPr>
          <w:lang w:val="ru-RU"/>
        </w:rPr>
        <w:t>и</w:t>
      </w:r>
      <w:r w:rsidR="004F2AD4" w:rsidRPr="0049187C">
        <w:rPr>
          <w:lang w:val="ru-RU"/>
        </w:rPr>
        <w:t xml:space="preserve"> </w:t>
      </w:r>
      <w:r w:rsidR="004F2AD4">
        <w:rPr>
          <w:lang w:val="ru-RU"/>
        </w:rPr>
        <w:t xml:space="preserve">ее </w:t>
      </w:r>
      <w:r w:rsidR="001735D2" w:rsidRPr="0049187C">
        <w:rPr>
          <w:lang w:val="ru-RU"/>
        </w:rPr>
        <w:t xml:space="preserve">изменения признаются в составе прибыли или убытка. В таком случае </w:t>
      </w:r>
      <w:r w:rsidR="00C034FB">
        <w:rPr>
          <w:lang w:val="ru-RU"/>
        </w:rPr>
        <w:t>вознаграждения</w:t>
      </w:r>
      <w:r w:rsidR="001735D2" w:rsidRPr="0049187C">
        <w:rPr>
          <w:lang w:val="ru-RU"/>
        </w:rPr>
        <w:t xml:space="preserve"> признаются в качестве выручки </w:t>
      </w:r>
      <w:r w:rsidR="004F2AD4">
        <w:rPr>
          <w:lang w:val="ru-RU"/>
        </w:rPr>
        <w:t xml:space="preserve">или расходов </w:t>
      </w:r>
      <w:r w:rsidR="001735D2" w:rsidRPr="0049187C">
        <w:rPr>
          <w:lang w:val="ru-RU"/>
        </w:rPr>
        <w:t>при первоначальном признании инструмента</w:t>
      </w:r>
      <w:r w:rsidR="00991561" w:rsidRPr="0049187C">
        <w:rPr>
          <w:lang w:val="ru-RU"/>
        </w:rPr>
        <w:t>.</w:t>
      </w:r>
    </w:p>
    <w:p w:rsidR="001529CA" w:rsidRPr="0049187C" w:rsidRDefault="001529CA">
      <w:pPr>
        <w:pStyle w:val="IASBNormalnpara"/>
        <w:rPr>
          <w:lang w:val="ru-RU"/>
        </w:rPr>
      </w:pPr>
      <w:r w:rsidRPr="0049187C">
        <w:rPr>
          <w:lang w:val="ru-RU"/>
        </w:rPr>
        <w:t>B5.4.2</w:t>
      </w:r>
      <w:r w:rsidRPr="0049187C">
        <w:rPr>
          <w:lang w:val="ru-RU"/>
        </w:rPr>
        <w:tab/>
      </w:r>
      <w:bookmarkStart w:id="243" w:name="F32626239"/>
      <w:r w:rsidR="00C034FB">
        <w:rPr>
          <w:lang w:val="ru-RU"/>
        </w:rPr>
        <w:t>Вознаграждения</w:t>
      </w:r>
      <w:r w:rsidR="001735D2" w:rsidRPr="0049187C">
        <w:rPr>
          <w:lang w:val="ru-RU"/>
        </w:rPr>
        <w:t>,</w:t>
      </w:r>
      <w:r w:rsidR="00C034FB">
        <w:rPr>
          <w:lang w:val="ru-RU"/>
        </w:rPr>
        <w:t xml:space="preserve"> которые являются</w:t>
      </w:r>
      <w:r w:rsidR="001735D2" w:rsidRPr="0049187C">
        <w:rPr>
          <w:lang w:val="ru-RU"/>
        </w:rPr>
        <w:t xml:space="preserve"> неотъемлемой частью эффективной процентной ставки финансового инструмента, включают</w:t>
      </w:r>
      <w:r w:rsidRPr="0049187C">
        <w:rPr>
          <w:lang w:val="ru-RU"/>
        </w:rPr>
        <w:t>:</w:t>
      </w:r>
      <w:bookmarkEnd w:id="243"/>
    </w:p>
    <w:p w:rsidR="001529CA" w:rsidRPr="0049187C" w:rsidRDefault="001529CA">
      <w:pPr>
        <w:pStyle w:val="IASBNormalnparaL1"/>
        <w:rPr>
          <w:lang w:val="ru-RU"/>
        </w:rPr>
      </w:pPr>
      <w:r w:rsidRPr="0049187C">
        <w:rPr>
          <w:lang w:val="ru-RU"/>
        </w:rPr>
        <w:t>(a)</w:t>
      </w:r>
      <w:r w:rsidRPr="0049187C">
        <w:rPr>
          <w:lang w:val="ru-RU"/>
        </w:rPr>
        <w:tab/>
      </w:r>
      <w:r w:rsidR="00664E3E">
        <w:rPr>
          <w:lang w:val="ru-RU"/>
        </w:rPr>
        <w:t>В</w:t>
      </w:r>
      <w:r w:rsidR="002D2F10">
        <w:rPr>
          <w:lang w:val="ru-RU"/>
        </w:rPr>
        <w:t>ознаграждения</w:t>
      </w:r>
      <w:r w:rsidR="00F834F0">
        <w:rPr>
          <w:lang w:val="ru-RU"/>
        </w:rPr>
        <w:t xml:space="preserve"> за</w:t>
      </w:r>
      <w:r w:rsidR="001735D2" w:rsidRPr="0049187C">
        <w:rPr>
          <w:lang w:val="ru-RU"/>
        </w:rPr>
        <w:t xml:space="preserve"> подготовительную работу, полученные организацией в связи с созданием или приобретением финансового актива. Такие </w:t>
      </w:r>
      <w:r w:rsidR="00F834F0">
        <w:rPr>
          <w:lang w:val="ru-RU"/>
        </w:rPr>
        <w:t>вознаграждения</w:t>
      </w:r>
      <w:r w:rsidR="00F834F0" w:rsidRPr="0049187C">
        <w:rPr>
          <w:lang w:val="ru-RU"/>
        </w:rPr>
        <w:t xml:space="preserve"> </w:t>
      </w:r>
      <w:r w:rsidR="001735D2" w:rsidRPr="0049187C">
        <w:rPr>
          <w:lang w:val="ru-RU"/>
        </w:rPr>
        <w:t xml:space="preserve">могут включать в себя компенсацию за такие виды деятельности, как оценка финансового состояния заемщика, оценка и оформление гарантий, залога и прочих соглашений об обеспечении, согласование условий по инструменту, подготовка и обработка документов, а также оформление операции. Такие </w:t>
      </w:r>
      <w:r w:rsidR="00A8472A">
        <w:rPr>
          <w:lang w:val="ru-RU"/>
        </w:rPr>
        <w:t>вознаграждения</w:t>
      </w:r>
      <w:r w:rsidR="00A8472A" w:rsidRPr="0049187C">
        <w:rPr>
          <w:lang w:val="ru-RU"/>
        </w:rPr>
        <w:t xml:space="preserve"> </w:t>
      </w:r>
      <w:r w:rsidR="001735D2" w:rsidRPr="0049187C">
        <w:rPr>
          <w:lang w:val="ru-RU"/>
        </w:rPr>
        <w:t>являются неотъемлемой частью создания финансового инструмента</w:t>
      </w:r>
      <w:r w:rsidR="00991561" w:rsidRPr="0049187C">
        <w:rPr>
          <w:lang w:val="ru-RU"/>
        </w:rPr>
        <w:t>.</w:t>
      </w:r>
    </w:p>
    <w:p w:rsidR="00CF60B7" w:rsidRPr="0049187C" w:rsidRDefault="001529CA">
      <w:pPr>
        <w:pStyle w:val="IASBNormalnparaL1"/>
        <w:rPr>
          <w:lang w:val="ru-RU"/>
        </w:rPr>
      </w:pPr>
      <w:r w:rsidRPr="0049187C">
        <w:rPr>
          <w:lang w:val="ru-RU"/>
        </w:rPr>
        <w:t>(b)</w:t>
      </w:r>
      <w:r w:rsidRPr="0049187C">
        <w:rPr>
          <w:lang w:val="ru-RU"/>
        </w:rPr>
        <w:tab/>
      </w:r>
      <w:bookmarkStart w:id="244" w:name="F32626438"/>
      <w:r w:rsidR="00664E3E">
        <w:rPr>
          <w:lang w:val="ru-RU"/>
        </w:rPr>
        <w:t>К</w:t>
      </w:r>
      <w:r w:rsidR="001735D2" w:rsidRPr="0049187C">
        <w:rPr>
          <w:lang w:val="ru-RU"/>
        </w:rPr>
        <w:t xml:space="preserve">омиссионные, полученные организацией за принятое договорное обязательство предоставить заем в будущем, в случае, если обязательство по предоставлению займа не </w:t>
      </w:r>
      <w:r w:rsidR="009F4F5B" w:rsidRPr="0049187C">
        <w:rPr>
          <w:lang w:val="ru-RU"/>
        </w:rPr>
        <w:t>оценивается в соответствии с пунктом 4.2.1(а)</w:t>
      </w:r>
      <w:r w:rsidR="001735D2" w:rsidRPr="0049187C">
        <w:rPr>
          <w:lang w:val="ru-RU"/>
        </w:rPr>
        <w:t xml:space="preserve"> и является вероятным, что организация заключит конкретный кредитный договор. Такие комиссионные считаются компенсацией за поддерживаемую организацией постоянную готовность приобрести финансовый инструмент. Если срок действия договорного обязательства п</w:t>
      </w:r>
      <w:r w:rsidR="00664E3E">
        <w:rPr>
          <w:lang w:val="ru-RU"/>
        </w:rPr>
        <w:t>о предоставлению займа истекает</w:t>
      </w:r>
      <w:r w:rsidR="001735D2" w:rsidRPr="0049187C">
        <w:rPr>
          <w:lang w:val="ru-RU"/>
        </w:rPr>
        <w:t xml:space="preserve"> и организация не предоставляет заем, комиссионные признаются в качестве выручки в момент окончания срока действия обязательства</w:t>
      </w:r>
      <w:r w:rsidR="00991561" w:rsidRPr="0049187C">
        <w:rPr>
          <w:lang w:val="ru-RU"/>
        </w:rPr>
        <w:t>.</w:t>
      </w:r>
      <w:r w:rsidR="0096664C" w:rsidRPr="0049187C">
        <w:rPr>
          <w:lang w:val="ru-RU"/>
        </w:rPr>
        <w:t xml:space="preserve"> </w:t>
      </w:r>
      <w:bookmarkEnd w:id="244"/>
    </w:p>
    <w:p w:rsidR="001529CA" w:rsidRPr="0049187C" w:rsidRDefault="001529CA">
      <w:pPr>
        <w:pStyle w:val="IASBNormalnparaL1"/>
        <w:rPr>
          <w:lang w:val="ru-RU"/>
        </w:rPr>
      </w:pPr>
      <w:r w:rsidRPr="0049187C">
        <w:rPr>
          <w:lang w:val="ru-RU"/>
        </w:rPr>
        <w:t>(c)</w:t>
      </w:r>
      <w:r w:rsidRPr="0049187C">
        <w:rPr>
          <w:lang w:val="ru-RU"/>
        </w:rPr>
        <w:tab/>
      </w:r>
      <w:r w:rsidR="00664E3E">
        <w:rPr>
          <w:lang w:val="ru-RU"/>
        </w:rPr>
        <w:t>З</w:t>
      </w:r>
      <w:r w:rsidR="001735D2" w:rsidRPr="0049187C">
        <w:rPr>
          <w:lang w:val="ru-RU"/>
        </w:rPr>
        <w:t xml:space="preserve">атраты на подготовительную работу, </w:t>
      </w:r>
      <w:r w:rsidR="00A8472A">
        <w:rPr>
          <w:lang w:val="ru-RU"/>
        </w:rPr>
        <w:t>уплаченные</w:t>
      </w:r>
      <w:r w:rsidR="00A8472A" w:rsidRPr="0049187C">
        <w:rPr>
          <w:lang w:val="ru-RU"/>
        </w:rPr>
        <w:t xml:space="preserve"> </w:t>
      </w:r>
      <w:r w:rsidR="001735D2" w:rsidRPr="0049187C">
        <w:rPr>
          <w:lang w:val="ru-RU"/>
        </w:rPr>
        <w:t xml:space="preserve">организацией при выпуске финансового обязательства, оцениваемого по амортизированной стоимости. Такие затраты являются неотъемлемой частью создания финансового обязательства. Организация отделяет </w:t>
      </w:r>
      <w:r w:rsidR="00C034FB">
        <w:rPr>
          <w:lang w:val="ru-RU"/>
        </w:rPr>
        <w:t>вознаграждения</w:t>
      </w:r>
      <w:r w:rsidR="001735D2" w:rsidRPr="0049187C">
        <w:rPr>
          <w:lang w:val="ru-RU"/>
        </w:rPr>
        <w:t xml:space="preserve"> и затраты, являющиеся неотъемлемой частью эффективной процентной ставки финансового обязательства, от затрат на подготовительную работу и затрат по сделке, относящихся к праву </w:t>
      </w:r>
      <w:r w:rsidR="00664E3E">
        <w:rPr>
          <w:lang w:val="ru-RU"/>
        </w:rPr>
        <w:t>на предоставление услуг, таких</w:t>
      </w:r>
      <w:r w:rsidR="001735D2" w:rsidRPr="0049187C">
        <w:rPr>
          <w:lang w:val="ru-RU"/>
        </w:rPr>
        <w:t xml:space="preserve"> как услуги по управлению инвестициями</w:t>
      </w:r>
      <w:r w:rsidR="00991561" w:rsidRPr="0049187C">
        <w:rPr>
          <w:lang w:val="ru-RU"/>
        </w:rPr>
        <w:t>.</w:t>
      </w:r>
    </w:p>
    <w:p w:rsidR="001529CA" w:rsidRPr="0049187C" w:rsidRDefault="001529CA">
      <w:pPr>
        <w:pStyle w:val="IASBNormalnpara"/>
        <w:rPr>
          <w:lang w:val="ru-RU"/>
        </w:rPr>
      </w:pPr>
      <w:r w:rsidRPr="0049187C">
        <w:rPr>
          <w:lang w:val="ru-RU"/>
        </w:rPr>
        <w:t>B5.4.3</w:t>
      </w:r>
      <w:r w:rsidRPr="0049187C">
        <w:rPr>
          <w:lang w:val="ru-RU"/>
        </w:rPr>
        <w:tab/>
      </w:r>
      <w:bookmarkStart w:id="245" w:name="F32626441"/>
      <w:r w:rsidR="00C034FB">
        <w:rPr>
          <w:lang w:val="ru-RU"/>
        </w:rPr>
        <w:t>Вознаграждения</w:t>
      </w:r>
      <w:r w:rsidR="001735D2" w:rsidRPr="0049187C">
        <w:rPr>
          <w:lang w:val="ru-RU"/>
        </w:rPr>
        <w:t>,</w:t>
      </w:r>
      <w:r w:rsidR="00C034FB">
        <w:rPr>
          <w:lang w:val="ru-RU"/>
        </w:rPr>
        <w:t xml:space="preserve"> которые не являются</w:t>
      </w:r>
      <w:r w:rsidR="001735D2" w:rsidRPr="0049187C">
        <w:rPr>
          <w:lang w:val="ru-RU"/>
        </w:rPr>
        <w:t xml:space="preserve"> неотъемлемой частью эффективной процентной ставки финан</w:t>
      </w:r>
      <w:r w:rsidR="00C034FB">
        <w:rPr>
          <w:lang w:val="ru-RU"/>
        </w:rPr>
        <w:t>сового инструмента и учитываются</w:t>
      </w:r>
      <w:r w:rsidR="001735D2" w:rsidRPr="0049187C">
        <w:rPr>
          <w:lang w:val="ru-RU"/>
        </w:rPr>
        <w:t xml:space="preserve"> в соответствии с МСФО (IFRS) 15, включают в себя</w:t>
      </w:r>
      <w:r w:rsidRPr="0049187C">
        <w:rPr>
          <w:lang w:val="ru-RU"/>
        </w:rPr>
        <w:t>:</w:t>
      </w:r>
      <w:bookmarkEnd w:id="245"/>
    </w:p>
    <w:p w:rsidR="001529CA" w:rsidRPr="0049187C" w:rsidRDefault="001529CA">
      <w:pPr>
        <w:pStyle w:val="IASBNormalnparaL1"/>
        <w:rPr>
          <w:lang w:val="ru-RU"/>
        </w:rPr>
      </w:pPr>
      <w:r w:rsidRPr="0049187C">
        <w:rPr>
          <w:lang w:val="ru-RU"/>
        </w:rPr>
        <w:t>(a)</w:t>
      </w:r>
      <w:r w:rsidRPr="0049187C">
        <w:rPr>
          <w:lang w:val="ru-RU"/>
        </w:rPr>
        <w:tab/>
      </w:r>
      <w:bookmarkStart w:id="246" w:name="F32626444"/>
      <w:r w:rsidR="00F76B20">
        <w:rPr>
          <w:lang w:val="ru-RU"/>
        </w:rPr>
        <w:t>вознаграждения</w:t>
      </w:r>
      <w:r w:rsidR="00CF60B7" w:rsidRPr="0049187C">
        <w:rPr>
          <w:lang w:val="ru-RU"/>
        </w:rPr>
        <w:t xml:space="preserve"> за </w:t>
      </w:r>
      <w:r w:rsidR="00F76B20">
        <w:rPr>
          <w:lang w:val="ru-RU"/>
        </w:rPr>
        <w:t>сопровождение проданных кредитов</w:t>
      </w:r>
      <w:r w:rsidRPr="0049187C">
        <w:rPr>
          <w:lang w:val="ru-RU"/>
        </w:rPr>
        <w:t>;</w:t>
      </w:r>
      <w:bookmarkEnd w:id="246"/>
    </w:p>
    <w:p w:rsidR="001529CA" w:rsidRPr="0049187C" w:rsidRDefault="001529CA">
      <w:pPr>
        <w:pStyle w:val="IASBNormalnparaL1"/>
        <w:rPr>
          <w:lang w:val="ru-RU"/>
        </w:rPr>
      </w:pPr>
      <w:r w:rsidRPr="0049187C">
        <w:rPr>
          <w:lang w:val="ru-RU"/>
        </w:rPr>
        <w:t>(b)</w:t>
      </w:r>
      <w:r w:rsidRPr="0049187C">
        <w:rPr>
          <w:lang w:val="ru-RU"/>
        </w:rPr>
        <w:tab/>
      </w:r>
      <w:bookmarkStart w:id="247" w:name="F32626446"/>
      <w:r w:rsidR="00CF60B7" w:rsidRPr="0049187C">
        <w:rPr>
          <w:lang w:val="ru-RU"/>
        </w:rPr>
        <w:t xml:space="preserve">комиссионные за принятое договорное обязательство предоставить заем в будущем, в случае, если обязательство по предоставлению займов не оценивается в соответствии с пунктом 4.2.1(а) и заключение конкретного кредитного договора является маловероятным; </w:t>
      </w:r>
      <w:bookmarkEnd w:id="247"/>
      <w:r w:rsidR="00CF60B7" w:rsidRPr="0049187C">
        <w:rPr>
          <w:lang w:val="ru-RU"/>
        </w:rPr>
        <w:t>и</w:t>
      </w:r>
    </w:p>
    <w:p w:rsidR="001529CA" w:rsidRPr="0049187C" w:rsidRDefault="001529CA">
      <w:pPr>
        <w:pStyle w:val="IASBNormalnparaL1"/>
        <w:rPr>
          <w:lang w:val="ru-RU"/>
        </w:rPr>
      </w:pPr>
      <w:r w:rsidRPr="0049187C">
        <w:rPr>
          <w:lang w:val="ru-RU"/>
        </w:rPr>
        <w:t>(c)</w:t>
      </w:r>
      <w:r w:rsidRPr="0049187C">
        <w:rPr>
          <w:lang w:val="ru-RU"/>
        </w:rPr>
        <w:tab/>
      </w:r>
      <w:r w:rsidR="00CF60B7" w:rsidRPr="0049187C">
        <w:rPr>
          <w:lang w:val="ru-RU"/>
        </w:rPr>
        <w:t>комиссионные за синдицирование займа, полученные организацией, которая организует получение займа и не оставляет за собой никакой части кредитного пакета (либо оставляет часть с такой же эффективной процентной ставкой для сопоставимого риска, как и другие участники).</w:t>
      </w:r>
    </w:p>
    <w:p w:rsidR="00CF60B7" w:rsidRPr="0049187C" w:rsidRDefault="001529CA">
      <w:pPr>
        <w:pStyle w:val="IASBNormalnpara"/>
        <w:rPr>
          <w:lang w:val="ru-RU"/>
        </w:rPr>
      </w:pPr>
      <w:r w:rsidRPr="0049187C">
        <w:rPr>
          <w:lang w:val="ru-RU"/>
        </w:rPr>
        <w:t>B5.4.4</w:t>
      </w:r>
      <w:r w:rsidRPr="0049187C">
        <w:rPr>
          <w:lang w:val="ru-RU"/>
        </w:rPr>
        <w:tab/>
      </w:r>
      <w:bookmarkStart w:id="248" w:name="F32626449"/>
      <w:r w:rsidR="00CF60B7" w:rsidRPr="0049187C">
        <w:rPr>
          <w:lang w:val="ru-RU"/>
        </w:rPr>
        <w:t xml:space="preserve">При применении метода эффективной процентной ставки организация обычно амортизирует все </w:t>
      </w:r>
      <w:r w:rsidR="003263AF" w:rsidRPr="0049187C">
        <w:rPr>
          <w:lang w:val="ru-RU"/>
        </w:rPr>
        <w:t>вознаграждения</w:t>
      </w:r>
      <w:r w:rsidR="00CF60B7" w:rsidRPr="0049187C">
        <w:rPr>
          <w:lang w:val="ru-RU"/>
        </w:rPr>
        <w:t xml:space="preserve"> и прочие суммы, выплаченные или полученные, затраты по сделке и другие премии или скидки, включенные в расчет эффективной процентной ставки, на протяжении ожидаемого срока действия финансового инструмента. Однако если </w:t>
      </w:r>
      <w:r w:rsidR="003263AF" w:rsidRPr="0049187C">
        <w:rPr>
          <w:lang w:val="ru-RU"/>
        </w:rPr>
        <w:t>вознаграждения</w:t>
      </w:r>
      <w:r w:rsidR="00CF60B7" w:rsidRPr="0049187C">
        <w:rPr>
          <w:lang w:val="ru-RU"/>
        </w:rPr>
        <w:t xml:space="preserve"> и другие суммы, выплаченные или полученные, затраты по сделке, премии или скидки относятся к более короткому периоду, то применяется этот период. Такая ситуация возникает, если переменная, к которой относятся </w:t>
      </w:r>
      <w:r w:rsidR="003263AF" w:rsidRPr="0049187C">
        <w:rPr>
          <w:lang w:val="ru-RU"/>
        </w:rPr>
        <w:t>вознаграждения</w:t>
      </w:r>
      <w:r w:rsidR="00CF60B7" w:rsidRPr="0049187C">
        <w:rPr>
          <w:lang w:val="ru-RU"/>
        </w:rPr>
        <w:t xml:space="preserve"> и другие суммы, выплаченные или полученные, затраты по сделке, премии или скидки, переоценивается по рыночным ставкам до ожидаемого срока погашения финансового инструмента. В этом случае подходящим периодом амортизации является период до следующей даты такой переоценки. Например, если премия или скидка по финансовому инструменту с плавающей ставкой отражает проценты, начисленные по этому финансовому инструменту с последней даты выплаты процентов, или изменения рыночных ставок с того момента, когда плавающая ставка процента была приведена в соответствие с рыночными ставками, она будет амортизироваться в течение периода до следующей даты приведения плавающей ставки в соответствие с рыночными ставками. Это связано с тем, что премия или скидка относится к периоду до следующей даты </w:t>
      </w:r>
      <w:r w:rsidR="00787A25">
        <w:rPr>
          <w:lang w:val="ru-RU"/>
        </w:rPr>
        <w:t>приведения</w:t>
      </w:r>
      <w:r w:rsidR="00787A25" w:rsidRPr="0049187C">
        <w:rPr>
          <w:lang w:val="ru-RU"/>
        </w:rPr>
        <w:t xml:space="preserve"> </w:t>
      </w:r>
      <w:r w:rsidR="00CF60B7" w:rsidRPr="0049187C">
        <w:rPr>
          <w:lang w:val="ru-RU"/>
        </w:rPr>
        <w:t>процентной ставки</w:t>
      </w:r>
      <w:r w:rsidR="00787A25">
        <w:rPr>
          <w:lang w:val="ru-RU"/>
        </w:rPr>
        <w:t xml:space="preserve"> в соответствие с рыночными ставками</w:t>
      </w:r>
      <w:r w:rsidR="00CF60B7" w:rsidRPr="0049187C">
        <w:rPr>
          <w:lang w:val="ru-RU"/>
        </w:rPr>
        <w:t>, потому что на эту дату переменная, к которой относится премия или скидка (т.</w:t>
      </w:r>
      <w:r w:rsidR="00012EC3">
        <w:rPr>
          <w:lang w:val="ru-RU"/>
        </w:rPr>
        <w:t> </w:t>
      </w:r>
      <w:r w:rsidR="00CF60B7" w:rsidRPr="0049187C">
        <w:rPr>
          <w:lang w:val="ru-RU"/>
        </w:rPr>
        <w:t xml:space="preserve">е. </w:t>
      </w:r>
      <w:r w:rsidR="003263AF" w:rsidRPr="0049187C">
        <w:rPr>
          <w:lang w:val="ru-RU"/>
        </w:rPr>
        <w:t>процентные ставки</w:t>
      </w:r>
      <w:r w:rsidR="00CF60B7" w:rsidRPr="0049187C">
        <w:rPr>
          <w:lang w:val="ru-RU"/>
        </w:rPr>
        <w:t xml:space="preserve">), </w:t>
      </w:r>
      <w:r w:rsidR="00787A25" w:rsidRPr="0049187C">
        <w:rPr>
          <w:lang w:val="ru-RU"/>
        </w:rPr>
        <w:t>привод</w:t>
      </w:r>
      <w:r w:rsidR="00787A25">
        <w:rPr>
          <w:lang w:val="ru-RU"/>
        </w:rPr>
        <w:t>я</w:t>
      </w:r>
      <w:r w:rsidR="00787A25" w:rsidRPr="0049187C">
        <w:rPr>
          <w:lang w:val="ru-RU"/>
        </w:rPr>
        <w:t xml:space="preserve">тся </w:t>
      </w:r>
      <w:r w:rsidR="00CF60B7" w:rsidRPr="0049187C">
        <w:rPr>
          <w:lang w:val="ru-RU"/>
        </w:rPr>
        <w:t>в соответствие с рыночными ставками. Однако если премия или скидка является результатом изменения кредитного спр</w:t>
      </w:r>
      <w:r w:rsidR="00C13DD3">
        <w:rPr>
          <w:lang w:val="ru-RU"/>
        </w:rPr>
        <w:t>э</w:t>
      </w:r>
      <w:r w:rsidR="00CF60B7" w:rsidRPr="0049187C">
        <w:rPr>
          <w:lang w:val="ru-RU"/>
        </w:rPr>
        <w:t xml:space="preserve">да на плавающую ставку, указанную в </w:t>
      </w:r>
      <w:r w:rsidR="003263AF" w:rsidRPr="0049187C">
        <w:rPr>
          <w:lang w:val="ru-RU"/>
        </w:rPr>
        <w:t xml:space="preserve">финансовом </w:t>
      </w:r>
      <w:r w:rsidR="00CF60B7" w:rsidRPr="0049187C">
        <w:rPr>
          <w:lang w:val="ru-RU"/>
        </w:rPr>
        <w:t>инструменте, или других переменных, не приводимых в соответствие с рыночными ставками, то она амортизируется на протяжении ожидаемого срока действия инструмента.</w:t>
      </w:r>
    </w:p>
    <w:bookmarkEnd w:id="248"/>
    <w:p w:rsidR="003263AF" w:rsidRPr="0049187C" w:rsidRDefault="001529CA">
      <w:pPr>
        <w:pStyle w:val="IASBNormalnpara"/>
        <w:rPr>
          <w:lang w:val="ru-RU"/>
        </w:rPr>
      </w:pPr>
      <w:r w:rsidRPr="0049187C">
        <w:rPr>
          <w:lang w:val="ru-RU"/>
        </w:rPr>
        <w:t>B5.4.5</w:t>
      </w:r>
      <w:r w:rsidRPr="0049187C">
        <w:rPr>
          <w:lang w:val="ru-RU"/>
        </w:rPr>
        <w:tab/>
      </w:r>
      <w:bookmarkStart w:id="249" w:name="F32626450"/>
      <w:r w:rsidR="003263AF" w:rsidRPr="0049187C">
        <w:rPr>
          <w:lang w:val="ru-RU"/>
        </w:rPr>
        <w:t xml:space="preserve">По финансовым активам и финансовым обязательствам с плавающей процентной ставкой периодическая переоценка денежных потоков с целью отражения движения рыночных процентных ставок приводит к изменению эффективной </w:t>
      </w:r>
      <w:r w:rsidR="009C7205" w:rsidRPr="0049187C">
        <w:rPr>
          <w:lang w:val="ru-RU"/>
        </w:rPr>
        <w:t>процентной ставки</w:t>
      </w:r>
      <w:r w:rsidR="003263AF" w:rsidRPr="0049187C">
        <w:rPr>
          <w:lang w:val="ru-RU"/>
        </w:rPr>
        <w:t xml:space="preserve">. Если финансовый актив или финансовое обязательство с плавающей процентной ставкой первоначально признается </w:t>
      </w:r>
      <w:r w:rsidR="00F76B20">
        <w:rPr>
          <w:lang w:val="ru-RU"/>
        </w:rPr>
        <w:t>в</w:t>
      </w:r>
      <w:r w:rsidR="003263AF" w:rsidRPr="0049187C">
        <w:rPr>
          <w:lang w:val="ru-RU"/>
        </w:rPr>
        <w:t xml:space="preserve"> основной сумме, подлежащей получению или выплате при наступлении срока</w:t>
      </w:r>
      <w:r w:rsidR="009C7205" w:rsidRPr="0049187C">
        <w:rPr>
          <w:lang w:val="ru-RU"/>
        </w:rPr>
        <w:t xml:space="preserve"> погашения</w:t>
      </w:r>
      <w:r w:rsidR="003263AF" w:rsidRPr="0049187C">
        <w:rPr>
          <w:lang w:val="ru-RU"/>
        </w:rPr>
        <w:t>, то переоценка будущих процентных выплат обычно не оказывает значительного влияния на балансовую стоимость актива или обязательства.</w:t>
      </w:r>
    </w:p>
    <w:bookmarkEnd w:id="249"/>
    <w:p w:rsidR="009C7205" w:rsidRPr="0049187C" w:rsidRDefault="001529CA">
      <w:pPr>
        <w:pStyle w:val="IASBNormalnpara"/>
        <w:rPr>
          <w:lang w:val="ru-RU"/>
        </w:rPr>
      </w:pPr>
      <w:r w:rsidRPr="0049187C">
        <w:rPr>
          <w:lang w:val="ru-RU"/>
        </w:rPr>
        <w:t>B5.4.6</w:t>
      </w:r>
      <w:r w:rsidRPr="0049187C">
        <w:rPr>
          <w:lang w:val="ru-RU"/>
        </w:rPr>
        <w:tab/>
      </w:r>
      <w:bookmarkStart w:id="250" w:name="F32626451"/>
      <w:r w:rsidR="009C7205" w:rsidRPr="0049187C">
        <w:rPr>
          <w:lang w:val="ru-RU"/>
        </w:rPr>
        <w:t xml:space="preserve">Если организация пересматривает расчетные суммы выплат или поступлений (исключая </w:t>
      </w:r>
      <w:r w:rsidR="00787A25" w:rsidRPr="0049187C">
        <w:rPr>
          <w:lang w:val="ru-RU"/>
        </w:rPr>
        <w:t>модификаци</w:t>
      </w:r>
      <w:r w:rsidR="00787A25">
        <w:rPr>
          <w:lang w:val="ru-RU"/>
        </w:rPr>
        <w:t>и</w:t>
      </w:r>
      <w:r w:rsidR="00787A25" w:rsidRPr="0049187C">
        <w:rPr>
          <w:lang w:val="ru-RU"/>
        </w:rPr>
        <w:t xml:space="preserve"> </w:t>
      </w:r>
      <w:r w:rsidR="009C7205" w:rsidRPr="0049187C">
        <w:rPr>
          <w:lang w:val="ru-RU"/>
        </w:rPr>
        <w:t xml:space="preserve">в соответствии с пунктом 5.4.3 и изменения оценок ожидаемых кредитных убытков), она должна скорректировать валовую балансовую стоимость финансового актива или амортизированную стоимость финансового обязательства (или группы финансовых инструментов) с тем, чтобы отразить фактические и пересмотренные расчетные денежные потоки, предусмотренные договором. Организация пересчитывает валовую балансовую стоимость финансового актива или амортизированную стоимость финансового обязательства путем расчета приведенной стоимости расчетных будущих денежных потоков, предусмотренных договором, </w:t>
      </w:r>
      <w:r w:rsidR="00787A25">
        <w:rPr>
          <w:lang w:val="ru-RU"/>
        </w:rPr>
        <w:t>дисконтируя их с использованием</w:t>
      </w:r>
      <w:r w:rsidR="009C7205" w:rsidRPr="0049187C">
        <w:rPr>
          <w:lang w:val="ru-RU"/>
        </w:rPr>
        <w:t xml:space="preserve"> первоначальной эффективной процентной ставк</w:t>
      </w:r>
      <w:r w:rsidR="00787A25">
        <w:rPr>
          <w:lang w:val="ru-RU"/>
        </w:rPr>
        <w:t>и</w:t>
      </w:r>
      <w:r w:rsidR="009C7205" w:rsidRPr="0049187C">
        <w:rPr>
          <w:lang w:val="ru-RU"/>
        </w:rPr>
        <w:t xml:space="preserve"> финансового инструмента (или в случае приобретенных или </w:t>
      </w:r>
      <w:r w:rsidR="000B61C3">
        <w:rPr>
          <w:lang w:val="ru-RU"/>
        </w:rPr>
        <w:t>созданных</w:t>
      </w:r>
      <w:r w:rsidR="009C7205" w:rsidRPr="0049187C">
        <w:rPr>
          <w:lang w:val="ru-RU"/>
        </w:rPr>
        <w:t xml:space="preserve"> </w:t>
      </w:r>
      <w:r w:rsidR="000B61C3">
        <w:rPr>
          <w:lang w:val="ru-RU"/>
        </w:rPr>
        <w:t xml:space="preserve">кредитно-обесцененных </w:t>
      </w:r>
      <w:r w:rsidR="00D9396E">
        <w:rPr>
          <w:lang w:val="ru-RU"/>
        </w:rPr>
        <w:t>финансовых активов</w:t>
      </w:r>
      <w:r w:rsidR="00D9396E" w:rsidRPr="00D9396E">
        <w:rPr>
          <w:lang w:val="ru-RU"/>
        </w:rPr>
        <w:t xml:space="preserve"> – </w:t>
      </w:r>
      <w:r w:rsidR="009C7205" w:rsidRPr="0049187C">
        <w:rPr>
          <w:lang w:val="ru-RU"/>
        </w:rPr>
        <w:t xml:space="preserve">с использованием эффективной процентной ставки, скорректированной с учетом кредитного риска) или, если применимо, </w:t>
      </w:r>
      <w:r w:rsidR="00D00D94">
        <w:rPr>
          <w:lang w:val="ru-RU"/>
        </w:rPr>
        <w:t>с использованием</w:t>
      </w:r>
      <w:r w:rsidR="00D00D94" w:rsidRPr="0049187C">
        <w:rPr>
          <w:lang w:val="ru-RU"/>
        </w:rPr>
        <w:t xml:space="preserve"> </w:t>
      </w:r>
      <w:r w:rsidR="009C7205" w:rsidRPr="0049187C">
        <w:rPr>
          <w:lang w:val="ru-RU"/>
        </w:rPr>
        <w:t xml:space="preserve">пересмотренной эффективной процентной </w:t>
      </w:r>
      <w:r w:rsidR="00D00D94" w:rsidRPr="0049187C">
        <w:rPr>
          <w:lang w:val="ru-RU"/>
        </w:rPr>
        <w:t>ставк</w:t>
      </w:r>
      <w:r w:rsidR="00D00D94">
        <w:rPr>
          <w:lang w:val="ru-RU"/>
        </w:rPr>
        <w:t>и</w:t>
      </w:r>
      <w:r w:rsidR="009C7205" w:rsidRPr="0049187C">
        <w:rPr>
          <w:lang w:val="ru-RU"/>
        </w:rPr>
        <w:t>, рас</w:t>
      </w:r>
      <w:r w:rsidR="00D16812" w:rsidRPr="0049187C">
        <w:rPr>
          <w:lang w:val="ru-RU"/>
        </w:rPr>
        <w:t>с</w:t>
      </w:r>
      <w:r w:rsidR="009C7205" w:rsidRPr="0049187C">
        <w:rPr>
          <w:lang w:val="ru-RU"/>
        </w:rPr>
        <w:t xml:space="preserve">читанной в соответствии с пунктом 6.5.10. Величина корректировки признается в составе прибыли или убытка </w:t>
      </w:r>
      <w:r w:rsidR="00D00D94">
        <w:rPr>
          <w:lang w:val="ru-RU"/>
        </w:rPr>
        <w:t>в качестве</w:t>
      </w:r>
      <w:r w:rsidR="00D00D94" w:rsidRPr="0049187C">
        <w:rPr>
          <w:lang w:val="ru-RU"/>
        </w:rPr>
        <w:t xml:space="preserve"> </w:t>
      </w:r>
      <w:r w:rsidR="009C7205" w:rsidRPr="0049187C">
        <w:rPr>
          <w:lang w:val="ru-RU"/>
        </w:rPr>
        <w:t>доход</w:t>
      </w:r>
      <w:r w:rsidR="00D00D94">
        <w:rPr>
          <w:lang w:val="ru-RU"/>
        </w:rPr>
        <w:t>а</w:t>
      </w:r>
      <w:r w:rsidR="009C7205" w:rsidRPr="0049187C">
        <w:rPr>
          <w:lang w:val="ru-RU"/>
        </w:rPr>
        <w:t xml:space="preserve"> или расход</w:t>
      </w:r>
      <w:r w:rsidR="00D00D94">
        <w:rPr>
          <w:lang w:val="ru-RU"/>
        </w:rPr>
        <w:t>а</w:t>
      </w:r>
      <w:r w:rsidR="009C7205" w:rsidRPr="0049187C">
        <w:rPr>
          <w:lang w:val="ru-RU"/>
        </w:rPr>
        <w:t>.</w:t>
      </w:r>
    </w:p>
    <w:bookmarkEnd w:id="250"/>
    <w:p w:rsidR="001529CA" w:rsidRPr="0049187C" w:rsidRDefault="001529CA">
      <w:pPr>
        <w:pStyle w:val="IASBNormalnpara"/>
        <w:rPr>
          <w:lang w:val="ru-RU"/>
        </w:rPr>
      </w:pPr>
      <w:r w:rsidRPr="0049187C">
        <w:rPr>
          <w:lang w:val="ru-RU"/>
        </w:rPr>
        <w:t>B5.4.7</w:t>
      </w:r>
      <w:r w:rsidRPr="0049187C">
        <w:rPr>
          <w:lang w:val="ru-RU"/>
        </w:rPr>
        <w:tab/>
      </w:r>
      <w:bookmarkStart w:id="251" w:name="F32626452"/>
      <w:r w:rsidR="00AC7668" w:rsidRPr="0049187C">
        <w:rPr>
          <w:lang w:val="ru-RU"/>
        </w:rPr>
        <w:t xml:space="preserve">В некоторых случаях финансовый актив считается </w:t>
      </w:r>
      <w:r w:rsidR="007E6FF8">
        <w:rPr>
          <w:lang w:val="ru-RU"/>
        </w:rPr>
        <w:t>кредитно-обесцененным</w:t>
      </w:r>
      <w:r w:rsidR="00AC7668" w:rsidRPr="0049187C">
        <w:rPr>
          <w:lang w:val="ru-RU"/>
        </w:rPr>
        <w:t xml:space="preserve"> при первоначальном признании </w:t>
      </w:r>
      <w:r w:rsidR="00770FFE" w:rsidRPr="0049187C">
        <w:rPr>
          <w:lang w:val="ru-RU"/>
        </w:rPr>
        <w:t>в</w:t>
      </w:r>
      <w:r w:rsidR="00AC7668" w:rsidRPr="0049187C">
        <w:rPr>
          <w:lang w:val="ru-RU"/>
        </w:rPr>
        <w:t xml:space="preserve">виду того, что кредитный риск очень высок, </w:t>
      </w:r>
      <w:r w:rsidR="00D00D94">
        <w:rPr>
          <w:lang w:val="ru-RU"/>
        </w:rPr>
        <w:t>и</w:t>
      </w:r>
      <w:r w:rsidR="00D00D94" w:rsidRPr="0049187C">
        <w:rPr>
          <w:lang w:val="ru-RU"/>
        </w:rPr>
        <w:t xml:space="preserve"> </w:t>
      </w:r>
      <w:r w:rsidR="00AC7668" w:rsidRPr="0049187C">
        <w:rPr>
          <w:lang w:val="ru-RU"/>
        </w:rPr>
        <w:t xml:space="preserve">в случае </w:t>
      </w:r>
      <w:r w:rsidR="00D00D94">
        <w:rPr>
          <w:lang w:val="ru-RU"/>
        </w:rPr>
        <w:t xml:space="preserve">его </w:t>
      </w:r>
      <w:r w:rsidR="00AC7668" w:rsidRPr="0049187C">
        <w:rPr>
          <w:lang w:val="ru-RU"/>
        </w:rPr>
        <w:t xml:space="preserve">покупки он приобретается с большой скидкой. Организация должна включить первоначальные ожидаемые кредитные убытки в расчетные денежные потоки при расчете эффективной процентной ставки, скорректированной с учетом кредитного риска, для финансовых активов, которые считаются приобретенными или </w:t>
      </w:r>
      <w:r w:rsidR="000B61C3">
        <w:rPr>
          <w:lang w:val="ru-RU"/>
        </w:rPr>
        <w:t>созданными</w:t>
      </w:r>
      <w:r w:rsidR="00AC7668" w:rsidRPr="0049187C">
        <w:rPr>
          <w:lang w:val="ru-RU"/>
        </w:rPr>
        <w:t xml:space="preserve"> с кредитным обесценением при первоначальном признании. Однако это не означает, что эффективная процентная ставка, скорректированная с учетом кредитного риска, должна применяться </w:t>
      </w:r>
      <w:r w:rsidR="00D00D94">
        <w:rPr>
          <w:lang w:val="ru-RU"/>
        </w:rPr>
        <w:t>только вследствие</w:t>
      </w:r>
      <w:r w:rsidR="00AC7668" w:rsidRPr="0049187C">
        <w:rPr>
          <w:lang w:val="ru-RU"/>
        </w:rPr>
        <w:t xml:space="preserve"> того, что кредитный риск по финансовому активу при первоначальном признании был высок</w:t>
      </w:r>
      <w:r w:rsidRPr="0049187C">
        <w:rPr>
          <w:lang w:val="ru-RU"/>
        </w:rPr>
        <w:t>.</w:t>
      </w:r>
      <w:bookmarkEnd w:id="251"/>
    </w:p>
    <w:p w:rsidR="001529CA" w:rsidRPr="0049187C" w:rsidRDefault="009C7205">
      <w:pPr>
        <w:pStyle w:val="IASBSectionTitle3Ind"/>
        <w:rPr>
          <w:lang w:val="ru-RU"/>
        </w:rPr>
      </w:pPr>
      <w:r w:rsidRPr="0049187C">
        <w:rPr>
          <w:lang w:val="ru-RU"/>
        </w:rPr>
        <w:t>Затраты по сделке</w:t>
      </w:r>
    </w:p>
    <w:p w:rsidR="009C7205" w:rsidRPr="0049187C" w:rsidRDefault="001529CA">
      <w:pPr>
        <w:pStyle w:val="IASBNormalnpara"/>
        <w:rPr>
          <w:lang w:val="ru-RU"/>
        </w:rPr>
      </w:pPr>
      <w:r w:rsidRPr="0049187C">
        <w:rPr>
          <w:lang w:val="ru-RU"/>
        </w:rPr>
        <w:t>B5.4.8</w:t>
      </w:r>
      <w:r w:rsidRPr="0049187C">
        <w:rPr>
          <w:lang w:val="ru-RU"/>
        </w:rPr>
        <w:tab/>
      </w:r>
      <w:bookmarkStart w:id="252" w:name="F32626455"/>
      <w:r w:rsidR="009C7205" w:rsidRPr="0049187C">
        <w:rPr>
          <w:lang w:val="ru-RU"/>
        </w:rPr>
        <w:t xml:space="preserve">Затраты по сделке включают в себя </w:t>
      </w:r>
      <w:r w:rsidR="00D00D94">
        <w:rPr>
          <w:lang w:val="ru-RU"/>
        </w:rPr>
        <w:t>вознаграждения</w:t>
      </w:r>
      <w:r w:rsidR="00D00D94" w:rsidRPr="0049187C">
        <w:rPr>
          <w:lang w:val="ru-RU"/>
        </w:rPr>
        <w:t xml:space="preserve"> </w:t>
      </w:r>
      <w:r w:rsidR="009C7205" w:rsidRPr="0049187C">
        <w:rPr>
          <w:lang w:val="ru-RU"/>
        </w:rPr>
        <w:t>и комиссионные, уплаченные агентам (включая работников, действующих в качестве агентов</w:t>
      </w:r>
      <w:r w:rsidR="00D00D94">
        <w:rPr>
          <w:lang w:val="ru-RU"/>
        </w:rPr>
        <w:t xml:space="preserve"> по продаже</w:t>
      </w:r>
      <w:r w:rsidR="009C7205" w:rsidRPr="0049187C">
        <w:rPr>
          <w:lang w:val="ru-RU"/>
        </w:rPr>
        <w:t>), консультантам, брокерам и дилерам, сборы регулирующих органов и фондовых бирж, а также налоги и сборы за перевод средств. Затраты по сделке не включают в себя премии и скидки по долговым инструментам, затраты на финансирование, внутренние административные расходы или затраты на хранение.</w:t>
      </w:r>
    </w:p>
    <w:bookmarkEnd w:id="252"/>
    <w:p w:rsidR="001529CA" w:rsidRPr="0049187C" w:rsidRDefault="00AC7668">
      <w:pPr>
        <w:pStyle w:val="IASBSectionTitle3Ind"/>
        <w:rPr>
          <w:lang w:val="ru-RU"/>
        </w:rPr>
      </w:pPr>
      <w:r w:rsidRPr="0049187C">
        <w:rPr>
          <w:lang w:val="ru-RU"/>
        </w:rPr>
        <w:t>Списание</w:t>
      </w:r>
      <w:r w:rsidR="00E3389B" w:rsidRPr="0049187C">
        <w:rPr>
          <w:lang w:val="ru-RU"/>
        </w:rPr>
        <w:t xml:space="preserve"> </w:t>
      </w:r>
    </w:p>
    <w:p w:rsidR="001529CA" w:rsidRPr="0049187C" w:rsidRDefault="001529CA">
      <w:pPr>
        <w:pStyle w:val="IASBNormalnpara"/>
        <w:rPr>
          <w:lang w:val="ru-RU"/>
        </w:rPr>
      </w:pPr>
      <w:r w:rsidRPr="0049187C">
        <w:rPr>
          <w:lang w:val="ru-RU"/>
        </w:rPr>
        <w:t>B5.4.9</w:t>
      </w:r>
      <w:r w:rsidRPr="0049187C">
        <w:rPr>
          <w:lang w:val="ru-RU"/>
        </w:rPr>
        <w:tab/>
      </w:r>
      <w:bookmarkStart w:id="253" w:name="F32626459"/>
      <w:r w:rsidR="004513D5" w:rsidRPr="0049187C">
        <w:rPr>
          <w:lang w:val="ru-RU"/>
        </w:rPr>
        <w:t xml:space="preserve">Списания могут относиться к финансовому активу в </w:t>
      </w:r>
      <w:r w:rsidR="00E3389B" w:rsidRPr="0049187C">
        <w:rPr>
          <w:lang w:val="ru-RU"/>
        </w:rPr>
        <w:t>полном объеме</w:t>
      </w:r>
      <w:r w:rsidR="004513D5" w:rsidRPr="0049187C">
        <w:rPr>
          <w:lang w:val="ru-RU"/>
        </w:rPr>
        <w:t xml:space="preserve"> или его части. Например, организация планирует обратить взыскание на обеспечение по финансовому активу и ожидает возместить не более 30 процентов</w:t>
      </w:r>
      <w:r w:rsidR="00D84677" w:rsidRPr="00D84677">
        <w:rPr>
          <w:lang w:val="ru-RU"/>
        </w:rPr>
        <w:t xml:space="preserve"> </w:t>
      </w:r>
      <w:r w:rsidR="00D84677">
        <w:rPr>
          <w:lang w:val="ru-RU"/>
        </w:rPr>
        <w:t>стоимости</w:t>
      </w:r>
      <w:r w:rsidR="004513D5" w:rsidRPr="0049187C">
        <w:rPr>
          <w:lang w:val="ru-RU"/>
        </w:rPr>
        <w:t xml:space="preserve"> финансового актива за счет обеспечения. Если у организации нет обоснованных перспектив относительно возмещения дополнительных денежных потоков по финансовому </w:t>
      </w:r>
      <w:r w:rsidR="008B3DB4" w:rsidRPr="0049187C">
        <w:rPr>
          <w:lang w:val="ru-RU"/>
        </w:rPr>
        <w:t xml:space="preserve">активу, </w:t>
      </w:r>
      <w:r w:rsidR="00E24B67" w:rsidRPr="0049187C">
        <w:rPr>
          <w:lang w:val="ru-RU"/>
        </w:rPr>
        <w:t>она должна списать оставшиеся 70 процентов</w:t>
      </w:r>
      <w:r w:rsidR="00D84677">
        <w:rPr>
          <w:lang w:val="ru-RU"/>
        </w:rPr>
        <w:t xml:space="preserve"> стоимости</w:t>
      </w:r>
      <w:r w:rsidR="00E24B67" w:rsidRPr="0049187C">
        <w:rPr>
          <w:lang w:val="ru-RU"/>
        </w:rPr>
        <w:t xml:space="preserve"> финансового актива</w:t>
      </w:r>
      <w:r w:rsidRPr="0049187C">
        <w:rPr>
          <w:lang w:val="ru-RU"/>
        </w:rPr>
        <w:t>.</w:t>
      </w:r>
      <w:bookmarkEnd w:id="253"/>
    </w:p>
    <w:p w:rsidR="001529CA" w:rsidRPr="0049187C" w:rsidRDefault="00345A2A">
      <w:pPr>
        <w:pStyle w:val="IASBSectionTitle2Ind"/>
        <w:rPr>
          <w:lang w:val="ru-RU"/>
        </w:rPr>
      </w:pPr>
      <w:bookmarkStart w:id="254" w:name="F32626461"/>
      <w:r w:rsidRPr="00FF71CD">
        <w:rPr>
          <w:lang w:val="ru-RU"/>
        </w:rPr>
        <w:t>Обесценение</w:t>
      </w:r>
      <w:r w:rsidR="001529CA" w:rsidRPr="00FF71CD">
        <w:rPr>
          <w:lang w:val="ru-RU"/>
        </w:rPr>
        <w:t xml:space="preserve"> (</w:t>
      </w:r>
      <w:r w:rsidR="00C25F1D">
        <w:rPr>
          <w:lang w:val="ru-RU"/>
        </w:rPr>
        <w:t>Р</w:t>
      </w:r>
      <w:r w:rsidRPr="00FF71CD">
        <w:rPr>
          <w:lang w:val="ru-RU"/>
        </w:rPr>
        <w:t>аздел</w:t>
      </w:r>
      <w:r w:rsidR="001529CA" w:rsidRPr="00FF71CD">
        <w:rPr>
          <w:lang w:val="ru-RU"/>
        </w:rPr>
        <w:t xml:space="preserve"> 5.5)</w:t>
      </w:r>
      <w:bookmarkEnd w:id="254"/>
    </w:p>
    <w:p w:rsidR="001529CA" w:rsidRPr="0049187C" w:rsidRDefault="00503267">
      <w:pPr>
        <w:pStyle w:val="IASBSectionTitle3Ind"/>
        <w:rPr>
          <w:lang w:val="ru-RU"/>
        </w:rPr>
      </w:pPr>
      <w:bookmarkStart w:id="255" w:name="F32626463"/>
      <w:r w:rsidRPr="0049187C">
        <w:rPr>
          <w:lang w:val="ru-RU"/>
        </w:rPr>
        <w:t>Оценка на групповой и индивидуальной основе</w:t>
      </w:r>
      <w:bookmarkEnd w:id="255"/>
    </w:p>
    <w:p w:rsidR="001529CA" w:rsidRPr="0049187C" w:rsidRDefault="001529CA">
      <w:pPr>
        <w:pStyle w:val="IASBNormalnpara"/>
        <w:rPr>
          <w:lang w:val="ru-RU"/>
        </w:rPr>
      </w:pPr>
      <w:r w:rsidRPr="0049187C">
        <w:rPr>
          <w:lang w:val="ru-RU"/>
        </w:rPr>
        <w:t>B5.5.1</w:t>
      </w:r>
      <w:r w:rsidRPr="0049187C">
        <w:rPr>
          <w:lang w:val="ru-RU"/>
        </w:rPr>
        <w:tab/>
      </w:r>
      <w:bookmarkStart w:id="256" w:name="F32626464"/>
      <w:r w:rsidR="00DB3ADC" w:rsidRPr="0049187C">
        <w:rPr>
          <w:lang w:val="ru-RU"/>
        </w:rPr>
        <w:t xml:space="preserve">Для достижения цели признания ожидаемых кредитных убытков </w:t>
      </w:r>
      <w:r w:rsidR="007C7652">
        <w:rPr>
          <w:lang w:val="ru-RU"/>
        </w:rPr>
        <w:t>за весь срок</w:t>
      </w:r>
      <w:r w:rsidR="00FF71CD">
        <w:rPr>
          <w:lang w:val="ru-RU"/>
        </w:rPr>
        <w:t>, обусловлен</w:t>
      </w:r>
      <w:r w:rsidR="00216D60">
        <w:rPr>
          <w:lang w:val="ru-RU"/>
        </w:rPr>
        <w:t>н</w:t>
      </w:r>
      <w:r w:rsidR="00FF71CD">
        <w:rPr>
          <w:lang w:val="ru-RU"/>
        </w:rPr>
        <w:t>ых</w:t>
      </w:r>
      <w:r w:rsidR="00DB3ADC" w:rsidRPr="0049187C">
        <w:rPr>
          <w:lang w:val="ru-RU"/>
        </w:rPr>
        <w:t xml:space="preserve"> значительн</w:t>
      </w:r>
      <w:r w:rsidR="00FF71CD">
        <w:rPr>
          <w:lang w:val="ru-RU"/>
        </w:rPr>
        <w:t>ым</w:t>
      </w:r>
      <w:r w:rsidR="00DB3ADC" w:rsidRPr="0049187C">
        <w:rPr>
          <w:lang w:val="ru-RU"/>
        </w:rPr>
        <w:t xml:space="preserve"> увеличени</w:t>
      </w:r>
      <w:r w:rsidR="00FF71CD">
        <w:rPr>
          <w:lang w:val="ru-RU"/>
        </w:rPr>
        <w:t>ем</w:t>
      </w:r>
      <w:r w:rsidR="00C577C1">
        <w:rPr>
          <w:lang w:val="ru-RU"/>
        </w:rPr>
        <w:t xml:space="preserve"> кредитного риска с момента</w:t>
      </w:r>
      <w:r w:rsidR="00DB3ADC" w:rsidRPr="0049187C">
        <w:rPr>
          <w:lang w:val="ru-RU"/>
        </w:rPr>
        <w:t xml:space="preserve"> первоначального признания</w:t>
      </w:r>
      <w:r w:rsidR="00BB5E3C">
        <w:rPr>
          <w:lang w:val="ru-RU"/>
        </w:rPr>
        <w:t>,</w:t>
      </w:r>
      <w:r w:rsidR="00DB3ADC" w:rsidRPr="0049187C">
        <w:rPr>
          <w:lang w:val="ru-RU"/>
        </w:rPr>
        <w:t xml:space="preserve"> может понадобиться оценка значительного увеличения кредитного риска на групповой основе</w:t>
      </w:r>
      <w:r w:rsidR="00FF71CD">
        <w:rPr>
          <w:lang w:val="ru-RU"/>
        </w:rPr>
        <w:t xml:space="preserve">, например, </w:t>
      </w:r>
      <w:r w:rsidR="005C6427" w:rsidRPr="0049187C">
        <w:rPr>
          <w:lang w:val="ru-RU"/>
        </w:rPr>
        <w:t>посредством</w:t>
      </w:r>
      <w:r w:rsidR="00DB3ADC" w:rsidRPr="0049187C">
        <w:rPr>
          <w:lang w:val="ru-RU"/>
        </w:rPr>
        <w:t xml:space="preserve"> анализа информации, указывающей на значительное увеличение кредитного риска по</w:t>
      </w:r>
      <w:r w:rsidR="00FF71CD">
        <w:rPr>
          <w:lang w:val="ru-RU"/>
        </w:rPr>
        <w:t xml:space="preserve"> </w:t>
      </w:r>
      <w:r w:rsidR="00DB3ADC" w:rsidRPr="0049187C">
        <w:rPr>
          <w:lang w:val="ru-RU"/>
        </w:rPr>
        <w:t xml:space="preserve">группе или подгруппе финансовых инструментов. Это гарантирует достижение организацией цели признания ожидаемых кредитных убытков </w:t>
      </w:r>
      <w:r w:rsidR="007C7652">
        <w:rPr>
          <w:lang w:val="ru-RU"/>
        </w:rPr>
        <w:t>за весь срок</w:t>
      </w:r>
      <w:r w:rsidR="00DB3ADC" w:rsidRPr="0049187C">
        <w:rPr>
          <w:lang w:val="ru-RU"/>
        </w:rPr>
        <w:t xml:space="preserve"> в случае значительного увеличения кредитного риска, даже если подтверждение такого значительного увеличения кредитного риска на уровне отдельного инструмента </w:t>
      </w:r>
      <w:r w:rsidR="00FF71CD">
        <w:rPr>
          <w:lang w:val="ru-RU"/>
        </w:rPr>
        <w:t>еще недоступно</w:t>
      </w:r>
      <w:r w:rsidRPr="0049187C">
        <w:rPr>
          <w:lang w:val="ru-RU"/>
        </w:rPr>
        <w:t>.</w:t>
      </w:r>
      <w:bookmarkEnd w:id="256"/>
    </w:p>
    <w:p w:rsidR="001529CA" w:rsidRPr="0049187C" w:rsidRDefault="001529CA">
      <w:pPr>
        <w:pStyle w:val="IASBNormalnpara"/>
        <w:rPr>
          <w:lang w:val="ru-RU"/>
        </w:rPr>
      </w:pPr>
      <w:r w:rsidRPr="0049187C">
        <w:rPr>
          <w:lang w:val="ru-RU"/>
        </w:rPr>
        <w:t>B5.5.2</w:t>
      </w:r>
      <w:r w:rsidRPr="0049187C">
        <w:rPr>
          <w:lang w:val="ru-RU"/>
        </w:rPr>
        <w:tab/>
      </w:r>
      <w:bookmarkStart w:id="257" w:name="F32626465"/>
      <w:r w:rsidR="00DB3ADC" w:rsidRPr="0049187C">
        <w:rPr>
          <w:lang w:val="ru-RU"/>
        </w:rPr>
        <w:t xml:space="preserve">Обычно </w:t>
      </w:r>
      <w:r w:rsidR="005C6427" w:rsidRPr="0049187C">
        <w:rPr>
          <w:lang w:val="ru-RU"/>
        </w:rPr>
        <w:t>предполагается</w:t>
      </w:r>
      <w:r w:rsidR="00DB3ADC" w:rsidRPr="0049187C">
        <w:rPr>
          <w:lang w:val="ru-RU"/>
        </w:rPr>
        <w:t xml:space="preserve">, что ожидаемые кредитные убытки </w:t>
      </w:r>
      <w:r w:rsidR="007C7652">
        <w:rPr>
          <w:lang w:val="ru-RU"/>
        </w:rPr>
        <w:t>за весь срок</w:t>
      </w:r>
      <w:r w:rsidR="00DB3ADC" w:rsidRPr="0049187C">
        <w:rPr>
          <w:lang w:val="ru-RU"/>
        </w:rPr>
        <w:t xml:space="preserve"> будут призна</w:t>
      </w:r>
      <w:r w:rsidR="009569A8">
        <w:rPr>
          <w:lang w:val="ru-RU"/>
        </w:rPr>
        <w:t>ны</w:t>
      </w:r>
      <w:r w:rsidR="00DB3ADC" w:rsidRPr="0049187C">
        <w:rPr>
          <w:lang w:val="ru-RU"/>
        </w:rPr>
        <w:t xml:space="preserve"> до того, как финансовый инструмент будет просрочен</w:t>
      </w:r>
      <w:r w:rsidRPr="0049187C">
        <w:rPr>
          <w:lang w:val="ru-RU"/>
        </w:rPr>
        <w:t xml:space="preserve">. </w:t>
      </w:r>
      <w:r w:rsidR="00DB3ADC" w:rsidRPr="0049187C">
        <w:rPr>
          <w:lang w:val="ru-RU"/>
        </w:rPr>
        <w:t xml:space="preserve">Как правило, кредитный риск значительно увеличивается до того, как финансовый инструмент будет просрочен либо будут наблюдаться другие специфичные для заемщика </w:t>
      </w:r>
      <w:r w:rsidR="00DB3ADC" w:rsidRPr="004D2F3F">
        <w:rPr>
          <w:lang w:val="ru-RU"/>
        </w:rPr>
        <w:t xml:space="preserve">факторы </w:t>
      </w:r>
      <w:r w:rsidR="009569A8" w:rsidRPr="009569A8">
        <w:rPr>
          <w:lang w:val="ru-RU"/>
        </w:rPr>
        <w:t>отсрочки погашени</w:t>
      </w:r>
      <w:r w:rsidR="009569A8">
        <w:rPr>
          <w:lang w:val="ru-RU"/>
        </w:rPr>
        <w:t>я долга</w:t>
      </w:r>
      <w:r w:rsidR="009569A8" w:rsidRPr="0049187C">
        <w:rPr>
          <w:lang w:val="ru-RU"/>
        </w:rPr>
        <w:t xml:space="preserve"> </w:t>
      </w:r>
      <w:r w:rsidRPr="0049187C">
        <w:rPr>
          <w:lang w:val="ru-RU"/>
        </w:rPr>
        <w:t>(</w:t>
      </w:r>
      <w:r w:rsidR="006408B0" w:rsidRPr="0049187C">
        <w:rPr>
          <w:lang w:val="ru-RU"/>
        </w:rPr>
        <w:t xml:space="preserve">например, </w:t>
      </w:r>
      <w:r w:rsidR="009569A8">
        <w:rPr>
          <w:lang w:val="ru-RU"/>
        </w:rPr>
        <w:t xml:space="preserve">его </w:t>
      </w:r>
      <w:r w:rsidR="006408B0" w:rsidRPr="0049187C">
        <w:rPr>
          <w:lang w:val="ru-RU"/>
        </w:rPr>
        <w:t>модификация или реструктуризация</w:t>
      </w:r>
      <w:r w:rsidRPr="0049187C">
        <w:rPr>
          <w:lang w:val="ru-RU"/>
        </w:rPr>
        <w:t xml:space="preserve">). </w:t>
      </w:r>
      <w:r w:rsidR="006408B0" w:rsidRPr="0049187C">
        <w:rPr>
          <w:lang w:val="ru-RU"/>
        </w:rPr>
        <w:t xml:space="preserve">Впоследствии, когда обоснованная и </w:t>
      </w:r>
      <w:r w:rsidR="009569A8">
        <w:rPr>
          <w:lang w:val="ru-RU"/>
        </w:rPr>
        <w:t>подтверждаемая</w:t>
      </w:r>
      <w:r w:rsidR="009569A8" w:rsidRPr="0049187C">
        <w:rPr>
          <w:lang w:val="ru-RU"/>
        </w:rPr>
        <w:t xml:space="preserve"> </w:t>
      </w:r>
      <w:r w:rsidR="006408B0" w:rsidRPr="0049187C">
        <w:rPr>
          <w:lang w:val="ru-RU"/>
        </w:rPr>
        <w:t xml:space="preserve">информация, </w:t>
      </w:r>
      <w:r w:rsidR="009569A8">
        <w:rPr>
          <w:lang w:val="ru-RU"/>
        </w:rPr>
        <w:t>являющаяся более прогностичной</w:t>
      </w:r>
      <w:r w:rsidR="006408B0" w:rsidRPr="0049187C">
        <w:rPr>
          <w:lang w:val="ru-RU"/>
        </w:rPr>
        <w:t>, чем информация о просроченных платежах, будет доступна без чрезмерных затрат или усилий, она должна использоваться для оценки изменений кредитного риска</w:t>
      </w:r>
      <w:r w:rsidRPr="0049187C">
        <w:rPr>
          <w:lang w:val="ru-RU"/>
        </w:rPr>
        <w:t>.</w:t>
      </w:r>
      <w:bookmarkEnd w:id="257"/>
    </w:p>
    <w:p w:rsidR="001529CA" w:rsidRPr="0049187C" w:rsidRDefault="001529CA">
      <w:pPr>
        <w:pStyle w:val="IASBNormalnpara"/>
        <w:rPr>
          <w:lang w:val="ru-RU"/>
        </w:rPr>
      </w:pPr>
      <w:r w:rsidRPr="0049187C">
        <w:rPr>
          <w:lang w:val="ru-RU"/>
        </w:rPr>
        <w:t>B5.5.3</w:t>
      </w:r>
      <w:r w:rsidRPr="0049187C">
        <w:rPr>
          <w:lang w:val="ru-RU"/>
        </w:rPr>
        <w:tab/>
      </w:r>
      <w:bookmarkStart w:id="258" w:name="F32626466"/>
      <w:r w:rsidR="006408B0" w:rsidRPr="0049187C">
        <w:rPr>
          <w:lang w:val="ru-RU"/>
        </w:rPr>
        <w:t xml:space="preserve">Однако в зависимости от характера финансовых инструментов и информации о кредитном риске, доступной для определенных групп финансовых инструментов, организация может быть не в состоянии идентифицировать значительные изменения кредитного риска для отдельных финансовых инструментов до того, как финансовый инструмент будет просрочен. </w:t>
      </w:r>
      <w:r w:rsidR="009569A8">
        <w:rPr>
          <w:lang w:val="ru-RU"/>
        </w:rPr>
        <w:t xml:space="preserve">Это может иметь место в случае </w:t>
      </w:r>
      <w:r w:rsidR="00F70BDB">
        <w:rPr>
          <w:lang w:val="ru-RU"/>
        </w:rPr>
        <w:t xml:space="preserve">таких финансовых инструментов как займы физическим лицам, для которых </w:t>
      </w:r>
      <w:r w:rsidR="008349AA">
        <w:rPr>
          <w:lang w:val="ru-RU"/>
        </w:rPr>
        <w:t xml:space="preserve">обновляемая информация о кредитном риске, которая бы регулярно собиралась и мониторилась для отдельного инструмента, </w:t>
      </w:r>
      <w:r w:rsidR="00F70BDB">
        <w:rPr>
          <w:lang w:val="ru-RU"/>
        </w:rPr>
        <w:t>либо</w:t>
      </w:r>
      <w:r w:rsidR="008349AA">
        <w:rPr>
          <w:lang w:val="ru-RU"/>
        </w:rPr>
        <w:t xml:space="preserve"> имеется в незначительном объеме, либо</w:t>
      </w:r>
      <w:r w:rsidR="00F70BDB">
        <w:rPr>
          <w:lang w:val="ru-RU"/>
        </w:rPr>
        <w:t xml:space="preserve"> отсутствует</w:t>
      </w:r>
      <w:r w:rsidR="008349AA">
        <w:rPr>
          <w:lang w:val="ru-RU"/>
        </w:rPr>
        <w:t xml:space="preserve"> до тех пор</w:t>
      </w:r>
      <w:r w:rsidR="00784447">
        <w:rPr>
          <w:lang w:val="ru-RU"/>
        </w:rPr>
        <w:t>,</w:t>
      </w:r>
      <w:r w:rsidR="00F70BDB">
        <w:rPr>
          <w:lang w:val="ru-RU"/>
        </w:rPr>
        <w:t xml:space="preserve"> </w:t>
      </w:r>
      <w:r w:rsidR="008349AA">
        <w:rPr>
          <w:lang w:val="ru-RU"/>
        </w:rPr>
        <w:t>пока клиент не нарушит условия договора</w:t>
      </w:r>
      <w:r w:rsidR="00F70BDB">
        <w:rPr>
          <w:lang w:val="ru-RU"/>
        </w:rPr>
        <w:t xml:space="preserve">. </w:t>
      </w:r>
      <w:r w:rsidR="00814194" w:rsidRPr="0049187C">
        <w:rPr>
          <w:lang w:val="ru-RU"/>
        </w:rPr>
        <w:t xml:space="preserve">Если изменения кредитного риска </w:t>
      </w:r>
      <w:r w:rsidR="00784447">
        <w:rPr>
          <w:lang w:val="ru-RU"/>
        </w:rPr>
        <w:t xml:space="preserve">по </w:t>
      </w:r>
      <w:r w:rsidR="00784447" w:rsidRPr="0049187C">
        <w:rPr>
          <w:lang w:val="ru-RU"/>
        </w:rPr>
        <w:t>отдельны</w:t>
      </w:r>
      <w:r w:rsidR="00784447">
        <w:rPr>
          <w:lang w:val="ru-RU"/>
        </w:rPr>
        <w:t>м</w:t>
      </w:r>
      <w:r w:rsidR="00784447" w:rsidRPr="0049187C">
        <w:rPr>
          <w:lang w:val="ru-RU"/>
        </w:rPr>
        <w:t xml:space="preserve"> финансовы</w:t>
      </w:r>
      <w:r w:rsidR="00784447">
        <w:rPr>
          <w:lang w:val="ru-RU"/>
        </w:rPr>
        <w:t>м</w:t>
      </w:r>
      <w:r w:rsidR="00784447" w:rsidRPr="0049187C">
        <w:rPr>
          <w:lang w:val="ru-RU"/>
        </w:rPr>
        <w:t xml:space="preserve"> инструмент</w:t>
      </w:r>
      <w:r w:rsidR="00784447">
        <w:rPr>
          <w:lang w:val="ru-RU"/>
        </w:rPr>
        <w:t>ам</w:t>
      </w:r>
      <w:r w:rsidR="00784447" w:rsidRPr="0049187C">
        <w:rPr>
          <w:lang w:val="ru-RU"/>
        </w:rPr>
        <w:t xml:space="preserve"> </w:t>
      </w:r>
      <w:r w:rsidR="00814194" w:rsidRPr="0049187C">
        <w:rPr>
          <w:lang w:val="ru-RU"/>
        </w:rPr>
        <w:t xml:space="preserve">не учитываются до того, как они </w:t>
      </w:r>
      <w:r w:rsidR="00456315" w:rsidRPr="0049187C">
        <w:rPr>
          <w:lang w:val="ru-RU"/>
        </w:rPr>
        <w:t>будут просрочены</w:t>
      </w:r>
      <w:r w:rsidR="00814194" w:rsidRPr="0049187C">
        <w:rPr>
          <w:lang w:val="ru-RU"/>
        </w:rPr>
        <w:t xml:space="preserve">, оценочный резерв под убытки, в основе которого лежит </w:t>
      </w:r>
      <w:r w:rsidR="00784447">
        <w:rPr>
          <w:lang w:val="ru-RU"/>
        </w:rPr>
        <w:t>только</w:t>
      </w:r>
      <w:r w:rsidR="00784447" w:rsidRPr="0049187C">
        <w:rPr>
          <w:lang w:val="ru-RU"/>
        </w:rPr>
        <w:t xml:space="preserve"> </w:t>
      </w:r>
      <w:r w:rsidR="00814194" w:rsidRPr="0049187C">
        <w:rPr>
          <w:lang w:val="ru-RU"/>
        </w:rPr>
        <w:t xml:space="preserve">кредитная информация на уровне отдельного финансового инструмента, не будет правдиво представлять </w:t>
      </w:r>
      <w:r w:rsidR="00C577C1">
        <w:rPr>
          <w:lang w:val="ru-RU"/>
        </w:rPr>
        <w:t>изменения кредитного риска с момента</w:t>
      </w:r>
      <w:r w:rsidR="00814194" w:rsidRPr="0049187C">
        <w:rPr>
          <w:lang w:val="ru-RU"/>
        </w:rPr>
        <w:t xml:space="preserve"> первоначального признания</w:t>
      </w:r>
      <w:r w:rsidRPr="0049187C">
        <w:rPr>
          <w:lang w:val="ru-RU"/>
        </w:rPr>
        <w:t>.</w:t>
      </w:r>
      <w:bookmarkEnd w:id="258"/>
    </w:p>
    <w:p w:rsidR="001529CA" w:rsidRPr="0049187C" w:rsidRDefault="001529CA">
      <w:pPr>
        <w:pStyle w:val="IASBNormalnpara"/>
        <w:rPr>
          <w:lang w:val="ru-RU"/>
        </w:rPr>
      </w:pPr>
      <w:r w:rsidRPr="0049187C">
        <w:rPr>
          <w:lang w:val="ru-RU"/>
        </w:rPr>
        <w:t>B5.5.4</w:t>
      </w:r>
      <w:r w:rsidRPr="0049187C">
        <w:rPr>
          <w:lang w:val="ru-RU"/>
        </w:rPr>
        <w:tab/>
      </w:r>
      <w:bookmarkStart w:id="259" w:name="F32626467"/>
      <w:r w:rsidR="00814194" w:rsidRPr="0049187C">
        <w:rPr>
          <w:lang w:val="ru-RU"/>
        </w:rPr>
        <w:t xml:space="preserve">В некоторых обстоятельствах организация не располагает обоснованной и </w:t>
      </w:r>
      <w:r w:rsidR="00784447">
        <w:rPr>
          <w:lang w:val="ru-RU"/>
        </w:rPr>
        <w:t>подтверждаемой</w:t>
      </w:r>
      <w:r w:rsidR="00784447" w:rsidRPr="0049187C">
        <w:rPr>
          <w:lang w:val="ru-RU"/>
        </w:rPr>
        <w:t xml:space="preserve"> </w:t>
      </w:r>
      <w:r w:rsidR="00814194" w:rsidRPr="0049187C">
        <w:rPr>
          <w:lang w:val="ru-RU"/>
        </w:rPr>
        <w:t>информацией, которая без чрезмерных затрат или усилий</w:t>
      </w:r>
      <w:r w:rsidR="00784447" w:rsidRPr="00784447">
        <w:rPr>
          <w:lang w:val="ru-RU"/>
        </w:rPr>
        <w:t xml:space="preserve"> </w:t>
      </w:r>
      <w:r w:rsidR="00784447" w:rsidRPr="0049187C">
        <w:rPr>
          <w:lang w:val="ru-RU"/>
        </w:rPr>
        <w:t>доступна</w:t>
      </w:r>
      <w:r w:rsidR="00814194" w:rsidRPr="0049187C">
        <w:rPr>
          <w:lang w:val="ru-RU"/>
        </w:rPr>
        <w:t xml:space="preserve"> для оценки ожидаемых кредитных убытков </w:t>
      </w:r>
      <w:r w:rsidR="007C7652">
        <w:rPr>
          <w:lang w:val="ru-RU"/>
        </w:rPr>
        <w:t>за весь срок</w:t>
      </w:r>
      <w:r w:rsidR="00814194" w:rsidRPr="0049187C">
        <w:rPr>
          <w:lang w:val="ru-RU"/>
        </w:rPr>
        <w:t xml:space="preserve"> </w:t>
      </w:r>
      <w:r w:rsidR="005C6427" w:rsidRPr="0049187C">
        <w:rPr>
          <w:lang w:val="ru-RU"/>
        </w:rPr>
        <w:t xml:space="preserve">по </w:t>
      </w:r>
      <w:r w:rsidR="00814194" w:rsidRPr="0049187C">
        <w:rPr>
          <w:lang w:val="ru-RU"/>
        </w:rPr>
        <w:t>отдельно</w:t>
      </w:r>
      <w:r w:rsidR="005C6427" w:rsidRPr="0049187C">
        <w:rPr>
          <w:lang w:val="ru-RU"/>
        </w:rPr>
        <w:t>му</w:t>
      </w:r>
      <w:r w:rsidR="00814194" w:rsidRPr="0049187C">
        <w:rPr>
          <w:lang w:val="ru-RU"/>
        </w:rPr>
        <w:t xml:space="preserve"> инструмент</w:t>
      </w:r>
      <w:r w:rsidR="005C6427" w:rsidRPr="0049187C">
        <w:rPr>
          <w:lang w:val="ru-RU"/>
        </w:rPr>
        <w:t>у</w:t>
      </w:r>
      <w:r w:rsidR="00814194" w:rsidRPr="0049187C">
        <w:rPr>
          <w:lang w:val="ru-RU"/>
        </w:rPr>
        <w:t xml:space="preserve">. В таком случае ожидаемые кредитные убытки </w:t>
      </w:r>
      <w:r w:rsidR="007C7652">
        <w:rPr>
          <w:lang w:val="ru-RU"/>
        </w:rPr>
        <w:t>за весь срок</w:t>
      </w:r>
      <w:r w:rsidR="00814194" w:rsidRPr="0049187C">
        <w:rPr>
          <w:lang w:val="ru-RU"/>
        </w:rPr>
        <w:t xml:space="preserve"> необходимо признавать на групповой основе, которая </w:t>
      </w:r>
      <w:r w:rsidR="00784447">
        <w:rPr>
          <w:lang w:val="ru-RU"/>
        </w:rPr>
        <w:t xml:space="preserve">предполагает рассмотрение </w:t>
      </w:r>
      <w:r w:rsidR="00260C3D">
        <w:rPr>
          <w:lang w:val="ru-RU"/>
        </w:rPr>
        <w:t>всесторонней</w:t>
      </w:r>
      <w:r w:rsidR="00814194" w:rsidRPr="0049187C">
        <w:rPr>
          <w:lang w:val="ru-RU"/>
        </w:rPr>
        <w:t xml:space="preserve"> </w:t>
      </w:r>
      <w:r w:rsidR="00A60E57" w:rsidRPr="0049187C">
        <w:rPr>
          <w:lang w:val="ru-RU"/>
        </w:rPr>
        <w:t>информаци</w:t>
      </w:r>
      <w:r w:rsidR="00A60E57">
        <w:rPr>
          <w:lang w:val="ru-RU"/>
        </w:rPr>
        <w:t>и</w:t>
      </w:r>
      <w:r w:rsidR="00A60E57" w:rsidRPr="0049187C">
        <w:rPr>
          <w:lang w:val="ru-RU"/>
        </w:rPr>
        <w:t xml:space="preserve"> </w:t>
      </w:r>
      <w:r w:rsidR="00814194" w:rsidRPr="0049187C">
        <w:rPr>
          <w:lang w:val="ru-RU"/>
        </w:rPr>
        <w:t>о кредитном риске.</w:t>
      </w:r>
      <w:bookmarkEnd w:id="259"/>
      <w:r w:rsidR="00A60E57">
        <w:rPr>
          <w:lang w:val="ru-RU"/>
        </w:rPr>
        <w:t xml:space="preserve"> </w:t>
      </w:r>
      <w:r w:rsidR="008349AA">
        <w:rPr>
          <w:lang w:val="ru-RU"/>
        </w:rPr>
        <w:t>Такая всесторо</w:t>
      </w:r>
      <w:r w:rsidR="00F76B20">
        <w:rPr>
          <w:lang w:val="ru-RU"/>
        </w:rPr>
        <w:t>н</w:t>
      </w:r>
      <w:r w:rsidR="008349AA">
        <w:rPr>
          <w:lang w:val="ru-RU"/>
        </w:rPr>
        <w:t xml:space="preserve">няя информация </w:t>
      </w:r>
      <w:r w:rsidR="00F51BA5">
        <w:rPr>
          <w:lang w:val="ru-RU"/>
        </w:rPr>
        <w:t>должна включать</w:t>
      </w:r>
      <w:r w:rsidR="008349AA">
        <w:rPr>
          <w:lang w:val="ru-RU"/>
        </w:rPr>
        <w:t xml:space="preserve"> не только данные о просроченных платежах, но и всю значимую кредитную информацию, в том числе прогнозную макроэкономическую информацию, чтобы аппроксимировать результат, который был бы получен на уровне отдельного инструмента при признании ожида</w:t>
      </w:r>
      <w:r w:rsidR="00F76B20">
        <w:rPr>
          <w:lang w:val="ru-RU"/>
        </w:rPr>
        <w:t>емых кредитных убытков за весь с</w:t>
      </w:r>
      <w:r w:rsidR="008349AA">
        <w:rPr>
          <w:lang w:val="ru-RU"/>
        </w:rPr>
        <w:t>рок в случае значительного увеличения кредитного риска с момента первоначального признания</w:t>
      </w:r>
      <w:r w:rsidR="003479EE">
        <w:rPr>
          <w:lang w:val="ru-RU"/>
        </w:rPr>
        <w:t>.</w:t>
      </w:r>
    </w:p>
    <w:p w:rsidR="001529CA" w:rsidRPr="0049187C" w:rsidRDefault="001529CA">
      <w:pPr>
        <w:pStyle w:val="IASBNormalnpara"/>
        <w:rPr>
          <w:lang w:val="ru-RU"/>
        </w:rPr>
      </w:pPr>
      <w:r w:rsidRPr="0049187C">
        <w:rPr>
          <w:lang w:val="ru-RU"/>
        </w:rPr>
        <w:t>B5.5.5</w:t>
      </w:r>
      <w:r w:rsidRPr="0049187C">
        <w:rPr>
          <w:lang w:val="ru-RU"/>
        </w:rPr>
        <w:tab/>
      </w:r>
      <w:bookmarkStart w:id="260" w:name="F32626468"/>
      <w:r w:rsidR="009372AA" w:rsidRPr="0049187C">
        <w:rPr>
          <w:lang w:val="ru-RU"/>
        </w:rPr>
        <w:t xml:space="preserve">Для целей определения значительного увеличения кредитного риска и признания оценочного резерва под убытки на групповой основе организация может группировать финансовые инструменты на основе общих характеристик кредитного риска с целью облегчения анализа, </w:t>
      </w:r>
      <w:r w:rsidR="003479EE">
        <w:rPr>
          <w:lang w:val="ru-RU"/>
        </w:rPr>
        <w:t>обеспечивающего</w:t>
      </w:r>
      <w:r w:rsidR="009372AA" w:rsidRPr="0049187C">
        <w:rPr>
          <w:lang w:val="ru-RU"/>
        </w:rPr>
        <w:t xml:space="preserve"> своевременную идентификацию значительного увеличения кредитного риска. Организация не должна затруднять понимание такой информации, группируя финансовые инструменты с различными характеристиками риска. Примеры общих характеристик кредитного риска могут включать, среди прочего</w:t>
      </w:r>
      <w:r w:rsidR="00FB1E96" w:rsidRPr="0049187C">
        <w:rPr>
          <w:lang w:val="ru-RU"/>
        </w:rPr>
        <w:t>, следующее</w:t>
      </w:r>
      <w:r w:rsidRPr="0049187C">
        <w:rPr>
          <w:lang w:val="ru-RU"/>
        </w:rPr>
        <w:t>:</w:t>
      </w:r>
      <w:bookmarkEnd w:id="260"/>
    </w:p>
    <w:p w:rsidR="001529CA" w:rsidRPr="0049187C" w:rsidRDefault="001529CA">
      <w:pPr>
        <w:pStyle w:val="IASBNormalnparaL1"/>
        <w:rPr>
          <w:lang w:val="ru-RU"/>
        </w:rPr>
      </w:pPr>
      <w:r w:rsidRPr="0049187C">
        <w:rPr>
          <w:lang w:val="ru-RU"/>
        </w:rPr>
        <w:t>(a)</w:t>
      </w:r>
      <w:r w:rsidRPr="0049187C">
        <w:rPr>
          <w:lang w:val="ru-RU"/>
        </w:rPr>
        <w:tab/>
      </w:r>
      <w:bookmarkStart w:id="261" w:name="F32626472"/>
      <w:r w:rsidR="00D84677">
        <w:rPr>
          <w:lang w:val="ru-RU"/>
        </w:rPr>
        <w:t>вид</w:t>
      </w:r>
      <w:r w:rsidR="009372AA" w:rsidRPr="0049187C">
        <w:rPr>
          <w:lang w:val="ru-RU"/>
        </w:rPr>
        <w:t xml:space="preserve"> инструмента</w:t>
      </w:r>
      <w:r w:rsidRPr="0049187C">
        <w:rPr>
          <w:lang w:val="ru-RU"/>
        </w:rPr>
        <w:t>;</w:t>
      </w:r>
      <w:bookmarkEnd w:id="261"/>
    </w:p>
    <w:p w:rsidR="001529CA" w:rsidRPr="0049187C" w:rsidRDefault="001529CA">
      <w:pPr>
        <w:pStyle w:val="IASBNormalnparaL1"/>
        <w:rPr>
          <w:lang w:val="ru-RU"/>
        </w:rPr>
      </w:pPr>
      <w:r w:rsidRPr="0049187C">
        <w:rPr>
          <w:lang w:val="ru-RU"/>
        </w:rPr>
        <w:t>(b)</w:t>
      </w:r>
      <w:r w:rsidRPr="0049187C">
        <w:rPr>
          <w:lang w:val="ru-RU"/>
        </w:rPr>
        <w:tab/>
      </w:r>
      <w:bookmarkStart w:id="262" w:name="F32626473"/>
      <w:r w:rsidR="009372AA" w:rsidRPr="0049187C">
        <w:rPr>
          <w:lang w:val="ru-RU"/>
        </w:rPr>
        <w:t>рейтинги кредитного риска</w:t>
      </w:r>
      <w:r w:rsidRPr="0049187C">
        <w:rPr>
          <w:lang w:val="ru-RU"/>
        </w:rPr>
        <w:t>;</w:t>
      </w:r>
      <w:bookmarkEnd w:id="262"/>
    </w:p>
    <w:p w:rsidR="001529CA" w:rsidRPr="0049187C" w:rsidRDefault="001529CA">
      <w:pPr>
        <w:pStyle w:val="IASBNormalnparaL1"/>
        <w:rPr>
          <w:lang w:val="ru-RU"/>
        </w:rPr>
      </w:pPr>
      <w:r w:rsidRPr="0049187C">
        <w:rPr>
          <w:lang w:val="ru-RU"/>
        </w:rPr>
        <w:t>(c)</w:t>
      </w:r>
      <w:r w:rsidRPr="0049187C">
        <w:rPr>
          <w:lang w:val="ru-RU"/>
        </w:rPr>
        <w:tab/>
      </w:r>
      <w:bookmarkStart w:id="263" w:name="F32626476"/>
      <w:r w:rsidR="00D84677">
        <w:rPr>
          <w:lang w:val="ru-RU"/>
        </w:rPr>
        <w:t>вид</w:t>
      </w:r>
      <w:r w:rsidR="009372AA" w:rsidRPr="0049187C">
        <w:rPr>
          <w:lang w:val="ru-RU"/>
        </w:rPr>
        <w:t xml:space="preserve"> обеспечения</w:t>
      </w:r>
      <w:r w:rsidRPr="0049187C">
        <w:rPr>
          <w:lang w:val="ru-RU"/>
        </w:rPr>
        <w:t>;</w:t>
      </w:r>
      <w:bookmarkEnd w:id="263"/>
    </w:p>
    <w:p w:rsidR="001529CA" w:rsidRPr="0049187C" w:rsidRDefault="001529CA">
      <w:pPr>
        <w:pStyle w:val="IASBNormalnparaL1"/>
        <w:rPr>
          <w:lang w:val="ru-RU"/>
        </w:rPr>
      </w:pPr>
      <w:r w:rsidRPr="0049187C">
        <w:rPr>
          <w:lang w:val="ru-RU"/>
        </w:rPr>
        <w:t>(d)</w:t>
      </w:r>
      <w:r w:rsidRPr="0049187C">
        <w:rPr>
          <w:lang w:val="ru-RU"/>
        </w:rPr>
        <w:tab/>
      </w:r>
      <w:bookmarkStart w:id="264" w:name="F32626478"/>
      <w:r w:rsidR="009372AA" w:rsidRPr="0049187C">
        <w:rPr>
          <w:lang w:val="ru-RU"/>
        </w:rPr>
        <w:t>дата первоначального признания</w:t>
      </w:r>
      <w:r w:rsidRPr="0049187C">
        <w:rPr>
          <w:lang w:val="ru-RU"/>
        </w:rPr>
        <w:t>;</w:t>
      </w:r>
      <w:bookmarkEnd w:id="264"/>
    </w:p>
    <w:p w:rsidR="001529CA" w:rsidRPr="0049187C" w:rsidRDefault="001529CA">
      <w:pPr>
        <w:pStyle w:val="IASBNormalnparaL1"/>
        <w:rPr>
          <w:lang w:val="ru-RU"/>
        </w:rPr>
      </w:pPr>
      <w:r w:rsidRPr="0049187C">
        <w:rPr>
          <w:lang w:val="ru-RU"/>
        </w:rPr>
        <w:t>(e)</w:t>
      </w:r>
      <w:r w:rsidRPr="0049187C">
        <w:rPr>
          <w:lang w:val="ru-RU"/>
        </w:rPr>
        <w:tab/>
      </w:r>
      <w:bookmarkStart w:id="265" w:name="F32626480"/>
      <w:r w:rsidR="009372AA" w:rsidRPr="0049187C">
        <w:rPr>
          <w:lang w:val="ru-RU"/>
        </w:rPr>
        <w:t>оставшийся срок до погашения</w:t>
      </w:r>
      <w:r w:rsidRPr="0049187C">
        <w:rPr>
          <w:lang w:val="ru-RU"/>
        </w:rPr>
        <w:t>;</w:t>
      </w:r>
      <w:bookmarkEnd w:id="265"/>
    </w:p>
    <w:p w:rsidR="001529CA" w:rsidRPr="0049187C" w:rsidRDefault="001529CA">
      <w:pPr>
        <w:pStyle w:val="IASBNormalnparaL1"/>
        <w:rPr>
          <w:lang w:val="ru-RU"/>
        </w:rPr>
      </w:pPr>
      <w:r w:rsidRPr="0049187C">
        <w:rPr>
          <w:lang w:val="ru-RU"/>
        </w:rPr>
        <w:t>(f)</w:t>
      </w:r>
      <w:r w:rsidRPr="0049187C">
        <w:rPr>
          <w:lang w:val="ru-RU"/>
        </w:rPr>
        <w:tab/>
      </w:r>
      <w:bookmarkStart w:id="266" w:name="F32626482"/>
      <w:r w:rsidR="009372AA" w:rsidRPr="0049187C">
        <w:rPr>
          <w:lang w:val="ru-RU"/>
        </w:rPr>
        <w:t>отрасль</w:t>
      </w:r>
      <w:r w:rsidRPr="0049187C">
        <w:rPr>
          <w:lang w:val="ru-RU"/>
        </w:rPr>
        <w:t>;</w:t>
      </w:r>
      <w:bookmarkEnd w:id="266"/>
    </w:p>
    <w:p w:rsidR="001529CA" w:rsidRPr="0049187C" w:rsidRDefault="001529CA">
      <w:pPr>
        <w:pStyle w:val="IASBNormalnparaL1"/>
        <w:rPr>
          <w:lang w:val="ru-RU"/>
        </w:rPr>
      </w:pPr>
      <w:r w:rsidRPr="0049187C">
        <w:rPr>
          <w:lang w:val="ru-RU"/>
        </w:rPr>
        <w:t>(g)</w:t>
      </w:r>
      <w:r w:rsidRPr="0049187C">
        <w:rPr>
          <w:lang w:val="ru-RU"/>
        </w:rPr>
        <w:tab/>
      </w:r>
      <w:bookmarkStart w:id="267" w:name="F32626484"/>
      <w:r w:rsidR="009372AA" w:rsidRPr="0049187C">
        <w:rPr>
          <w:lang w:val="ru-RU"/>
        </w:rPr>
        <w:t>географическое местоположение заемщика</w:t>
      </w:r>
      <w:r w:rsidRPr="0049187C">
        <w:rPr>
          <w:lang w:val="ru-RU"/>
        </w:rPr>
        <w:t xml:space="preserve">; </w:t>
      </w:r>
      <w:r w:rsidR="009372AA" w:rsidRPr="0049187C">
        <w:rPr>
          <w:lang w:val="ru-RU"/>
        </w:rPr>
        <w:t>и</w:t>
      </w:r>
      <w:bookmarkEnd w:id="267"/>
    </w:p>
    <w:p w:rsidR="001529CA" w:rsidRPr="0049187C" w:rsidRDefault="001529CA">
      <w:pPr>
        <w:pStyle w:val="IASBNormalnparaL1"/>
        <w:rPr>
          <w:lang w:val="ru-RU"/>
        </w:rPr>
      </w:pPr>
      <w:r w:rsidRPr="0049187C">
        <w:rPr>
          <w:lang w:val="ru-RU"/>
        </w:rPr>
        <w:t>(h)</w:t>
      </w:r>
      <w:r w:rsidRPr="0049187C">
        <w:rPr>
          <w:lang w:val="ru-RU"/>
        </w:rPr>
        <w:tab/>
      </w:r>
      <w:bookmarkStart w:id="268" w:name="F32626486"/>
      <w:r w:rsidR="009372AA" w:rsidRPr="0049187C">
        <w:rPr>
          <w:lang w:val="ru-RU"/>
        </w:rPr>
        <w:t>стоимость обеспечения относительно финансового актива, если она влияет на вероятность наступления дефолта (например, займы без права регресса в некоторых юрисдикциях и отношение основной суммы займа к стоимости приобретенного актива</w:t>
      </w:r>
      <w:r w:rsidRPr="0049187C">
        <w:rPr>
          <w:lang w:val="ru-RU"/>
        </w:rPr>
        <w:t>).</w:t>
      </w:r>
      <w:bookmarkEnd w:id="268"/>
    </w:p>
    <w:p w:rsidR="001529CA" w:rsidRPr="0049187C" w:rsidRDefault="001529CA">
      <w:pPr>
        <w:pStyle w:val="IASBNormalnpara"/>
        <w:rPr>
          <w:lang w:val="ru-RU"/>
        </w:rPr>
      </w:pPr>
      <w:r w:rsidRPr="0049187C">
        <w:rPr>
          <w:lang w:val="ru-RU"/>
        </w:rPr>
        <w:t>B5.5.6</w:t>
      </w:r>
      <w:r w:rsidRPr="0049187C">
        <w:rPr>
          <w:lang w:val="ru-RU"/>
        </w:rPr>
        <w:tab/>
      </w:r>
      <w:bookmarkStart w:id="269" w:name="F32626487"/>
      <w:r w:rsidR="009372AA" w:rsidRPr="0049187C">
        <w:rPr>
          <w:lang w:val="ru-RU"/>
        </w:rPr>
        <w:t>Пункт</w:t>
      </w:r>
      <w:r w:rsidRPr="0049187C">
        <w:rPr>
          <w:lang w:val="ru-RU"/>
        </w:rPr>
        <w:t xml:space="preserve"> 5.5.4 </w:t>
      </w:r>
      <w:r w:rsidR="004C7DB9" w:rsidRPr="0049187C">
        <w:rPr>
          <w:lang w:val="ru-RU"/>
        </w:rPr>
        <w:t xml:space="preserve">требует признания ожидаемых кредитных убытков </w:t>
      </w:r>
      <w:r w:rsidR="007C7652">
        <w:rPr>
          <w:lang w:val="ru-RU"/>
        </w:rPr>
        <w:t>за весь срок</w:t>
      </w:r>
      <w:r w:rsidR="004C7DB9" w:rsidRPr="0049187C">
        <w:rPr>
          <w:lang w:val="ru-RU"/>
        </w:rPr>
        <w:t xml:space="preserve"> по всем финансовым инструментам, по которым </w:t>
      </w:r>
      <w:r w:rsidR="005C6427" w:rsidRPr="0049187C">
        <w:rPr>
          <w:lang w:val="ru-RU"/>
        </w:rPr>
        <w:t>наблюдается</w:t>
      </w:r>
      <w:r w:rsidR="004C7DB9" w:rsidRPr="0049187C">
        <w:rPr>
          <w:lang w:val="ru-RU"/>
        </w:rPr>
        <w:t xml:space="preserve"> значительное у</w:t>
      </w:r>
      <w:r w:rsidR="00C577C1">
        <w:rPr>
          <w:lang w:val="ru-RU"/>
        </w:rPr>
        <w:t>величение кредитного риска с момента</w:t>
      </w:r>
      <w:r w:rsidR="004C7DB9" w:rsidRPr="0049187C">
        <w:rPr>
          <w:lang w:val="ru-RU"/>
        </w:rPr>
        <w:t xml:space="preserve"> первоначального признания. Для достижения этой цели </w:t>
      </w:r>
      <w:r w:rsidR="007A06BE">
        <w:rPr>
          <w:lang w:val="ru-RU"/>
        </w:rPr>
        <w:t xml:space="preserve">в случае, когда </w:t>
      </w:r>
      <w:r w:rsidR="004C7DB9" w:rsidRPr="0049187C">
        <w:rPr>
          <w:lang w:val="ru-RU"/>
        </w:rPr>
        <w:t>организация не способна сгруппировать финансовые инструменты, кредитный риск по которым считается</w:t>
      </w:r>
      <w:r w:rsidR="00C577C1">
        <w:rPr>
          <w:lang w:val="ru-RU"/>
        </w:rPr>
        <w:t xml:space="preserve"> значительно увеличившимся с момента</w:t>
      </w:r>
      <w:r w:rsidR="004C7DB9" w:rsidRPr="0049187C">
        <w:rPr>
          <w:lang w:val="ru-RU"/>
        </w:rPr>
        <w:t xml:space="preserve"> первоначального признания, на основе общих характеристик кредитного риска, организация должна признать ожидаемые кредитные убытки </w:t>
      </w:r>
      <w:r w:rsidR="007C7652">
        <w:rPr>
          <w:lang w:val="ru-RU"/>
        </w:rPr>
        <w:t>за весь срок</w:t>
      </w:r>
      <w:r w:rsidR="004C7DB9" w:rsidRPr="0049187C">
        <w:rPr>
          <w:lang w:val="ru-RU"/>
        </w:rPr>
        <w:t xml:space="preserve"> по части финансовых активов, кредитный риск по которым считается значительно увеличившимся. Агрегирование финансовых инструментов для оценки наличия изменений кредитного риска на групповой основе может измениться с течением времени по мере того, как </w:t>
      </w:r>
      <w:r w:rsidR="007A06BE">
        <w:rPr>
          <w:lang w:val="ru-RU"/>
        </w:rPr>
        <w:t>станет</w:t>
      </w:r>
      <w:r w:rsidR="007A06BE" w:rsidRPr="0049187C">
        <w:rPr>
          <w:lang w:val="ru-RU"/>
        </w:rPr>
        <w:t xml:space="preserve"> </w:t>
      </w:r>
      <w:r w:rsidR="004C7DB9" w:rsidRPr="0049187C">
        <w:rPr>
          <w:lang w:val="ru-RU"/>
        </w:rPr>
        <w:t xml:space="preserve">доступна новая информация по группам финансовых инструментов или по отдельным финансовым инструментам. </w:t>
      </w:r>
      <w:bookmarkEnd w:id="269"/>
    </w:p>
    <w:p w:rsidR="001529CA" w:rsidRPr="0049187C" w:rsidRDefault="004C7DB9">
      <w:pPr>
        <w:pStyle w:val="IASBSectionTitle3Ind"/>
        <w:rPr>
          <w:lang w:val="ru-RU"/>
        </w:rPr>
      </w:pPr>
      <w:bookmarkStart w:id="270" w:name="F32626489"/>
      <w:r w:rsidRPr="0049187C">
        <w:rPr>
          <w:lang w:val="ru-RU"/>
        </w:rPr>
        <w:t xml:space="preserve">Распределение во времени признания ожидаемых кредитных убытков </w:t>
      </w:r>
      <w:r w:rsidR="007C7652">
        <w:rPr>
          <w:lang w:val="ru-RU"/>
        </w:rPr>
        <w:t>за весь срок</w:t>
      </w:r>
      <w:r w:rsidRPr="0049187C">
        <w:rPr>
          <w:lang w:val="ru-RU"/>
        </w:rPr>
        <w:t xml:space="preserve"> </w:t>
      </w:r>
      <w:bookmarkEnd w:id="270"/>
    </w:p>
    <w:p w:rsidR="001529CA" w:rsidRPr="0049187C" w:rsidRDefault="001529CA">
      <w:pPr>
        <w:pStyle w:val="IASBNormalnpara"/>
        <w:rPr>
          <w:lang w:val="ru-RU"/>
        </w:rPr>
      </w:pPr>
      <w:r w:rsidRPr="0049187C">
        <w:rPr>
          <w:lang w:val="ru-RU"/>
        </w:rPr>
        <w:t>B5.5.7</w:t>
      </w:r>
      <w:r w:rsidRPr="0049187C">
        <w:rPr>
          <w:lang w:val="ru-RU"/>
        </w:rPr>
        <w:tab/>
      </w:r>
      <w:bookmarkStart w:id="271" w:name="F32626490"/>
      <w:r w:rsidR="00CF3489" w:rsidRPr="0049187C">
        <w:rPr>
          <w:lang w:val="ru-RU"/>
        </w:rPr>
        <w:t xml:space="preserve">Оценка необходимости признания ожидаемых кредитных убытков </w:t>
      </w:r>
      <w:r w:rsidR="007E6FF8">
        <w:rPr>
          <w:lang w:val="ru-RU"/>
        </w:rPr>
        <w:t>за весь срок</w:t>
      </w:r>
      <w:r w:rsidR="00CF3489" w:rsidRPr="0049187C">
        <w:rPr>
          <w:lang w:val="ru-RU"/>
        </w:rPr>
        <w:t xml:space="preserve"> основана на значительном увеличении вероятности или</w:t>
      </w:r>
      <w:r w:rsidR="00C577C1">
        <w:rPr>
          <w:lang w:val="ru-RU"/>
        </w:rPr>
        <w:t xml:space="preserve"> риска наступления дефолта с момента</w:t>
      </w:r>
      <w:r w:rsidR="00CF3489" w:rsidRPr="0049187C">
        <w:rPr>
          <w:lang w:val="ru-RU"/>
        </w:rPr>
        <w:t xml:space="preserve"> первоначального признания (вне зависимости от того, была ли пересмотрена цена финансового инструмента для отражения увеличения кредитного риска)</w:t>
      </w:r>
      <w:r w:rsidR="004C5DEE">
        <w:rPr>
          <w:lang w:val="ru-RU"/>
        </w:rPr>
        <w:t xml:space="preserve">, а не на </w:t>
      </w:r>
      <w:r w:rsidR="00AE20BB">
        <w:rPr>
          <w:lang w:val="ru-RU"/>
        </w:rPr>
        <w:t xml:space="preserve">свидетельствах, подтверждающих </w:t>
      </w:r>
      <w:r w:rsidR="00AE20BB" w:rsidRPr="0049187C">
        <w:rPr>
          <w:lang w:val="ru-RU"/>
        </w:rPr>
        <w:t>наступлени</w:t>
      </w:r>
      <w:r w:rsidR="00AE20BB">
        <w:rPr>
          <w:lang w:val="ru-RU"/>
        </w:rPr>
        <w:t>е</w:t>
      </w:r>
      <w:r w:rsidR="00AE20BB" w:rsidRPr="0049187C">
        <w:rPr>
          <w:lang w:val="ru-RU"/>
        </w:rPr>
        <w:t xml:space="preserve"> фактического дефолта</w:t>
      </w:r>
      <w:r w:rsidR="00AE20BB">
        <w:rPr>
          <w:lang w:val="ru-RU"/>
        </w:rPr>
        <w:t xml:space="preserve"> или тот факт, что </w:t>
      </w:r>
      <w:r w:rsidR="00AE20BB" w:rsidRPr="0049187C">
        <w:rPr>
          <w:lang w:val="ru-RU"/>
        </w:rPr>
        <w:t xml:space="preserve">финансовый актив </w:t>
      </w:r>
      <w:r w:rsidR="007E6FF8">
        <w:rPr>
          <w:lang w:val="ru-RU"/>
        </w:rPr>
        <w:t>являлся кредитно-обесцененным</w:t>
      </w:r>
      <w:r w:rsidR="007D71B7">
        <w:rPr>
          <w:lang w:val="ru-RU"/>
        </w:rPr>
        <w:t xml:space="preserve"> по состоянию</w:t>
      </w:r>
      <w:r w:rsidR="00AE20BB" w:rsidRPr="0049187C">
        <w:rPr>
          <w:lang w:val="ru-RU"/>
        </w:rPr>
        <w:t xml:space="preserve"> на отчетную дату</w:t>
      </w:r>
      <w:r w:rsidR="00AE20BB">
        <w:rPr>
          <w:lang w:val="ru-RU"/>
        </w:rPr>
        <w:t>.</w:t>
      </w:r>
      <w:r w:rsidR="00CF3489" w:rsidRPr="0049187C">
        <w:rPr>
          <w:lang w:val="ru-RU"/>
        </w:rPr>
        <w:t xml:space="preserve"> Как правило, кредитный риск значительно увеличивается до того, как финансовый актив </w:t>
      </w:r>
      <w:r w:rsidR="00364D35">
        <w:rPr>
          <w:lang w:val="ru-RU"/>
        </w:rPr>
        <w:t>становится кредитно-обесцененным</w:t>
      </w:r>
      <w:r w:rsidR="00CF3489" w:rsidRPr="0049187C">
        <w:rPr>
          <w:lang w:val="ru-RU"/>
        </w:rPr>
        <w:t xml:space="preserve"> или наступает фактический дефолт</w:t>
      </w:r>
      <w:r w:rsidRPr="0049187C">
        <w:rPr>
          <w:lang w:val="ru-RU"/>
        </w:rPr>
        <w:t>.</w:t>
      </w:r>
      <w:bookmarkEnd w:id="271"/>
    </w:p>
    <w:p w:rsidR="001529CA" w:rsidRPr="0049187C" w:rsidRDefault="001529CA">
      <w:pPr>
        <w:pStyle w:val="IASBNormalnpara"/>
        <w:rPr>
          <w:lang w:val="ru-RU"/>
        </w:rPr>
      </w:pPr>
      <w:r w:rsidRPr="0049187C">
        <w:rPr>
          <w:lang w:val="ru-RU"/>
        </w:rPr>
        <w:t>B5.5.8</w:t>
      </w:r>
      <w:r w:rsidRPr="0049187C">
        <w:rPr>
          <w:lang w:val="ru-RU"/>
        </w:rPr>
        <w:tab/>
      </w:r>
      <w:bookmarkStart w:id="272" w:name="F32626491"/>
      <w:r w:rsidR="00B451C5" w:rsidRPr="0049187C">
        <w:rPr>
          <w:lang w:val="ru-RU"/>
        </w:rPr>
        <w:t xml:space="preserve">В случае обязательств по предоставлению займов организация </w:t>
      </w:r>
      <w:r w:rsidR="00AE20BB">
        <w:rPr>
          <w:lang w:val="ru-RU"/>
        </w:rPr>
        <w:t>рассматривает</w:t>
      </w:r>
      <w:r w:rsidR="00AE20BB" w:rsidRPr="0049187C">
        <w:rPr>
          <w:lang w:val="ru-RU"/>
        </w:rPr>
        <w:t xml:space="preserve"> </w:t>
      </w:r>
      <w:r w:rsidR="00B451C5" w:rsidRPr="0049187C">
        <w:rPr>
          <w:lang w:val="ru-RU"/>
        </w:rPr>
        <w:t xml:space="preserve">изменения риска наступления дефолта по займу, к которому относится обязательство по предоставлению </w:t>
      </w:r>
      <w:r w:rsidR="00AE20BB" w:rsidRPr="0049187C">
        <w:rPr>
          <w:lang w:val="ru-RU"/>
        </w:rPr>
        <w:t>займ</w:t>
      </w:r>
      <w:r w:rsidR="00AE20BB">
        <w:rPr>
          <w:lang w:val="ru-RU"/>
        </w:rPr>
        <w:t>а</w:t>
      </w:r>
      <w:r w:rsidR="00B451C5" w:rsidRPr="0049187C">
        <w:rPr>
          <w:lang w:val="ru-RU"/>
        </w:rPr>
        <w:t xml:space="preserve">. В случае договоров финансовой гарантии организация </w:t>
      </w:r>
      <w:r w:rsidR="00AE20BB">
        <w:rPr>
          <w:lang w:val="ru-RU"/>
        </w:rPr>
        <w:t>рассматривает</w:t>
      </w:r>
      <w:r w:rsidR="00AE20BB" w:rsidRPr="0049187C">
        <w:rPr>
          <w:lang w:val="ru-RU"/>
        </w:rPr>
        <w:t xml:space="preserve"> </w:t>
      </w:r>
      <w:r w:rsidR="00B451C5" w:rsidRPr="0049187C">
        <w:rPr>
          <w:lang w:val="ru-RU"/>
        </w:rPr>
        <w:t xml:space="preserve">изменения риска того, что определенный должник </w:t>
      </w:r>
      <w:r w:rsidR="00F76B20">
        <w:rPr>
          <w:lang w:val="ru-RU"/>
        </w:rPr>
        <w:t>допустит дефолт</w:t>
      </w:r>
      <w:r w:rsidR="00B451C5" w:rsidRPr="0049187C">
        <w:rPr>
          <w:lang w:val="ru-RU"/>
        </w:rPr>
        <w:t xml:space="preserve"> по договору</w:t>
      </w:r>
      <w:r w:rsidRPr="0049187C">
        <w:rPr>
          <w:lang w:val="ru-RU"/>
        </w:rPr>
        <w:t>.</w:t>
      </w:r>
      <w:bookmarkEnd w:id="272"/>
    </w:p>
    <w:p w:rsidR="001529CA" w:rsidRPr="0049187C" w:rsidRDefault="001529CA">
      <w:pPr>
        <w:pStyle w:val="IASBNormalnpara"/>
        <w:rPr>
          <w:lang w:val="ru-RU"/>
        </w:rPr>
      </w:pPr>
      <w:r w:rsidRPr="0049187C">
        <w:rPr>
          <w:lang w:val="ru-RU"/>
        </w:rPr>
        <w:t>B5.5.9</w:t>
      </w:r>
      <w:r w:rsidRPr="0049187C">
        <w:rPr>
          <w:lang w:val="ru-RU"/>
        </w:rPr>
        <w:tab/>
      </w:r>
      <w:bookmarkStart w:id="273" w:name="F32626492"/>
      <w:r w:rsidR="00B451C5" w:rsidRPr="0049187C">
        <w:rPr>
          <w:lang w:val="ru-RU"/>
        </w:rPr>
        <w:t>Значи</w:t>
      </w:r>
      <w:r w:rsidR="00AE20BB">
        <w:rPr>
          <w:lang w:val="ru-RU"/>
        </w:rPr>
        <w:t>тельность</w:t>
      </w:r>
      <w:r w:rsidR="00B451C5" w:rsidRPr="0049187C">
        <w:rPr>
          <w:lang w:val="ru-RU"/>
        </w:rPr>
        <w:t xml:space="preserve"> </w:t>
      </w:r>
      <w:r w:rsidR="00C577C1">
        <w:rPr>
          <w:lang w:val="ru-RU"/>
        </w:rPr>
        <w:t>изменения кредитного риска с момента</w:t>
      </w:r>
      <w:r w:rsidR="00B451C5" w:rsidRPr="0049187C">
        <w:rPr>
          <w:lang w:val="ru-RU"/>
        </w:rPr>
        <w:t xml:space="preserve"> первоначального признания зависит от риска наступления дефолта при первоначальном признании. </w:t>
      </w:r>
      <w:r w:rsidR="00AE20BB">
        <w:rPr>
          <w:lang w:val="ru-RU"/>
        </w:rPr>
        <w:t>Соответственно</w:t>
      </w:r>
      <w:r w:rsidR="00B40611" w:rsidRPr="0049187C">
        <w:rPr>
          <w:lang w:val="ru-RU"/>
        </w:rPr>
        <w:t>,</w:t>
      </w:r>
      <w:r w:rsidRPr="0049187C">
        <w:rPr>
          <w:lang w:val="ru-RU"/>
        </w:rPr>
        <w:t xml:space="preserve"> </w:t>
      </w:r>
      <w:r w:rsidR="00AE20BB">
        <w:rPr>
          <w:lang w:val="ru-RU"/>
        </w:rPr>
        <w:t>некоторое</w:t>
      </w:r>
      <w:r w:rsidR="00AE20BB" w:rsidRPr="0049187C">
        <w:rPr>
          <w:lang w:val="ru-RU"/>
        </w:rPr>
        <w:t xml:space="preserve"> </w:t>
      </w:r>
      <w:r w:rsidR="00B40611" w:rsidRPr="0049187C">
        <w:rPr>
          <w:lang w:val="ru-RU"/>
        </w:rPr>
        <w:t>изменение (в абсолютном выражении) риска наступления дефолта будет более значи</w:t>
      </w:r>
      <w:r w:rsidR="00AE20BB">
        <w:rPr>
          <w:lang w:val="ru-RU"/>
        </w:rPr>
        <w:t>тельным</w:t>
      </w:r>
      <w:r w:rsidR="00B40611" w:rsidRPr="0049187C">
        <w:rPr>
          <w:lang w:val="ru-RU"/>
        </w:rPr>
        <w:t xml:space="preserve"> для финансового инструмента с более низким первоначальным риском наступления дефолта </w:t>
      </w:r>
      <w:r w:rsidR="00AE20BB">
        <w:rPr>
          <w:lang w:val="ru-RU"/>
        </w:rPr>
        <w:t>в</w:t>
      </w:r>
      <w:r w:rsidR="00AE20BB" w:rsidRPr="0049187C">
        <w:rPr>
          <w:lang w:val="ru-RU"/>
        </w:rPr>
        <w:t xml:space="preserve"> сравнени</w:t>
      </w:r>
      <w:r w:rsidR="00AE20BB">
        <w:rPr>
          <w:lang w:val="ru-RU"/>
        </w:rPr>
        <w:t>и</w:t>
      </w:r>
      <w:r w:rsidR="00AE20BB" w:rsidRPr="0049187C">
        <w:rPr>
          <w:lang w:val="ru-RU"/>
        </w:rPr>
        <w:t xml:space="preserve"> </w:t>
      </w:r>
      <w:r w:rsidR="00B40611" w:rsidRPr="0049187C">
        <w:rPr>
          <w:lang w:val="ru-RU"/>
        </w:rPr>
        <w:t>с финансовым инструментом с более высоким первоначальным риском наступления дефолта</w:t>
      </w:r>
      <w:r w:rsidRPr="0049187C">
        <w:rPr>
          <w:lang w:val="ru-RU"/>
        </w:rPr>
        <w:t>.</w:t>
      </w:r>
      <w:bookmarkEnd w:id="273"/>
    </w:p>
    <w:p w:rsidR="001529CA" w:rsidRPr="0049187C" w:rsidRDefault="001529CA">
      <w:pPr>
        <w:pStyle w:val="IASBNormalnpara"/>
        <w:rPr>
          <w:lang w:val="ru-RU"/>
        </w:rPr>
      </w:pPr>
      <w:r w:rsidRPr="0049187C">
        <w:rPr>
          <w:lang w:val="ru-RU"/>
        </w:rPr>
        <w:t>B5.5.10</w:t>
      </w:r>
      <w:r w:rsidRPr="0049187C">
        <w:rPr>
          <w:lang w:val="ru-RU"/>
        </w:rPr>
        <w:tab/>
      </w:r>
      <w:bookmarkStart w:id="274" w:name="F32626493"/>
      <w:r w:rsidR="00B40611" w:rsidRPr="0049187C">
        <w:rPr>
          <w:lang w:val="ru-RU"/>
        </w:rPr>
        <w:t xml:space="preserve">Риск наступления дефолта по финансовым инструментам с сопоставимым кредитным риском выше у инструмента с более </w:t>
      </w:r>
      <w:r w:rsidR="006A422E" w:rsidRPr="0049187C">
        <w:rPr>
          <w:lang w:val="ru-RU"/>
        </w:rPr>
        <w:t>продолжительным</w:t>
      </w:r>
      <w:r w:rsidR="00B40611" w:rsidRPr="0049187C">
        <w:rPr>
          <w:lang w:val="ru-RU"/>
        </w:rPr>
        <w:t xml:space="preserve"> ожидаемым сроком действия</w:t>
      </w:r>
      <w:r w:rsidRPr="0049187C">
        <w:rPr>
          <w:lang w:val="ru-RU"/>
        </w:rPr>
        <w:t xml:space="preserve">; </w:t>
      </w:r>
      <w:r w:rsidR="00B40611" w:rsidRPr="0049187C">
        <w:rPr>
          <w:lang w:val="ru-RU"/>
        </w:rPr>
        <w:t xml:space="preserve">например, риск наступления дефолта по облигации с рейтингом </w:t>
      </w:r>
      <w:r w:rsidRPr="0049187C">
        <w:rPr>
          <w:lang w:val="ru-RU"/>
        </w:rPr>
        <w:t>AAA</w:t>
      </w:r>
      <w:r w:rsidR="00B40611" w:rsidRPr="0049187C">
        <w:rPr>
          <w:lang w:val="ru-RU"/>
        </w:rPr>
        <w:t xml:space="preserve"> и ожидаемым сроком действия </w:t>
      </w:r>
      <w:r w:rsidRPr="0049187C">
        <w:rPr>
          <w:lang w:val="ru-RU"/>
        </w:rPr>
        <w:t xml:space="preserve">10 </w:t>
      </w:r>
      <w:r w:rsidR="00B40611" w:rsidRPr="0049187C">
        <w:rPr>
          <w:lang w:val="ru-RU"/>
        </w:rPr>
        <w:t>лет выше, чем риск по облигации с рейтингом AAA и ожидаемым сроком действия пять лет</w:t>
      </w:r>
      <w:r w:rsidRPr="0049187C">
        <w:rPr>
          <w:lang w:val="ru-RU"/>
        </w:rPr>
        <w:t>.</w:t>
      </w:r>
      <w:bookmarkEnd w:id="274"/>
    </w:p>
    <w:p w:rsidR="001529CA" w:rsidRPr="0049187C" w:rsidRDefault="001529CA">
      <w:pPr>
        <w:pStyle w:val="IASBNormalnpara"/>
        <w:rPr>
          <w:lang w:val="ru-RU"/>
        </w:rPr>
      </w:pPr>
      <w:r w:rsidRPr="0049187C">
        <w:rPr>
          <w:lang w:val="ru-RU"/>
        </w:rPr>
        <w:t>B5.5.11</w:t>
      </w:r>
      <w:r w:rsidRPr="0049187C">
        <w:rPr>
          <w:lang w:val="ru-RU"/>
        </w:rPr>
        <w:tab/>
      </w:r>
      <w:bookmarkStart w:id="275" w:name="F32626494"/>
      <w:r w:rsidR="009B3D51" w:rsidRPr="0049187C">
        <w:rPr>
          <w:lang w:val="ru-RU"/>
        </w:rPr>
        <w:t xml:space="preserve">Ввиду </w:t>
      </w:r>
      <w:r w:rsidR="00064C36">
        <w:rPr>
          <w:lang w:val="ru-RU"/>
        </w:rPr>
        <w:t xml:space="preserve">наличия </w:t>
      </w:r>
      <w:r w:rsidR="009B3D51" w:rsidRPr="0049187C">
        <w:rPr>
          <w:lang w:val="ru-RU"/>
        </w:rPr>
        <w:t xml:space="preserve">взаимосвязи между ожидаемым сроком действия </w:t>
      </w:r>
      <w:r w:rsidR="00064C36">
        <w:rPr>
          <w:lang w:val="ru-RU"/>
        </w:rPr>
        <w:t xml:space="preserve">инструмента </w:t>
      </w:r>
      <w:r w:rsidR="009B3D51" w:rsidRPr="0049187C">
        <w:rPr>
          <w:lang w:val="ru-RU"/>
        </w:rPr>
        <w:t xml:space="preserve">и риском наступления дефолта изменение кредитного риска не может оцениваться </w:t>
      </w:r>
      <w:r w:rsidR="00064C36">
        <w:rPr>
          <w:lang w:val="ru-RU"/>
        </w:rPr>
        <w:t>просто</w:t>
      </w:r>
      <w:r w:rsidR="00064C36" w:rsidRPr="0049187C">
        <w:rPr>
          <w:lang w:val="ru-RU"/>
        </w:rPr>
        <w:t xml:space="preserve"> </w:t>
      </w:r>
      <w:r w:rsidR="009B3D51" w:rsidRPr="0049187C">
        <w:rPr>
          <w:lang w:val="ru-RU"/>
        </w:rPr>
        <w:t xml:space="preserve">путем сравнения изменения абсолютного риска наступления дефолта с течением времени. Например, если риск наступления дефолта по финансовому инструменту с ожидаемым сроком действия 10 лет при первоначальном признании идентичен риску наступления дефолта по этому инструменту </w:t>
      </w:r>
      <w:r w:rsidR="00064C36" w:rsidRPr="0049187C">
        <w:rPr>
          <w:lang w:val="ru-RU"/>
        </w:rPr>
        <w:t>в последующем периоде</w:t>
      </w:r>
      <w:r w:rsidR="00064C36">
        <w:rPr>
          <w:lang w:val="ru-RU"/>
        </w:rPr>
        <w:t xml:space="preserve">, </w:t>
      </w:r>
      <w:r w:rsidR="009B3D51" w:rsidRPr="0049187C">
        <w:rPr>
          <w:lang w:val="ru-RU"/>
        </w:rPr>
        <w:t xml:space="preserve">когда его ожидаемый срок действия составляет </w:t>
      </w:r>
      <w:r w:rsidR="00064C36">
        <w:rPr>
          <w:lang w:val="ru-RU"/>
        </w:rPr>
        <w:t>только</w:t>
      </w:r>
      <w:r w:rsidR="00064C36" w:rsidRPr="0049187C">
        <w:rPr>
          <w:lang w:val="ru-RU"/>
        </w:rPr>
        <w:t xml:space="preserve"> </w:t>
      </w:r>
      <w:r w:rsidR="009B3D51" w:rsidRPr="0049187C">
        <w:rPr>
          <w:lang w:val="ru-RU"/>
        </w:rPr>
        <w:t xml:space="preserve">пять лет, это может указывать на увеличение кредитного риска. Это обусловлено тем, что </w:t>
      </w:r>
      <w:r w:rsidR="00367B9A" w:rsidRPr="0049187C">
        <w:rPr>
          <w:lang w:val="ru-RU"/>
        </w:rPr>
        <w:t>риск наступления дефолта на протяжении ожидаемого срока действия обычно уменьшается с течением времени, если кредитный риск не изменяется, а срок погашения финансового инструмента приближается</w:t>
      </w:r>
      <w:r w:rsidRPr="0049187C">
        <w:rPr>
          <w:lang w:val="ru-RU"/>
        </w:rPr>
        <w:t xml:space="preserve">. </w:t>
      </w:r>
      <w:r w:rsidR="00367B9A" w:rsidRPr="0049187C">
        <w:rPr>
          <w:lang w:val="ru-RU"/>
        </w:rPr>
        <w:t xml:space="preserve">Однако в случае финансовых инструментов со значительными обязательствами </w:t>
      </w:r>
      <w:r w:rsidR="00853F35">
        <w:rPr>
          <w:lang w:val="ru-RU"/>
        </w:rPr>
        <w:t xml:space="preserve">по платежам </w:t>
      </w:r>
      <w:r w:rsidR="00367B9A" w:rsidRPr="0049187C">
        <w:rPr>
          <w:lang w:val="ru-RU"/>
        </w:rPr>
        <w:t xml:space="preserve">незадолго до даты погашения финансового инструмента риск наступления дефолта необязательно будет уменьшаться с течением времени. В таком случае организация также должна учитывать прочие качественные факторы, </w:t>
      </w:r>
      <w:r w:rsidR="00853F35" w:rsidRPr="0049187C">
        <w:rPr>
          <w:lang w:val="ru-RU"/>
        </w:rPr>
        <w:t>демонстрирую</w:t>
      </w:r>
      <w:r w:rsidR="00853F35">
        <w:rPr>
          <w:lang w:val="ru-RU"/>
        </w:rPr>
        <w:t>щие</w:t>
      </w:r>
      <w:r w:rsidR="00367B9A" w:rsidRPr="0049187C">
        <w:rPr>
          <w:lang w:val="ru-RU"/>
        </w:rPr>
        <w:t>, значительно ли</w:t>
      </w:r>
      <w:r w:rsidR="00C577C1">
        <w:rPr>
          <w:lang w:val="ru-RU"/>
        </w:rPr>
        <w:t xml:space="preserve"> увеличился кредитный риск с момента</w:t>
      </w:r>
      <w:r w:rsidR="00367B9A" w:rsidRPr="0049187C">
        <w:rPr>
          <w:lang w:val="ru-RU"/>
        </w:rPr>
        <w:t xml:space="preserve"> первоначального признания. </w:t>
      </w:r>
      <w:bookmarkEnd w:id="275"/>
    </w:p>
    <w:p w:rsidR="001529CA" w:rsidRPr="0049187C" w:rsidRDefault="001529CA">
      <w:pPr>
        <w:pStyle w:val="IASBNormalnpara"/>
        <w:rPr>
          <w:lang w:val="ru-RU"/>
        </w:rPr>
      </w:pPr>
      <w:r w:rsidRPr="0049187C">
        <w:rPr>
          <w:lang w:val="ru-RU"/>
        </w:rPr>
        <w:t>B5.5.12</w:t>
      </w:r>
      <w:r w:rsidRPr="0049187C">
        <w:rPr>
          <w:lang w:val="ru-RU"/>
        </w:rPr>
        <w:tab/>
      </w:r>
      <w:bookmarkStart w:id="276" w:name="F32626495"/>
      <w:r w:rsidR="00367B9A" w:rsidRPr="0049187C">
        <w:rPr>
          <w:lang w:val="ru-RU"/>
        </w:rPr>
        <w:t xml:space="preserve">Организация </w:t>
      </w:r>
      <w:r w:rsidR="00853F35">
        <w:rPr>
          <w:lang w:val="ru-RU"/>
        </w:rPr>
        <w:t>вправе</w:t>
      </w:r>
      <w:r w:rsidR="00853F35" w:rsidRPr="0049187C">
        <w:rPr>
          <w:lang w:val="ru-RU"/>
        </w:rPr>
        <w:t xml:space="preserve"> </w:t>
      </w:r>
      <w:r w:rsidR="00367B9A" w:rsidRPr="0049187C">
        <w:rPr>
          <w:lang w:val="ru-RU"/>
        </w:rPr>
        <w:t xml:space="preserve">применять различные подходы при анализе того, значительно ли увеличился кредитный риск </w:t>
      </w:r>
      <w:r w:rsidR="00C577C1">
        <w:rPr>
          <w:lang w:val="ru-RU"/>
        </w:rPr>
        <w:t>по финансовому инструменту с момента</w:t>
      </w:r>
      <w:r w:rsidR="00367B9A" w:rsidRPr="0049187C">
        <w:rPr>
          <w:lang w:val="ru-RU"/>
        </w:rPr>
        <w:t xml:space="preserve"> первоначального признания, либо при оценке ожидаемых кредитных убытков</w:t>
      </w:r>
      <w:r w:rsidRPr="0049187C">
        <w:rPr>
          <w:lang w:val="ru-RU"/>
        </w:rPr>
        <w:t xml:space="preserve">. </w:t>
      </w:r>
      <w:r w:rsidR="00367B9A" w:rsidRPr="0049187C">
        <w:rPr>
          <w:lang w:val="ru-RU"/>
        </w:rPr>
        <w:t xml:space="preserve">Организация </w:t>
      </w:r>
      <w:r w:rsidR="00853F35">
        <w:rPr>
          <w:lang w:val="ru-RU"/>
        </w:rPr>
        <w:t>вправе</w:t>
      </w:r>
      <w:r w:rsidR="00853F35" w:rsidRPr="0049187C">
        <w:rPr>
          <w:lang w:val="ru-RU"/>
        </w:rPr>
        <w:t xml:space="preserve"> </w:t>
      </w:r>
      <w:r w:rsidR="00367B9A" w:rsidRPr="0049187C">
        <w:rPr>
          <w:lang w:val="ru-RU"/>
        </w:rPr>
        <w:t xml:space="preserve">применять различные подходы к различным финансовым инструментам. </w:t>
      </w:r>
      <w:bookmarkEnd w:id="276"/>
      <w:r w:rsidR="00146653">
        <w:rPr>
          <w:lang w:val="ru-RU"/>
        </w:rPr>
        <w:t xml:space="preserve">Подход, </w:t>
      </w:r>
      <w:r w:rsidR="00BA0CE8">
        <w:rPr>
          <w:lang w:val="ru-RU"/>
        </w:rPr>
        <w:t>который не включает вероятность дефолта в качестве исходного параметра как такового, например, подход расчета коэффициента кредитных убытков, может соответствовать требованиям настоящего стандарта, при условии, что организация способна отделить изменения риска наступления дефолта от других факторов, влияющих на ожидаемые кредитные убытки, например, наличия обеспечения, и предусматривает анализ следующих обстоятельств</w:t>
      </w:r>
      <w:r w:rsidR="002469B8" w:rsidRPr="0049187C">
        <w:rPr>
          <w:lang w:val="ru-RU"/>
        </w:rPr>
        <w:t>:</w:t>
      </w:r>
      <w:r w:rsidR="002469B8">
        <w:rPr>
          <w:lang w:val="ru-RU"/>
        </w:rPr>
        <w:t xml:space="preserve"> </w:t>
      </w:r>
    </w:p>
    <w:p w:rsidR="001529CA" w:rsidRPr="0049187C" w:rsidRDefault="001529CA">
      <w:pPr>
        <w:pStyle w:val="IASBNormalnparaL1"/>
        <w:rPr>
          <w:lang w:val="ru-RU"/>
        </w:rPr>
      </w:pPr>
      <w:r w:rsidRPr="0049187C">
        <w:rPr>
          <w:lang w:val="ru-RU"/>
        </w:rPr>
        <w:t>(a)</w:t>
      </w:r>
      <w:r w:rsidRPr="0049187C">
        <w:rPr>
          <w:lang w:val="ru-RU"/>
        </w:rPr>
        <w:tab/>
      </w:r>
      <w:bookmarkStart w:id="277" w:name="F32626498"/>
      <w:r w:rsidR="00C70E62" w:rsidRPr="0049187C">
        <w:rPr>
          <w:lang w:val="ru-RU"/>
        </w:rPr>
        <w:t>изменение риска наст</w:t>
      </w:r>
      <w:r w:rsidR="00C577C1">
        <w:rPr>
          <w:lang w:val="ru-RU"/>
        </w:rPr>
        <w:t>упления дефолта с момента</w:t>
      </w:r>
      <w:r w:rsidR="00C70E62" w:rsidRPr="0049187C">
        <w:rPr>
          <w:lang w:val="ru-RU"/>
        </w:rPr>
        <w:t xml:space="preserve"> первоначального признания</w:t>
      </w:r>
      <w:r w:rsidRPr="0049187C">
        <w:rPr>
          <w:lang w:val="ru-RU"/>
        </w:rPr>
        <w:t>;</w:t>
      </w:r>
      <w:bookmarkEnd w:id="277"/>
    </w:p>
    <w:p w:rsidR="001529CA" w:rsidRPr="0049187C" w:rsidRDefault="001529CA">
      <w:pPr>
        <w:pStyle w:val="IASBNormalnparaL1"/>
        <w:rPr>
          <w:lang w:val="ru-RU"/>
        </w:rPr>
      </w:pPr>
      <w:r w:rsidRPr="0049187C">
        <w:rPr>
          <w:lang w:val="ru-RU"/>
        </w:rPr>
        <w:t>(b)</w:t>
      </w:r>
      <w:r w:rsidRPr="0049187C">
        <w:rPr>
          <w:lang w:val="ru-RU"/>
        </w:rPr>
        <w:tab/>
      </w:r>
      <w:bookmarkStart w:id="278" w:name="F32626500"/>
      <w:r w:rsidR="00C70E62" w:rsidRPr="0049187C">
        <w:rPr>
          <w:lang w:val="ru-RU"/>
        </w:rPr>
        <w:t>ожидаемый срок действия финансового инструмента</w:t>
      </w:r>
      <w:r w:rsidRPr="0049187C">
        <w:rPr>
          <w:lang w:val="ru-RU"/>
        </w:rPr>
        <w:t xml:space="preserve">; </w:t>
      </w:r>
      <w:r w:rsidR="00C70E62" w:rsidRPr="0049187C">
        <w:rPr>
          <w:lang w:val="ru-RU"/>
        </w:rPr>
        <w:t>и</w:t>
      </w:r>
      <w:bookmarkEnd w:id="278"/>
    </w:p>
    <w:p w:rsidR="001529CA" w:rsidRPr="0049187C" w:rsidRDefault="001529CA">
      <w:pPr>
        <w:pStyle w:val="IASBNormalnparaL1"/>
        <w:rPr>
          <w:lang w:val="ru-RU"/>
        </w:rPr>
      </w:pPr>
      <w:r w:rsidRPr="0049187C">
        <w:rPr>
          <w:lang w:val="ru-RU"/>
        </w:rPr>
        <w:t>(c)</w:t>
      </w:r>
      <w:r w:rsidRPr="0049187C">
        <w:rPr>
          <w:lang w:val="ru-RU"/>
        </w:rPr>
        <w:tab/>
      </w:r>
      <w:bookmarkStart w:id="279" w:name="F32626502"/>
      <w:r w:rsidR="00C70E62" w:rsidRPr="0049187C">
        <w:rPr>
          <w:lang w:val="ru-RU"/>
        </w:rPr>
        <w:t xml:space="preserve">обоснованная и </w:t>
      </w:r>
      <w:r w:rsidR="00EB0068">
        <w:rPr>
          <w:lang w:val="ru-RU"/>
        </w:rPr>
        <w:t>подтверждаемая</w:t>
      </w:r>
      <w:r w:rsidR="00EB0068" w:rsidRPr="0049187C">
        <w:rPr>
          <w:lang w:val="ru-RU"/>
        </w:rPr>
        <w:t xml:space="preserve"> </w:t>
      </w:r>
      <w:r w:rsidR="00C70E62" w:rsidRPr="0049187C">
        <w:rPr>
          <w:lang w:val="ru-RU"/>
        </w:rPr>
        <w:t>информация, которая доступна без чрезмерных затрат или усилий</w:t>
      </w:r>
      <w:r w:rsidR="00C3701F" w:rsidRPr="0049187C">
        <w:rPr>
          <w:lang w:val="ru-RU"/>
        </w:rPr>
        <w:t xml:space="preserve"> и </w:t>
      </w:r>
      <w:r w:rsidR="00C70E62" w:rsidRPr="0049187C">
        <w:rPr>
          <w:lang w:val="ru-RU"/>
        </w:rPr>
        <w:t>может повлиять на кредитный риск</w:t>
      </w:r>
      <w:r w:rsidRPr="0049187C">
        <w:rPr>
          <w:lang w:val="ru-RU"/>
        </w:rPr>
        <w:t>.</w:t>
      </w:r>
      <w:bookmarkEnd w:id="279"/>
    </w:p>
    <w:p w:rsidR="001529CA" w:rsidRPr="0049187C" w:rsidRDefault="001529CA">
      <w:pPr>
        <w:pStyle w:val="IASBNormalnpara"/>
        <w:rPr>
          <w:lang w:val="ru-RU"/>
        </w:rPr>
      </w:pPr>
      <w:r w:rsidRPr="0049187C">
        <w:rPr>
          <w:lang w:val="ru-RU"/>
        </w:rPr>
        <w:t>B5.5.13</w:t>
      </w:r>
      <w:r w:rsidRPr="0049187C">
        <w:rPr>
          <w:lang w:val="ru-RU"/>
        </w:rPr>
        <w:tab/>
      </w:r>
      <w:bookmarkStart w:id="280" w:name="F32626503"/>
      <w:r w:rsidR="002C6A62" w:rsidRPr="0049187C">
        <w:rPr>
          <w:lang w:val="ru-RU"/>
        </w:rPr>
        <w:t xml:space="preserve">Методы, используемые для определения того, значительно ли увеличился кредитный риск </w:t>
      </w:r>
      <w:r w:rsidR="00C577C1">
        <w:rPr>
          <w:lang w:val="ru-RU"/>
        </w:rPr>
        <w:t>по финансовому инструменту с момента</w:t>
      </w:r>
      <w:r w:rsidR="002C6A62" w:rsidRPr="0049187C">
        <w:rPr>
          <w:lang w:val="ru-RU"/>
        </w:rPr>
        <w:t xml:space="preserve"> первоначального признания, должны учитывать характеристики финансового инструмента (или группы финансовых инструментов) и</w:t>
      </w:r>
      <w:r w:rsidR="00D72B3F">
        <w:rPr>
          <w:lang w:val="ru-RU"/>
        </w:rPr>
        <w:t xml:space="preserve"> </w:t>
      </w:r>
      <w:r w:rsidR="0033270F">
        <w:rPr>
          <w:lang w:val="ru-RU"/>
        </w:rPr>
        <w:t xml:space="preserve">случаи </w:t>
      </w:r>
      <w:r w:rsidR="00D72B3F">
        <w:rPr>
          <w:lang w:val="ru-RU"/>
        </w:rPr>
        <w:t xml:space="preserve">возникновения </w:t>
      </w:r>
      <w:r w:rsidR="002C6A62" w:rsidRPr="0049187C">
        <w:rPr>
          <w:lang w:val="ru-RU"/>
        </w:rPr>
        <w:t xml:space="preserve">дефолтов </w:t>
      </w:r>
      <w:r w:rsidR="00D72B3F">
        <w:rPr>
          <w:lang w:val="ru-RU"/>
        </w:rPr>
        <w:t xml:space="preserve">в </w:t>
      </w:r>
      <w:r w:rsidR="00D72B3F" w:rsidRPr="0049187C">
        <w:rPr>
          <w:lang w:val="ru-RU"/>
        </w:rPr>
        <w:t>прошлы</w:t>
      </w:r>
      <w:r w:rsidR="00D72B3F">
        <w:rPr>
          <w:lang w:val="ru-RU"/>
        </w:rPr>
        <w:t>е</w:t>
      </w:r>
      <w:r w:rsidR="00D72B3F" w:rsidRPr="0049187C">
        <w:rPr>
          <w:lang w:val="ru-RU"/>
        </w:rPr>
        <w:t xml:space="preserve"> </w:t>
      </w:r>
      <w:r w:rsidR="00D72B3F">
        <w:rPr>
          <w:lang w:val="ru-RU"/>
        </w:rPr>
        <w:t>периоды</w:t>
      </w:r>
      <w:r w:rsidR="00D72B3F" w:rsidRPr="0049187C">
        <w:rPr>
          <w:lang w:val="ru-RU"/>
        </w:rPr>
        <w:t xml:space="preserve"> </w:t>
      </w:r>
      <w:r w:rsidR="002C6A62" w:rsidRPr="0049187C">
        <w:rPr>
          <w:lang w:val="ru-RU"/>
        </w:rPr>
        <w:t>для сопоставимых финансовых инструментов</w:t>
      </w:r>
      <w:r w:rsidRPr="0049187C">
        <w:rPr>
          <w:lang w:val="ru-RU"/>
        </w:rPr>
        <w:t xml:space="preserve">. </w:t>
      </w:r>
      <w:r w:rsidR="005839AC">
        <w:rPr>
          <w:lang w:val="ru-RU"/>
        </w:rPr>
        <w:t>Несмотря на требование пункта</w:t>
      </w:r>
      <w:r w:rsidRPr="0049187C">
        <w:rPr>
          <w:lang w:val="ru-RU"/>
        </w:rPr>
        <w:t xml:space="preserve"> 5.5.9, </w:t>
      </w:r>
      <w:r w:rsidR="000862F5" w:rsidRPr="0049187C">
        <w:rPr>
          <w:lang w:val="ru-RU"/>
        </w:rPr>
        <w:t>в случае финансовых инструментов</w:t>
      </w:r>
      <w:r w:rsidR="009042D1" w:rsidRPr="0049187C">
        <w:rPr>
          <w:lang w:val="ru-RU"/>
        </w:rPr>
        <w:t>,</w:t>
      </w:r>
      <w:r w:rsidR="000862F5" w:rsidRPr="0049187C">
        <w:rPr>
          <w:lang w:val="ru-RU"/>
        </w:rPr>
        <w:t xml:space="preserve"> </w:t>
      </w:r>
      <w:r w:rsidR="00C15441">
        <w:rPr>
          <w:lang w:val="ru-RU"/>
        </w:rPr>
        <w:t>случаи возникновения</w:t>
      </w:r>
      <w:r w:rsidR="00C15441" w:rsidRPr="0049187C">
        <w:rPr>
          <w:lang w:val="ru-RU"/>
        </w:rPr>
        <w:t xml:space="preserve"> </w:t>
      </w:r>
      <w:r w:rsidR="000862F5" w:rsidRPr="0049187C">
        <w:rPr>
          <w:lang w:val="ru-RU"/>
        </w:rPr>
        <w:t>дефолт</w:t>
      </w:r>
      <w:r w:rsidR="002A342B">
        <w:rPr>
          <w:lang w:val="ru-RU"/>
        </w:rPr>
        <w:t>ов</w:t>
      </w:r>
      <w:r w:rsidR="000862F5" w:rsidRPr="0049187C">
        <w:rPr>
          <w:lang w:val="ru-RU"/>
        </w:rPr>
        <w:t xml:space="preserve"> по которым не </w:t>
      </w:r>
      <w:r w:rsidR="00D72B3F">
        <w:rPr>
          <w:lang w:val="ru-RU"/>
        </w:rPr>
        <w:t>концентрируются</w:t>
      </w:r>
      <w:r w:rsidR="00D72B3F" w:rsidRPr="0049187C">
        <w:rPr>
          <w:lang w:val="ru-RU"/>
        </w:rPr>
        <w:t xml:space="preserve"> </w:t>
      </w:r>
      <w:r w:rsidR="000862F5" w:rsidRPr="0049187C">
        <w:rPr>
          <w:lang w:val="ru-RU"/>
        </w:rPr>
        <w:t xml:space="preserve">в определенный момент </w:t>
      </w:r>
      <w:r w:rsidR="00D72B3F">
        <w:rPr>
          <w:lang w:val="ru-RU"/>
        </w:rPr>
        <w:t xml:space="preserve">времени </w:t>
      </w:r>
      <w:r w:rsidR="000862F5" w:rsidRPr="0049187C">
        <w:rPr>
          <w:lang w:val="ru-RU"/>
        </w:rPr>
        <w:t>на протяжении ожидаемого срока действия финансового инструмента, изменения риска наступления дефолта в течение следующих 12 месяцев могут быть обоснованно приближенным зна</w:t>
      </w:r>
      <w:r w:rsidR="003A787D" w:rsidRPr="0049187C">
        <w:rPr>
          <w:lang w:val="ru-RU"/>
        </w:rPr>
        <w:t>чением изменений риска наступления дефолта на протяжении срока действия финансового инструмента. В таких случаях организация может использовать изменения риска наступления дефолта в течение следующих 12 месяцев для определения того, значительно ли</w:t>
      </w:r>
      <w:r w:rsidR="00C577C1">
        <w:rPr>
          <w:lang w:val="ru-RU"/>
        </w:rPr>
        <w:t xml:space="preserve"> увеличился кредитный риск с момента</w:t>
      </w:r>
      <w:r w:rsidR="003A787D" w:rsidRPr="0049187C">
        <w:rPr>
          <w:lang w:val="ru-RU"/>
        </w:rPr>
        <w:t xml:space="preserve"> первоначального признания, если </w:t>
      </w:r>
      <w:r w:rsidR="00D72B3F">
        <w:rPr>
          <w:lang w:val="ru-RU"/>
        </w:rPr>
        <w:t xml:space="preserve">только </w:t>
      </w:r>
      <w:r w:rsidR="003A787D" w:rsidRPr="0049187C">
        <w:rPr>
          <w:lang w:val="ru-RU"/>
        </w:rPr>
        <w:t xml:space="preserve">обстоятельства не указывают на необходимость оценки на протяжении срока действия финансового инструмента. </w:t>
      </w:r>
      <w:bookmarkEnd w:id="280"/>
    </w:p>
    <w:p w:rsidR="001529CA" w:rsidRPr="0049187C" w:rsidRDefault="001529CA">
      <w:pPr>
        <w:pStyle w:val="IASBNormalnpara"/>
        <w:rPr>
          <w:lang w:val="ru-RU"/>
        </w:rPr>
      </w:pPr>
      <w:r w:rsidRPr="0049187C">
        <w:rPr>
          <w:lang w:val="ru-RU"/>
        </w:rPr>
        <w:t>B5.5.14</w:t>
      </w:r>
      <w:r w:rsidRPr="0049187C">
        <w:rPr>
          <w:lang w:val="ru-RU"/>
        </w:rPr>
        <w:tab/>
      </w:r>
      <w:bookmarkStart w:id="281" w:name="F32626504"/>
      <w:r w:rsidR="003A787D" w:rsidRPr="0049187C">
        <w:rPr>
          <w:lang w:val="ru-RU"/>
        </w:rPr>
        <w:t xml:space="preserve">Однако в случае некоторых финансовых инструментов или в некоторых обстоятельствах может быть нецелесообразным использовать изменения риска наступления дефолта </w:t>
      </w:r>
      <w:r w:rsidR="009042D1" w:rsidRPr="0049187C">
        <w:rPr>
          <w:lang w:val="ru-RU"/>
        </w:rPr>
        <w:t>на протяжении</w:t>
      </w:r>
      <w:r w:rsidR="003A787D" w:rsidRPr="0049187C">
        <w:rPr>
          <w:lang w:val="ru-RU"/>
        </w:rPr>
        <w:t xml:space="preserve"> следующих 12 месяцев для определения необходимости признания ожидаемых кредитных убытков</w:t>
      </w:r>
      <w:r w:rsidR="00C3701F" w:rsidRPr="0049187C">
        <w:rPr>
          <w:lang w:val="ru-RU"/>
        </w:rPr>
        <w:t xml:space="preserve"> </w:t>
      </w:r>
      <w:r w:rsidR="007E6FF8">
        <w:rPr>
          <w:lang w:val="ru-RU"/>
        </w:rPr>
        <w:t>за весь срок</w:t>
      </w:r>
      <w:r w:rsidR="003A787D" w:rsidRPr="0049187C">
        <w:rPr>
          <w:lang w:val="ru-RU"/>
        </w:rPr>
        <w:t>. Например, изменение риска наступления дефолта на протяжении следующих 12</w:t>
      </w:r>
      <w:r w:rsidR="00BE5DDC">
        <w:rPr>
          <w:lang w:val="ru-RU"/>
        </w:rPr>
        <w:t> </w:t>
      </w:r>
      <w:r w:rsidR="003A787D" w:rsidRPr="0049187C">
        <w:rPr>
          <w:lang w:val="ru-RU"/>
        </w:rPr>
        <w:t>месяцев может быть неподходящей основой для определения того, увеличился ли кредитный риск по финансовому инструменту</w:t>
      </w:r>
      <w:r w:rsidR="009042D1" w:rsidRPr="0049187C">
        <w:rPr>
          <w:lang w:val="ru-RU"/>
        </w:rPr>
        <w:t>, срок погашения которого превышает</w:t>
      </w:r>
      <w:r w:rsidR="003A787D" w:rsidRPr="0049187C">
        <w:rPr>
          <w:lang w:val="ru-RU"/>
        </w:rPr>
        <w:t xml:space="preserve"> 12 месяцев, когда</w:t>
      </w:r>
      <w:r w:rsidRPr="0049187C">
        <w:rPr>
          <w:lang w:val="ru-RU"/>
        </w:rPr>
        <w:t>:</w:t>
      </w:r>
      <w:bookmarkEnd w:id="281"/>
    </w:p>
    <w:p w:rsidR="001529CA" w:rsidRPr="0049187C" w:rsidRDefault="001529CA">
      <w:pPr>
        <w:pStyle w:val="IASBNormalnparaL1"/>
        <w:rPr>
          <w:lang w:val="ru-RU"/>
        </w:rPr>
      </w:pPr>
      <w:r w:rsidRPr="0049187C">
        <w:rPr>
          <w:lang w:val="ru-RU"/>
        </w:rPr>
        <w:t>(a)</w:t>
      </w:r>
      <w:r w:rsidRPr="0049187C">
        <w:rPr>
          <w:lang w:val="ru-RU"/>
        </w:rPr>
        <w:tab/>
      </w:r>
      <w:bookmarkStart w:id="282" w:name="F32626507"/>
      <w:r w:rsidR="003A787D" w:rsidRPr="0049187C">
        <w:rPr>
          <w:lang w:val="ru-RU"/>
        </w:rPr>
        <w:t xml:space="preserve">финансовый инструмент предусматривает значительные обязательства </w:t>
      </w:r>
      <w:r w:rsidR="00D72B3F">
        <w:rPr>
          <w:lang w:val="ru-RU"/>
        </w:rPr>
        <w:t xml:space="preserve">по платежам </w:t>
      </w:r>
      <w:r w:rsidR="003A787D" w:rsidRPr="0049187C">
        <w:rPr>
          <w:lang w:val="ru-RU"/>
        </w:rPr>
        <w:t>только по истечении следующих 12 месяцев</w:t>
      </w:r>
      <w:r w:rsidRPr="0049187C">
        <w:rPr>
          <w:lang w:val="ru-RU"/>
        </w:rPr>
        <w:t>;</w:t>
      </w:r>
      <w:bookmarkEnd w:id="282"/>
    </w:p>
    <w:p w:rsidR="001529CA" w:rsidRPr="0049187C" w:rsidRDefault="001529CA">
      <w:pPr>
        <w:pStyle w:val="IASBNormalnparaL1"/>
        <w:rPr>
          <w:lang w:val="ru-RU"/>
        </w:rPr>
      </w:pPr>
      <w:r w:rsidRPr="0049187C">
        <w:rPr>
          <w:lang w:val="ru-RU"/>
        </w:rPr>
        <w:t>(b)</w:t>
      </w:r>
      <w:r w:rsidRPr="0049187C">
        <w:rPr>
          <w:lang w:val="ru-RU"/>
        </w:rPr>
        <w:tab/>
      </w:r>
      <w:bookmarkStart w:id="283" w:name="F32626509"/>
      <w:r w:rsidR="00CE3DA3" w:rsidRPr="0049187C">
        <w:rPr>
          <w:lang w:val="ru-RU"/>
        </w:rPr>
        <w:t xml:space="preserve">имеют место </w:t>
      </w:r>
      <w:r w:rsidR="003A787D" w:rsidRPr="0049187C">
        <w:rPr>
          <w:lang w:val="ru-RU"/>
        </w:rPr>
        <w:t>изменения соответствующих макроэкономических или прочих связанных с кредито</w:t>
      </w:r>
      <w:r w:rsidR="00D72B3F">
        <w:rPr>
          <w:lang w:val="ru-RU"/>
        </w:rPr>
        <w:t>вание</w:t>
      </w:r>
      <w:r w:rsidR="003A787D" w:rsidRPr="0049187C">
        <w:rPr>
          <w:lang w:val="ru-RU"/>
        </w:rPr>
        <w:t>м факторо</w:t>
      </w:r>
      <w:r w:rsidR="00CE3DA3" w:rsidRPr="0049187C">
        <w:rPr>
          <w:lang w:val="ru-RU"/>
        </w:rPr>
        <w:t xml:space="preserve">в, которые не отражены надлежащим образом в риске наступления дефолта </w:t>
      </w:r>
      <w:r w:rsidR="009042D1" w:rsidRPr="0049187C">
        <w:rPr>
          <w:lang w:val="ru-RU"/>
        </w:rPr>
        <w:t>на протяжении</w:t>
      </w:r>
      <w:r w:rsidR="00CE3DA3" w:rsidRPr="0049187C">
        <w:rPr>
          <w:lang w:val="ru-RU"/>
        </w:rPr>
        <w:t xml:space="preserve"> следующих 12 месяцев</w:t>
      </w:r>
      <w:r w:rsidRPr="0049187C">
        <w:rPr>
          <w:lang w:val="ru-RU"/>
        </w:rPr>
        <w:t xml:space="preserve">; </w:t>
      </w:r>
      <w:r w:rsidR="00CE3DA3" w:rsidRPr="0049187C">
        <w:rPr>
          <w:lang w:val="ru-RU"/>
        </w:rPr>
        <w:t>либо</w:t>
      </w:r>
      <w:bookmarkEnd w:id="283"/>
    </w:p>
    <w:p w:rsidR="001529CA" w:rsidRPr="0049187C" w:rsidRDefault="001529CA">
      <w:pPr>
        <w:pStyle w:val="IASBNormalnparaL1"/>
        <w:rPr>
          <w:lang w:val="ru-RU"/>
        </w:rPr>
      </w:pPr>
      <w:r w:rsidRPr="0049187C">
        <w:rPr>
          <w:lang w:val="ru-RU"/>
        </w:rPr>
        <w:t>(c)</w:t>
      </w:r>
      <w:r w:rsidRPr="0049187C">
        <w:rPr>
          <w:lang w:val="ru-RU"/>
        </w:rPr>
        <w:tab/>
      </w:r>
      <w:bookmarkStart w:id="284" w:name="F32626511"/>
      <w:r w:rsidR="00CE3DA3" w:rsidRPr="0049187C">
        <w:rPr>
          <w:lang w:val="ru-RU"/>
        </w:rPr>
        <w:t>изменения связанных с кредито</w:t>
      </w:r>
      <w:r w:rsidR="00D72B3F">
        <w:rPr>
          <w:lang w:val="ru-RU"/>
        </w:rPr>
        <w:t>вание</w:t>
      </w:r>
      <w:r w:rsidR="00CE3DA3" w:rsidRPr="0049187C">
        <w:rPr>
          <w:lang w:val="ru-RU"/>
        </w:rPr>
        <w:t>м факторов влияют на кредитный риск по финансовому инструменту (или имеют более выраженный эффект) только по истечени</w:t>
      </w:r>
      <w:r w:rsidR="00D72B3F">
        <w:rPr>
          <w:lang w:val="ru-RU"/>
        </w:rPr>
        <w:t>и</w:t>
      </w:r>
      <w:r w:rsidR="00BE5DDC">
        <w:rPr>
          <w:lang w:val="ru-RU"/>
        </w:rPr>
        <w:t xml:space="preserve"> 12 </w:t>
      </w:r>
      <w:r w:rsidR="00CE3DA3" w:rsidRPr="0049187C">
        <w:rPr>
          <w:lang w:val="ru-RU"/>
        </w:rPr>
        <w:t xml:space="preserve">месяцев. </w:t>
      </w:r>
      <w:bookmarkEnd w:id="284"/>
    </w:p>
    <w:p w:rsidR="001529CA" w:rsidRPr="0049187C" w:rsidRDefault="002103A1">
      <w:pPr>
        <w:pStyle w:val="IASBSectionTitle3Ind"/>
        <w:rPr>
          <w:lang w:val="ru-RU"/>
        </w:rPr>
      </w:pPr>
      <w:bookmarkStart w:id="285" w:name="F32626513"/>
      <w:r w:rsidRPr="0049187C">
        <w:rPr>
          <w:lang w:val="ru-RU"/>
        </w:rPr>
        <w:t>Определение</w:t>
      </w:r>
      <w:r w:rsidR="00D84677">
        <w:rPr>
          <w:lang w:val="ru-RU"/>
        </w:rPr>
        <w:t xml:space="preserve"> наличия</w:t>
      </w:r>
      <w:r w:rsidRPr="0049187C">
        <w:rPr>
          <w:lang w:val="ru-RU"/>
        </w:rPr>
        <w:t xml:space="preserve"> </w:t>
      </w:r>
      <w:r w:rsidR="00D72B3F" w:rsidRPr="0049187C">
        <w:rPr>
          <w:lang w:val="ru-RU"/>
        </w:rPr>
        <w:t>значительно</w:t>
      </w:r>
      <w:r w:rsidR="00D84677">
        <w:rPr>
          <w:lang w:val="ru-RU"/>
        </w:rPr>
        <w:t>го увеличения кредитного риска</w:t>
      </w:r>
      <w:r w:rsidR="00D72B3F" w:rsidRPr="0049187C">
        <w:rPr>
          <w:lang w:val="ru-RU"/>
        </w:rPr>
        <w:t xml:space="preserve"> </w:t>
      </w:r>
      <w:r w:rsidR="00C577C1">
        <w:rPr>
          <w:lang w:val="ru-RU"/>
        </w:rPr>
        <w:t>с момента</w:t>
      </w:r>
      <w:r w:rsidRPr="0049187C">
        <w:rPr>
          <w:lang w:val="ru-RU"/>
        </w:rPr>
        <w:t xml:space="preserve"> первоначального признания</w:t>
      </w:r>
      <w:bookmarkEnd w:id="285"/>
    </w:p>
    <w:p w:rsidR="001529CA" w:rsidRPr="0049187C" w:rsidRDefault="001529CA">
      <w:pPr>
        <w:pStyle w:val="IASBNormalnpara"/>
        <w:rPr>
          <w:lang w:val="ru-RU"/>
        </w:rPr>
      </w:pPr>
      <w:r w:rsidRPr="0049187C">
        <w:rPr>
          <w:lang w:val="ru-RU"/>
        </w:rPr>
        <w:t>B5.5.15</w:t>
      </w:r>
      <w:r w:rsidRPr="0049187C">
        <w:rPr>
          <w:lang w:val="ru-RU"/>
        </w:rPr>
        <w:tab/>
      </w:r>
      <w:bookmarkStart w:id="286" w:name="F32626514"/>
      <w:r w:rsidR="00260C3D">
        <w:rPr>
          <w:lang w:val="ru-RU"/>
        </w:rPr>
        <w:t>При определении</w:t>
      </w:r>
      <w:r w:rsidR="00260C3D" w:rsidRPr="0049187C">
        <w:rPr>
          <w:lang w:val="ru-RU"/>
        </w:rPr>
        <w:t xml:space="preserve"> необходимост</w:t>
      </w:r>
      <w:r w:rsidR="00260C3D">
        <w:rPr>
          <w:lang w:val="ru-RU"/>
        </w:rPr>
        <w:t>и</w:t>
      </w:r>
      <w:r w:rsidR="00260C3D" w:rsidRPr="0049187C">
        <w:rPr>
          <w:lang w:val="ru-RU"/>
        </w:rPr>
        <w:t xml:space="preserve"> </w:t>
      </w:r>
      <w:r w:rsidR="002103A1" w:rsidRPr="0049187C">
        <w:rPr>
          <w:lang w:val="ru-RU"/>
        </w:rPr>
        <w:t xml:space="preserve">признания ожидаемых кредитных убытков </w:t>
      </w:r>
      <w:r w:rsidR="007E6FF8">
        <w:rPr>
          <w:lang w:val="ru-RU"/>
        </w:rPr>
        <w:t>за весь срок</w:t>
      </w:r>
      <w:r w:rsidR="002103A1" w:rsidRPr="0049187C">
        <w:rPr>
          <w:lang w:val="ru-RU"/>
        </w:rPr>
        <w:t xml:space="preserve">, организация должна учитывать обоснованную и </w:t>
      </w:r>
      <w:r w:rsidR="00260C3D">
        <w:rPr>
          <w:lang w:val="ru-RU"/>
        </w:rPr>
        <w:t>подтверждаемую</w:t>
      </w:r>
      <w:r w:rsidR="00260C3D" w:rsidRPr="0049187C">
        <w:rPr>
          <w:lang w:val="ru-RU"/>
        </w:rPr>
        <w:t xml:space="preserve"> </w:t>
      </w:r>
      <w:r w:rsidR="002103A1" w:rsidRPr="0049187C">
        <w:rPr>
          <w:lang w:val="ru-RU"/>
        </w:rPr>
        <w:t xml:space="preserve">информацию, которая доступна без чрезмерных затрат или усилий и может повлиять на кредитный риск по финансовому инструменту в соответствии с пунктом </w:t>
      </w:r>
      <w:r w:rsidRPr="0049187C">
        <w:rPr>
          <w:lang w:val="ru-RU"/>
        </w:rPr>
        <w:t xml:space="preserve">5.5.17(c). </w:t>
      </w:r>
      <w:r w:rsidR="002103A1" w:rsidRPr="0049187C">
        <w:rPr>
          <w:lang w:val="ru-RU"/>
        </w:rPr>
        <w:t xml:space="preserve">Организация не обязана осуществлять исчерпывающий поиск информации, определяя, </w:t>
      </w:r>
      <w:r w:rsidR="003861A3" w:rsidRPr="0049187C">
        <w:rPr>
          <w:lang w:val="ru-RU"/>
        </w:rPr>
        <w:t xml:space="preserve">значительно ли </w:t>
      </w:r>
      <w:r w:rsidR="00C577C1">
        <w:rPr>
          <w:lang w:val="ru-RU"/>
        </w:rPr>
        <w:t>увеличился кредитный риск с момента</w:t>
      </w:r>
      <w:r w:rsidR="002103A1" w:rsidRPr="0049187C">
        <w:rPr>
          <w:lang w:val="ru-RU"/>
        </w:rPr>
        <w:t xml:space="preserve"> первоначального признания</w:t>
      </w:r>
      <w:r w:rsidRPr="0049187C">
        <w:rPr>
          <w:lang w:val="ru-RU"/>
        </w:rPr>
        <w:t>.</w:t>
      </w:r>
      <w:bookmarkEnd w:id="286"/>
    </w:p>
    <w:p w:rsidR="001529CA" w:rsidRPr="0049187C" w:rsidRDefault="001529CA">
      <w:pPr>
        <w:pStyle w:val="IASBNormalnpara"/>
        <w:rPr>
          <w:lang w:val="ru-RU"/>
        </w:rPr>
      </w:pPr>
      <w:r w:rsidRPr="0049187C">
        <w:rPr>
          <w:lang w:val="ru-RU"/>
        </w:rPr>
        <w:t>B5.5.16</w:t>
      </w:r>
      <w:r w:rsidRPr="0049187C">
        <w:rPr>
          <w:lang w:val="ru-RU"/>
        </w:rPr>
        <w:tab/>
      </w:r>
      <w:bookmarkStart w:id="287" w:name="F32626515"/>
      <w:r w:rsidR="00836336" w:rsidRPr="0049187C">
        <w:rPr>
          <w:lang w:val="ru-RU"/>
        </w:rPr>
        <w:t xml:space="preserve">Анализ кредитного риска является многофакторным и </w:t>
      </w:r>
      <w:r w:rsidR="00260C3D">
        <w:rPr>
          <w:lang w:val="ru-RU"/>
        </w:rPr>
        <w:t>всеобъемлющим</w:t>
      </w:r>
      <w:r w:rsidR="00260C3D" w:rsidRPr="0049187C">
        <w:rPr>
          <w:lang w:val="ru-RU"/>
        </w:rPr>
        <w:t xml:space="preserve"> </w:t>
      </w:r>
      <w:r w:rsidR="00836336" w:rsidRPr="0049187C">
        <w:rPr>
          <w:lang w:val="ru-RU"/>
        </w:rPr>
        <w:t>анализом</w:t>
      </w:r>
      <w:r w:rsidRPr="0049187C">
        <w:rPr>
          <w:lang w:val="ru-RU"/>
        </w:rPr>
        <w:t xml:space="preserve">; </w:t>
      </w:r>
      <w:r w:rsidR="00836336" w:rsidRPr="0049187C">
        <w:rPr>
          <w:lang w:val="ru-RU"/>
        </w:rPr>
        <w:t xml:space="preserve">уместность конкретного фактора и его </w:t>
      </w:r>
      <w:r w:rsidR="0034749E">
        <w:rPr>
          <w:lang w:val="ru-RU"/>
        </w:rPr>
        <w:t>важность</w:t>
      </w:r>
      <w:r w:rsidR="001E076A" w:rsidRPr="0049187C">
        <w:rPr>
          <w:lang w:val="ru-RU"/>
        </w:rPr>
        <w:t xml:space="preserve"> по сравнению с другими факторами буд</w:t>
      </w:r>
      <w:r w:rsidR="0090142B" w:rsidRPr="0049187C">
        <w:rPr>
          <w:lang w:val="ru-RU"/>
        </w:rPr>
        <w:t>у</w:t>
      </w:r>
      <w:r w:rsidR="001E076A" w:rsidRPr="0049187C">
        <w:rPr>
          <w:lang w:val="ru-RU"/>
        </w:rPr>
        <w:t>т зависеть от типа продукта, характеристик финансовых инструментов и заемщика, а также географического региона</w:t>
      </w:r>
      <w:r w:rsidRPr="0049187C">
        <w:rPr>
          <w:lang w:val="ru-RU"/>
        </w:rPr>
        <w:t xml:space="preserve">. </w:t>
      </w:r>
      <w:r w:rsidR="001E076A" w:rsidRPr="0049187C">
        <w:rPr>
          <w:lang w:val="ru-RU"/>
        </w:rPr>
        <w:t xml:space="preserve">Организация должна учитывать обоснованную и </w:t>
      </w:r>
      <w:r w:rsidR="0034749E">
        <w:rPr>
          <w:lang w:val="ru-RU"/>
        </w:rPr>
        <w:t>подтверждаемую</w:t>
      </w:r>
      <w:r w:rsidR="0034749E" w:rsidRPr="0049187C">
        <w:rPr>
          <w:lang w:val="ru-RU"/>
        </w:rPr>
        <w:t xml:space="preserve"> </w:t>
      </w:r>
      <w:r w:rsidR="001E076A" w:rsidRPr="0049187C">
        <w:rPr>
          <w:lang w:val="ru-RU"/>
        </w:rPr>
        <w:t xml:space="preserve">информацию, которая доступна без чрезмерных затрат или усилий и является </w:t>
      </w:r>
      <w:r w:rsidR="00E3389B" w:rsidRPr="0049187C">
        <w:rPr>
          <w:lang w:val="ru-RU"/>
        </w:rPr>
        <w:t>уместной</w:t>
      </w:r>
      <w:r w:rsidR="001E076A" w:rsidRPr="0049187C">
        <w:rPr>
          <w:lang w:val="ru-RU"/>
        </w:rPr>
        <w:t xml:space="preserve"> для конкретного анализируемого финансового инструмента</w:t>
      </w:r>
      <w:r w:rsidRPr="0049187C">
        <w:rPr>
          <w:lang w:val="ru-RU"/>
        </w:rPr>
        <w:t xml:space="preserve">. </w:t>
      </w:r>
      <w:r w:rsidR="001E076A" w:rsidRPr="0049187C">
        <w:rPr>
          <w:lang w:val="ru-RU"/>
        </w:rPr>
        <w:t xml:space="preserve">Однако некоторые факторы или </w:t>
      </w:r>
      <w:r w:rsidR="003861A3" w:rsidRPr="0049187C">
        <w:rPr>
          <w:lang w:val="ru-RU"/>
        </w:rPr>
        <w:t>показатели</w:t>
      </w:r>
      <w:r w:rsidR="001E076A" w:rsidRPr="0049187C">
        <w:rPr>
          <w:lang w:val="ru-RU"/>
        </w:rPr>
        <w:t xml:space="preserve"> </w:t>
      </w:r>
      <w:r w:rsidR="00F239AC" w:rsidRPr="0049187C">
        <w:rPr>
          <w:lang w:val="ru-RU"/>
        </w:rPr>
        <w:t xml:space="preserve">могут </w:t>
      </w:r>
      <w:r w:rsidR="0034749E" w:rsidRPr="0049187C">
        <w:rPr>
          <w:lang w:val="ru-RU"/>
        </w:rPr>
        <w:t>не</w:t>
      </w:r>
      <w:r w:rsidR="0034749E">
        <w:rPr>
          <w:lang w:val="ru-RU"/>
        </w:rPr>
        <w:t xml:space="preserve"> быть </w:t>
      </w:r>
      <w:r w:rsidR="00F239AC" w:rsidRPr="0049187C">
        <w:rPr>
          <w:lang w:val="ru-RU"/>
        </w:rPr>
        <w:t>идентифицир</w:t>
      </w:r>
      <w:r w:rsidR="0034749E">
        <w:rPr>
          <w:lang w:val="ru-RU"/>
        </w:rPr>
        <w:t>уемыми</w:t>
      </w:r>
      <w:r w:rsidR="001E076A" w:rsidRPr="0049187C">
        <w:rPr>
          <w:lang w:val="ru-RU"/>
        </w:rPr>
        <w:t xml:space="preserve"> на уровне отдельного финансового инструмента. В таком случае </w:t>
      </w:r>
      <w:r w:rsidR="0034749E" w:rsidRPr="0049187C">
        <w:rPr>
          <w:lang w:val="ru-RU"/>
        </w:rPr>
        <w:t>с целью опре</w:t>
      </w:r>
      <w:r w:rsidR="00A54F4B">
        <w:rPr>
          <w:lang w:val="ru-RU"/>
        </w:rPr>
        <w:t>деления выполнения требования пункта</w:t>
      </w:r>
      <w:r w:rsidR="0034749E" w:rsidRPr="0049187C">
        <w:rPr>
          <w:lang w:val="ru-RU"/>
        </w:rPr>
        <w:t xml:space="preserve"> 5.5.3 для признания ожидаемых кредитных убытков </w:t>
      </w:r>
      <w:r w:rsidR="007E6FF8">
        <w:rPr>
          <w:lang w:val="ru-RU"/>
        </w:rPr>
        <w:t>за весь срок</w:t>
      </w:r>
      <w:r w:rsidR="0034749E" w:rsidRPr="0049187C">
        <w:rPr>
          <w:lang w:val="ru-RU"/>
        </w:rPr>
        <w:t xml:space="preserve"> </w:t>
      </w:r>
      <w:r w:rsidR="001E076A" w:rsidRPr="0049187C">
        <w:rPr>
          <w:lang w:val="ru-RU"/>
        </w:rPr>
        <w:t xml:space="preserve">факторы или </w:t>
      </w:r>
      <w:r w:rsidR="003861A3" w:rsidRPr="0049187C">
        <w:rPr>
          <w:lang w:val="ru-RU"/>
        </w:rPr>
        <w:t>показатели</w:t>
      </w:r>
      <w:r w:rsidR="001E076A" w:rsidRPr="0049187C">
        <w:rPr>
          <w:lang w:val="ru-RU"/>
        </w:rPr>
        <w:t xml:space="preserve"> должны анализироваться </w:t>
      </w:r>
      <w:r w:rsidR="0034749E">
        <w:rPr>
          <w:lang w:val="ru-RU"/>
        </w:rPr>
        <w:t>для</w:t>
      </w:r>
      <w:r w:rsidR="0034749E" w:rsidRPr="0049187C">
        <w:rPr>
          <w:lang w:val="ru-RU"/>
        </w:rPr>
        <w:t xml:space="preserve"> соответствующи</w:t>
      </w:r>
      <w:r w:rsidR="0034749E">
        <w:rPr>
          <w:lang w:val="ru-RU"/>
        </w:rPr>
        <w:t>х</w:t>
      </w:r>
      <w:r w:rsidR="0034749E" w:rsidRPr="0049187C">
        <w:rPr>
          <w:lang w:val="ru-RU"/>
        </w:rPr>
        <w:t xml:space="preserve"> портфел</w:t>
      </w:r>
      <w:r w:rsidR="0034749E">
        <w:rPr>
          <w:lang w:val="ru-RU"/>
        </w:rPr>
        <w:t>ей</w:t>
      </w:r>
      <w:r w:rsidR="001E076A" w:rsidRPr="0049187C">
        <w:rPr>
          <w:lang w:val="ru-RU"/>
        </w:rPr>
        <w:t xml:space="preserve">, групп портфелей или </w:t>
      </w:r>
      <w:r w:rsidR="0034749E" w:rsidRPr="0049187C">
        <w:rPr>
          <w:lang w:val="ru-RU"/>
        </w:rPr>
        <w:t>част</w:t>
      </w:r>
      <w:r w:rsidR="0034749E">
        <w:rPr>
          <w:lang w:val="ru-RU"/>
        </w:rPr>
        <w:t>ей</w:t>
      </w:r>
      <w:r w:rsidR="0034749E" w:rsidRPr="0049187C">
        <w:rPr>
          <w:lang w:val="ru-RU"/>
        </w:rPr>
        <w:t xml:space="preserve"> </w:t>
      </w:r>
      <w:r w:rsidR="001E076A" w:rsidRPr="0049187C">
        <w:rPr>
          <w:lang w:val="ru-RU"/>
        </w:rPr>
        <w:t>портфеля финансовых инструментов</w:t>
      </w:r>
      <w:r w:rsidR="0034749E">
        <w:rPr>
          <w:lang w:val="ru-RU"/>
        </w:rPr>
        <w:t>.</w:t>
      </w:r>
      <w:r w:rsidR="001E076A" w:rsidRPr="0049187C">
        <w:rPr>
          <w:lang w:val="ru-RU"/>
        </w:rPr>
        <w:t xml:space="preserve"> </w:t>
      </w:r>
      <w:bookmarkEnd w:id="287"/>
    </w:p>
    <w:p w:rsidR="001529CA" w:rsidRPr="0049187C" w:rsidRDefault="001529CA">
      <w:pPr>
        <w:pStyle w:val="IASBNormalnpara"/>
        <w:rPr>
          <w:lang w:val="ru-RU"/>
        </w:rPr>
      </w:pPr>
      <w:r w:rsidRPr="0049187C">
        <w:rPr>
          <w:lang w:val="ru-RU"/>
        </w:rPr>
        <w:t>B5.5.17</w:t>
      </w:r>
      <w:r w:rsidRPr="0049187C">
        <w:rPr>
          <w:lang w:val="ru-RU"/>
        </w:rPr>
        <w:tab/>
      </w:r>
      <w:bookmarkStart w:id="288" w:name="F32626516"/>
      <w:r w:rsidR="0090142B" w:rsidRPr="0049187C">
        <w:rPr>
          <w:lang w:val="ru-RU"/>
        </w:rPr>
        <w:t>Приведенный ниже</w:t>
      </w:r>
      <w:r w:rsidR="001E076A" w:rsidRPr="0049187C">
        <w:rPr>
          <w:lang w:val="ru-RU"/>
        </w:rPr>
        <w:t xml:space="preserve"> список информации</w:t>
      </w:r>
      <w:r w:rsidR="0034749E">
        <w:rPr>
          <w:lang w:val="ru-RU"/>
        </w:rPr>
        <w:t xml:space="preserve">, не являющийся исчерпывающим, </w:t>
      </w:r>
      <w:r w:rsidR="001E076A" w:rsidRPr="0049187C">
        <w:rPr>
          <w:lang w:val="ru-RU"/>
        </w:rPr>
        <w:t>может быть уместным при анализе изменений кредитного риска</w:t>
      </w:r>
      <w:r w:rsidRPr="0049187C">
        <w:rPr>
          <w:lang w:val="ru-RU"/>
        </w:rPr>
        <w:t>:</w:t>
      </w:r>
      <w:bookmarkEnd w:id="288"/>
    </w:p>
    <w:p w:rsidR="001529CA" w:rsidRPr="0049187C" w:rsidRDefault="001529CA">
      <w:pPr>
        <w:pStyle w:val="IASBNormalnparaL1"/>
        <w:rPr>
          <w:lang w:val="ru-RU"/>
        </w:rPr>
      </w:pPr>
      <w:r w:rsidRPr="0049187C">
        <w:rPr>
          <w:lang w:val="ru-RU"/>
        </w:rPr>
        <w:t>(a)</w:t>
      </w:r>
      <w:r w:rsidRPr="0049187C">
        <w:rPr>
          <w:lang w:val="ru-RU"/>
        </w:rPr>
        <w:tab/>
      </w:r>
      <w:bookmarkStart w:id="289" w:name="F32626519"/>
      <w:r w:rsidR="002817FF">
        <w:rPr>
          <w:lang w:val="ru-RU"/>
        </w:rPr>
        <w:t>з</w:t>
      </w:r>
      <w:r w:rsidR="003861A3" w:rsidRPr="0049187C">
        <w:rPr>
          <w:lang w:val="ru-RU"/>
        </w:rPr>
        <w:t>начительные изменения внутренних ценовых показателей кредитного риска</w:t>
      </w:r>
      <w:r w:rsidR="0034749E">
        <w:rPr>
          <w:lang w:val="ru-RU"/>
        </w:rPr>
        <w:t xml:space="preserve">, </w:t>
      </w:r>
      <w:r w:rsidR="0019069E">
        <w:rPr>
          <w:lang w:val="ru-RU"/>
        </w:rPr>
        <w:t>возникшие</w:t>
      </w:r>
      <w:r w:rsidR="003861A3" w:rsidRPr="0049187C">
        <w:rPr>
          <w:lang w:val="ru-RU"/>
        </w:rPr>
        <w:t xml:space="preserve"> в результате изменения кредитного риска после заключения договора</w:t>
      </w:r>
      <w:r w:rsidRPr="0049187C">
        <w:rPr>
          <w:lang w:val="ru-RU"/>
        </w:rPr>
        <w:t xml:space="preserve">, </w:t>
      </w:r>
      <w:r w:rsidR="003861A3" w:rsidRPr="0049187C">
        <w:rPr>
          <w:lang w:val="ru-RU"/>
        </w:rPr>
        <w:t xml:space="preserve">включая, </w:t>
      </w:r>
      <w:r w:rsidR="00D9396E">
        <w:rPr>
          <w:lang w:val="ru-RU"/>
        </w:rPr>
        <w:t>среди прочего, кредитный спрэ</w:t>
      </w:r>
      <w:r w:rsidR="00F239AC" w:rsidRPr="0049187C">
        <w:rPr>
          <w:lang w:val="ru-RU"/>
        </w:rPr>
        <w:t>д</w:t>
      </w:r>
      <w:r w:rsidR="00984D59" w:rsidRPr="0049187C">
        <w:rPr>
          <w:lang w:val="ru-RU"/>
        </w:rPr>
        <w:t xml:space="preserve">, который бы имел место, если бы определенный финансовый инструмент или аналогичный финансовый инструмент с такими же условиями и таким же контрагентом был вновь </w:t>
      </w:r>
      <w:r w:rsidR="00F239AC" w:rsidRPr="0049187C">
        <w:rPr>
          <w:lang w:val="ru-RU"/>
        </w:rPr>
        <w:t>предоставлен</w:t>
      </w:r>
      <w:r w:rsidR="00984D59" w:rsidRPr="0049187C">
        <w:rPr>
          <w:lang w:val="ru-RU"/>
        </w:rPr>
        <w:t xml:space="preserve"> или </w:t>
      </w:r>
      <w:r w:rsidR="000B61C3">
        <w:rPr>
          <w:lang w:val="ru-RU"/>
        </w:rPr>
        <w:t>создан</w:t>
      </w:r>
      <w:r w:rsidR="00984D59" w:rsidRPr="0049187C">
        <w:rPr>
          <w:lang w:val="ru-RU"/>
        </w:rPr>
        <w:t xml:space="preserve"> </w:t>
      </w:r>
      <w:r w:rsidR="007D71B7">
        <w:rPr>
          <w:lang w:val="ru-RU"/>
        </w:rPr>
        <w:t xml:space="preserve">по состоянию </w:t>
      </w:r>
      <w:r w:rsidR="00984D59" w:rsidRPr="0049187C">
        <w:rPr>
          <w:lang w:val="ru-RU"/>
        </w:rPr>
        <w:t>на отчетную дату</w:t>
      </w:r>
      <w:bookmarkEnd w:id="289"/>
      <w:r w:rsidR="002817FF">
        <w:rPr>
          <w:lang w:val="ru-RU"/>
        </w:rPr>
        <w:t>;</w:t>
      </w:r>
    </w:p>
    <w:p w:rsidR="001529CA" w:rsidRPr="0049187C" w:rsidRDefault="001529CA">
      <w:pPr>
        <w:pStyle w:val="IASBNormalnparaL1"/>
        <w:rPr>
          <w:lang w:val="ru-RU"/>
        </w:rPr>
      </w:pPr>
      <w:r w:rsidRPr="0049187C">
        <w:rPr>
          <w:lang w:val="ru-RU"/>
        </w:rPr>
        <w:t>(b)</w:t>
      </w:r>
      <w:r w:rsidRPr="0049187C">
        <w:rPr>
          <w:lang w:val="ru-RU"/>
        </w:rPr>
        <w:tab/>
      </w:r>
      <w:bookmarkStart w:id="290" w:name="F32626521"/>
      <w:r w:rsidR="002817FF">
        <w:rPr>
          <w:lang w:val="ru-RU"/>
        </w:rPr>
        <w:t>д</w:t>
      </w:r>
      <w:r w:rsidR="00984D59" w:rsidRPr="0049187C">
        <w:rPr>
          <w:lang w:val="ru-RU"/>
        </w:rPr>
        <w:t xml:space="preserve">ругие изменения ставок или условий существующего финансового инструмента, которые </w:t>
      </w:r>
      <w:r w:rsidR="0019069E" w:rsidRPr="0049187C">
        <w:rPr>
          <w:lang w:val="ru-RU"/>
        </w:rPr>
        <w:t>ввиду изменения кредитного риска п</w:t>
      </w:r>
      <w:r w:rsidR="00C577C1">
        <w:rPr>
          <w:lang w:val="ru-RU"/>
        </w:rPr>
        <w:t xml:space="preserve">о финансовому инструменту с </w:t>
      </w:r>
      <w:r w:rsidR="00F51BA5">
        <w:rPr>
          <w:lang w:val="ru-RU"/>
        </w:rPr>
        <w:t>момента</w:t>
      </w:r>
      <w:r w:rsidR="00F51BA5" w:rsidRPr="0049187C">
        <w:rPr>
          <w:lang w:val="ru-RU"/>
        </w:rPr>
        <w:t xml:space="preserve"> </w:t>
      </w:r>
      <w:r w:rsidR="00F51BA5">
        <w:rPr>
          <w:lang w:val="ru-RU"/>
        </w:rPr>
        <w:t>первоначального</w:t>
      </w:r>
      <w:r w:rsidR="0019069E" w:rsidRPr="0049187C">
        <w:rPr>
          <w:lang w:val="ru-RU"/>
        </w:rPr>
        <w:t xml:space="preserve"> признания </w:t>
      </w:r>
      <w:r w:rsidR="00984D59" w:rsidRPr="0049187C">
        <w:rPr>
          <w:lang w:val="ru-RU"/>
        </w:rPr>
        <w:t>значительно отличались</w:t>
      </w:r>
      <w:r w:rsidR="0019069E" w:rsidRPr="0019069E">
        <w:rPr>
          <w:lang w:val="ru-RU"/>
        </w:rPr>
        <w:t xml:space="preserve"> </w:t>
      </w:r>
      <w:r w:rsidR="0019069E" w:rsidRPr="0049187C">
        <w:rPr>
          <w:lang w:val="ru-RU"/>
        </w:rPr>
        <w:t>бы</w:t>
      </w:r>
      <w:r w:rsidR="00984D59" w:rsidRPr="0049187C">
        <w:rPr>
          <w:lang w:val="ru-RU"/>
        </w:rPr>
        <w:t>, если инструмен</w:t>
      </w:r>
      <w:r w:rsidR="0049187C">
        <w:rPr>
          <w:lang w:val="ru-RU"/>
        </w:rPr>
        <w:t>т</w:t>
      </w:r>
      <w:r w:rsidR="00984D59" w:rsidRPr="0049187C">
        <w:rPr>
          <w:lang w:val="ru-RU"/>
        </w:rPr>
        <w:t xml:space="preserve"> был вновь </w:t>
      </w:r>
      <w:r w:rsidR="00F239AC" w:rsidRPr="0049187C">
        <w:rPr>
          <w:lang w:val="ru-RU"/>
        </w:rPr>
        <w:t>предоставлен</w:t>
      </w:r>
      <w:r w:rsidR="00984D59" w:rsidRPr="0049187C">
        <w:rPr>
          <w:lang w:val="ru-RU"/>
        </w:rPr>
        <w:t xml:space="preserve"> или </w:t>
      </w:r>
      <w:r w:rsidR="000B61C3">
        <w:rPr>
          <w:lang w:val="ru-RU"/>
        </w:rPr>
        <w:t>создан</w:t>
      </w:r>
      <w:r w:rsidR="007D71B7">
        <w:rPr>
          <w:lang w:val="ru-RU"/>
        </w:rPr>
        <w:t xml:space="preserve"> по состоянию</w:t>
      </w:r>
      <w:r w:rsidR="00984D59" w:rsidRPr="0049187C">
        <w:rPr>
          <w:lang w:val="ru-RU"/>
        </w:rPr>
        <w:t xml:space="preserve"> на отчетную дату (например, более строгие ковенанты</w:t>
      </w:r>
      <w:r w:rsidRPr="0049187C">
        <w:rPr>
          <w:lang w:val="ru-RU"/>
        </w:rPr>
        <w:t xml:space="preserve">, </w:t>
      </w:r>
      <w:r w:rsidR="00984D59" w:rsidRPr="0049187C">
        <w:rPr>
          <w:lang w:val="ru-RU"/>
        </w:rPr>
        <w:t xml:space="preserve">увеличившиеся суммы обеспечения или гарантий или более </w:t>
      </w:r>
      <w:r w:rsidR="00AD5020" w:rsidRPr="004D2F3F">
        <w:rPr>
          <w:lang w:val="ru-RU"/>
        </w:rPr>
        <w:t>высокое покрытие доход</w:t>
      </w:r>
      <w:r w:rsidR="0019069E">
        <w:rPr>
          <w:lang w:val="ru-RU"/>
        </w:rPr>
        <w:t>ами</w:t>
      </w:r>
      <w:r w:rsidRPr="0049187C">
        <w:rPr>
          <w:lang w:val="ru-RU"/>
        </w:rPr>
        <w:t>)</w:t>
      </w:r>
      <w:bookmarkEnd w:id="290"/>
      <w:r w:rsidR="002817FF">
        <w:rPr>
          <w:lang w:val="ru-RU"/>
        </w:rPr>
        <w:t>;</w:t>
      </w:r>
    </w:p>
    <w:p w:rsidR="001529CA" w:rsidRPr="0049187C" w:rsidRDefault="001529CA">
      <w:pPr>
        <w:pStyle w:val="IASBNormalnparaL1"/>
        <w:rPr>
          <w:lang w:val="ru-RU"/>
        </w:rPr>
      </w:pPr>
      <w:r w:rsidRPr="0049187C">
        <w:rPr>
          <w:lang w:val="ru-RU"/>
        </w:rPr>
        <w:t>(c)</w:t>
      </w:r>
      <w:r w:rsidRPr="0049187C">
        <w:rPr>
          <w:lang w:val="ru-RU"/>
        </w:rPr>
        <w:tab/>
      </w:r>
      <w:bookmarkStart w:id="291" w:name="F32626523"/>
      <w:r w:rsidR="00AD5020" w:rsidRPr="0049187C">
        <w:rPr>
          <w:lang w:val="ru-RU"/>
        </w:rPr>
        <w:t xml:space="preserve">значительные изменения внешних рыночных показателей </w:t>
      </w:r>
      <w:r w:rsidR="00F239AC" w:rsidRPr="0049187C">
        <w:rPr>
          <w:lang w:val="ru-RU"/>
        </w:rPr>
        <w:t>кредитного</w:t>
      </w:r>
      <w:r w:rsidR="00AD5020" w:rsidRPr="0049187C">
        <w:rPr>
          <w:lang w:val="ru-RU"/>
        </w:rPr>
        <w:t xml:space="preserve"> риска для определенного финансового инструмента или аналогичных финансовых инструментов с таким же ожидаемым сроком действия</w:t>
      </w:r>
      <w:r w:rsidRPr="0049187C">
        <w:rPr>
          <w:lang w:val="ru-RU"/>
        </w:rPr>
        <w:t xml:space="preserve">. </w:t>
      </w:r>
      <w:r w:rsidR="00AD5020" w:rsidRPr="0049187C">
        <w:rPr>
          <w:lang w:val="ru-RU"/>
        </w:rPr>
        <w:t>Изменения рыночных показателей кредитного риска включают в себя, среди прочего</w:t>
      </w:r>
      <w:r w:rsidR="00F239AC" w:rsidRPr="0049187C">
        <w:rPr>
          <w:lang w:val="ru-RU"/>
        </w:rPr>
        <w:t>, следующее</w:t>
      </w:r>
      <w:r w:rsidRPr="0049187C">
        <w:rPr>
          <w:lang w:val="ru-RU"/>
        </w:rPr>
        <w:t>:</w:t>
      </w:r>
      <w:bookmarkEnd w:id="291"/>
    </w:p>
    <w:p w:rsidR="001529CA" w:rsidRPr="0049187C" w:rsidRDefault="001529CA">
      <w:pPr>
        <w:pStyle w:val="IASBNormalnparaL2"/>
        <w:rPr>
          <w:lang w:val="ru-RU"/>
        </w:rPr>
      </w:pPr>
      <w:r w:rsidRPr="0049187C">
        <w:rPr>
          <w:lang w:val="ru-RU"/>
        </w:rPr>
        <w:t>(i)</w:t>
      </w:r>
      <w:r w:rsidRPr="0049187C">
        <w:rPr>
          <w:lang w:val="ru-RU"/>
        </w:rPr>
        <w:tab/>
      </w:r>
      <w:bookmarkStart w:id="292" w:name="F32626527"/>
      <w:r w:rsidR="00D9396E">
        <w:rPr>
          <w:lang w:val="ru-RU"/>
        </w:rPr>
        <w:t>кредитный спрэ</w:t>
      </w:r>
      <w:r w:rsidR="00AD5020" w:rsidRPr="0049187C">
        <w:rPr>
          <w:lang w:val="ru-RU"/>
        </w:rPr>
        <w:t>д</w:t>
      </w:r>
      <w:r w:rsidRPr="0049187C">
        <w:rPr>
          <w:lang w:val="ru-RU"/>
        </w:rPr>
        <w:t>;</w:t>
      </w:r>
      <w:bookmarkEnd w:id="292"/>
    </w:p>
    <w:p w:rsidR="001529CA" w:rsidRPr="0049187C" w:rsidRDefault="001529CA">
      <w:pPr>
        <w:pStyle w:val="IASBNormalnparaL2"/>
        <w:rPr>
          <w:lang w:val="ru-RU"/>
        </w:rPr>
      </w:pPr>
      <w:r w:rsidRPr="0049187C">
        <w:rPr>
          <w:lang w:val="ru-RU"/>
        </w:rPr>
        <w:t>(ii)</w:t>
      </w:r>
      <w:r w:rsidRPr="0049187C">
        <w:rPr>
          <w:lang w:val="ru-RU"/>
        </w:rPr>
        <w:tab/>
      </w:r>
      <w:bookmarkStart w:id="293" w:name="F32626528"/>
      <w:r w:rsidR="00AD5020" w:rsidRPr="0049187C">
        <w:rPr>
          <w:lang w:val="ru-RU"/>
        </w:rPr>
        <w:t>цены свопа кредитного дефолта для заемщика</w:t>
      </w:r>
      <w:r w:rsidRPr="0049187C">
        <w:rPr>
          <w:lang w:val="ru-RU"/>
        </w:rPr>
        <w:t>;</w:t>
      </w:r>
      <w:bookmarkEnd w:id="293"/>
    </w:p>
    <w:p w:rsidR="001529CA" w:rsidRPr="0049187C" w:rsidRDefault="001529CA">
      <w:pPr>
        <w:pStyle w:val="IASBNormalnparaL2"/>
        <w:rPr>
          <w:lang w:val="ru-RU"/>
        </w:rPr>
      </w:pPr>
      <w:r w:rsidRPr="0049187C">
        <w:rPr>
          <w:lang w:val="ru-RU"/>
        </w:rPr>
        <w:t>(iii)</w:t>
      </w:r>
      <w:r w:rsidRPr="0049187C">
        <w:rPr>
          <w:lang w:val="ru-RU"/>
        </w:rPr>
        <w:tab/>
      </w:r>
      <w:bookmarkStart w:id="294" w:name="F32626530"/>
      <w:r w:rsidR="00AD5020" w:rsidRPr="0049187C">
        <w:rPr>
          <w:lang w:val="ru-RU"/>
        </w:rPr>
        <w:t xml:space="preserve">период времени, </w:t>
      </w:r>
      <w:r w:rsidR="0019069E">
        <w:rPr>
          <w:lang w:val="ru-RU"/>
        </w:rPr>
        <w:t>в течение которого</w:t>
      </w:r>
      <w:r w:rsidR="00AD5020" w:rsidRPr="0049187C">
        <w:rPr>
          <w:lang w:val="ru-RU"/>
        </w:rPr>
        <w:t xml:space="preserve">, </w:t>
      </w:r>
      <w:r w:rsidR="0019069E">
        <w:rPr>
          <w:lang w:val="ru-RU"/>
        </w:rPr>
        <w:t>или степень</w:t>
      </w:r>
      <w:r w:rsidR="00AD5020" w:rsidRPr="0049187C">
        <w:rPr>
          <w:lang w:val="ru-RU"/>
        </w:rPr>
        <w:t xml:space="preserve">, в </w:t>
      </w:r>
      <w:r w:rsidR="0019069E" w:rsidRPr="0049187C">
        <w:rPr>
          <w:lang w:val="ru-RU"/>
        </w:rPr>
        <w:t>которо</w:t>
      </w:r>
      <w:r w:rsidR="0019069E">
        <w:rPr>
          <w:lang w:val="ru-RU"/>
        </w:rPr>
        <w:t>й</w:t>
      </w:r>
      <w:r w:rsidR="00F239AC" w:rsidRPr="0049187C">
        <w:rPr>
          <w:lang w:val="ru-RU"/>
        </w:rPr>
        <w:t>,</w:t>
      </w:r>
      <w:r w:rsidR="00AD5020" w:rsidRPr="0049187C">
        <w:rPr>
          <w:lang w:val="ru-RU"/>
        </w:rPr>
        <w:t xml:space="preserve"> справедливая стоимость финансового актива была меньше его амортизированной стоимости; и</w:t>
      </w:r>
      <w:bookmarkEnd w:id="294"/>
    </w:p>
    <w:p w:rsidR="001529CA" w:rsidRPr="0049187C" w:rsidRDefault="001529CA">
      <w:pPr>
        <w:pStyle w:val="IASBNormalnparaL2"/>
        <w:rPr>
          <w:lang w:val="ru-RU"/>
        </w:rPr>
      </w:pPr>
      <w:r w:rsidRPr="0049187C">
        <w:rPr>
          <w:lang w:val="ru-RU"/>
        </w:rPr>
        <w:t>(iv)</w:t>
      </w:r>
      <w:r w:rsidRPr="0049187C">
        <w:rPr>
          <w:lang w:val="ru-RU"/>
        </w:rPr>
        <w:tab/>
      </w:r>
      <w:bookmarkStart w:id="295" w:name="F32626532"/>
      <w:r w:rsidR="00AD5020" w:rsidRPr="0049187C">
        <w:rPr>
          <w:lang w:val="ru-RU"/>
        </w:rPr>
        <w:t xml:space="preserve">прочая рыночная информация, </w:t>
      </w:r>
      <w:r w:rsidR="0019069E">
        <w:rPr>
          <w:lang w:val="ru-RU"/>
        </w:rPr>
        <w:t>относящаяся к</w:t>
      </w:r>
      <w:r w:rsidR="00AD5020" w:rsidRPr="0049187C">
        <w:rPr>
          <w:lang w:val="ru-RU"/>
        </w:rPr>
        <w:t xml:space="preserve"> заемщик</w:t>
      </w:r>
      <w:r w:rsidR="0019069E">
        <w:rPr>
          <w:lang w:val="ru-RU"/>
        </w:rPr>
        <w:t>у</w:t>
      </w:r>
      <w:r w:rsidR="00AD5020" w:rsidRPr="0049187C">
        <w:rPr>
          <w:lang w:val="ru-RU"/>
        </w:rPr>
        <w:t>, например, изменения цены долговых и долевых инструментов заемщика</w:t>
      </w:r>
      <w:bookmarkEnd w:id="295"/>
      <w:r w:rsidR="002817FF">
        <w:rPr>
          <w:lang w:val="ru-RU"/>
        </w:rPr>
        <w:t>;</w:t>
      </w:r>
    </w:p>
    <w:p w:rsidR="001529CA" w:rsidRPr="0049187C" w:rsidRDefault="001529CA">
      <w:pPr>
        <w:pStyle w:val="IASBNormalnparaL1"/>
        <w:rPr>
          <w:lang w:val="ru-RU"/>
        </w:rPr>
      </w:pPr>
      <w:r w:rsidRPr="0049187C">
        <w:rPr>
          <w:lang w:val="ru-RU"/>
        </w:rPr>
        <w:t>(d)</w:t>
      </w:r>
      <w:r w:rsidRPr="0049187C">
        <w:rPr>
          <w:lang w:val="ru-RU"/>
        </w:rPr>
        <w:tab/>
      </w:r>
      <w:bookmarkStart w:id="296" w:name="F32626534"/>
      <w:r w:rsidR="00AD5020" w:rsidRPr="0049187C">
        <w:rPr>
          <w:lang w:val="ru-RU"/>
        </w:rPr>
        <w:t>фактическое или ожидаемое значительное изменение внешнего кредитного рейтинга финансового инструмента</w:t>
      </w:r>
      <w:bookmarkEnd w:id="296"/>
      <w:r w:rsidR="002817FF">
        <w:rPr>
          <w:lang w:val="ru-RU"/>
        </w:rPr>
        <w:t>;</w:t>
      </w:r>
    </w:p>
    <w:p w:rsidR="001529CA" w:rsidRPr="0049187C" w:rsidRDefault="001529CA">
      <w:pPr>
        <w:pStyle w:val="IASBNormalnparaL1"/>
        <w:rPr>
          <w:lang w:val="ru-RU"/>
        </w:rPr>
      </w:pPr>
      <w:r w:rsidRPr="0049187C">
        <w:rPr>
          <w:lang w:val="ru-RU"/>
        </w:rPr>
        <w:t>(e)</w:t>
      </w:r>
      <w:r w:rsidRPr="0049187C">
        <w:rPr>
          <w:lang w:val="ru-RU"/>
        </w:rPr>
        <w:tab/>
      </w:r>
      <w:bookmarkStart w:id="297" w:name="F32626536"/>
      <w:r w:rsidR="00AD5020" w:rsidRPr="0049187C">
        <w:rPr>
          <w:lang w:val="ru-RU"/>
        </w:rPr>
        <w:t xml:space="preserve">фактическое или ожидаемое снижение внутреннего кредитного рейтинга заемщика либо уменьшение </w:t>
      </w:r>
      <w:r w:rsidR="00114947">
        <w:rPr>
          <w:lang w:val="ru-RU"/>
        </w:rPr>
        <w:t>рейтинга заемщика по системе поведенческого скоринга</w:t>
      </w:r>
      <w:r w:rsidR="00AD5020" w:rsidRPr="0049187C">
        <w:rPr>
          <w:lang w:val="ru-RU"/>
        </w:rPr>
        <w:t xml:space="preserve">, </w:t>
      </w:r>
      <w:r w:rsidR="00114947" w:rsidRPr="0049187C">
        <w:rPr>
          <w:lang w:val="ru-RU"/>
        </w:rPr>
        <w:t>используем</w:t>
      </w:r>
      <w:r w:rsidR="00114947">
        <w:rPr>
          <w:lang w:val="ru-RU"/>
        </w:rPr>
        <w:t>ых</w:t>
      </w:r>
      <w:r w:rsidR="00114947" w:rsidRPr="0049187C">
        <w:rPr>
          <w:lang w:val="ru-RU"/>
        </w:rPr>
        <w:t xml:space="preserve"> </w:t>
      </w:r>
      <w:r w:rsidR="00AD5020" w:rsidRPr="0049187C">
        <w:rPr>
          <w:lang w:val="ru-RU"/>
        </w:rPr>
        <w:t xml:space="preserve">для </w:t>
      </w:r>
      <w:r w:rsidR="0090142B" w:rsidRPr="0049187C">
        <w:rPr>
          <w:lang w:val="ru-RU"/>
        </w:rPr>
        <w:t>анализа</w:t>
      </w:r>
      <w:r w:rsidR="00AD5020" w:rsidRPr="0049187C">
        <w:rPr>
          <w:lang w:val="ru-RU"/>
        </w:rPr>
        <w:t xml:space="preserve"> кредитного риска для внутренних целей</w:t>
      </w:r>
      <w:r w:rsidRPr="0049187C">
        <w:rPr>
          <w:lang w:val="ru-RU"/>
        </w:rPr>
        <w:t xml:space="preserve">. </w:t>
      </w:r>
      <w:r w:rsidR="00AD5020" w:rsidRPr="0049187C">
        <w:rPr>
          <w:lang w:val="ru-RU"/>
        </w:rPr>
        <w:t xml:space="preserve">Внутренние кредитные рейтинги и внутренняя оценка поведения </w:t>
      </w:r>
      <w:r w:rsidR="00FB74C1" w:rsidRPr="0049187C">
        <w:rPr>
          <w:lang w:val="ru-RU"/>
        </w:rPr>
        <w:t xml:space="preserve">более надежны, когда они </w:t>
      </w:r>
      <w:r w:rsidR="00114947">
        <w:rPr>
          <w:lang w:val="ru-RU"/>
        </w:rPr>
        <w:t>согласуются</w:t>
      </w:r>
      <w:r w:rsidR="00114947" w:rsidRPr="0049187C">
        <w:rPr>
          <w:lang w:val="ru-RU"/>
        </w:rPr>
        <w:t xml:space="preserve"> </w:t>
      </w:r>
      <w:r w:rsidR="00FB74C1" w:rsidRPr="0049187C">
        <w:rPr>
          <w:lang w:val="ru-RU"/>
        </w:rPr>
        <w:t xml:space="preserve">с внешними рейтингами или подтверждаются исследованиями </w:t>
      </w:r>
      <w:r w:rsidR="00114947">
        <w:rPr>
          <w:lang w:val="ru-RU"/>
        </w:rPr>
        <w:t xml:space="preserve">возможности </w:t>
      </w:r>
      <w:r w:rsidR="00FB74C1" w:rsidRPr="0049187C">
        <w:rPr>
          <w:lang w:val="ru-RU"/>
        </w:rPr>
        <w:t>дефолта</w:t>
      </w:r>
      <w:bookmarkEnd w:id="297"/>
      <w:r w:rsidR="002817FF">
        <w:rPr>
          <w:lang w:val="ru-RU"/>
        </w:rPr>
        <w:t>;</w:t>
      </w:r>
    </w:p>
    <w:p w:rsidR="001529CA" w:rsidRPr="0049187C" w:rsidRDefault="001529CA">
      <w:pPr>
        <w:pStyle w:val="IASBNormalnparaL1"/>
        <w:rPr>
          <w:lang w:val="ru-RU"/>
        </w:rPr>
      </w:pPr>
      <w:r w:rsidRPr="0049187C">
        <w:rPr>
          <w:lang w:val="ru-RU"/>
        </w:rPr>
        <w:t>(f)</w:t>
      </w:r>
      <w:r w:rsidRPr="0049187C">
        <w:rPr>
          <w:lang w:val="ru-RU"/>
        </w:rPr>
        <w:tab/>
      </w:r>
      <w:bookmarkStart w:id="298" w:name="F32626538"/>
      <w:r w:rsidR="00FB74C1" w:rsidRPr="0049187C">
        <w:rPr>
          <w:lang w:val="ru-RU"/>
        </w:rPr>
        <w:t>существующие или прогнозируемые неблагоприятные изменения коммерческих, финансовых или экономических условий, которые, как ожидается, приведут к значительному изменению способности заемщика выполнить свои долговые обязательства, например, фактическое или ожидаемое увеличение процентных ставок или фактическое или ожидаемое увеличение уровня безработицы</w:t>
      </w:r>
      <w:bookmarkEnd w:id="298"/>
      <w:r w:rsidR="002817FF">
        <w:rPr>
          <w:lang w:val="ru-RU"/>
        </w:rPr>
        <w:t>;</w:t>
      </w:r>
    </w:p>
    <w:p w:rsidR="001529CA" w:rsidRPr="0049187C" w:rsidRDefault="001529CA">
      <w:pPr>
        <w:pStyle w:val="IASBNormalnparaL1"/>
        <w:rPr>
          <w:lang w:val="ru-RU"/>
        </w:rPr>
      </w:pPr>
      <w:r w:rsidRPr="0049187C">
        <w:rPr>
          <w:lang w:val="ru-RU"/>
        </w:rPr>
        <w:t>(g)</w:t>
      </w:r>
      <w:r w:rsidRPr="0049187C">
        <w:rPr>
          <w:lang w:val="ru-RU"/>
        </w:rPr>
        <w:tab/>
      </w:r>
      <w:bookmarkStart w:id="299" w:name="F32626540"/>
      <w:r w:rsidR="00FB74C1" w:rsidRPr="0049187C">
        <w:rPr>
          <w:lang w:val="ru-RU"/>
        </w:rPr>
        <w:t>фактическое или ожидаемое значительное изменение результатов операционной деятельност</w:t>
      </w:r>
      <w:r w:rsidR="00F239AC" w:rsidRPr="0049187C">
        <w:rPr>
          <w:lang w:val="ru-RU"/>
        </w:rPr>
        <w:t>и</w:t>
      </w:r>
      <w:r w:rsidR="00FB74C1" w:rsidRPr="0049187C">
        <w:rPr>
          <w:lang w:val="ru-RU"/>
        </w:rPr>
        <w:t xml:space="preserve"> заемщика</w:t>
      </w:r>
      <w:r w:rsidRPr="0049187C">
        <w:rPr>
          <w:lang w:val="ru-RU"/>
        </w:rPr>
        <w:t xml:space="preserve">. </w:t>
      </w:r>
      <w:r w:rsidR="00114947">
        <w:rPr>
          <w:lang w:val="ru-RU"/>
        </w:rPr>
        <w:t>Примеры включают</w:t>
      </w:r>
      <w:r w:rsidR="00E63C91" w:rsidRPr="0049187C">
        <w:rPr>
          <w:lang w:val="ru-RU"/>
        </w:rPr>
        <w:t xml:space="preserve"> фактическое или ожидаемое уменьшение выручки или маржи, увеличение операционных рисков, </w:t>
      </w:r>
      <w:r w:rsidR="006C09B4">
        <w:rPr>
          <w:lang w:val="ru-RU"/>
        </w:rPr>
        <w:t>неэффективность</w:t>
      </w:r>
      <w:r w:rsidR="006C09B4" w:rsidRPr="0049187C">
        <w:rPr>
          <w:lang w:val="ru-RU"/>
        </w:rPr>
        <w:t xml:space="preserve"> </w:t>
      </w:r>
      <w:r w:rsidR="00E63C91" w:rsidRPr="0049187C">
        <w:rPr>
          <w:lang w:val="ru-RU"/>
        </w:rPr>
        <w:t>оборотного капитала</w:t>
      </w:r>
      <w:r w:rsidRPr="0049187C">
        <w:rPr>
          <w:lang w:val="ru-RU"/>
        </w:rPr>
        <w:t xml:space="preserve">, </w:t>
      </w:r>
      <w:r w:rsidR="00E63C91" w:rsidRPr="0049187C">
        <w:rPr>
          <w:lang w:val="ru-RU"/>
        </w:rPr>
        <w:t>снижение качества активов</w:t>
      </w:r>
      <w:r w:rsidRPr="0049187C">
        <w:rPr>
          <w:lang w:val="ru-RU"/>
        </w:rPr>
        <w:t xml:space="preserve">, </w:t>
      </w:r>
      <w:r w:rsidR="00F31FD6" w:rsidRPr="0049187C">
        <w:rPr>
          <w:lang w:val="ru-RU"/>
        </w:rPr>
        <w:t>увеличение балансового левер</w:t>
      </w:r>
      <w:r w:rsidR="0049187C">
        <w:rPr>
          <w:lang w:val="ru-RU"/>
        </w:rPr>
        <w:t>е</w:t>
      </w:r>
      <w:r w:rsidR="00F31FD6" w:rsidRPr="0049187C">
        <w:rPr>
          <w:lang w:val="ru-RU"/>
        </w:rPr>
        <w:t>джа</w:t>
      </w:r>
      <w:r w:rsidRPr="0049187C">
        <w:rPr>
          <w:lang w:val="ru-RU"/>
        </w:rPr>
        <w:t xml:space="preserve">, </w:t>
      </w:r>
      <w:r w:rsidR="00F31FD6" w:rsidRPr="0049187C">
        <w:rPr>
          <w:lang w:val="ru-RU"/>
        </w:rPr>
        <w:t>ликвидность</w:t>
      </w:r>
      <w:r w:rsidRPr="0049187C">
        <w:rPr>
          <w:lang w:val="ru-RU"/>
        </w:rPr>
        <w:t xml:space="preserve">, </w:t>
      </w:r>
      <w:r w:rsidR="00F31FD6" w:rsidRPr="0049187C">
        <w:rPr>
          <w:lang w:val="ru-RU"/>
        </w:rPr>
        <w:t>проблемы</w:t>
      </w:r>
      <w:r w:rsidR="006C09B4">
        <w:rPr>
          <w:lang w:val="ru-RU"/>
        </w:rPr>
        <w:t>, связанные</w:t>
      </w:r>
      <w:r w:rsidR="00F31FD6" w:rsidRPr="0049187C">
        <w:rPr>
          <w:lang w:val="ru-RU"/>
        </w:rPr>
        <w:t xml:space="preserve"> с управлением</w:t>
      </w:r>
      <w:r w:rsidR="004860A1">
        <w:rPr>
          <w:lang w:val="ru-RU"/>
        </w:rPr>
        <w:t>,</w:t>
      </w:r>
      <w:r w:rsidR="00F31FD6" w:rsidRPr="0049187C">
        <w:rPr>
          <w:lang w:val="ru-RU"/>
        </w:rPr>
        <w:t xml:space="preserve"> или изменения</w:t>
      </w:r>
      <w:r w:rsidRPr="0049187C">
        <w:rPr>
          <w:lang w:val="ru-RU"/>
        </w:rPr>
        <w:t xml:space="preserve"> </w:t>
      </w:r>
      <w:r w:rsidR="00F31FD6" w:rsidRPr="0049187C">
        <w:rPr>
          <w:lang w:val="ru-RU"/>
        </w:rPr>
        <w:t>масштаба коммерческой деятельности или организационной структуры</w:t>
      </w:r>
      <w:r w:rsidRPr="0049187C">
        <w:rPr>
          <w:lang w:val="ru-RU"/>
        </w:rPr>
        <w:t xml:space="preserve"> (</w:t>
      </w:r>
      <w:r w:rsidR="009C0BBF" w:rsidRPr="0049187C">
        <w:rPr>
          <w:lang w:val="ru-RU"/>
        </w:rPr>
        <w:t>например, прекращение деятельности сегмента бизнеса</w:t>
      </w:r>
      <w:r w:rsidRPr="0049187C">
        <w:rPr>
          <w:lang w:val="ru-RU"/>
        </w:rPr>
        <w:t>)</w:t>
      </w:r>
      <w:r w:rsidR="009C0BBF" w:rsidRPr="0049187C">
        <w:rPr>
          <w:lang w:val="ru-RU"/>
        </w:rPr>
        <w:t xml:space="preserve">, </w:t>
      </w:r>
      <w:r w:rsidR="006C09B4" w:rsidRPr="0049187C">
        <w:rPr>
          <w:lang w:val="ru-RU"/>
        </w:rPr>
        <w:t>котор</w:t>
      </w:r>
      <w:r w:rsidR="006C09B4">
        <w:rPr>
          <w:lang w:val="ru-RU"/>
        </w:rPr>
        <w:t>ы</w:t>
      </w:r>
      <w:r w:rsidR="006C09B4" w:rsidRPr="0049187C">
        <w:rPr>
          <w:lang w:val="ru-RU"/>
        </w:rPr>
        <w:t>е привод</w:t>
      </w:r>
      <w:r w:rsidR="006C09B4">
        <w:rPr>
          <w:lang w:val="ru-RU"/>
        </w:rPr>
        <w:t>я</w:t>
      </w:r>
      <w:r w:rsidR="006C09B4" w:rsidRPr="0049187C">
        <w:rPr>
          <w:lang w:val="ru-RU"/>
        </w:rPr>
        <w:t xml:space="preserve">т </w:t>
      </w:r>
      <w:r w:rsidR="009C0BBF" w:rsidRPr="0049187C">
        <w:rPr>
          <w:lang w:val="ru-RU"/>
        </w:rPr>
        <w:t>к значительному изменению способности заемщика выполнить свои долговые обязательства</w:t>
      </w:r>
      <w:bookmarkEnd w:id="299"/>
      <w:r w:rsidR="002817FF">
        <w:rPr>
          <w:lang w:val="ru-RU"/>
        </w:rPr>
        <w:t>;</w:t>
      </w:r>
    </w:p>
    <w:p w:rsidR="001529CA" w:rsidRPr="0049187C" w:rsidRDefault="001529CA">
      <w:pPr>
        <w:pStyle w:val="IASBNormalnparaL1"/>
        <w:rPr>
          <w:lang w:val="ru-RU"/>
        </w:rPr>
      </w:pPr>
      <w:r w:rsidRPr="0049187C">
        <w:rPr>
          <w:lang w:val="ru-RU"/>
        </w:rPr>
        <w:t>(h)</w:t>
      </w:r>
      <w:r w:rsidRPr="0049187C">
        <w:rPr>
          <w:lang w:val="ru-RU"/>
        </w:rPr>
        <w:tab/>
      </w:r>
      <w:bookmarkStart w:id="300" w:name="F32626542"/>
      <w:r w:rsidR="009C0BBF" w:rsidRPr="0049187C">
        <w:rPr>
          <w:lang w:val="ru-RU"/>
        </w:rPr>
        <w:t xml:space="preserve">значительное увеличение кредитного риска по другим финансовым </w:t>
      </w:r>
      <w:r w:rsidR="006C09B4" w:rsidRPr="0049187C">
        <w:rPr>
          <w:lang w:val="ru-RU"/>
        </w:rPr>
        <w:t>инструмент</w:t>
      </w:r>
      <w:r w:rsidR="006C09B4">
        <w:rPr>
          <w:lang w:val="ru-RU"/>
        </w:rPr>
        <w:t>а</w:t>
      </w:r>
      <w:r w:rsidR="006C09B4" w:rsidRPr="0049187C">
        <w:rPr>
          <w:lang w:val="ru-RU"/>
        </w:rPr>
        <w:t xml:space="preserve">м </w:t>
      </w:r>
      <w:r w:rsidR="009C0BBF" w:rsidRPr="0049187C">
        <w:rPr>
          <w:lang w:val="ru-RU"/>
        </w:rPr>
        <w:t>того же заемщика</w:t>
      </w:r>
      <w:bookmarkEnd w:id="300"/>
      <w:r w:rsidR="002817FF">
        <w:rPr>
          <w:lang w:val="ru-RU"/>
        </w:rPr>
        <w:t>;</w:t>
      </w:r>
    </w:p>
    <w:p w:rsidR="001529CA" w:rsidRPr="0049187C" w:rsidRDefault="001529CA">
      <w:pPr>
        <w:pStyle w:val="IASBNormalnparaL1"/>
        <w:rPr>
          <w:lang w:val="ru-RU"/>
        </w:rPr>
      </w:pPr>
      <w:r w:rsidRPr="0049187C">
        <w:rPr>
          <w:lang w:val="ru-RU"/>
        </w:rPr>
        <w:t>(i)</w:t>
      </w:r>
      <w:r w:rsidRPr="0049187C">
        <w:rPr>
          <w:lang w:val="ru-RU"/>
        </w:rPr>
        <w:tab/>
      </w:r>
      <w:bookmarkStart w:id="301" w:name="F32626544"/>
      <w:r w:rsidR="00A3742B" w:rsidRPr="0049187C">
        <w:rPr>
          <w:lang w:val="ru-RU"/>
        </w:rPr>
        <w:t>фактическое или ожидаемое неблагоприятное изменение нормативно-правовых</w:t>
      </w:r>
      <w:r w:rsidRPr="0049187C">
        <w:rPr>
          <w:lang w:val="ru-RU"/>
        </w:rPr>
        <w:t xml:space="preserve">, </w:t>
      </w:r>
      <w:r w:rsidR="00A3742B" w:rsidRPr="0049187C">
        <w:rPr>
          <w:lang w:val="ru-RU"/>
        </w:rPr>
        <w:t xml:space="preserve">экономических или технологических условий </w:t>
      </w:r>
      <w:r w:rsidR="00F239AC" w:rsidRPr="0049187C">
        <w:rPr>
          <w:lang w:val="ru-RU"/>
        </w:rPr>
        <w:t xml:space="preserve">деятельности </w:t>
      </w:r>
      <w:r w:rsidR="00A3742B" w:rsidRPr="0049187C">
        <w:rPr>
          <w:lang w:val="ru-RU"/>
        </w:rPr>
        <w:t>заемщика, которое приводит к значительному изменению способности заемщика выполнить свои долговые обязательства, например, снижение спроса на реализуемый заемщиком продукт ввиду изменения технологии</w:t>
      </w:r>
      <w:bookmarkEnd w:id="301"/>
      <w:r w:rsidR="002817FF">
        <w:rPr>
          <w:lang w:val="ru-RU"/>
        </w:rPr>
        <w:t>;</w:t>
      </w:r>
    </w:p>
    <w:p w:rsidR="001529CA" w:rsidRPr="0049187C" w:rsidRDefault="001529CA">
      <w:pPr>
        <w:pStyle w:val="IASBNormalnparaL1"/>
        <w:rPr>
          <w:lang w:val="ru-RU"/>
        </w:rPr>
      </w:pPr>
      <w:r w:rsidRPr="0049187C">
        <w:rPr>
          <w:lang w:val="ru-RU"/>
        </w:rPr>
        <w:t>(j)</w:t>
      </w:r>
      <w:r w:rsidRPr="0049187C">
        <w:rPr>
          <w:lang w:val="ru-RU"/>
        </w:rPr>
        <w:tab/>
      </w:r>
      <w:bookmarkStart w:id="302" w:name="F32626546"/>
      <w:r w:rsidR="00A3742B" w:rsidRPr="0049187C">
        <w:rPr>
          <w:lang w:val="ru-RU"/>
        </w:rPr>
        <w:t xml:space="preserve">значительные изменения стоимости обеспечения по обязательству или качества гарантий или механизмов повышения </w:t>
      </w:r>
      <w:r w:rsidR="006C09B4">
        <w:rPr>
          <w:lang w:val="ru-RU"/>
        </w:rPr>
        <w:t xml:space="preserve">кредитного </w:t>
      </w:r>
      <w:r w:rsidR="00A3742B" w:rsidRPr="0049187C">
        <w:rPr>
          <w:lang w:val="ru-RU"/>
        </w:rPr>
        <w:t>качества</w:t>
      </w:r>
      <w:r w:rsidR="006C09B4">
        <w:rPr>
          <w:lang w:val="ru-RU"/>
        </w:rPr>
        <w:t>, предоставленных</w:t>
      </w:r>
      <w:r w:rsidR="00A3742B" w:rsidRPr="0049187C">
        <w:rPr>
          <w:lang w:val="ru-RU"/>
        </w:rPr>
        <w:t xml:space="preserve"> треть</w:t>
      </w:r>
      <w:r w:rsidR="00F239AC" w:rsidRPr="0049187C">
        <w:rPr>
          <w:lang w:val="ru-RU"/>
        </w:rPr>
        <w:t>и</w:t>
      </w:r>
      <w:r w:rsidR="006C09B4">
        <w:rPr>
          <w:lang w:val="ru-RU"/>
        </w:rPr>
        <w:t>ми</w:t>
      </w:r>
      <w:r w:rsidR="00A3742B" w:rsidRPr="0049187C">
        <w:rPr>
          <w:lang w:val="ru-RU"/>
        </w:rPr>
        <w:t xml:space="preserve"> сторон</w:t>
      </w:r>
      <w:r w:rsidR="006C09B4">
        <w:rPr>
          <w:lang w:val="ru-RU"/>
        </w:rPr>
        <w:t>ами</w:t>
      </w:r>
      <w:r w:rsidR="00A3742B" w:rsidRPr="0049187C">
        <w:rPr>
          <w:lang w:val="ru-RU"/>
        </w:rPr>
        <w:t xml:space="preserve">, которые, как ожидается, уменьшат экономический стимул для заемщика осуществлять плановые платежи, предусмотренные договором, или иным образом повлияют на вероятность наступления дефолта. </w:t>
      </w:r>
      <w:r w:rsidR="00B748AB" w:rsidRPr="0049187C">
        <w:rPr>
          <w:lang w:val="ru-RU"/>
        </w:rPr>
        <w:t>Например</w:t>
      </w:r>
      <w:r w:rsidRPr="0049187C">
        <w:rPr>
          <w:lang w:val="ru-RU"/>
        </w:rPr>
        <w:t xml:space="preserve">, </w:t>
      </w:r>
      <w:r w:rsidR="00B748AB" w:rsidRPr="0049187C">
        <w:rPr>
          <w:lang w:val="ru-RU"/>
        </w:rPr>
        <w:t>если стоимость обеспечения уменьшается ввиду уменьшения цен на недвижимость</w:t>
      </w:r>
      <w:r w:rsidRPr="0049187C">
        <w:rPr>
          <w:lang w:val="ru-RU"/>
        </w:rPr>
        <w:t xml:space="preserve">, </w:t>
      </w:r>
      <w:r w:rsidR="00B748AB" w:rsidRPr="0049187C">
        <w:rPr>
          <w:lang w:val="ru-RU"/>
        </w:rPr>
        <w:t>заемщики в некоторых юрисдикциях имеют больший стимул для дефолта по ипотечным кредитам</w:t>
      </w:r>
      <w:bookmarkEnd w:id="302"/>
      <w:r w:rsidR="00AE68F9">
        <w:rPr>
          <w:lang w:val="ru-RU"/>
        </w:rPr>
        <w:t>;</w:t>
      </w:r>
    </w:p>
    <w:p w:rsidR="001529CA" w:rsidRPr="0049187C" w:rsidRDefault="001529CA">
      <w:pPr>
        <w:pStyle w:val="IASBNormalnparaL1"/>
        <w:rPr>
          <w:lang w:val="ru-RU"/>
        </w:rPr>
      </w:pPr>
      <w:r w:rsidRPr="0049187C">
        <w:rPr>
          <w:lang w:val="ru-RU"/>
        </w:rPr>
        <w:t>(k)</w:t>
      </w:r>
      <w:r w:rsidRPr="0049187C">
        <w:rPr>
          <w:lang w:val="ru-RU"/>
        </w:rPr>
        <w:tab/>
      </w:r>
      <w:bookmarkStart w:id="303" w:name="F32626548"/>
      <w:r w:rsidR="00B748AB" w:rsidRPr="0049187C">
        <w:rPr>
          <w:lang w:val="ru-RU"/>
        </w:rPr>
        <w:t>значительное изменение качества гарантии, предоставляемой акционером (</w:t>
      </w:r>
      <w:r w:rsidR="00656FED" w:rsidRPr="0049187C">
        <w:rPr>
          <w:lang w:val="ru-RU"/>
        </w:rPr>
        <w:t>или родителями физического лица</w:t>
      </w:r>
      <w:r w:rsidR="00B748AB" w:rsidRPr="0049187C">
        <w:rPr>
          <w:lang w:val="ru-RU"/>
        </w:rPr>
        <w:t>)</w:t>
      </w:r>
      <w:r w:rsidR="00656FED" w:rsidRPr="0049187C">
        <w:rPr>
          <w:lang w:val="ru-RU"/>
        </w:rPr>
        <w:t xml:space="preserve">, если у акционера (или родителей) </w:t>
      </w:r>
      <w:r w:rsidR="006C09B4">
        <w:rPr>
          <w:lang w:val="ru-RU"/>
        </w:rPr>
        <w:t>имеется</w:t>
      </w:r>
      <w:r w:rsidR="006C09B4" w:rsidRPr="0049187C">
        <w:rPr>
          <w:lang w:val="ru-RU"/>
        </w:rPr>
        <w:t xml:space="preserve"> </w:t>
      </w:r>
      <w:r w:rsidR="00656FED" w:rsidRPr="0049187C">
        <w:rPr>
          <w:lang w:val="ru-RU"/>
        </w:rPr>
        <w:t xml:space="preserve">стимул и финансовая возможность предотвратить дефолт за счет </w:t>
      </w:r>
      <w:r w:rsidR="006C09B4">
        <w:rPr>
          <w:lang w:val="ru-RU"/>
        </w:rPr>
        <w:t xml:space="preserve">вливания </w:t>
      </w:r>
      <w:r w:rsidR="00656FED" w:rsidRPr="0049187C">
        <w:rPr>
          <w:lang w:val="ru-RU"/>
        </w:rPr>
        <w:t xml:space="preserve">капитала или </w:t>
      </w:r>
      <w:r w:rsidR="006C09B4">
        <w:rPr>
          <w:lang w:val="ru-RU"/>
        </w:rPr>
        <w:t>предоставления</w:t>
      </w:r>
      <w:r w:rsidR="006C09B4" w:rsidRPr="0049187C">
        <w:rPr>
          <w:lang w:val="ru-RU"/>
        </w:rPr>
        <w:t xml:space="preserve"> </w:t>
      </w:r>
      <w:r w:rsidR="00656FED" w:rsidRPr="0049187C">
        <w:rPr>
          <w:lang w:val="ru-RU"/>
        </w:rPr>
        <w:t>денежных средств</w:t>
      </w:r>
      <w:bookmarkEnd w:id="303"/>
      <w:r w:rsidR="00AE68F9">
        <w:rPr>
          <w:lang w:val="ru-RU"/>
        </w:rPr>
        <w:t>;</w:t>
      </w:r>
    </w:p>
    <w:p w:rsidR="001529CA" w:rsidRPr="0049187C" w:rsidRDefault="001529CA">
      <w:pPr>
        <w:pStyle w:val="IASBNormalnparaL1"/>
        <w:rPr>
          <w:lang w:val="ru-RU"/>
        </w:rPr>
      </w:pPr>
      <w:r w:rsidRPr="0049187C">
        <w:rPr>
          <w:lang w:val="ru-RU"/>
        </w:rPr>
        <w:t>(l)</w:t>
      </w:r>
      <w:r w:rsidRPr="0049187C">
        <w:rPr>
          <w:lang w:val="ru-RU"/>
        </w:rPr>
        <w:tab/>
      </w:r>
      <w:bookmarkStart w:id="304" w:name="F32626550"/>
      <w:r w:rsidR="00656FED" w:rsidRPr="0049187C">
        <w:rPr>
          <w:lang w:val="ru-RU"/>
        </w:rPr>
        <w:t xml:space="preserve">значительные изменения, например, сокращение финансовой поддержки </w:t>
      </w:r>
      <w:r w:rsidR="00FC25F7" w:rsidRPr="0049187C">
        <w:rPr>
          <w:lang w:val="ru-RU"/>
        </w:rPr>
        <w:t xml:space="preserve">со стороны материнской организации либо другой аффилированной организации или фактическое либо ожидаемое значительное изменение качества механизма повышения </w:t>
      </w:r>
      <w:r w:rsidR="00BD0C49">
        <w:rPr>
          <w:lang w:val="ru-RU"/>
        </w:rPr>
        <w:t xml:space="preserve">кредитного </w:t>
      </w:r>
      <w:r w:rsidR="00FC25F7" w:rsidRPr="0049187C">
        <w:rPr>
          <w:lang w:val="ru-RU"/>
        </w:rPr>
        <w:t>качества, которые, как ожида</w:t>
      </w:r>
      <w:r w:rsidR="009977A2">
        <w:rPr>
          <w:lang w:val="ru-RU"/>
        </w:rPr>
        <w:t>е</w:t>
      </w:r>
      <w:r w:rsidR="00FC25F7" w:rsidRPr="0049187C">
        <w:rPr>
          <w:lang w:val="ru-RU"/>
        </w:rPr>
        <w:t>тся</w:t>
      </w:r>
      <w:r w:rsidR="009977A2">
        <w:rPr>
          <w:lang w:val="ru-RU"/>
        </w:rPr>
        <w:t>,</w:t>
      </w:r>
      <w:r w:rsidR="00FC25F7" w:rsidRPr="0049187C">
        <w:rPr>
          <w:lang w:val="ru-RU"/>
        </w:rPr>
        <w:t xml:space="preserve"> </w:t>
      </w:r>
      <w:r w:rsidR="00E35E5C" w:rsidRPr="0049187C">
        <w:rPr>
          <w:lang w:val="ru-RU"/>
        </w:rPr>
        <w:t>уменьшат</w:t>
      </w:r>
      <w:r w:rsidR="00FC25F7" w:rsidRPr="0049187C">
        <w:rPr>
          <w:lang w:val="ru-RU"/>
        </w:rPr>
        <w:t xml:space="preserve"> экономический стимул для заемщика осуществлять плановые платежи, предусмотренные договором</w:t>
      </w:r>
      <w:r w:rsidRPr="0049187C">
        <w:rPr>
          <w:lang w:val="ru-RU"/>
        </w:rPr>
        <w:t xml:space="preserve">. </w:t>
      </w:r>
      <w:r w:rsidR="00FC25F7" w:rsidRPr="0049187C">
        <w:rPr>
          <w:lang w:val="ru-RU"/>
        </w:rPr>
        <w:t xml:space="preserve">Механизмы повышения </w:t>
      </w:r>
      <w:r w:rsidR="00BD0C49">
        <w:rPr>
          <w:lang w:val="ru-RU"/>
        </w:rPr>
        <w:t xml:space="preserve">кредитного </w:t>
      </w:r>
      <w:r w:rsidR="00FC25F7" w:rsidRPr="0049187C">
        <w:rPr>
          <w:lang w:val="ru-RU"/>
        </w:rPr>
        <w:t>качества или поддержка включают в себя анализ финансового состояния</w:t>
      </w:r>
      <w:r w:rsidRPr="0049187C">
        <w:rPr>
          <w:lang w:val="ru-RU"/>
        </w:rPr>
        <w:t xml:space="preserve"> </w:t>
      </w:r>
      <w:r w:rsidR="00FC25F7" w:rsidRPr="0049187C">
        <w:rPr>
          <w:lang w:val="ru-RU"/>
        </w:rPr>
        <w:t>гаранта и/или</w:t>
      </w:r>
      <w:r w:rsidR="004860A1">
        <w:rPr>
          <w:lang w:val="ru-RU"/>
        </w:rPr>
        <w:t>,</w:t>
      </w:r>
      <w:r w:rsidR="00FC25F7" w:rsidRPr="0049187C">
        <w:rPr>
          <w:lang w:val="ru-RU"/>
        </w:rPr>
        <w:t xml:space="preserve"> в случае долей участия, выпущенных в рамках секьюритизации, </w:t>
      </w:r>
      <w:r w:rsidR="00BD0C49">
        <w:rPr>
          <w:lang w:val="ru-RU"/>
        </w:rPr>
        <w:t>того</w:t>
      </w:r>
      <w:r w:rsidR="004860A1">
        <w:rPr>
          <w:lang w:val="ru-RU"/>
        </w:rPr>
        <w:t>,</w:t>
      </w:r>
      <w:r w:rsidR="00BD0C49">
        <w:rPr>
          <w:lang w:val="ru-RU"/>
        </w:rPr>
        <w:t xml:space="preserve"> ожидается ли, что субординированные доли участия будут способны поглотить</w:t>
      </w:r>
      <w:r w:rsidR="00FC25F7" w:rsidRPr="0049187C">
        <w:rPr>
          <w:lang w:val="ru-RU"/>
        </w:rPr>
        <w:t xml:space="preserve"> </w:t>
      </w:r>
      <w:r w:rsidR="00BD0C49" w:rsidRPr="0049187C">
        <w:rPr>
          <w:lang w:val="ru-RU"/>
        </w:rPr>
        <w:t>ожидаемы</w:t>
      </w:r>
      <w:r w:rsidR="00BD0C49">
        <w:rPr>
          <w:lang w:val="ru-RU"/>
        </w:rPr>
        <w:t>е</w:t>
      </w:r>
      <w:r w:rsidR="00BD0C49" w:rsidRPr="0049187C">
        <w:rPr>
          <w:lang w:val="ru-RU"/>
        </w:rPr>
        <w:t xml:space="preserve"> кредитны</w:t>
      </w:r>
      <w:r w:rsidR="00BD0C49">
        <w:rPr>
          <w:lang w:val="ru-RU"/>
        </w:rPr>
        <w:t>е</w:t>
      </w:r>
      <w:r w:rsidR="00BD0C49" w:rsidRPr="0049187C">
        <w:rPr>
          <w:lang w:val="ru-RU"/>
        </w:rPr>
        <w:t xml:space="preserve"> </w:t>
      </w:r>
      <w:r w:rsidR="00FC25F7" w:rsidRPr="0049187C">
        <w:rPr>
          <w:lang w:val="ru-RU"/>
        </w:rPr>
        <w:t>убытк</w:t>
      </w:r>
      <w:r w:rsidR="00BD0C49">
        <w:rPr>
          <w:lang w:val="ru-RU"/>
        </w:rPr>
        <w:t>и</w:t>
      </w:r>
      <w:r w:rsidR="00FC25F7" w:rsidRPr="0049187C">
        <w:rPr>
          <w:lang w:val="ru-RU"/>
        </w:rPr>
        <w:t xml:space="preserve"> (например, по займам, лежащим в основе ценной бумаги)</w:t>
      </w:r>
      <w:bookmarkEnd w:id="304"/>
      <w:r w:rsidR="00AE68F9">
        <w:rPr>
          <w:lang w:val="ru-RU"/>
        </w:rPr>
        <w:t>;</w:t>
      </w:r>
    </w:p>
    <w:p w:rsidR="001529CA" w:rsidRPr="0049187C" w:rsidRDefault="001529CA">
      <w:pPr>
        <w:pStyle w:val="IASBNormalnparaL1"/>
        <w:rPr>
          <w:lang w:val="ru-RU"/>
        </w:rPr>
      </w:pPr>
      <w:r w:rsidRPr="0049187C">
        <w:rPr>
          <w:lang w:val="ru-RU"/>
        </w:rPr>
        <w:t>(m)</w:t>
      </w:r>
      <w:r w:rsidRPr="0049187C">
        <w:rPr>
          <w:lang w:val="ru-RU"/>
        </w:rPr>
        <w:tab/>
      </w:r>
      <w:bookmarkStart w:id="305" w:name="F32626552"/>
      <w:r w:rsidR="00FC25F7" w:rsidRPr="0049187C">
        <w:rPr>
          <w:lang w:val="ru-RU"/>
        </w:rPr>
        <w:t xml:space="preserve">ожидаемые изменения документации по займу, включая ожидаемое нарушение договора, которое может привести </w:t>
      </w:r>
      <w:r w:rsidR="00B8689A" w:rsidRPr="0049187C">
        <w:rPr>
          <w:lang w:val="ru-RU"/>
        </w:rPr>
        <w:t xml:space="preserve">к </w:t>
      </w:r>
      <w:r w:rsidR="00BD0C49">
        <w:rPr>
          <w:lang w:val="ru-RU"/>
        </w:rPr>
        <w:t>предоставлению освобождений</w:t>
      </w:r>
      <w:r w:rsidR="00BD0C49" w:rsidRPr="0049187C">
        <w:rPr>
          <w:lang w:val="ru-RU"/>
        </w:rPr>
        <w:t xml:space="preserve"> </w:t>
      </w:r>
      <w:r w:rsidR="00B8689A" w:rsidRPr="0049187C">
        <w:rPr>
          <w:lang w:val="ru-RU"/>
        </w:rPr>
        <w:t xml:space="preserve">по ковенантам или поправкам к </w:t>
      </w:r>
      <w:r w:rsidR="00BD0C49">
        <w:rPr>
          <w:lang w:val="ru-RU"/>
        </w:rPr>
        <w:t>ковенантам</w:t>
      </w:r>
      <w:r w:rsidRPr="0049187C">
        <w:rPr>
          <w:lang w:val="ru-RU"/>
        </w:rPr>
        <w:t xml:space="preserve">, </w:t>
      </w:r>
      <w:r w:rsidR="00BD0C49">
        <w:rPr>
          <w:lang w:val="ru-RU"/>
        </w:rPr>
        <w:t>предоставлению временного освобождения от уплаты</w:t>
      </w:r>
      <w:r w:rsidR="004B23CA" w:rsidRPr="0049187C">
        <w:rPr>
          <w:lang w:val="ru-RU"/>
        </w:rPr>
        <w:t xml:space="preserve"> процентов</w:t>
      </w:r>
      <w:r w:rsidRPr="0049187C">
        <w:rPr>
          <w:lang w:val="ru-RU"/>
        </w:rPr>
        <w:t xml:space="preserve">, </w:t>
      </w:r>
      <w:r w:rsidR="00BD0C49" w:rsidRPr="0049187C">
        <w:rPr>
          <w:lang w:val="ru-RU"/>
        </w:rPr>
        <w:t>увеличени</w:t>
      </w:r>
      <w:r w:rsidR="00BD0C49">
        <w:rPr>
          <w:lang w:val="ru-RU"/>
        </w:rPr>
        <w:t>ю</w:t>
      </w:r>
      <w:r w:rsidR="00BD0C49" w:rsidRPr="0049187C">
        <w:rPr>
          <w:lang w:val="ru-RU"/>
        </w:rPr>
        <w:t xml:space="preserve"> </w:t>
      </w:r>
      <w:r w:rsidR="004B23CA" w:rsidRPr="0049187C">
        <w:rPr>
          <w:lang w:val="ru-RU"/>
        </w:rPr>
        <w:t>процентной ставки</w:t>
      </w:r>
      <w:r w:rsidRPr="0049187C">
        <w:rPr>
          <w:lang w:val="ru-RU"/>
        </w:rPr>
        <w:t xml:space="preserve">, </w:t>
      </w:r>
      <w:r w:rsidR="00BD0C49">
        <w:rPr>
          <w:lang w:val="ru-RU"/>
        </w:rPr>
        <w:t xml:space="preserve">введению </w:t>
      </w:r>
      <w:r w:rsidR="00BD0C49" w:rsidRPr="0049187C">
        <w:rPr>
          <w:lang w:val="ru-RU"/>
        </w:rPr>
        <w:t>требовани</w:t>
      </w:r>
      <w:r w:rsidR="00BD0C49">
        <w:rPr>
          <w:lang w:val="ru-RU"/>
        </w:rPr>
        <w:t>й о</w:t>
      </w:r>
      <w:r w:rsidR="00BD0C49" w:rsidRPr="0049187C">
        <w:rPr>
          <w:lang w:val="ru-RU"/>
        </w:rPr>
        <w:t xml:space="preserve"> дополнительно</w:t>
      </w:r>
      <w:r w:rsidR="00BD0C49">
        <w:rPr>
          <w:lang w:val="ru-RU"/>
        </w:rPr>
        <w:t>м</w:t>
      </w:r>
      <w:r w:rsidR="00BD0C49" w:rsidRPr="0049187C">
        <w:rPr>
          <w:lang w:val="ru-RU"/>
        </w:rPr>
        <w:t xml:space="preserve"> обеспечени</w:t>
      </w:r>
      <w:r w:rsidR="00BD0C49">
        <w:rPr>
          <w:lang w:val="ru-RU"/>
        </w:rPr>
        <w:t>и</w:t>
      </w:r>
      <w:r w:rsidR="00BD0C49" w:rsidRPr="0049187C">
        <w:rPr>
          <w:lang w:val="ru-RU"/>
        </w:rPr>
        <w:t xml:space="preserve"> </w:t>
      </w:r>
      <w:r w:rsidR="004B23CA" w:rsidRPr="0049187C">
        <w:rPr>
          <w:lang w:val="ru-RU"/>
        </w:rPr>
        <w:t xml:space="preserve">или </w:t>
      </w:r>
      <w:r w:rsidR="00BD0C49" w:rsidRPr="0049187C">
        <w:rPr>
          <w:lang w:val="ru-RU"/>
        </w:rPr>
        <w:t>гаранти</w:t>
      </w:r>
      <w:r w:rsidR="00BD0C49">
        <w:rPr>
          <w:lang w:val="ru-RU"/>
        </w:rPr>
        <w:t>ях</w:t>
      </w:r>
      <w:r w:rsidR="00BD0C49" w:rsidRPr="0049187C">
        <w:rPr>
          <w:lang w:val="ru-RU"/>
        </w:rPr>
        <w:t xml:space="preserve"> </w:t>
      </w:r>
      <w:r w:rsidR="004B23CA" w:rsidRPr="0049187C">
        <w:rPr>
          <w:lang w:val="ru-RU"/>
        </w:rPr>
        <w:t>или прочие изменения договорной базы инструмента</w:t>
      </w:r>
      <w:bookmarkEnd w:id="305"/>
      <w:r w:rsidR="00AE68F9">
        <w:rPr>
          <w:lang w:val="ru-RU"/>
        </w:rPr>
        <w:t>;</w:t>
      </w:r>
    </w:p>
    <w:p w:rsidR="001529CA" w:rsidRPr="0049187C" w:rsidRDefault="001529CA">
      <w:pPr>
        <w:pStyle w:val="IASBNormalnparaL1"/>
        <w:rPr>
          <w:lang w:val="ru-RU"/>
        </w:rPr>
      </w:pPr>
      <w:r w:rsidRPr="0049187C">
        <w:rPr>
          <w:lang w:val="ru-RU"/>
        </w:rPr>
        <w:t>(n)</w:t>
      </w:r>
      <w:r w:rsidRPr="0049187C">
        <w:rPr>
          <w:lang w:val="ru-RU"/>
        </w:rPr>
        <w:tab/>
      </w:r>
      <w:bookmarkStart w:id="306" w:name="F32626554"/>
      <w:r w:rsidR="00CE42B6" w:rsidRPr="0049187C">
        <w:rPr>
          <w:lang w:val="ru-RU"/>
        </w:rPr>
        <w:t>значит</w:t>
      </w:r>
      <w:r w:rsidR="0090142B" w:rsidRPr="0049187C">
        <w:rPr>
          <w:lang w:val="ru-RU"/>
        </w:rPr>
        <w:t>ельные изменения ожидаемых резул</w:t>
      </w:r>
      <w:r w:rsidR="00CE42B6" w:rsidRPr="0049187C">
        <w:rPr>
          <w:lang w:val="ru-RU"/>
        </w:rPr>
        <w:t>ьтатов</w:t>
      </w:r>
      <w:r w:rsidR="00BD0C49">
        <w:rPr>
          <w:lang w:val="ru-RU"/>
        </w:rPr>
        <w:t xml:space="preserve"> деятельности</w:t>
      </w:r>
      <w:r w:rsidR="00CE42B6" w:rsidRPr="0049187C">
        <w:rPr>
          <w:lang w:val="ru-RU"/>
        </w:rPr>
        <w:t xml:space="preserve"> и поведения заемщика, включая изменения </w:t>
      </w:r>
      <w:r w:rsidR="004311CD" w:rsidRPr="0049187C">
        <w:rPr>
          <w:lang w:val="ru-RU"/>
        </w:rPr>
        <w:t xml:space="preserve">платежного </w:t>
      </w:r>
      <w:r w:rsidR="00CE42B6" w:rsidRPr="0049187C">
        <w:rPr>
          <w:lang w:val="ru-RU"/>
        </w:rPr>
        <w:t xml:space="preserve">статуса </w:t>
      </w:r>
      <w:r w:rsidR="004311CD" w:rsidRPr="0049187C">
        <w:rPr>
          <w:lang w:val="ru-RU"/>
        </w:rPr>
        <w:t xml:space="preserve">заемщиков в группе </w:t>
      </w:r>
      <w:r w:rsidRPr="0049187C">
        <w:rPr>
          <w:lang w:val="ru-RU"/>
        </w:rPr>
        <w:t>(</w:t>
      </w:r>
      <w:r w:rsidR="004311CD" w:rsidRPr="0049187C">
        <w:rPr>
          <w:lang w:val="ru-RU"/>
        </w:rPr>
        <w:t xml:space="preserve">например, увеличение ожидаемого количества или объема </w:t>
      </w:r>
      <w:r w:rsidR="00A33F33">
        <w:rPr>
          <w:lang w:val="ru-RU"/>
        </w:rPr>
        <w:t xml:space="preserve">договорных </w:t>
      </w:r>
      <w:r w:rsidR="004311CD" w:rsidRPr="0049187C">
        <w:rPr>
          <w:lang w:val="ru-RU"/>
        </w:rPr>
        <w:t>платежей</w:t>
      </w:r>
      <w:r w:rsidR="00A33F33">
        <w:rPr>
          <w:lang w:val="ru-RU"/>
        </w:rPr>
        <w:t>,</w:t>
      </w:r>
      <w:r w:rsidR="004311CD" w:rsidRPr="0049187C">
        <w:rPr>
          <w:lang w:val="ru-RU"/>
        </w:rPr>
        <w:t xml:space="preserve"> </w:t>
      </w:r>
      <w:r w:rsidR="00A33F33">
        <w:rPr>
          <w:lang w:val="ru-RU"/>
        </w:rPr>
        <w:t>осуществляемых с просрочкой даты платежа,</w:t>
      </w:r>
      <w:r w:rsidR="00A33F33" w:rsidRPr="0049187C">
        <w:rPr>
          <w:lang w:val="ru-RU"/>
        </w:rPr>
        <w:t xml:space="preserve"> </w:t>
      </w:r>
      <w:r w:rsidR="004311CD" w:rsidRPr="0049187C">
        <w:rPr>
          <w:lang w:val="ru-RU"/>
        </w:rPr>
        <w:t>или значительные увеличения ожидаемого количества заемщиков-держателей кредитных карт, которые, как ожидается, приблизятся к своему кредитному лимиту или превысят его</w:t>
      </w:r>
      <w:r w:rsidR="004860A1">
        <w:rPr>
          <w:lang w:val="ru-RU"/>
        </w:rPr>
        <w:t>,</w:t>
      </w:r>
      <w:r w:rsidR="004311CD" w:rsidRPr="0049187C">
        <w:rPr>
          <w:lang w:val="ru-RU"/>
        </w:rPr>
        <w:t xml:space="preserve"> либо которые, как ожида</w:t>
      </w:r>
      <w:r w:rsidR="00E35E5C" w:rsidRPr="0049187C">
        <w:rPr>
          <w:lang w:val="ru-RU"/>
        </w:rPr>
        <w:t>ется</w:t>
      </w:r>
      <w:r w:rsidR="004311CD" w:rsidRPr="0049187C">
        <w:rPr>
          <w:lang w:val="ru-RU"/>
        </w:rPr>
        <w:t>, будут вносить минимальную месячную сумму</w:t>
      </w:r>
      <w:r w:rsidRPr="0049187C">
        <w:rPr>
          <w:lang w:val="ru-RU"/>
        </w:rPr>
        <w:t>)</w:t>
      </w:r>
      <w:bookmarkEnd w:id="306"/>
      <w:r w:rsidR="00AE68F9">
        <w:rPr>
          <w:lang w:val="ru-RU"/>
        </w:rPr>
        <w:t>;</w:t>
      </w:r>
    </w:p>
    <w:p w:rsidR="001529CA" w:rsidRPr="0049187C" w:rsidRDefault="001529CA">
      <w:pPr>
        <w:pStyle w:val="IASBNormalnparaL1"/>
        <w:rPr>
          <w:lang w:val="ru-RU"/>
        </w:rPr>
      </w:pPr>
      <w:r w:rsidRPr="0049187C">
        <w:rPr>
          <w:lang w:val="ru-RU"/>
        </w:rPr>
        <w:t>(o)</w:t>
      </w:r>
      <w:r w:rsidRPr="0049187C">
        <w:rPr>
          <w:lang w:val="ru-RU"/>
        </w:rPr>
        <w:tab/>
      </w:r>
      <w:bookmarkStart w:id="307" w:name="F32626556"/>
      <w:r w:rsidR="004311CD" w:rsidRPr="0049187C">
        <w:rPr>
          <w:lang w:val="ru-RU"/>
        </w:rPr>
        <w:t xml:space="preserve">изменения подхода организации к управлению кредитным </w:t>
      </w:r>
      <w:r w:rsidR="00A33F33">
        <w:rPr>
          <w:lang w:val="ru-RU"/>
        </w:rPr>
        <w:t>риском</w:t>
      </w:r>
      <w:r w:rsidR="00A33F33" w:rsidRPr="0049187C">
        <w:rPr>
          <w:lang w:val="ru-RU"/>
        </w:rPr>
        <w:t xml:space="preserve"> </w:t>
      </w:r>
      <w:r w:rsidR="004311CD" w:rsidRPr="0049187C">
        <w:rPr>
          <w:lang w:val="ru-RU"/>
        </w:rPr>
        <w:t>в отношении финансового инструмента</w:t>
      </w:r>
      <w:r w:rsidRPr="0049187C">
        <w:rPr>
          <w:lang w:val="ru-RU"/>
        </w:rPr>
        <w:t xml:space="preserve">; </w:t>
      </w:r>
      <w:r w:rsidR="00AE68F9">
        <w:rPr>
          <w:lang w:val="ru-RU"/>
        </w:rPr>
        <w:t>т. </w:t>
      </w:r>
      <w:r w:rsidR="004311CD" w:rsidRPr="0049187C">
        <w:rPr>
          <w:lang w:val="ru-RU"/>
        </w:rPr>
        <w:t xml:space="preserve">е. </w:t>
      </w:r>
      <w:r w:rsidR="00A33F33">
        <w:rPr>
          <w:lang w:val="ru-RU"/>
        </w:rPr>
        <w:t>основываясь на</w:t>
      </w:r>
      <w:r w:rsidR="004311CD" w:rsidRPr="0049187C">
        <w:rPr>
          <w:lang w:val="ru-RU"/>
        </w:rPr>
        <w:t xml:space="preserve"> </w:t>
      </w:r>
      <w:r w:rsidR="00A33F33">
        <w:rPr>
          <w:lang w:val="ru-RU"/>
        </w:rPr>
        <w:t>изменяющихся значениях</w:t>
      </w:r>
      <w:r w:rsidR="004311CD" w:rsidRPr="0049187C">
        <w:rPr>
          <w:lang w:val="ru-RU"/>
        </w:rPr>
        <w:t xml:space="preserve"> показателей изменения кредитного риска финансового инструмента ожидается, что практика организации в отношении управления кредитным риском станет более активной или сосредоточится на управлении инструментом, включая более тщательный мониторинг или контроль </w:t>
      </w:r>
      <w:r w:rsidR="00A33F33">
        <w:rPr>
          <w:lang w:val="ru-RU"/>
        </w:rPr>
        <w:t xml:space="preserve">над </w:t>
      </w:r>
      <w:r w:rsidR="004311CD" w:rsidRPr="0049187C">
        <w:rPr>
          <w:lang w:val="ru-RU"/>
        </w:rPr>
        <w:t xml:space="preserve">инструментом либо </w:t>
      </w:r>
      <w:r w:rsidR="00245A32" w:rsidRPr="0049187C">
        <w:rPr>
          <w:lang w:val="ru-RU"/>
        </w:rPr>
        <w:t xml:space="preserve">непосредственное вмешательство организации в </w:t>
      </w:r>
      <w:r w:rsidR="00A33F33" w:rsidRPr="0049187C">
        <w:rPr>
          <w:lang w:val="ru-RU"/>
        </w:rPr>
        <w:t>де</w:t>
      </w:r>
      <w:r w:rsidR="00A33F33">
        <w:rPr>
          <w:lang w:val="ru-RU"/>
        </w:rPr>
        <w:t>ятельность</w:t>
      </w:r>
      <w:r w:rsidR="00A33F33" w:rsidRPr="0049187C">
        <w:rPr>
          <w:lang w:val="ru-RU"/>
        </w:rPr>
        <w:t xml:space="preserve"> </w:t>
      </w:r>
      <w:r w:rsidR="00245A32" w:rsidRPr="0049187C">
        <w:rPr>
          <w:lang w:val="ru-RU"/>
        </w:rPr>
        <w:t>заемщика</w:t>
      </w:r>
      <w:bookmarkEnd w:id="307"/>
      <w:r w:rsidR="00AE68F9">
        <w:rPr>
          <w:lang w:val="ru-RU"/>
        </w:rPr>
        <w:t>;</w:t>
      </w:r>
    </w:p>
    <w:p w:rsidR="001529CA" w:rsidRPr="0049187C" w:rsidRDefault="001529CA">
      <w:pPr>
        <w:pStyle w:val="IASBNormalnparaL1"/>
        <w:rPr>
          <w:lang w:val="ru-RU"/>
        </w:rPr>
      </w:pPr>
      <w:r w:rsidRPr="0049187C">
        <w:rPr>
          <w:lang w:val="ru-RU"/>
        </w:rPr>
        <w:t>(p)</w:t>
      </w:r>
      <w:r w:rsidRPr="0049187C">
        <w:rPr>
          <w:lang w:val="ru-RU"/>
        </w:rPr>
        <w:tab/>
      </w:r>
      <w:bookmarkStart w:id="308" w:name="F32626558"/>
      <w:r w:rsidR="00245A32" w:rsidRPr="0049187C">
        <w:rPr>
          <w:lang w:val="ru-RU"/>
        </w:rPr>
        <w:t>информация о просроченных платежах</w:t>
      </w:r>
      <w:r w:rsidRPr="0049187C">
        <w:rPr>
          <w:lang w:val="ru-RU"/>
        </w:rPr>
        <w:t xml:space="preserve">, </w:t>
      </w:r>
      <w:r w:rsidR="00245A32" w:rsidRPr="0049187C">
        <w:rPr>
          <w:lang w:val="ru-RU"/>
        </w:rPr>
        <w:t xml:space="preserve">включая опровержимое допущение, </w:t>
      </w:r>
      <w:r w:rsidR="00A33F33">
        <w:rPr>
          <w:lang w:val="ru-RU"/>
        </w:rPr>
        <w:t>упоминаемое</w:t>
      </w:r>
      <w:r w:rsidR="00245A32" w:rsidRPr="0049187C">
        <w:rPr>
          <w:lang w:val="ru-RU"/>
        </w:rPr>
        <w:t xml:space="preserve"> в пункте</w:t>
      </w:r>
      <w:r w:rsidRPr="0049187C">
        <w:rPr>
          <w:lang w:val="ru-RU"/>
        </w:rPr>
        <w:t xml:space="preserve"> 5.5.11.</w:t>
      </w:r>
      <w:bookmarkEnd w:id="308"/>
    </w:p>
    <w:p w:rsidR="001529CA" w:rsidRPr="0049187C" w:rsidRDefault="001529CA">
      <w:pPr>
        <w:pStyle w:val="IASBNormalnpara"/>
        <w:rPr>
          <w:lang w:val="ru-RU"/>
        </w:rPr>
      </w:pPr>
      <w:r w:rsidRPr="0049187C">
        <w:rPr>
          <w:lang w:val="ru-RU"/>
        </w:rPr>
        <w:t>B5.5.18</w:t>
      </w:r>
      <w:r w:rsidRPr="0049187C">
        <w:rPr>
          <w:lang w:val="ru-RU"/>
        </w:rPr>
        <w:tab/>
      </w:r>
      <w:bookmarkStart w:id="309" w:name="F32626559"/>
      <w:r w:rsidR="00245A32" w:rsidRPr="0049187C">
        <w:rPr>
          <w:lang w:val="ru-RU"/>
        </w:rPr>
        <w:t xml:space="preserve">В некоторых случаях доступной </w:t>
      </w:r>
      <w:r w:rsidR="00313172">
        <w:rPr>
          <w:lang w:val="ru-RU"/>
        </w:rPr>
        <w:t>качественной</w:t>
      </w:r>
      <w:r w:rsidR="00313172" w:rsidRPr="0049187C">
        <w:rPr>
          <w:lang w:val="ru-RU"/>
        </w:rPr>
        <w:t xml:space="preserve"> </w:t>
      </w:r>
      <w:r w:rsidR="00245A32" w:rsidRPr="0049187C">
        <w:rPr>
          <w:lang w:val="ru-RU"/>
        </w:rPr>
        <w:t xml:space="preserve">и нестатистической количественной информации может быть достаточно для определения того, что </w:t>
      </w:r>
      <w:r w:rsidR="00313172">
        <w:rPr>
          <w:lang w:val="ru-RU"/>
        </w:rPr>
        <w:t xml:space="preserve">в отношении </w:t>
      </w:r>
      <w:r w:rsidR="00313172" w:rsidRPr="0049187C">
        <w:rPr>
          <w:lang w:val="ru-RU"/>
        </w:rPr>
        <w:t>финансов</w:t>
      </w:r>
      <w:r w:rsidR="00313172">
        <w:rPr>
          <w:lang w:val="ru-RU"/>
        </w:rPr>
        <w:t>ого</w:t>
      </w:r>
      <w:r w:rsidR="00313172" w:rsidRPr="0049187C">
        <w:rPr>
          <w:lang w:val="ru-RU"/>
        </w:rPr>
        <w:t xml:space="preserve"> </w:t>
      </w:r>
      <w:r w:rsidR="00245A32" w:rsidRPr="0049187C">
        <w:rPr>
          <w:lang w:val="ru-RU"/>
        </w:rPr>
        <w:t>инструмент</w:t>
      </w:r>
      <w:r w:rsidR="00313172">
        <w:rPr>
          <w:lang w:val="ru-RU"/>
        </w:rPr>
        <w:t>а</w:t>
      </w:r>
      <w:r w:rsidR="00245A32" w:rsidRPr="0049187C">
        <w:rPr>
          <w:lang w:val="ru-RU"/>
        </w:rPr>
        <w:t xml:space="preserve"> </w:t>
      </w:r>
      <w:r w:rsidR="00313172" w:rsidRPr="0049187C">
        <w:rPr>
          <w:lang w:val="ru-RU"/>
        </w:rPr>
        <w:t>выполн</w:t>
      </w:r>
      <w:r w:rsidR="00313172">
        <w:rPr>
          <w:lang w:val="ru-RU"/>
        </w:rPr>
        <w:t>яется</w:t>
      </w:r>
      <w:r w:rsidR="00313172" w:rsidRPr="0049187C">
        <w:rPr>
          <w:lang w:val="ru-RU"/>
        </w:rPr>
        <w:t xml:space="preserve"> </w:t>
      </w:r>
      <w:r w:rsidR="00245A32" w:rsidRPr="0049187C">
        <w:rPr>
          <w:lang w:val="ru-RU"/>
        </w:rPr>
        <w:t xml:space="preserve">критерий для признания оценочного резерва под убытки </w:t>
      </w:r>
      <w:r w:rsidR="0090142B" w:rsidRPr="0049187C">
        <w:rPr>
          <w:lang w:val="ru-RU"/>
        </w:rPr>
        <w:t>в</w:t>
      </w:r>
      <w:r w:rsidR="00245A32" w:rsidRPr="0049187C">
        <w:rPr>
          <w:lang w:val="ru-RU"/>
        </w:rPr>
        <w:t xml:space="preserve"> сумме, равной ожидаемым кредитным убыткам </w:t>
      </w:r>
      <w:r w:rsidR="007E6FF8">
        <w:rPr>
          <w:lang w:val="ru-RU"/>
        </w:rPr>
        <w:t>за весь срок</w:t>
      </w:r>
      <w:r w:rsidRPr="0049187C">
        <w:rPr>
          <w:lang w:val="ru-RU"/>
        </w:rPr>
        <w:t xml:space="preserve">. </w:t>
      </w:r>
      <w:r w:rsidR="00313172">
        <w:rPr>
          <w:lang w:val="ru-RU"/>
        </w:rPr>
        <w:t>Таким образом</w:t>
      </w:r>
      <w:r w:rsidRPr="0049187C">
        <w:rPr>
          <w:lang w:val="ru-RU"/>
        </w:rPr>
        <w:t xml:space="preserve">, </w:t>
      </w:r>
      <w:r w:rsidR="00245A32" w:rsidRPr="0049187C">
        <w:rPr>
          <w:lang w:val="ru-RU"/>
        </w:rPr>
        <w:t>нет необходимости применять к информации ста</w:t>
      </w:r>
      <w:r w:rsidR="007B6A37" w:rsidRPr="0049187C">
        <w:rPr>
          <w:lang w:val="ru-RU"/>
        </w:rPr>
        <w:t>тистическую модель или процедур</w:t>
      </w:r>
      <w:r w:rsidR="00E35E5C" w:rsidRPr="0049187C">
        <w:rPr>
          <w:lang w:val="ru-RU"/>
        </w:rPr>
        <w:t>у</w:t>
      </w:r>
      <w:r w:rsidR="00245A32" w:rsidRPr="0049187C">
        <w:rPr>
          <w:lang w:val="ru-RU"/>
        </w:rPr>
        <w:t xml:space="preserve"> присвоения кредитных рейтингов, чтобы определить наличие значительного увеличения кредитного риска финансового инструмента. </w:t>
      </w:r>
      <w:r w:rsidR="007B6A37" w:rsidRPr="0049187C">
        <w:rPr>
          <w:lang w:val="ru-RU"/>
        </w:rPr>
        <w:t>В других случаях организации может потребоваться проанализировать д</w:t>
      </w:r>
      <w:r w:rsidR="00E35E5C" w:rsidRPr="0049187C">
        <w:rPr>
          <w:lang w:val="ru-RU"/>
        </w:rPr>
        <w:t>р</w:t>
      </w:r>
      <w:r w:rsidR="007B6A37" w:rsidRPr="0049187C">
        <w:rPr>
          <w:lang w:val="ru-RU"/>
        </w:rPr>
        <w:t xml:space="preserve">угую информацию, включая информацию, полученную посредством </w:t>
      </w:r>
      <w:r w:rsidR="00313172">
        <w:rPr>
          <w:lang w:val="ru-RU"/>
        </w:rPr>
        <w:t>применяемых ею</w:t>
      </w:r>
      <w:r w:rsidR="00313172" w:rsidRPr="0049187C">
        <w:rPr>
          <w:lang w:val="ru-RU"/>
        </w:rPr>
        <w:t xml:space="preserve"> </w:t>
      </w:r>
      <w:r w:rsidR="007B6A37" w:rsidRPr="0049187C">
        <w:rPr>
          <w:lang w:val="ru-RU"/>
        </w:rPr>
        <w:t>статистических моделей или процедур присвоения кредитных рейтингов</w:t>
      </w:r>
      <w:r w:rsidRPr="0049187C">
        <w:rPr>
          <w:lang w:val="ru-RU"/>
        </w:rPr>
        <w:t xml:space="preserve">. </w:t>
      </w:r>
      <w:r w:rsidR="007B6A37" w:rsidRPr="0049187C">
        <w:rPr>
          <w:lang w:val="ru-RU"/>
        </w:rPr>
        <w:t>В качестве альтернативы организация может осуществлять анализ на ос</w:t>
      </w:r>
      <w:r w:rsidR="00AE68F9">
        <w:rPr>
          <w:lang w:val="ru-RU"/>
        </w:rPr>
        <w:t>нове обоих видов информации, т. </w:t>
      </w:r>
      <w:r w:rsidR="007B6A37" w:rsidRPr="0049187C">
        <w:rPr>
          <w:lang w:val="ru-RU"/>
        </w:rPr>
        <w:t xml:space="preserve">е. </w:t>
      </w:r>
      <w:r w:rsidR="00313172" w:rsidRPr="0049187C">
        <w:rPr>
          <w:lang w:val="ru-RU"/>
        </w:rPr>
        <w:t>качественны</w:t>
      </w:r>
      <w:r w:rsidR="00313172">
        <w:rPr>
          <w:lang w:val="ru-RU"/>
        </w:rPr>
        <w:t>х</w:t>
      </w:r>
      <w:r w:rsidR="00313172" w:rsidRPr="0049187C">
        <w:rPr>
          <w:lang w:val="ru-RU"/>
        </w:rPr>
        <w:t xml:space="preserve"> фактор</w:t>
      </w:r>
      <w:r w:rsidR="00313172">
        <w:rPr>
          <w:lang w:val="ru-RU"/>
        </w:rPr>
        <w:t>ов</w:t>
      </w:r>
      <w:r w:rsidR="007B6A37" w:rsidRPr="0049187C">
        <w:rPr>
          <w:lang w:val="ru-RU"/>
        </w:rPr>
        <w:t>, которые не учитываются в рамках процедуры присвоения внутренних рейтингов</w:t>
      </w:r>
      <w:r w:rsidR="0090142B" w:rsidRPr="0049187C">
        <w:rPr>
          <w:lang w:val="ru-RU"/>
        </w:rPr>
        <w:t>,</w:t>
      </w:r>
      <w:r w:rsidR="007B6A37" w:rsidRPr="0049187C">
        <w:rPr>
          <w:lang w:val="ru-RU"/>
        </w:rPr>
        <w:t xml:space="preserve"> и </w:t>
      </w:r>
      <w:r w:rsidR="00313172" w:rsidRPr="0049187C">
        <w:rPr>
          <w:lang w:val="ru-RU"/>
        </w:rPr>
        <w:t>определенн</w:t>
      </w:r>
      <w:r w:rsidR="00313172">
        <w:rPr>
          <w:lang w:val="ru-RU"/>
        </w:rPr>
        <w:t>ой</w:t>
      </w:r>
      <w:r w:rsidR="00313172" w:rsidRPr="0049187C">
        <w:rPr>
          <w:lang w:val="ru-RU"/>
        </w:rPr>
        <w:t xml:space="preserve"> категори</w:t>
      </w:r>
      <w:r w:rsidR="00313172">
        <w:rPr>
          <w:lang w:val="ru-RU"/>
        </w:rPr>
        <w:t>и</w:t>
      </w:r>
      <w:r w:rsidR="00313172" w:rsidRPr="0049187C">
        <w:rPr>
          <w:lang w:val="ru-RU"/>
        </w:rPr>
        <w:t xml:space="preserve"> </w:t>
      </w:r>
      <w:r w:rsidR="007B6A37" w:rsidRPr="0049187C">
        <w:rPr>
          <w:lang w:val="ru-RU"/>
        </w:rPr>
        <w:t xml:space="preserve">внутреннего рейтинга </w:t>
      </w:r>
      <w:r w:rsidR="007D71B7">
        <w:rPr>
          <w:lang w:val="ru-RU"/>
        </w:rPr>
        <w:t>по состоянию</w:t>
      </w:r>
      <w:r w:rsidR="007D71B7" w:rsidRPr="0049187C">
        <w:rPr>
          <w:lang w:val="ru-RU"/>
        </w:rPr>
        <w:t xml:space="preserve"> </w:t>
      </w:r>
      <w:r w:rsidR="007B6A37" w:rsidRPr="0049187C">
        <w:rPr>
          <w:lang w:val="ru-RU"/>
        </w:rPr>
        <w:t>на отчетную дату</w:t>
      </w:r>
      <w:r w:rsidR="00313172">
        <w:rPr>
          <w:lang w:val="ru-RU"/>
        </w:rPr>
        <w:t xml:space="preserve">, принимая во внимание </w:t>
      </w:r>
      <w:r w:rsidR="007B6A37" w:rsidRPr="0049187C">
        <w:rPr>
          <w:lang w:val="ru-RU"/>
        </w:rPr>
        <w:t>характеристик</w:t>
      </w:r>
      <w:r w:rsidR="00313172">
        <w:rPr>
          <w:lang w:val="ru-RU"/>
        </w:rPr>
        <w:t>и</w:t>
      </w:r>
      <w:r w:rsidR="007B6A37" w:rsidRPr="0049187C">
        <w:rPr>
          <w:lang w:val="ru-RU"/>
        </w:rPr>
        <w:t xml:space="preserve"> кредитного риска при первоначальном признании</w:t>
      </w:r>
      <w:r w:rsidR="00313172">
        <w:rPr>
          <w:lang w:val="ru-RU"/>
        </w:rPr>
        <w:t xml:space="preserve"> (</w:t>
      </w:r>
      <w:r w:rsidR="00313172" w:rsidRPr="0049187C">
        <w:rPr>
          <w:lang w:val="ru-RU"/>
        </w:rPr>
        <w:t>если оба вида информации являются уместными</w:t>
      </w:r>
      <w:r w:rsidR="00313172">
        <w:rPr>
          <w:lang w:val="ru-RU"/>
        </w:rPr>
        <w:t>)</w:t>
      </w:r>
      <w:r w:rsidRPr="0049187C">
        <w:rPr>
          <w:lang w:val="ru-RU"/>
        </w:rPr>
        <w:t xml:space="preserve">. </w:t>
      </w:r>
      <w:bookmarkEnd w:id="309"/>
    </w:p>
    <w:p w:rsidR="001529CA" w:rsidRPr="0049187C" w:rsidRDefault="007B6A37">
      <w:pPr>
        <w:pStyle w:val="IASBSectionTitle4Ind"/>
        <w:rPr>
          <w:lang w:val="ru-RU"/>
        </w:rPr>
      </w:pPr>
      <w:bookmarkStart w:id="310" w:name="F32626561"/>
      <w:r w:rsidRPr="0049187C">
        <w:rPr>
          <w:lang w:val="ru-RU"/>
        </w:rPr>
        <w:t>Опровержимое допущени</w:t>
      </w:r>
      <w:r w:rsidR="00E35E5C" w:rsidRPr="0049187C">
        <w:rPr>
          <w:lang w:val="ru-RU"/>
        </w:rPr>
        <w:t>е</w:t>
      </w:r>
      <w:r w:rsidRPr="0049187C">
        <w:rPr>
          <w:lang w:val="ru-RU"/>
        </w:rPr>
        <w:t xml:space="preserve"> относительно платежей, просроченных более чем на 30 дней</w:t>
      </w:r>
      <w:bookmarkEnd w:id="310"/>
    </w:p>
    <w:p w:rsidR="001529CA" w:rsidRPr="0049187C" w:rsidRDefault="001529CA">
      <w:pPr>
        <w:pStyle w:val="IASBNormalnpara"/>
        <w:rPr>
          <w:lang w:val="ru-RU"/>
        </w:rPr>
      </w:pPr>
      <w:r w:rsidRPr="0049187C">
        <w:rPr>
          <w:lang w:val="ru-RU"/>
        </w:rPr>
        <w:t>B5.5.19</w:t>
      </w:r>
      <w:r w:rsidRPr="0049187C">
        <w:rPr>
          <w:lang w:val="ru-RU"/>
        </w:rPr>
        <w:tab/>
      </w:r>
      <w:bookmarkStart w:id="311" w:name="F32626562"/>
      <w:r w:rsidR="0035693B" w:rsidRPr="0049187C">
        <w:rPr>
          <w:lang w:val="ru-RU"/>
        </w:rPr>
        <w:t>Опровержимое допущение</w:t>
      </w:r>
      <w:r w:rsidR="00313172">
        <w:rPr>
          <w:lang w:val="ru-RU"/>
        </w:rPr>
        <w:t>, введенное</w:t>
      </w:r>
      <w:r w:rsidR="0035693B" w:rsidRPr="0049187C">
        <w:rPr>
          <w:lang w:val="ru-RU"/>
        </w:rPr>
        <w:t xml:space="preserve"> в пункте</w:t>
      </w:r>
      <w:r w:rsidRPr="0049187C">
        <w:rPr>
          <w:lang w:val="ru-RU"/>
        </w:rPr>
        <w:t xml:space="preserve"> 5.5.11</w:t>
      </w:r>
      <w:r w:rsidR="00313172">
        <w:rPr>
          <w:lang w:val="ru-RU"/>
        </w:rPr>
        <w:t>,</w:t>
      </w:r>
      <w:r w:rsidRPr="0049187C">
        <w:rPr>
          <w:lang w:val="ru-RU"/>
        </w:rPr>
        <w:t xml:space="preserve"> </w:t>
      </w:r>
      <w:r w:rsidR="0035693B" w:rsidRPr="0049187C">
        <w:rPr>
          <w:lang w:val="ru-RU"/>
        </w:rPr>
        <w:t xml:space="preserve">не является абсолютным показателем необходимости признания ожидаемых кредитных убытков </w:t>
      </w:r>
      <w:r w:rsidR="007E6FF8">
        <w:rPr>
          <w:lang w:val="ru-RU"/>
        </w:rPr>
        <w:t>за весь срок</w:t>
      </w:r>
      <w:r w:rsidR="0035693B" w:rsidRPr="0049187C">
        <w:rPr>
          <w:lang w:val="ru-RU"/>
        </w:rPr>
        <w:t xml:space="preserve">, но </w:t>
      </w:r>
      <w:r w:rsidR="00313172">
        <w:rPr>
          <w:lang w:val="ru-RU"/>
        </w:rPr>
        <w:t xml:space="preserve">при этом </w:t>
      </w:r>
      <w:r w:rsidR="005D5230">
        <w:rPr>
          <w:lang w:val="ru-RU"/>
        </w:rPr>
        <w:t>используется</w:t>
      </w:r>
      <w:r w:rsidR="00313172">
        <w:rPr>
          <w:lang w:val="ru-RU"/>
        </w:rPr>
        <w:t xml:space="preserve"> допущение, что </w:t>
      </w:r>
      <w:r w:rsidR="00784A85">
        <w:rPr>
          <w:lang w:val="ru-RU"/>
        </w:rPr>
        <w:t xml:space="preserve">дата просрочки платежей более чем на 30 дней является </w:t>
      </w:r>
      <w:r w:rsidR="0035693B" w:rsidRPr="0049187C">
        <w:rPr>
          <w:lang w:val="ru-RU"/>
        </w:rPr>
        <w:t xml:space="preserve">последним моментом, в который должны признаваться ожидаемые кредитные убытки </w:t>
      </w:r>
      <w:r w:rsidR="007E6FF8">
        <w:rPr>
          <w:lang w:val="ru-RU"/>
        </w:rPr>
        <w:t>за весь срок</w:t>
      </w:r>
      <w:r w:rsidR="0035693B" w:rsidRPr="0049187C">
        <w:rPr>
          <w:lang w:val="ru-RU"/>
        </w:rPr>
        <w:t xml:space="preserve">, даже в случае использования </w:t>
      </w:r>
      <w:r w:rsidR="00313172">
        <w:rPr>
          <w:lang w:val="ru-RU"/>
        </w:rPr>
        <w:t>прогнозной</w:t>
      </w:r>
      <w:r w:rsidR="00313172" w:rsidRPr="0049187C">
        <w:rPr>
          <w:lang w:val="ru-RU"/>
        </w:rPr>
        <w:t xml:space="preserve"> </w:t>
      </w:r>
      <w:r w:rsidR="0035693B" w:rsidRPr="0049187C">
        <w:rPr>
          <w:lang w:val="ru-RU"/>
        </w:rPr>
        <w:t>информации (включая макроэкономические факторы на уровне портфеля)</w:t>
      </w:r>
      <w:r w:rsidRPr="0049187C">
        <w:rPr>
          <w:lang w:val="ru-RU"/>
        </w:rPr>
        <w:t>.</w:t>
      </w:r>
      <w:bookmarkEnd w:id="311"/>
    </w:p>
    <w:p w:rsidR="001529CA" w:rsidRPr="0049187C" w:rsidRDefault="001529CA">
      <w:pPr>
        <w:pStyle w:val="IASBNormalnpara"/>
        <w:rPr>
          <w:lang w:val="ru-RU"/>
        </w:rPr>
      </w:pPr>
      <w:r w:rsidRPr="0049187C">
        <w:rPr>
          <w:lang w:val="ru-RU"/>
        </w:rPr>
        <w:t>B5.5.20</w:t>
      </w:r>
      <w:r w:rsidRPr="0049187C">
        <w:rPr>
          <w:lang w:val="ru-RU"/>
        </w:rPr>
        <w:tab/>
      </w:r>
      <w:bookmarkStart w:id="312" w:name="F32626563"/>
      <w:r w:rsidR="0035693B" w:rsidRPr="0049187C">
        <w:rPr>
          <w:lang w:val="ru-RU"/>
        </w:rPr>
        <w:t xml:space="preserve">Организация может опровергнуть это допущение. Однако она может сделать это </w:t>
      </w:r>
      <w:r w:rsidR="00CD4ABB" w:rsidRPr="0049187C">
        <w:rPr>
          <w:lang w:val="ru-RU"/>
        </w:rPr>
        <w:t>только</w:t>
      </w:r>
      <w:r w:rsidR="0035693B" w:rsidRPr="0049187C">
        <w:rPr>
          <w:lang w:val="ru-RU"/>
        </w:rPr>
        <w:t xml:space="preserve"> при наличии обоснованной и </w:t>
      </w:r>
      <w:r w:rsidR="00784A85">
        <w:rPr>
          <w:lang w:val="ru-RU"/>
        </w:rPr>
        <w:t>подтверждаемой</w:t>
      </w:r>
      <w:r w:rsidR="00784A85" w:rsidRPr="0049187C">
        <w:rPr>
          <w:lang w:val="ru-RU"/>
        </w:rPr>
        <w:t xml:space="preserve"> </w:t>
      </w:r>
      <w:r w:rsidR="0035693B" w:rsidRPr="0049187C">
        <w:rPr>
          <w:lang w:val="ru-RU"/>
        </w:rPr>
        <w:t>информации, демонстрирующей</w:t>
      </w:r>
      <w:r w:rsidR="00707AD1" w:rsidRPr="0049187C">
        <w:rPr>
          <w:lang w:val="ru-RU"/>
        </w:rPr>
        <w:t xml:space="preserve">, что даже если платежи по договору будут просрочены более чем на 30 дней, это не является значительным увеличением кредитного риска финансового инструмента. Например, </w:t>
      </w:r>
      <w:r w:rsidR="00784A85">
        <w:rPr>
          <w:lang w:val="ru-RU"/>
        </w:rPr>
        <w:t>это может иметь место если</w:t>
      </w:r>
      <w:r w:rsidR="00707AD1" w:rsidRPr="0049187C">
        <w:rPr>
          <w:lang w:val="ru-RU"/>
        </w:rPr>
        <w:t xml:space="preserve"> невыплата была обусловлена административным </w:t>
      </w:r>
      <w:r w:rsidR="00784A85">
        <w:rPr>
          <w:lang w:val="ru-RU"/>
        </w:rPr>
        <w:t>упущением</w:t>
      </w:r>
      <w:r w:rsidR="00707AD1" w:rsidRPr="0049187C">
        <w:rPr>
          <w:lang w:val="ru-RU"/>
        </w:rPr>
        <w:t>, а не финансовыми затруднениями заемщика</w:t>
      </w:r>
      <w:r w:rsidR="00C45C90" w:rsidRPr="0049187C">
        <w:rPr>
          <w:lang w:val="ru-RU"/>
        </w:rPr>
        <w:t>,</w:t>
      </w:r>
      <w:r w:rsidR="00707AD1" w:rsidRPr="0049187C">
        <w:rPr>
          <w:lang w:val="ru-RU"/>
        </w:rPr>
        <w:t xml:space="preserve"> либо у организации </w:t>
      </w:r>
      <w:r w:rsidR="00784A85">
        <w:rPr>
          <w:lang w:val="ru-RU"/>
        </w:rPr>
        <w:t>имеется информация за прошлые периоды</w:t>
      </w:r>
      <w:r w:rsidR="00707AD1" w:rsidRPr="0049187C">
        <w:rPr>
          <w:lang w:val="ru-RU"/>
        </w:rPr>
        <w:t xml:space="preserve">, </w:t>
      </w:r>
      <w:r w:rsidR="00784A85">
        <w:rPr>
          <w:lang w:val="ru-RU"/>
        </w:rPr>
        <w:t xml:space="preserve">содержащая свидетельства, </w:t>
      </w:r>
      <w:r w:rsidR="00784A85" w:rsidRPr="0049187C">
        <w:rPr>
          <w:lang w:val="ru-RU"/>
        </w:rPr>
        <w:t>демонстрирующ</w:t>
      </w:r>
      <w:r w:rsidR="00784A85">
        <w:rPr>
          <w:lang w:val="ru-RU"/>
        </w:rPr>
        <w:t>ие</w:t>
      </w:r>
      <w:r w:rsidR="00784A85" w:rsidRPr="0049187C">
        <w:rPr>
          <w:lang w:val="ru-RU"/>
        </w:rPr>
        <w:t xml:space="preserve"> </w:t>
      </w:r>
      <w:r w:rsidR="00707AD1" w:rsidRPr="0049187C">
        <w:rPr>
          <w:lang w:val="ru-RU"/>
        </w:rPr>
        <w:t>отсутствие</w:t>
      </w:r>
      <w:r w:rsidRPr="0049187C">
        <w:rPr>
          <w:lang w:val="ru-RU"/>
        </w:rPr>
        <w:t xml:space="preserve"> </w:t>
      </w:r>
      <w:r w:rsidR="00784A85">
        <w:rPr>
          <w:lang w:val="ru-RU"/>
        </w:rPr>
        <w:t>корреляции</w:t>
      </w:r>
      <w:r w:rsidR="00784A85" w:rsidRPr="0049187C">
        <w:rPr>
          <w:lang w:val="ru-RU"/>
        </w:rPr>
        <w:t xml:space="preserve"> </w:t>
      </w:r>
      <w:r w:rsidR="00707AD1" w:rsidRPr="0049187C">
        <w:rPr>
          <w:lang w:val="ru-RU"/>
        </w:rPr>
        <w:t>между значительным увеличением риска наступления дефолта</w:t>
      </w:r>
      <w:r w:rsidR="0094513D" w:rsidRPr="0049187C">
        <w:rPr>
          <w:lang w:val="ru-RU"/>
        </w:rPr>
        <w:t xml:space="preserve"> и просроч</w:t>
      </w:r>
      <w:r w:rsidR="00784A85">
        <w:rPr>
          <w:lang w:val="ru-RU"/>
        </w:rPr>
        <w:t>кой по финансовым активам</w:t>
      </w:r>
      <w:r w:rsidR="0094513D" w:rsidRPr="0049187C">
        <w:rPr>
          <w:lang w:val="ru-RU"/>
        </w:rPr>
        <w:t xml:space="preserve"> более чем на 30 дней, но </w:t>
      </w:r>
      <w:r w:rsidR="0097275A">
        <w:rPr>
          <w:lang w:val="ru-RU"/>
        </w:rPr>
        <w:t>подтверждающие наличие такой корреляции в случае</w:t>
      </w:r>
      <w:r w:rsidR="0094513D" w:rsidRPr="0049187C">
        <w:rPr>
          <w:lang w:val="ru-RU"/>
        </w:rPr>
        <w:t>, когда платежи просрочены более чем на 60 дней</w:t>
      </w:r>
      <w:r w:rsidRPr="0049187C">
        <w:rPr>
          <w:lang w:val="ru-RU"/>
        </w:rPr>
        <w:t>.</w:t>
      </w:r>
      <w:bookmarkEnd w:id="312"/>
    </w:p>
    <w:p w:rsidR="001529CA" w:rsidRPr="0049187C" w:rsidRDefault="001529CA">
      <w:pPr>
        <w:pStyle w:val="IASBNormalnpara"/>
        <w:rPr>
          <w:lang w:val="ru-RU"/>
        </w:rPr>
      </w:pPr>
      <w:r w:rsidRPr="0049187C">
        <w:rPr>
          <w:lang w:val="ru-RU"/>
        </w:rPr>
        <w:t>B5.5.21</w:t>
      </w:r>
      <w:r w:rsidRPr="0049187C">
        <w:rPr>
          <w:lang w:val="ru-RU"/>
        </w:rPr>
        <w:tab/>
      </w:r>
      <w:r w:rsidR="0097275A">
        <w:rPr>
          <w:lang w:val="ru-RU"/>
        </w:rPr>
        <w:t xml:space="preserve">Организация не может привязать момент значительного увеличения кредитного риска и признания ожидаемых кредитных убытков </w:t>
      </w:r>
      <w:r w:rsidR="007E6FF8">
        <w:rPr>
          <w:lang w:val="ru-RU"/>
        </w:rPr>
        <w:t>за весь срок</w:t>
      </w:r>
      <w:r w:rsidR="0097275A">
        <w:rPr>
          <w:lang w:val="ru-RU"/>
        </w:rPr>
        <w:t xml:space="preserve"> к моменту, </w:t>
      </w:r>
      <w:r w:rsidR="0097275A" w:rsidRPr="0049187C">
        <w:rPr>
          <w:lang w:val="ru-RU"/>
        </w:rPr>
        <w:t xml:space="preserve">когда финансовый актив считается </w:t>
      </w:r>
      <w:r w:rsidR="007E6FF8">
        <w:rPr>
          <w:lang w:val="ru-RU"/>
        </w:rPr>
        <w:t>кредитно-обесцененным</w:t>
      </w:r>
      <w:r w:rsidR="0097275A" w:rsidRPr="0049187C">
        <w:rPr>
          <w:lang w:val="ru-RU"/>
        </w:rPr>
        <w:t xml:space="preserve">, или </w:t>
      </w:r>
      <w:r w:rsidR="0097275A">
        <w:rPr>
          <w:lang w:val="ru-RU"/>
        </w:rPr>
        <w:t>к применяемому организацией</w:t>
      </w:r>
      <w:r w:rsidR="0097275A" w:rsidRPr="0049187C">
        <w:rPr>
          <w:lang w:val="ru-RU"/>
        </w:rPr>
        <w:t xml:space="preserve"> </w:t>
      </w:r>
      <w:r w:rsidR="0097275A">
        <w:rPr>
          <w:lang w:val="ru-RU"/>
        </w:rPr>
        <w:t xml:space="preserve">внутреннему </w:t>
      </w:r>
      <w:r w:rsidR="0097275A" w:rsidRPr="0049187C">
        <w:rPr>
          <w:lang w:val="ru-RU"/>
        </w:rPr>
        <w:t>определени</w:t>
      </w:r>
      <w:r w:rsidR="0097275A">
        <w:rPr>
          <w:lang w:val="ru-RU"/>
        </w:rPr>
        <w:t>ю</w:t>
      </w:r>
      <w:r w:rsidR="0097275A" w:rsidRPr="0049187C">
        <w:rPr>
          <w:lang w:val="ru-RU"/>
        </w:rPr>
        <w:t xml:space="preserve"> дефолта</w:t>
      </w:r>
      <w:r w:rsidR="0097275A">
        <w:rPr>
          <w:lang w:val="ru-RU"/>
        </w:rPr>
        <w:t>.</w:t>
      </w:r>
    </w:p>
    <w:p w:rsidR="001529CA" w:rsidRPr="0049187C" w:rsidRDefault="00DF2B5E">
      <w:pPr>
        <w:pStyle w:val="IASBSectionTitle4Ind"/>
        <w:rPr>
          <w:lang w:val="ru-RU"/>
        </w:rPr>
      </w:pPr>
      <w:bookmarkStart w:id="313" w:name="F32626566"/>
      <w:r w:rsidRPr="0049187C">
        <w:rPr>
          <w:lang w:val="ru-RU"/>
        </w:rPr>
        <w:t xml:space="preserve">Финансовые инструменты с </w:t>
      </w:r>
      <w:r w:rsidR="0097275A">
        <w:rPr>
          <w:lang w:val="ru-RU"/>
        </w:rPr>
        <w:t>низким</w:t>
      </w:r>
      <w:r w:rsidR="0097275A" w:rsidRPr="0049187C">
        <w:rPr>
          <w:lang w:val="ru-RU"/>
        </w:rPr>
        <w:t xml:space="preserve"> </w:t>
      </w:r>
      <w:r w:rsidRPr="0049187C">
        <w:rPr>
          <w:lang w:val="ru-RU"/>
        </w:rPr>
        <w:t>кредитным риском</w:t>
      </w:r>
      <w:r w:rsidR="007D71B7">
        <w:rPr>
          <w:lang w:val="ru-RU"/>
        </w:rPr>
        <w:t xml:space="preserve"> по состоянию</w:t>
      </w:r>
      <w:r w:rsidRPr="0049187C">
        <w:rPr>
          <w:lang w:val="ru-RU"/>
        </w:rPr>
        <w:t xml:space="preserve"> на отчетную дату</w:t>
      </w:r>
      <w:bookmarkEnd w:id="313"/>
    </w:p>
    <w:p w:rsidR="001529CA" w:rsidRPr="0049187C" w:rsidRDefault="001529CA">
      <w:pPr>
        <w:pStyle w:val="IASBNormalnpara"/>
        <w:rPr>
          <w:lang w:val="ru-RU"/>
        </w:rPr>
      </w:pPr>
      <w:r w:rsidRPr="0049187C">
        <w:rPr>
          <w:lang w:val="ru-RU"/>
        </w:rPr>
        <w:t>B5.5.22</w:t>
      </w:r>
      <w:r w:rsidRPr="0049187C">
        <w:rPr>
          <w:lang w:val="ru-RU"/>
        </w:rPr>
        <w:tab/>
      </w:r>
      <w:bookmarkStart w:id="314" w:name="F32626567"/>
      <w:r w:rsidR="00DF2B5E" w:rsidRPr="0049187C">
        <w:rPr>
          <w:lang w:val="ru-RU"/>
        </w:rPr>
        <w:t xml:space="preserve">Кредитный риск по финансовому инструменту считается </w:t>
      </w:r>
      <w:r w:rsidR="002A4F2B">
        <w:rPr>
          <w:lang w:val="ru-RU"/>
        </w:rPr>
        <w:t>низким</w:t>
      </w:r>
      <w:r w:rsidR="002A4F2B" w:rsidRPr="0049187C">
        <w:rPr>
          <w:lang w:val="ru-RU"/>
        </w:rPr>
        <w:t xml:space="preserve"> </w:t>
      </w:r>
      <w:r w:rsidR="00DF2B5E" w:rsidRPr="0049187C">
        <w:rPr>
          <w:lang w:val="ru-RU"/>
        </w:rPr>
        <w:t xml:space="preserve">для целей пункта </w:t>
      </w:r>
      <w:r w:rsidRPr="0049187C">
        <w:rPr>
          <w:lang w:val="ru-RU"/>
        </w:rPr>
        <w:t xml:space="preserve">5.5.10, </w:t>
      </w:r>
      <w:r w:rsidR="00DF2B5E" w:rsidRPr="0049187C">
        <w:rPr>
          <w:lang w:val="ru-RU"/>
        </w:rPr>
        <w:t xml:space="preserve">если риск дефолта по финансовому инструменту </w:t>
      </w:r>
      <w:r w:rsidR="008B1843">
        <w:rPr>
          <w:lang w:val="ru-RU"/>
        </w:rPr>
        <w:t>является низким</w:t>
      </w:r>
      <w:r w:rsidRPr="0049187C">
        <w:rPr>
          <w:lang w:val="ru-RU"/>
        </w:rPr>
        <w:t xml:space="preserve">, </w:t>
      </w:r>
      <w:r w:rsidR="00DF2B5E" w:rsidRPr="0049187C">
        <w:rPr>
          <w:lang w:val="ru-RU"/>
        </w:rPr>
        <w:t xml:space="preserve">заемщик </w:t>
      </w:r>
      <w:r w:rsidR="005058A2">
        <w:rPr>
          <w:lang w:val="ru-RU"/>
        </w:rPr>
        <w:t xml:space="preserve">в ближайшей перспективе </w:t>
      </w:r>
      <w:r w:rsidR="00DF2B5E" w:rsidRPr="0049187C">
        <w:rPr>
          <w:lang w:val="ru-RU"/>
        </w:rPr>
        <w:t xml:space="preserve">обладает стабильной способностью выполнить </w:t>
      </w:r>
      <w:r w:rsidR="005058A2">
        <w:rPr>
          <w:lang w:val="ru-RU"/>
        </w:rPr>
        <w:t>принятые им</w:t>
      </w:r>
      <w:r w:rsidR="005058A2" w:rsidRPr="0049187C">
        <w:rPr>
          <w:lang w:val="ru-RU"/>
        </w:rPr>
        <w:t xml:space="preserve"> </w:t>
      </w:r>
      <w:r w:rsidR="00DF2B5E" w:rsidRPr="0049187C">
        <w:rPr>
          <w:lang w:val="ru-RU"/>
        </w:rPr>
        <w:t>предусм</w:t>
      </w:r>
      <w:r w:rsidR="0060782D">
        <w:rPr>
          <w:lang w:val="ru-RU"/>
        </w:rPr>
        <w:t>отренные договором обязанности</w:t>
      </w:r>
      <w:r w:rsidR="00DF2B5E" w:rsidRPr="0049187C">
        <w:rPr>
          <w:lang w:val="ru-RU"/>
        </w:rPr>
        <w:t xml:space="preserve"> в отношении денежных потоков, и неблагоприятные изменения экономических и коммерческих условий в более </w:t>
      </w:r>
      <w:r w:rsidR="005058A2">
        <w:rPr>
          <w:lang w:val="ru-RU"/>
        </w:rPr>
        <w:t>отдаленной</w:t>
      </w:r>
      <w:r w:rsidR="005058A2" w:rsidRPr="0049187C">
        <w:rPr>
          <w:lang w:val="ru-RU"/>
        </w:rPr>
        <w:t xml:space="preserve"> </w:t>
      </w:r>
      <w:r w:rsidR="00DF2B5E" w:rsidRPr="0049187C">
        <w:rPr>
          <w:lang w:val="ru-RU"/>
        </w:rPr>
        <w:t>перспективе могут</w:t>
      </w:r>
      <w:r w:rsidR="005058A2">
        <w:rPr>
          <w:lang w:val="ru-RU"/>
        </w:rPr>
        <w:t>, но не обязательно снизят</w:t>
      </w:r>
      <w:r w:rsidR="00DF2B5E" w:rsidRPr="0049187C">
        <w:rPr>
          <w:lang w:val="ru-RU"/>
        </w:rPr>
        <w:t xml:space="preserve"> </w:t>
      </w:r>
      <w:r w:rsidR="005058A2">
        <w:rPr>
          <w:lang w:val="ru-RU"/>
        </w:rPr>
        <w:t xml:space="preserve">его </w:t>
      </w:r>
      <w:r w:rsidR="00DF2B5E" w:rsidRPr="0049187C">
        <w:rPr>
          <w:lang w:val="ru-RU"/>
        </w:rPr>
        <w:t>способность</w:t>
      </w:r>
      <w:r w:rsidR="00216D60">
        <w:rPr>
          <w:lang w:val="ru-RU"/>
        </w:rPr>
        <w:t xml:space="preserve"> </w:t>
      </w:r>
      <w:r w:rsidR="00DF2B5E" w:rsidRPr="0049187C">
        <w:rPr>
          <w:lang w:val="ru-RU"/>
        </w:rPr>
        <w:t xml:space="preserve">выполнить </w:t>
      </w:r>
      <w:r w:rsidR="005058A2">
        <w:rPr>
          <w:lang w:val="ru-RU"/>
        </w:rPr>
        <w:t>принятые им</w:t>
      </w:r>
      <w:r w:rsidR="005058A2" w:rsidRPr="0049187C">
        <w:rPr>
          <w:lang w:val="ru-RU"/>
        </w:rPr>
        <w:t xml:space="preserve"> </w:t>
      </w:r>
      <w:r w:rsidR="00DF2B5E" w:rsidRPr="0049187C">
        <w:rPr>
          <w:lang w:val="ru-RU"/>
        </w:rPr>
        <w:t xml:space="preserve">предусмотренные договором </w:t>
      </w:r>
      <w:r w:rsidR="0060782D">
        <w:rPr>
          <w:lang w:val="ru-RU"/>
        </w:rPr>
        <w:t>обязанности</w:t>
      </w:r>
      <w:r w:rsidR="00DF2B5E" w:rsidRPr="0049187C">
        <w:rPr>
          <w:lang w:val="ru-RU"/>
        </w:rPr>
        <w:t xml:space="preserve"> в отношении денежных потоков</w:t>
      </w:r>
      <w:r w:rsidRPr="0049187C">
        <w:rPr>
          <w:lang w:val="ru-RU"/>
        </w:rPr>
        <w:t xml:space="preserve">. </w:t>
      </w:r>
      <w:r w:rsidR="00654D70" w:rsidRPr="0049187C">
        <w:rPr>
          <w:lang w:val="ru-RU"/>
        </w:rPr>
        <w:t xml:space="preserve">Финансовые инструменты не считаются инструментами с </w:t>
      </w:r>
      <w:r w:rsidR="005058A2">
        <w:rPr>
          <w:lang w:val="ru-RU"/>
        </w:rPr>
        <w:t>низким</w:t>
      </w:r>
      <w:r w:rsidR="005058A2" w:rsidRPr="0049187C">
        <w:rPr>
          <w:lang w:val="ru-RU"/>
        </w:rPr>
        <w:t xml:space="preserve"> </w:t>
      </w:r>
      <w:r w:rsidR="00654D70" w:rsidRPr="0049187C">
        <w:rPr>
          <w:lang w:val="ru-RU"/>
        </w:rPr>
        <w:t xml:space="preserve">кредитным риском, когда риск убытков по ним </w:t>
      </w:r>
      <w:r w:rsidR="005058A2">
        <w:rPr>
          <w:lang w:val="ru-RU"/>
        </w:rPr>
        <w:t>является низким</w:t>
      </w:r>
      <w:r w:rsidR="005058A2" w:rsidRPr="0049187C">
        <w:rPr>
          <w:lang w:val="ru-RU"/>
        </w:rPr>
        <w:t xml:space="preserve"> </w:t>
      </w:r>
      <w:r w:rsidR="00654D70" w:rsidRPr="0049187C">
        <w:rPr>
          <w:lang w:val="ru-RU"/>
        </w:rPr>
        <w:t xml:space="preserve">только ввиду стоимости </w:t>
      </w:r>
      <w:r w:rsidR="005058A2">
        <w:rPr>
          <w:lang w:val="ru-RU"/>
        </w:rPr>
        <w:t xml:space="preserve">их </w:t>
      </w:r>
      <w:r w:rsidR="00654D70" w:rsidRPr="0049187C">
        <w:rPr>
          <w:lang w:val="ru-RU"/>
        </w:rPr>
        <w:t xml:space="preserve">обеспечения, и финансовый инструмент без такого обеспечения не считался бы инструментом с </w:t>
      </w:r>
      <w:r w:rsidR="005058A2">
        <w:rPr>
          <w:lang w:val="ru-RU"/>
        </w:rPr>
        <w:t>низким</w:t>
      </w:r>
      <w:r w:rsidR="005058A2" w:rsidRPr="0049187C">
        <w:rPr>
          <w:lang w:val="ru-RU"/>
        </w:rPr>
        <w:t xml:space="preserve"> </w:t>
      </w:r>
      <w:r w:rsidR="00654D70" w:rsidRPr="0049187C">
        <w:rPr>
          <w:lang w:val="ru-RU"/>
        </w:rPr>
        <w:t xml:space="preserve">кредитным риском. Финансовые инструменты также не считаются инструментами с </w:t>
      </w:r>
      <w:r w:rsidR="005058A2">
        <w:rPr>
          <w:lang w:val="ru-RU"/>
        </w:rPr>
        <w:t>низким</w:t>
      </w:r>
      <w:r w:rsidR="005058A2" w:rsidRPr="0049187C">
        <w:rPr>
          <w:lang w:val="ru-RU"/>
        </w:rPr>
        <w:t xml:space="preserve"> </w:t>
      </w:r>
      <w:r w:rsidR="00654D70" w:rsidRPr="0049187C">
        <w:rPr>
          <w:lang w:val="ru-RU"/>
        </w:rPr>
        <w:t xml:space="preserve">кредитным риском только </w:t>
      </w:r>
      <w:r w:rsidR="00B369CF">
        <w:rPr>
          <w:lang w:val="ru-RU"/>
        </w:rPr>
        <w:t>по той причине, что они имеют меньший</w:t>
      </w:r>
      <w:r w:rsidR="00654D70" w:rsidRPr="0049187C">
        <w:rPr>
          <w:lang w:val="ru-RU"/>
        </w:rPr>
        <w:t xml:space="preserve"> риск дефолта, чем </w:t>
      </w:r>
      <w:r w:rsidR="00B369CF">
        <w:rPr>
          <w:lang w:val="ru-RU"/>
        </w:rPr>
        <w:t>другие</w:t>
      </w:r>
      <w:r w:rsidR="00654D70" w:rsidRPr="0049187C">
        <w:rPr>
          <w:lang w:val="ru-RU"/>
        </w:rPr>
        <w:t xml:space="preserve"> </w:t>
      </w:r>
      <w:r w:rsidR="00B369CF" w:rsidRPr="0049187C">
        <w:rPr>
          <w:lang w:val="ru-RU"/>
        </w:rPr>
        <w:t>финансовы</w:t>
      </w:r>
      <w:r w:rsidR="00B369CF">
        <w:rPr>
          <w:lang w:val="ru-RU"/>
        </w:rPr>
        <w:t>е</w:t>
      </w:r>
      <w:r w:rsidR="00B369CF" w:rsidRPr="0049187C">
        <w:rPr>
          <w:lang w:val="ru-RU"/>
        </w:rPr>
        <w:t xml:space="preserve"> </w:t>
      </w:r>
      <w:r w:rsidR="00654D70" w:rsidRPr="0049187C">
        <w:rPr>
          <w:lang w:val="ru-RU"/>
        </w:rPr>
        <w:t>инструмент</w:t>
      </w:r>
      <w:r w:rsidR="00B369CF">
        <w:rPr>
          <w:lang w:val="ru-RU"/>
        </w:rPr>
        <w:t>ы</w:t>
      </w:r>
      <w:r w:rsidR="00654D70" w:rsidRPr="0049187C">
        <w:rPr>
          <w:lang w:val="ru-RU"/>
        </w:rPr>
        <w:t xml:space="preserve"> </w:t>
      </w:r>
      <w:r w:rsidR="00B369CF">
        <w:rPr>
          <w:lang w:val="ru-RU"/>
        </w:rPr>
        <w:t xml:space="preserve">данной </w:t>
      </w:r>
      <w:r w:rsidR="00654D70" w:rsidRPr="0049187C">
        <w:rPr>
          <w:lang w:val="ru-RU"/>
        </w:rPr>
        <w:t>организации, либо относительно кредитного риска юрисдикции, в которой организация осуществляет деятельность</w:t>
      </w:r>
      <w:r w:rsidRPr="0049187C">
        <w:rPr>
          <w:lang w:val="ru-RU"/>
        </w:rPr>
        <w:t>.</w:t>
      </w:r>
      <w:bookmarkEnd w:id="314"/>
    </w:p>
    <w:p w:rsidR="001529CA" w:rsidRPr="0049187C" w:rsidRDefault="001529CA">
      <w:pPr>
        <w:pStyle w:val="IASBNormalnpara"/>
        <w:rPr>
          <w:lang w:val="ru-RU"/>
        </w:rPr>
      </w:pPr>
      <w:r w:rsidRPr="0049187C">
        <w:rPr>
          <w:lang w:val="ru-RU"/>
        </w:rPr>
        <w:t>B5.5.23</w:t>
      </w:r>
      <w:r w:rsidRPr="0049187C">
        <w:rPr>
          <w:lang w:val="ru-RU"/>
        </w:rPr>
        <w:tab/>
      </w:r>
      <w:bookmarkStart w:id="315" w:name="F32626568"/>
      <w:r w:rsidR="00654D70" w:rsidRPr="0049187C">
        <w:rPr>
          <w:lang w:val="ru-RU"/>
        </w:rPr>
        <w:t xml:space="preserve">Чтобы определить </w:t>
      </w:r>
      <w:r w:rsidR="00B369CF">
        <w:rPr>
          <w:lang w:val="ru-RU"/>
        </w:rPr>
        <w:t>является ли</w:t>
      </w:r>
      <w:r w:rsidR="00B369CF" w:rsidRPr="0049187C">
        <w:rPr>
          <w:lang w:val="ru-RU"/>
        </w:rPr>
        <w:t xml:space="preserve"> </w:t>
      </w:r>
      <w:r w:rsidR="00654D70" w:rsidRPr="0049187C">
        <w:rPr>
          <w:lang w:val="ru-RU"/>
        </w:rPr>
        <w:t>кредитный риск по финансовому инструменту</w:t>
      </w:r>
      <w:r w:rsidR="00B369CF">
        <w:rPr>
          <w:lang w:val="ru-RU"/>
        </w:rPr>
        <w:t xml:space="preserve"> низким</w:t>
      </w:r>
      <w:r w:rsidR="00654D70" w:rsidRPr="0049187C">
        <w:rPr>
          <w:lang w:val="ru-RU"/>
        </w:rPr>
        <w:t>, организация может использовать внутренние рейтинги кредитного риска или друг</w:t>
      </w:r>
      <w:r w:rsidR="00CD4ABB" w:rsidRPr="0049187C">
        <w:rPr>
          <w:lang w:val="ru-RU"/>
        </w:rPr>
        <w:t>ие</w:t>
      </w:r>
      <w:r w:rsidR="00654D70" w:rsidRPr="0049187C">
        <w:rPr>
          <w:lang w:val="ru-RU"/>
        </w:rPr>
        <w:t xml:space="preserve"> методологи</w:t>
      </w:r>
      <w:r w:rsidR="00CD4ABB" w:rsidRPr="0049187C">
        <w:rPr>
          <w:lang w:val="ru-RU"/>
        </w:rPr>
        <w:t>и</w:t>
      </w:r>
      <w:r w:rsidR="00654D70" w:rsidRPr="0049187C">
        <w:rPr>
          <w:lang w:val="ru-RU"/>
        </w:rPr>
        <w:t>, соответствующ</w:t>
      </w:r>
      <w:r w:rsidR="00CD4ABB" w:rsidRPr="0049187C">
        <w:rPr>
          <w:lang w:val="ru-RU"/>
        </w:rPr>
        <w:t>ие</w:t>
      </w:r>
      <w:r w:rsidR="00AB73AD" w:rsidRPr="0049187C">
        <w:rPr>
          <w:lang w:val="ru-RU"/>
        </w:rPr>
        <w:t xml:space="preserve"> принятому во всем мире определению </w:t>
      </w:r>
      <w:r w:rsidR="00B369CF">
        <w:rPr>
          <w:lang w:val="ru-RU"/>
        </w:rPr>
        <w:t>низкого</w:t>
      </w:r>
      <w:r w:rsidR="00AB73AD" w:rsidRPr="0049187C">
        <w:rPr>
          <w:lang w:val="ru-RU"/>
        </w:rPr>
        <w:t xml:space="preserve"> кредитного риска и учитывающ</w:t>
      </w:r>
      <w:r w:rsidR="00CD4ABB" w:rsidRPr="0049187C">
        <w:rPr>
          <w:lang w:val="ru-RU"/>
        </w:rPr>
        <w:t>ие</w:t>
      </w:r>
      <w:r w:rsidR="00AB73AD" w:rsidRPr="0049187C">
        <w:rPr>
          <w:lang w:val="ru-RU"/>
        </w:rPr>
        <w:t xml:space="preserve"> риски и тип оцениваемых финансовых инструментов. Внешний </w:t>
      </w:r>
      <w:r w:rsidR="00B369CF" w:rsidRPr="0049187C">
        <w:rPr>
          <w:lang w:val="ru-RU"/>
        </w:rPr>
        <w:t xml:space="preserve">рейтинг </w:t>
      </w:r>
      <w:r w:rsidR="00AB73AD" w:rsidRPr="0049187C">
        <w:rPr>
          <w:lang w:val="ru-RU"/>
        </w:rPr>
        <w:t>«инвестиционн</w:t>
      </w:r>
      <w:r w:rsidR="00B369CF">
        <w:rPr>
          <w:lang w:val="ru-RU"/>
        </w:rPr>
        <w:t>ого уровня</w:t>
      </w:r>
      <w:r w:rsidR="00AB73AD" w:rsidRPr="0049187C">
        <w:rPr>
          <w:lang w:val="ru-RU"/>
        </w:rPr>
        <w:t xml:space="preserve">» является примером ситуации, когда финансовый инструмент может считаться инструментом с </w:t>
      </w:r>
      <w:r w:rsidR="00B369CF">
        <w:rPr>
          <w:lang w:val="ru-RU"/>
        </w:rPr>
        <w:t>низким</w:t>
      </w:r>
      <w:r w:rsidR="00B369CF" w:rsidRPr="0049187C">
        <w:rPr>
          <w:lang w:val="ru-RU"/>
        </w:rPr>
        <w:t xml:space="preserve"> </w:t>
      </w:r>
      <w:r w:rsidR="00AB73AD" w:rsidRPr="0049187C">
        <w:rPr>
          <w:lang w:val="ru-RU"/>
        </w:rPr>
        <w:t>кредитным риском</w:t>
      </w:r>
      <w:r w:rsidRPr="0049187C">
        <w:rPr>
          <w:lang w:val="ru-RU"/>
        </w:rPr>
        <w:t xml:space="preserve">. </w:t>
      </w:r>
      <w:r w:rsidR="00AB73AD" w:rsidRPr="0049187C">
        <w:rPr>
          <w:lang w:val="ru-RU"/>
        </w:rPr>
        <w:t xml:space="preserve">Однако финансовые инструменты не </w:t>
      </w:r>
      <w:r w:rsidR="00B369CF">
        <w:rPr>
          <w:lang w:val="ru-RU"/>
        </w:rPr>
        <w:t xml:space="preserve">обязательно </w:t>
      </w:r>
      <w:r w:rsidR="00AB73AD" w:rsidRPr="0049187C">
        <w:rPr>
          <w:lang w:val="ru-RU"/>
        </w:rPr>
        <w:t xml:space="preserve">должны иметь внешний рейтинг, чтобы считаться инструментами с </w:t>
      </w:r>
      <w:r w:rsidR="00B369CF">
        <w:rPr>
          <w:lang w:val="ru-RU"/>
        </w:rPr>
        <w:t>низким</w:t>
      </w:r>
      <w:r w:rsidR="00B369CF" w:rsidRPr="0049187C">
        <w:rPr>
          <w:lang w:val="ru-RU"/>
        </w:rPr>
        <w:t xml:space="preserve"> </w:t>
      </w:r>
      <w:r w:rsidR="00AB73AD" w:rsidRPr="0049187C">
        <w:rPr>
          <w:lang w:val="ru-RU"/>
        </w:rPr>
        <w:t xml:space="preserve">кредитным риском. </w:t>
      </w:r>
      <w:r w:rsidR="00B369CF">
        <w:rPr>
          <w:lang w:val="ru-RU"/>
        </w:rPr>
        <w:t>О</w:t>
      </w:r>
      <w:r w:rsidR="00CD4ABB" w:rsidRPr="0049187C">
        <w:rPr>
          <w:lang w:val="ru-RU"/>
        </w:rPr>
        <w:t>днако</w:t>
      </w:r>
      <w:r w:rsidR="00AB73AD" w:rsidRPr="0049187C">
        <w:rPr>
          <w:lang w:val="ru-RU"/>
        </w:rPr>
        <w:t xml:space="preserve"> </w:t>
      </w:r>
      <w:r w:rsidR="00B369CF">
        <w:rPr>
          <w:lang w:val="ru-RU"/>
        </w:rPr>
        <w:t xml:space="preserve">они должны </w:t>
      </w:r>
      <w:r w:rsidR="00AB73AD" w:rsidRPr="0049187C">
        <w:rPr>
          <w:lang w:val="ru-RU"/>
        </w:rPr>
        <w:t xml:space="preserve">считаться инструментами с </w:t>
      </w:r>
      <w:r w:rsidR="00B369CF">
        <w:rPr>
          <w:lang w:val="ru-RU"/>
        </w:rPr>
        <w:t>низким</w:t>
      </w:r>
      <w:r w:rsidR="00B369CF" w:rsidRPr="0049187C">
        <w:rPr>
          <w:lang w:val="ru-RU"/>
        </w:rPr>
        <w:t xml:space="preserve"> </w:t>
      </w:r>
      <w:r w:rsidR="00AB73AD" w:rsidRPr="0049187C">
        <w:rPr>
          <w:lang w:val="ru-RU"/>
        </w:rPr>
        <w:t>кредитным риском с точки зрения участника рынка</w:t>
      </w:r>
      <w:r w:rsidR="00B369CF">
        <w:rPr>
          <w:lang w:val="ru-RU"/>
        </w:rPr>
        <w:t>, прини</w:t>
      </w:r>
      <w:r w:rsidR="00216D60">
        <w:rPr>
          <w:lang w:val="ru-RU"/>
        </w:rPr>
        <w:t>м</w:t>
      </w:r>
      <w:r w:rsidR="00B369CF">
        <w:rPr>
          <w:lang w:val="ru-RU"/>
        </w:rPr>
        <w:t xml:space="preserve">ая во внимание </w:t>
      </w:r>
      <w:r w:rsidR="00AB73AD" w:rsidRPr="0049187C">
        <w:rPr>
          <w:lang w:val="ru-RU"/>
        </w:rPr>
        <w:t>все услови</w:t>
      </w:r>
      <w:r w:rsidR="00B369CF">
        <w:rPr>
          <w:lang w:val="ru-RU"/>
        </w:rPr>
        <w:t>я</w:t>
      </w:r>
      <w:r w:rsidR="00AB73AD" w:rsidRPr="0049187C">
        <w:rPr>
          <w:lang w:val="ru-RU"/>
        </w:rPr>
        <w:t xml:space="preserve"> финансового инструмента</w:t>
      </w:r>
      <w:bookmarkEnd w:id="315"/>
      <w:r w:rsidR="00AB73AD" w:rsidRPr="0049187C">
        <w:rPr>
          <w:lang w:val="ru-RU"/>
        </w:rPr>
        <w:t>.</w:t>
      </w:r>
    </w:p>
    <w:p w:rsidR="001529CA" w:rsidRPr="0049187C" w:rsidRDefault="001529CA">
      <w:pPr>
        <w:pStyle w:val="IASBNormalnpara"/>
        <w:rPr>
          <w:lang w:val="ru-RU"/>
        </w:rPr>
      </w:pPr>
      <w:r w:rsidRPr="0049187C">
        <w:rPr>
          <w:lang w:val="ru-RU"/>
        </w:rPr>
        <w:t>B5.5.24</w:t>
      </w:r>
      <w:r w:rsidRPr="0049187C">
        <w:rPr>
          <w:lang w:val="ru-RU"/>
        </w:rPr>
        <w:tab/>
      </w:r>
      <w:bookmarkStart w:id="316" w:name="F32626569"/>
      <w:r w:rsidR="00AB73AD" w:rsidRPr="0049187C">
        <w:rPr>
          <w:lang w:val="ru-RU"/>
        </w:rPr>
        <w:t xml:space="preserve">Ожидаемые кредитные убытки </w:t>
      </w:r>
      <w:r w:rsidR="007E6FF8">
        <w:rPr>
          <w:lang w:val="ru-RU"/>
        </w:rPr>
        <w:t>за весь срок</w:t>
      </w:r>
      <w:r w:rsidR="00AB73AD" w:rsidRPr="0049187C">
        <w:rPr>
          <w:lang w:val="ru-RU"/>
        </w:rPr>
        <w:t xml:space="preserve"> не признаются по финансовому инструменту только ввиду того, что он считался инструментом с </w:t>
      </w:r>
      <w:r w:rsidR="00B369CF">
        <w:rPr>
          <w:lang w:val="ru-RU"/>
        </w:rPr>
        <w:t>низким</w:t>
      </w:r>
      <w:r w:rsidR="00B369CF" w:rsidRPr="0049187C">
        <w:rPr>
          <w:lang w:val="ru-RU"/>
        </w:rPr>
        <w:t xml:space="preserve"> </w:t>
      </w:r>
      <w:r w:rsidR="00AB73AD" w:rsidRPr="0049187C">
        <w:rPr>
          <w:lang w:val="ru-RU"/>
        </w:rPr>
        <w:t xml:space="preserve">кредитным риском в предыдущем отчетном периоде и не считается инструментом с </w:t>
      </w:r>
      <w:r w:rsidR="00B369CF">
        <w:rPr>
          <w:lang w:val="ru-RU"/>
        </w:rPr>
        <w:t>низким</w:t>
      </w:r>
      <w:r w:rsidR="00B369CF" w:rsidRPr="0049187C">
        <w:rPr>
          <w:lang w:val="ru-RU"/>
        </w:rPr>
        <w:t xml:space="preserve"> </w:t>
      </w:r>
      <w:r w:rsidR="00AB73AD" w:rsidRPr="0049187C">
        <w:rPr>
          <w:lang w:val="ru-RU"/>
        </w:rPr>
        <w:t>кредитным риском</w:t>
      </w:r>
      <w:r w:rsidR="007D71B7">
        <w:rPr>
          <w:lang w:val="ru-RU"/>
        </w:rPr>
        <w:t xml:space="preserve"> по состоянию</w:t>
      </w:r>
      <w:r w:rsidR="00AB73AD" w:rsidRPr="0049187C">
        <w:rPr>
          <w:lang w:val="ru-RU"/>
        </w:rPr>
        <w:t xml:space="preserve"> на отчетную дату</w:t>
      </w:r>
      <w:r w:rsidRPr="0049187C">
        <w:rPr>
          <w:lang w:val="ru-RU"/>
        </w:rPr>
        <w:t xml:space="preserve">. </w:t>
      </w:r>
      <w:r w:rsidR="00AB73AD" w:rsidRPr="0049187C">
        <w:rPr>
          <w:lang w:val="ru-RU"/>
        </w:rPr>
        <w:t xml:space="preserve">В таком случае организация должна определить, произошло ли значительное увеличение кредитного риска </w:t>
      </w:r>
      <w:r w:rsidR="00C577C1">
        <w:rPr>
          <w:lang w:val="ru-RU"/>
        </w:rPr>
        <w:t>с момента</w:t>
      </w:r>
      <w:r w:rsidR="00AB73AD" w:rsidRPr="0049187C">
        <w:rPr>
          <w:lang w:val="ru-RU"/>
        </w:rPr>
        <w:t xml:space="preserve"> первоначального признания и, следовательно, должны ли ожидаемые кредитные убытки </w:t>
      </w:r>
      <w:r w:rsidR="007E6FF8">
        <w:rPr>
          <w:lang w:val="ru-RU"/>
        </w:rPr>
        <w:t>за весь срок</w:t>
      </w:r>
      <w:r w:rsidR="00AB73AD" w:rsidRPr="0049187C">
        <w:rPr>
          <w:lang w:val="ru-RU"/>
        </w:rPr>
        <w:t xml:space="preserve"> признаваться в соответствии с пунктом </w:t>
      </w:r>
      <w:r w:rsidRPr="0049187C">
        <w:rPr>
          <w:lang w:val="ru-RU"/>
        </w:rPr>
        <w:t>5.5.3.</w:t>
      </w:r>
      <w:bookmarkEnd w:id="316"/>
    </w:p>
    <w:p w:rsidR="001529CA" w:rsidRPr="0049187C" w:rsidRDefault="00B369CF">
      <w:pPr>
        <w:pStyle w:val="IASBSectionTitle3Ind"/>
        <w:rPr>
          <w:lang w:val="ru-RU"/>
        </w:rPr>
      </w:pPr>
      <w:r w:rsidRPr="0049187C">
        <w:rPr>
          <w:lang w:val="ru-RU"/>
        </w:rPr>
        <w:t>Модификаци</w:t>
      </w:r>
      <w:r>
        <w:rPr>
          <w:lang w:val="ru-RU"/>
        </w:rPr>
        <w:t>и</w:t>
      </w:r>
    </w:p>
    <w:p w:rsidR="001529CA" w:rsidRPr="0049187C" w:rsidRDefault="001529CA">
      <w:pPr>
        <w:pStyle w:val="IASBNormalnpara"/>
        <w:rPr>
          <w:lang w:val="ru-RU"/>
        </w:rPr>
      </w:pPr>
      <w:r w:rsidRPr="0049187C">
        <w:rPr>
          <w:lang w:val="ru-RU"/>
        </w:rPr>
        <w:t>B5.5.25</w:t>
      </w:r>
      <w:r w:rsidRPr="0049187C">
        <w:rPr>
          <w:lang w:val="ru-RU"/>
        </w:rPr>
        <w:tab/>
      </w:r>
      <w:bookmarkStart w:id="317" w:name="F32626572"/>
      <w:r w:rsidR="00AB73AD" w:rsidRPr="0049187C">
        <w:rPr>
          <w:lang w:val="ru-RU"/>
        </w:rPr>
        <w:t>В некоторых обстоятельствах</w:t>
      </w:r>
      <w:r w:rsidRPr="0049187C">
        <w:rPr>
          <w:lang w:val="ru-RU"/>
        </w:rPr>
        <w:t xml:space="preserve"> </w:t>
      </w:r>
      <w:r w:rsidR="00AB73AD" w:rsidRPr="0049187C">
        <w:rPr>
          <w:lang w:val="ru-RU"/>
        </w:rPr>
        <w:t>пересмотр или модификация предусмотренных договором денежных потоков по финансовому активу может привести к прекращению признания существующего финансового актива в соответствии с настоящим стандартом</w:t>
      </w:r>
      <w:r w:rsidRPr="0049187C">
        <w:rPr>
          <w:lang w:val="ru-RU"/>
        </w:rPr>
        <w:t xml:space="preserve">. </w:t>
      </w:r>
      <w:r w:rsidR="00FB1D37" w:rsidRPr="0049187C">
        <w:rPr>
          <w:lang w:val="ru-RU"/>
        </w:rPr>
        <w:t>Когда модификация финансового актива приводит к прекращению признания существующего финансового актива и последующему признанию модифицированного финансового актива, модифицированный финансовый актив считается «новым» финансовым активом для целей настоящего стандарта</w:t>
      </w:r>
      <w:r w:rsidRPr="0049187C">
        <w:rPr>
          <w:lang w:val="ru-RU"/>
        </w:rPr>
        <w:t>.</w:t>
      </w:r>
      <w:bookmarkEnd w:id="317"/>
    </w:p>
    <w:p w:rsidR="001529CA" w:rsidRPr="0049187C" w:rsidRDefault="001529CA">
      <w:pPr>
        <w:pStyle w:val="IASBNormalnpara"/>
        <w:rPr>
          <w:lang w:val="ru-RU"/>
        </w:rPr>
      </w:pPr>
      <w:r w:rsidRPr="0049187C">
        <w:rPr>
          <w:lang w:val="ru-RU"/>
        </w:rPr>
        <w:t>B5.5.26</w:t>
      </w:r>
      <w:r w:rsidRPr="0049187C">
        <w:rPr>
          <w:lang w:val="ru-RU"/>
        </w:rPr>
        <w:tab/>
      </w:r>
      <w:bookmarkStart w:id="318" w:name="F32626573"/>
      <w:r w:rsidR="00FB1D37" w:rsidRPr="0049187C">
        <w:rPr>
          <w:lang w:val="ru-RU"/>
        </w:rPr>
        <w:t>Соответственно, дату модификации необходимо считать датой первоначального признания такого финансового актива при применении требований</w:t>
      </w:r>
      <w:r w:rsidR="00705E4E">
        <w:rPr>
          <w:lang w:val="ru-RU"/>
        </w:rPr>
        <w:t>,</w:t>
      </w:r>
      <w:r w:rsidR="00FB1D37" w:rsidRPr="0049187C">
        <w:rPr>
          <w:lang w:val="ru-RU"/>
        </w:rPr>
        <w:t xml:space="preserve"> к</w:t>
      </w:r>
      <w:r w:rsidR="00705E4E">
        <w:rPr>
          <w:lang w:val="ru-RU"/>
        </w:rPr>
        <w:t>асающихся обесценения,</w:t>
      </w:r>
      <w:r w:rsidR="00FB1D37" w:rsidRPr="0049187C">
        <w:rPr>
          <w:lang w:val="ru-RU"/>
        </w:rPr>
        <w:t xml:space="preserve"> в отношении модифицированного финансового актива. Как правило, это означает оценку </w:t>
      </w:r>
      <w:r w:rsidR="00637236">
        <w:rPr>
          <w:lang w:val="ru-RU"/>
        </w:rPr>
        <w:t>оценочного резерва под убытки в</w:t>
      </w:r>
      <w:r w:rsidR="00FB1D37" w:rsidRPr="0049187C">
        <w:rPr>
          <w:lang w:val="ru-RU"/>
        </w:rPr>
        <w:t xml:space="preserve"> сумме, равной </w:t>
      </w:r>
      <w:r w:rsidR="007E6FF8">
        <w:rPr>
          <w:lang w:val="ru-RU"/>
        </w:rPr>
        <w:t xml:space="preserve">12-месячным </w:t>
      </w:r>
      <w:r w:rsidR="00FB1D37" w:rsidRPr="0049187C">
        <w:rPr>
          <w:lang w:val="ru-RU"/>
        </w:rPr>
        <w:t>ожидаемым кредитным убыткам</w:t>
      </w:r>
      <w:r w:rsidR="002B586A" w:rsidRPr="0049187C">
        <w:rPr>
          <w:lang w:val="ru-RU"/>
        </w:rPr>
        <w:t>,</w:t>
      </w:r>
      <w:r w:rsidR="00FB1D37" w:rsidRPr="0049187C">
        <w:rPr>
          <w:lang w:val="ru-RU"/>
        </w:rPr>
        <w:t xml:space="preserve"> до выполнения требований </w:t>
      </w:r>
      <w:r w:rsidR="00AD6FB0" w:rsidRPr="0049187C">
        <w:rPr>
          <w:lang w:val="ru-RU"/>
        </w:rPr>
        <w:t>к</w:t>
      </w:r>
      <w:r w:rsidR="00FB1D37" w:rsidRPr="0049187C">
        <w:rPr>
          <w:lang w:val="ru-RU"/>
        </w:rPr>
        <w:t xml:space="preserve"> признанию ожидаемых кредитных убытков </w:t>
      </w:r>
      <w:r w:rsidR="007E6FF8">
        <w:rPr>
          <w:lang w:val="ru-RU"/>
        </w:rPr>
        <w:t>за весь срок</w:t>
      </w:r>
      <w:r w:rsidR="000B2EB2">
        <w:rPr>
          <w:lang w:val="ru-RU"/>
        </w:rPr>
        <w:t>, указанных</w:t>
      </w:r>
      <w:r w:rsidR="00FB1D37" w:rsidRPr="0049187C">
        <w:rPr>
          <w:lang w:val="ru-RU"/>
        </w:rPr>
        <w:t xml:space="preserve"> в пункте </w:t>
      </w:r>
      <w:r w:rsidRPr="0049187C">
        <w:rPr>
          <w:lang w:val="ru-RU"/>
        </w:rPr>
        <w:t xml:space="preserve">5.5.3. </w:t>
      </w:r>
      <w:r w:rsidR="00FB1D37" w:rsidRPr="0049187C">
        <w:rPr>
          <w:lang w:val="ru-RU"/>
        </w:rPr>
        <w:t>Однако в некоторых необычных обстоятельствах после модификации, которая приводит к прекращению признания первоначального финансового актива, может иметь ме</w:t>
      </w:r>
      <w:r w:rsidR="002B586A" w:rsidRPr="0049187C">
        <w:rPr>
          <w:lang w:val="ru-RU"/>
        </w:rPr>
        <w:t>с</w:t>
      </w:r>
      <w:r w:rsidR="00FB1D37" w:rsidRPr="0049187C">
        <w:rPr>
          <w:lang w:val="ru-RU"/>
        </w:rPr>
        <w:t xml:space="preserve">то подтверждение того, что модифицированный финансовый актив </w:t>
      </w:r>
      <w:r w:rsidR="00AD6FB0" w:rsidRPr="0049187C">
        <w:rPr>
          <w:lang w:val="ru-RU"/>
        </w:rPr>
        <w:t xml:space="preserve">является </w:t>
      </w:r>
      <w:r w:rsidR="000B61C3">
        <w:rPr>
          <w:lang w:val="ru-RU"/>
        </w:rPr>
        <w:t>кредитно-обесцененным</w:t>
      </w:r>
      <w:r w:rsidR="00AD6FB0" w:rsidRPr="0049187C">
        <w:rPr>
          <w:lang w:val="ru-RU"/>
        </w:rPr>
        <w:t xml:space="preserve"> при первоначальном признании и, следовательно, финансовый актив </w:t>
      </w:r>
      <w:r w:rsidR="00FB1D37" w:rsidRPr="0049187C">
        <w:rPr>
          <w:lang w:val="ru-RU"/>
        </w:rPr>
        <w:t xml:space="preserve">необходимо признавать в качестве </w:t>
      </w:r>
      <w:r w:rsidR="000B61C3">
        <w:rPr>
          <w:lang w:val="ru-RU"/>
        </w:rPr>
        <w:t>созданного кредитно-обесцененного</w:t>
      </w:r>
      <w:r w:rsidR="00FB1D37" w:rsidRPr="0049187C">
        <w:rPr>
          <w:lang w:val="ru-RU"/>
        </w:rPr>
        <w:t xml:space="preserve"> финансового актива. Это может произойти, например, в ситуации, когда проблемный актив подверг</w:t>
      </w:r>
      <w:r w:rsidR="002B586A" w:rsidRPr="0049187C">
        <w:rPr>
          <w:lang w:val="ru-RU"/>
        </w:rPr>
        <w:t>нул</w:t>
      </w:r>
      <w:r w:rsidR="00FB1D37" w:rsidRPr="0049187C">
        <w:rPr>
          <w:lang w:val="ru-RU"/>
        </w:rPr>
        <w:t xml:space="preserve">ся существенной модификации, что привело к прекращению признания первоначального финансового актива. В таком случае модификация может </w:t>
      </w:r>
      <w:r w:rsidR="002C1BCE">
        <w:rPr>
          <w:lang w:val="ru-RU"/>
        </w:rPr>
        <w:t>привести к признанию</w:t>
      </w:r>
      <w:r w:rsidR="002C1BCE" w:rsidRPr="0049187C">
        <w:rPr>
          <w:lang w:val="ru-RU"/>
        </w:rPr>
        <w:t xml:space="preserve"> нов</w:t>
      </w:r>
      <w:r w:rsidR="002C1BCE">
        <w:rPr>
          <w:lang w:val="ru-RU"/>
        </w:rPr>
        <w:t>ого</w:t>
      </w:r>
      <w:r w:rsidR="002C1BCE" w:rsidRPr="0049187C">
        <w:rPr>
          <w:lang w:val="ru-RU"/>
        </w:rPr>
        <w:t xml:space="preserve"> финансов</w:t>
      </w:r>
      <w:r w:rsidR="002C1BCE">
        <w:rPr>
          <w:lang w:val="ru-RU"/>
        </w:rPr>
        <w:t>ого</w:t>
      </w:r>
      <w:r w:rsidR="002C1BCE" w:rsidRPr="0049187C">
        <w:rPr>
          <w:lang w:val="ru-RU"/>
        </w:rPr>
        <w:t xml:space="preserve"> </w:t>
      </w:r>
      <w:r w:rsidR="00FB1D37" w:rsidRPr="0049187C">
        <w:rPr>
          <w:lang w:val="ru-RU"/>
        </w:rPr>
        <w:t>актив</w:t>
      </w:r>
      <w:r w:rsidR="002C1BCE">
        <w:rPr>
          <w:lang w:val="ru-RU"/>
        </w:rPr>
        <w:t>а</w:t>
      </w:r>
      <w:r w:rsidR="00FB1D37" w:rsidRPr="0049187C">
        <w:rPr>
          <w:lang w:val="ru-RU"/>
        </w:rPr>
        <w:t xml:space="preserve">, </w:t>
      </w:r>
      <w:r w:rsidR="000B61C3">
        <w:rPr>
          <w:lang w:val="ru-RU"/>
        </w:rPr>
        <w:t>кредитно-обесцененного</w:t>
      </w:r>
      <w:r w:rsidR="00FB1D37" w:rsidRPr="0049187C">
        <w:rPr>
          <w:lang w:val="ru-RU"/>
        </w:rPr>
        <w:t xml:space="preserve"> при первоначальном признании</w:t>
      </w:r>
      <w:r w:rsidRPr="0049187C">
        <w:rPr>
          <w:lang w:val="ru-RU"/>
        </w:rPr>
        <w:t>.</w:t>
      </w:r>
      <w:bookmarkEnd w:id="318"/>
    </w:p>
    <w:p w:rsidR="001529CA" w:rsidRPr="0049187C" w:rsidRDefault="001529CA">
      <w:pPr>
        <w:pStyle w:val="IASBNormalnpara"/>
        <w:rPr>
          <w:lang w:val="ru-RU"/>
        </w:rPr>
      </w:pPr>
      <w:r w:rsidRPr="0049187C">
        <w:rPr>
          <w:lang w:val="ru-RU"/>
        </w:rPr>
        <w:t>B5.5.27</w:t>
      </w:r>
      <w:r w:rsidRPr="0049187C">
        <w:rPr>
          <w:lang w:val="ru-RU"/>
        </w:rPr>
        <w:tab/>
      </w:r>
      <w:bookmarkStart w:id="319" w:name="F32626574"/>
      <w:r w:rsidR="00FB1D37" w:rsidRPr="0049187C">
        <w:rPr>
          <w:lang w:val="ru-RU"/>
        </w:rPr>
        <w:t xml:space="preserve">Если предусмотренные договором денежные потоки по финансовому активу были пересмотрены или модифицированы иным образом, но признание финансового актива не прекращается, такой финансовый актив не считается автоматически активом с более низким кредитным риском. Организация должна оценить, произошло ли значительное увеличение кредитного риска </w:t>
      </w:r>
      <w:r w:rsidR="00C577C1">
        <w:rPr>
          <w:lang w:val="ru-RU"/>
        </w:rPr>
        <w:t>с момента</w:t>
      </w:r>
      <w:r w:rsidR="00FB1D37" w:rsidRPr="0049187C">
        <w:rPr>
          <w:lang w:val="ru-RU"/>
        </w:rPr>
        <w:t xml:space="preserve"> первоначального признания, на основе всей обоснованной и </w:t>
      </w:r>
      <w:r w:rsidR="002C1BCE">
        <w:rPr>
          <w:lang w:val="ru-RU"/>
        </w:rPr>
        <w:t>подтверждаемой</w:t>
      </w:r>
      <w:r w:rsidR="002C1BCE" w:rsidRPr="0049187C">
        <w:rPr>
          <w:lang w:val="ru-RU"/>
        </w:rPr>
        <w:t xml:space="preserve"> </w:t>
      </w:r>
      <w:r w:rsidR="00FB1D37" w:rsidRPr="0049187C">
        <w:rPr>
          <w:lang w:val="ru-RU"/>
        </w:rPr>
        <w:t>информации, которая доступна без чрезмерных затрат и</w:t>
      </w:r>
      <w:r w:rsidR="00BE0AA8">
        <w:rPr>
          <w:lang w:val="ru-RU"/>
        </w:rPr>
        <w:t>ли</w:t>
      </w:r>
      <w:r w:rsidR="00FB1D37" w:rsidRPr="0049187C">
        <w:rPr>
          <w:lang w:val="ru-RU"/>
        </w:rPr>
        <w:t xml:space="preserve"> усилий. </w:t>
      </w:r>
      <w:r w:rsidR="002C1BCE">
        <w:rPr>
          <w:lang w:val="ru-RU"/>
        </w:rPr>
        <w:t>Это предполагает использование</w:t>
      </w:r>
      <w:r w:rsidR="00FB1D37" w:rsidRPr="0049187C">
        <w:rPr>
          <w:lang w:val="ru-RU"/>
        </w:rPr>
        <w:t xml:space="preserve"> </w:t>
      </w:r>
      <w:r w:rsidR="002C1BCE">
        <w:rPr>
          <w:lang w:val="ru-RU"/>
        </w:rPr>
        <w:t>информации за прошлые периоды</w:t>
      </w:r>
      <w:r w:rsidR="002C1BCE" w:rsidRPr="0049187C">
        <w:rPr>
          <w:lang w:val="ru-RU"/>
        </w:rPr>
        <w:t xml:space="preserve"> </w:t>
      </w:r>
      <w:r w:rsidR="00FB1D37" w:rsidRPr="0049187C">
        <w:rPr>
          <w:lang w:val="ru-RU"/>
        </w:rPr>
        <w:t xml:space="preserve">и </w:t>
      </w:r>
      <w:r w:rsidR="002C1BCE">
        <w:rPr>
          <w:lang w:val="ru-RU"/>
        </w:rPr>
        <w:t>прогнозной</w:t>
      </w:r>
      <w:r w:rsidR="002C1BCE" w:rsidRPr="0049187C">
        <w:rPr>
          <w:lang w:val="ru-RU"/>
        </w:rPr>
        <w:t xml:space="preserve"> информаци</w:t>
      </w:r>
      <w:r w:rsidR="002C1BCE">
        <w:rPr>
          <w:lang w:val="ru-RU"/>
        </w:rPr>
        <w:t>и</w:t>
      </w:r>
      <w:r w:rsidR="002C1BCE" w:rsidRPr="0049187C">
        <w:rPr>
          <w:lang w:val="ru-RU"/>
        </w:rPr>
        <w:t xml:space="preserve"> </w:t>
      </w:r>
      <w:r w:rsidR="00FB1D37" w:rsidRPr="0049187C">
        <w:rPr>
          <w:lang w:val="ru-RU"/>
        </w:rPr>
        <w:t xml:space="preserve">и </w:t>
      </w:r>
      <w:r w:rsidR="002C1BCE" w:rsidRPr="0049187C">
        <w:rPr>
          <w:lang w:val="ru-RU"/>
        </w:rPr>
        <w:t>оценк</w:t>
      </w:r>
      <w:r w:rsidR="002C1BCE">
        <w:rPr>
          <w:lang w:val="ru-RU"/>
        </w:rPr>
        <w:t>у</w:t>
      </w:r>
      <w:r w:rsidR="002C1BCE" w:rsidRPr="0049187C">
        <w:rPr>
          <w:lang w:val="ru-RU"/>
        </w:rPr>
        <w:t xml:space="preserve"> </w:t>
      </w:r>
      <w:r w:rsidR="00FB1D37" w:rsidRPr="0049187C">
        <w:rPr>
          <w:lang w:val="ru-RU"/>
        </w:rPr>
        <w:t xml:space="preserve">кредитного риска на протяжении ожидаемого срока действия финансового актива, которая включает информацию об обстоятельствах, приведших к модификации. </w:t>
      </w:r>
      <w:r w:rsidR="00345A2A" w:rsidRPr="0049187C">
        <w:rPr>
          <w:lang w:val="ru-RU"/>
        </w:rPr>
        <w:t xml:space="preserve">Подтверждением того, что </w:t>
      </w:r>
      <w:r w:rsidR="0049187C" w:rsidRPr="0049187C">
        <w:rPr>
          <w:lang w:val="ru-RU"/>
        </w:rPr>
        <w:t>критерии</w:t>
      </w:r>
      <w:r w:rsidR="00345A2A" w:rsidRPr="0049187C">
        <w:rPr>
          <w:lang w:val="ru-RU"/>
        </w:rPr>
        <w:t xml:space="preserve"> признания ожидаемых кредитных убытков </w:t>
      </w:r>
      <w:r w:rsidR="007E6FF8">
        <w:rPr>
          <w:lang w:val="ru-RU"/>
        </w:rPr>
        <w:t>за весь срок</w:t>
      </w:r>
      <w:r w:rsidR="00345A2A" w:rsidRPr="0049187C">
        <w:rPr>
          <w:lang w:val="ru-RU"/>
        </w:rPr>
        <w:t xml:space="preserve"> </w:t>
      </w:r>
      <w:r w:rsidR="002C1BCE" w:rsidRPr="0049187C">
        <w:rPr>
          <w:lang w:val="ru-RU"/>
        </w:rPr>
        <w:t>бол</w:t>
      </w:r>
      <w:r w:rsidR="002C1BCE">
        <w:rPr>
          <w:lang w:val="ru-RU"/>
        </w:rPr>
        <w:t>ее</w:t>
      </w:r>
      <w:r w:rsidR="002C1BCE" w:rsidRPr="0049187C">
        <w:rPr>
          <w:lang w:val="ru-RU"/>
        </w:rPr>
        <w:t xml:space="preserve"> </w:t>
      </w:r>
      <w:r w:rsidR="00345A2A" w:rsidRPr="0049187C">
        <w:rPr>
          <w:lang w:val="ru-RU"/>
        </w:rPr>
        <w:t xml:space="preserve">не </w:t>
      </w:r>
      <w:r w:rsidR="002C1BCE">
        <w:rPr>
          <w:lang w:val="ru-RU"/>
        </w:rPr>
        <w:t>выполняются</w:t>
      </w:r>
      <w:r w:rsidR="00345A2A" w:rsidRPr="0049187C">
        <w:rPr>
          <w:lang w:val="ru-RU"/>
        </w:rPr>
        <w:t xml:space="preserve">, может быть </w:t>
      </w:r>
      <w:r w:rsidR="002C1BCE">
        <w:rPr>
          <w:lang w:val="ru-RU"/>
        </w:rPr>
        <w:t>информация о</w:t>
      </w:r>
      <w:r w:rsidR="002C1BCE" w:rsidRPr="0049187C">
        <w:rPr>
          <w:lang w:val="ru-RU"/>
        </w:rPr>
        <w:t xml:space="preserve"> </w:t>
      </w:r>
      <w:r w:rsidR="00345A2A" w:rsidRPr="0049187C">
        <w:rPr>
          <w:lang w:val="ru-RU"/>
        </w:rPr>
        <w:t>последних и своевременных выплат</w:t>
      </w:r>
      <w:r w:rsidR="002C1BCE">
        <w:rPr>
          <w:lang w:val="ru-RU"/>
        </w:rPr>
        <w:t>ах</w:t>
      </w:r>
      <w:r w:rsidR="00345A2A" w:rsidRPr="0049187C">
        <w:rPr>
          <w:lang w:val="ru-RU"/>
        </w:rPr>
        <w:t xml:space="preserve"> в </w:t>
      </w:r>
      <w:r w:rsidR="002C1BCE">
        <w:rPr>
          <w:lang w:val="ru-RU"/>
        </w:rPr>
        <w:t>соответствии</w:t>
      </w:r>
      <w:r w:rsidR="002C1BCE" w:rsidRPr="0049187C">
        <w:rPr>
          <w:lang w:val="ru-RU"/>
        </w:rPr>
        <w:t xml:space="preserve"> </w:t>
      </w:r>
      <w:r w:rsidR="00345A2A" w:rsidRPr="0049187C">
        <w:rPr>
          <w:lang w:val="ru-RU"/>
        </w:rPr>
        <w:t xml:space="preserve">с модифицированными условиями договора. Как правило, клиент должен будет последовательно демонстрировать добросовестное осуществление выплат в течение периода времени до того, как кредитный риск </w:t>
      </w:r>
      <w:r w:rsidR="00AD6FB0" w:rsidRPr="0049187C">
        <w:rPr>
          <w:lang w:val="ru-RU"/>
        </w:rPr>
        <w:t>будет считаться уменьшившимся</w:t>
      </w:r>
      <w:r w:rsidR="00345A2A" w:rsidRPr="0049187C">
        <w:rPr>
          <w:lang w:val="ru-RU"/>
        </w:rPr>
        <w:t>. Например, история</w:t>
      </w:r>
      <w:r w:rsidRPr="0049187C">
        <w:rPr>
          <w:lang w:val="ru-RU"/>
        </w:rPr>
        <w:t xml:space="preserve"> </w:t>
      </w:r>
      <w:r w:rsidR="00345A2A" w:rsidRPr="0049187C">
        <w:rPr>
          <w:lang w:val="ru-RU"/>
        </w:rPr>
        <w:t xml:space="preserve">пропущенных выплат или выплат в неполном объеме не будет </w:t>
      </w:r>
      <w:r w:rsidR="002C1BCE">
        <w:rPr>
          <w:lang w:val="ru-RU"/>
        </w:rPr>
        <w:t>п</w:t>
      </w:r>
      <w:r w:rsidR="00385B19">
        <w:rPr>
          <w:lang w:val="ru-RU"/>
        </w:rPr>
        <w:t>р</w:t>
      </w:r>
      <w:r w:rsidR="002C1BCE">
        <w:rPr>
          <w:lang w:val="ru-RU"/>
        </w:rPr>
        <w:t>оигнорирована</w:t>
      </w:r>
      <w:r w:rsidR="002C1BCE" w:rsidRPr="0049187C">
        <w:rPr>
          <w:lang w:val="ru-RU"/>
        </w:rPr>
        <w:t xml:space="preserve"> </w:t>
      </w:r>
      <w:r w:rsidR="002C1BCE">
        <w:rPr>
          <w:lang w:val="ru-RU"/>
        </w:rPr>
        <w:t xml:space="preserve">только по той причине, что после </w:t>
      </w:r>
      <w:r w:rsidR="00345A2A" w:rsidRPr="0049187C">
        <w:rPr>
          <w:lang w:val="ru-RU"/>
        </w:rPr>
        <w:t>модификации условий договора</w:t>
      </w:r>
      <w:r w:rsidR="002C1BCE" w:rsidRPr="002C1BCE">
        <w:rPr>
          <w:lang w:val="ru-RU"/>
        </w:rPr>
        <w:t xml:space="preserve"> </w:t>
      </w:r>
      <w:r w:rsidR="002C1BCE">
        <w:rPr>
          <w:lang w:val="ru-RU"/>
        </w:rPr>
        <w:t xml:space="preserve">была </w:t>
      </w:r>
      <w:r w:rsidR="002C1BCE" w:rsidRPr="0049187C">
        <w:rPr>
          <w:lang w:val="ru-RU"/>
        </w:rPr>
        <w:t>осуществлен</w:t>
      </w:r>
      <w:r w:rsidR="002C1BCE">
        <w:rPr>
          <w:lang w:val="ru-RU"/>
        </w:rPr>
        <w:t>а</w:t>
      </w:r>
      <w:r w:rsidR="002C1BCE" w:rsidRPr="0049187C">
        <w:rPr>
          <w:lang w:val="ru-RU"/>
        </w:rPr>
        <w:t xml:space="preserve"> одн</w:t>
      </w:r>
      <w:r w:rsidR="002C1BCE">
        <w:rPr>
          <w:lang w:val="ru-RU"/>
        </w:rPr>
        <w:t>а</w:t>
      </w:r>
      <w:r w:rsidR="002C1BCE" w:rsidRPr="0049187C">
        <w:rPr>
          <w:lang w:val="ru-RU"/>
        </w:rPr>
        <w:t xml:space="preserve"> своевременн</w:t>
      </w:r>
      <w:r w:rsidR="002C1BCE">
        <w:rPr>
          <w:lang w:val="ru-RU"/>
        </w:rPr>
        <w:t>ая</w:t>
      </w:r>
      <w:r w:rsidR="002C1BCE" w:rsidRPr="0049187C">
        <w:rPr>
          <w:lang w:val="ru-RU"/>
        </w:rPr>
        <w:t xml:space="preserve"> выплат</w:t>
      </w:r>
      <w:r w:rsidR="002C1BCE">
        <w:rPr>
          <w:lang w:val="ru-RU"/>
        </w:rPr>
        <w:t>а</w:t>
      </w:r>
      <w:r w:rsidR="00345A2A" w:rsidRPr="0049187C">
        <w:rPr>
          <w:lang w:val="ru-RU"/>
        </w:rPr>
        <w:t>.</w:t>
      </w:r>
      <w:r w:rsidRPr="0049187C">
        <w:rPr>
          <w:lang w:val="ru-RU"/>
        </w:rPr>
        <w:t xml:space="preserve"> </w:t>
      </w:r>
      <w:bookmarkEnd w:id="319"/>
    </w:p>
    <w:p w:rsidR="001529CA" w:rsidRPr="0049187C" w:rsidRDefault="00B73637">
      <w:pPr>
        <w:pStyle w:val="IASBSectionTitle2Ind"/>
        <w:rPr>
          <w:lang w:val="ru-RU"/>
        </w:rPr>
      </w:pPr>
      <w:r w:rsidRPr="00C44E6E">
        <w:rPr>
          <w:lang w:val="ru-RU"/>
        </w:rPr>
        <w:t>Оценка ожидаемых кредитных убытков</w:t>
      </w:r>
    </w:p>
    <w:p w:rsidR="001529CA" w:rsidRPr="0049187C" w:rsidRDefault="00B73637">
      <w:pPr>
        <w:pStyle w:val="IASBSectionTitle3Ind"/>
        <w:rPr>
          <w:lang w:val="ru-RU"/>
        </w:rPr>
      </w:pPr>
      <w:r w:rsidRPr="0049187C">
        <w:rPr>
          <w:lang w:val="ru-RU"/>
        </w:rPr>
        <w:t>Ожидаемые кредитные убытки</w:t>
      </w:r>
    </w:p>
    <w:p w:rsidR="001529CA" w:rsidRPr="0049187C" w:rsidRDefault="001529CA">
      <w:pPr>
        <w:pStyle w:val="IASBNormalnpara"/>
        <w:rPr>
          <w:lang w:val="ru-RU"/>
        </w:rPr>
      </w:pPr>
      <w:r w:rsidRPr="0049187C">
        <w:rPr>
          <w:lang w:val="ru-RU"/>
        </w:rPr>
        <w:t>B5.5.28</w:t>
      </w:r>
      <w:r w:rsidRPr="0049187C">
        <w:rPr>
          <w:lang w:val="ru-RU"/>
        </w:rPr>
        <w:tab/>
      </w:r>
      <w:bookmarkStart w:id="320" w:name="F32626579"/>
      <w:r w:rsidR="00B73637" w:rsidRPr="0049187C">
        <w:rPr>
          <w:lang w:val="ru-RU"/>
        </w:rPr>
        <w:t>Ожидаемые кредитные убытки являются взвешенной с учетом вероятност</w:t>
      </w:r>
      <w:r w:rsidR="00921D42">
        <w:rPr>
          <w:lang w:val="ru-RU"/>
        </w:rPr>
        <w:t>и оценкой кредитных убытков (т.</w:t>
      </w:r>
      <w:r w:rsidR="00921D42">
        <w:t> </w:t>
      </w:r>
      <w:r w:rsidR="00B73637" w:rsidRPr="0049187C">
        <w:rPr>
          <w:lang w:val="ru-RU"/>
        </w:rPr>
        <w:t xml:space="preserve">е. приведенной стоимостью </w:t>
      </w:r>
      <w:r w:rsidR="00385B19">
        <w:rPr>
          <w:lang w:val="ru-RU"/>
        </w:rPr>
        <w:t xml:space="preserve">всех </w:t>
      </w:r>
      <w:r w:rsidR="00A349DA">
        <w:rPr>
          <w:lang w:val="ru-RU"/>
        </w:rPr>
        <w:t xml:space="preserve">ожидаемых </w:t>
      </w:r>
      <w:r w:rsidR="00385B19">
        <w:rPr>
          <w:lang w:val="ru-RU"/>
        </w:rPr>
        <w:t>н</w:t>
      </w:r>
      <w:r w:rsidR="00A349DA">
        <w:rPr>
          <w:lang w:val="ru-RU"/>
        </w:rPr>
        <w:t>едополучений</w:t>
      </w:r>
      <w:r w:rsidR="00385B19" w:rsidRPr="0049187C">
        <w:rPr>
          <w:lang w:val="ru-RU"/>
        </w:rPr>
        <w:t xml:space="preserve"> </w:t>
      </w:r>
      <w:r w:rsidR="00B73637" w:rsidRPr="0049187C">
        <w:rPr>
          <w:lang w:val="ru-RU"/>
        </w:rPr>
        <w:t>денежных средств</w:t>
      </w:r>
      <w:r w:rsidRPr="0049187C">
        <w:rPr>
          <w:lang w:val="ru-RU"/>
        </w:rPr>
        <w:t xml:space="preserve">) </w:t>
      </w:r>
      <w:r w:rsidR="007E6FF8">
        <w:rPr>
          <w:lang w:val="ru-RU"/>
        </w:rPr>
        <w:t>за весь ожидаемый срок</w:t>
      </w:r>
      <w:r w:rsidR="00B73637" w:rsidRPr="0049187C">
        <w:rPr>
          <w:lang w:val="ru-RU"/>
        </w:rPr>
        <w:t xml:space="preserve"> действия финансового инструмента</w:t>
      </w:r>
      <w:r w:rsidRPr="0049187C">
        <w:rPr>
          <w:lang w:val="ru-RU"/>
        </w:rPr>
        <w:t xml:space="preserve">. </w:t>
      </w:r>
      <w:r w:rsidR="004D1A31">
        <w:rPr>
          <w:lang w:val="ru-RU"/>
        </w:rPr>
        <w:t>Недополучение</w:t>
      </w:r>
      <w:r w:rsidR="00385B19" w:rsidRPr="0049187C">
        <w:rPr>
          <w:lang w:val="ru-RU"/>
        </w:rPr>
        <w:t xml:space="preserve"> </w:t>
      </w:r>
      <w:r w:rsidR="00144DC8" w:rsidRPr="0049187C">
        <w:rPr>
          <w:lang w:val="ru-RU"/>
        </w:rPr>
        <w:t xml:space="preserve">денежных средств – это разница между денежными потоками, причитающимися организации в соответствии с договором, и денежными потоками, которые организация ожидает получить. Поскольку ожидаемые кредитные убытки учитывают сумму и сроки выплат, кредитный убыток возникает даже </w:t>
      </w:r>
      <w:r w:rsidR="00AD6FB0" w:rsidRPr="0049187C">
        <w:rPr>
          <w:lang w:val="ru-RU"/>
        </w:rPr>
        <w:t xml:space="preserve">в том случае, </w:t>
      </w:r>
      <w:r w:rsidR="00144DC8" w:rsidRPr="0049187C">
        <w:rPr>
          <w:lang w:val="ru-RU"/>
        </w:rPr>
        <w:t>ес</w:t>
      </w:r>
      <w:r w:rsidR="007F17EB" w:rsidRPr="0049187C">
        <w:rPr>
          <w:lang w:val="ru-RU"/>
        </w:rPr>
        <w:t>л</w:t>
      </w:r>
      <w:r w:rsidR="00144DC8" w:rsidRPr="0049187C">
        <w:rPr>
          <w:lang w:val="ru-RU"/>
        </w:rPr>
        <w:t xml:space="preserve">и организация ожидает получить </w:t>
      </w:r>
      <w:r w:rsidR="00385B19">
        <w:rPr>
          <w:lang w:val="ru-RU"/>
        </w:rPr>
        <w:t>всю сумму</w:t>
      </w:r>
      <w:r w:rsidR="00385B19" w:rsidRPr="0049187C">
        <w:rPr>
          <w:lang w:val="ru-RU"/>
        </w:rPr>
        <w:t xml:space="preserve"> </w:t>
      </w:r>
      <w:r w:rsidR="00144DC8" w:rsidRPr="0049187C">
        <w:rPr>
          <w:lang w:val="ru-RU"/>
        </w:rPr>
        <w:t>в полном объеме, но позже, чем предусмотрено договором</w:t>
      </w:r>
      <w:r w:rsidRPr="0049187C">
        <w:rPr>
          <w:lang w:val="ru-RU"/>
        </w:rPr>
        <w:t>.</w:t>
      </w:r>
      <w:bookmarkEnd w:id="320"/>
    </w:p>
    <w:p w:rsidR="001529CA" w:rsidRPr="0049187C" w:rsidRDefault="001529CA">
      <w:pPr>
        <w:pStyle w:val="IASBNormalnpara"/>
        <w:rPr>
          <w:lang w:val="ru-RU"/>
        </w:rPr>
      </w:pPr>
      <w:r w:rsidRPr="0049187C">
        <w:rPr>
          <w:lang w:val="ru-RU"/>
        </w:rPr>
        <w:t>B5.5.29</w:t>
      </w:r>
      <w:r w:rsidRPr="0049187C">
        <w:rPr>
          <w:lang w:val="ru-RU"/>
        </w:rPr>
        <w:tab/>
      </w:r>
      <w:bookmarkStart w:id="321" w:name="F32626580"/>
      <w:r w:rsidR="007F17EB" w:rsidRPr="0049187C">
        <w:rPr>
          <w:lang w:val="ru-RU"/>
        </w:rPr>
        <w:t xml:space="preserve">В случае финансовых активов кредитный убыток </w:t>
      </w:r>
      <w:r w:rsidR="00385B19">
        <w:rPr>
          <w:lang w:val="ru-RU"/>
        </w:rPr>
        <w:t>представляет собой</w:t>
      </w:r>
      <w:r w:rsidR="00385B19" w:rsidRPr="0049187C">
        <w:rPr>
          <w:lang w:val="ru-RU"/>
        </w:rPr>
        <w:t xml:space="preserve"> приведенн</w:t>
      </w:r>
      <w:r w:rsidR="00385B19">
        <w:rPr>
          <w:lang w:val="ru-RU"/>
        </w:rPr>
        <w:t>ую</w:t>
      </w:r>
      <w:r w:rsidR="00385B19" w:rsidRPr="0049187C">
        <w:rPr>
          <w:lang w:val="ru-RU"/>
        </w:rPr>
        <w:t xml:space="preserve"> </w:t>
      </w:r>
      <w:r w:rsidR="007F17EB" w:rsidRPr="0049187C">
        <w:rPr>
          <w:lang w:val="ru-RU"/>
        </w:rPr>
        <w:t>стоимость разницы между</w:t>
      </w:r>
      <w:r w:rsidRPr="0049187C">
        <w:rPr>
          <w:lang w:val="ru-RU"/>
        </w:rPr>
        <w:t>:</w:t>
      </w:r>
      <w:bookmarkEnd w:id="321"/>
    </w:p>
    <w:p w:rsidR="001529CA" w:rsidRPr="0049187C" w:rsidRDefault="001529CA">
      <w:pPr>
        <w:pStyle w:val="IASBNormalnparaL1"/>
        <w:rPr>
          <w:lang w:val="ru-RU"/>
        </w:rPr>
      </w:pPr>
      <w:r w:rsidRPr="0049187C">
        <w:rPr>
          <w:lang w:val="ru-RU"/>
        </w:rPr>
        <w:t>(a)</w:t>
      </w:r>
      <w:r w:rsidRPr="0049187C">
        <w:rPr>
          <w:lang w:val="ru-RU"/>
        </w:rPr>
        <w:tab/>
      </w:r>
      <w:bookmarkStart w:id="322" w:name="F32626583"/>
      <w:r w:rsidR="007F17EB" w:rsidRPr="0049187C">
        <w:rPr>
          <w:lang w:val="ru-RU"/>
        </w:rPr>
        <w:t>предусмотренными договором денежными потоками, которые причитаются организации по договору</w:t>
      </w:r>
      <w:r w:rsidRPr="0049187C">
        <w:rPr>
          <w:lang w:val="ru-RU"/>
        </w:rPr>
        <w:t xml:space="preserve">; </w:t>
      </w:r>
      <w:r w:rsidR="007F17EB" w:rsidRPr="0049187C">
        <w:rPr>
          <w:lang w:val="ru-RU"/>
        </w:rPr>
        <w:t>и</w:t>
      </w:r>
      <w:bookmarkEnd w:id="322"/>
    </w:p>
    <w:p w:rsidR="001529CA" w:rsidRPr="0049187C" w:rsidRDefault="001529CA">
      <w:pPr>
        <w:pStyle w:val="IASBNormalnparaL1"/>
        <w:rPr>
          <w:lang w:val="ru-RU"/>
        </w:rPr>
      </w:pPr>
      <w:r w:rsidRPr="0049187C">
        <w:rPr>
          <w:lang w:val="ru-RU"/>
        </w:rPr>
        <w:t>(b)</w:t>
      </w:r>
      <w:r w:rsidRPr="0049187C">
        <w:rPr>
          <w:lang w:val="ru-RU"/>
        </w:rPr>
        <w:tab/>
      </w:r>
      <w:bookmarkStart w:id="323" w:name="F32626587"/>
      <w:r w:rsidR="007F17EB" w:rsidRPr="0049187C">
        <w:rPr>
          <w:lang w:val="ru-RU"/>
        </w:rPr>
        <w:t>денежными потоками, которые организация ожидает получить</w:t>
      </w:r>
      <w:r w:rsidRPr="0049187C">
        <w:rPr>
          <w:lang w:val="ru-RU"/>
        </w:rPr>
        <w:t>.</w:t>
      </w:r>
      <w:bookmarkEnd w:id="323"/>
    </w:p>
    <w:p w:rsidR="001529CA" w:rsidRPr="0049187C" w:rsidRDefault="001529CA">
      <w:pPr>
        <w:pStyle w:val="IASBNormalnpara"/>
        <w:rPr>
          <w:lang w:val="ru-RU"/>
        </w:rPr>
      </w:pPr>
      <w:r w:rsidRPr="0049187C">
        <w:rPr>
          <w:lang w:val="ru-RU"/>
        </w:rPr>
        <w:t>B5.5.30</w:t>
      </w:r>
      <w:r w:rsidRPr="0049187C">
        <w:rPr>
          <w:lang w:val="ru-RU"/>
        </w:rPr>
        <w:tab/>
      </w:r>
      <w:bookmarkStart w:id="324" w:name="F32626588"/>
      <w:r w:rsidR="007F17EB" w:rsidRPr="0049187C">
        <w:rPr>
          <w:lang w:val="ru-RU"/>
        </w:rPr>
        <w:t xml:space="preserve">В случае неиспользованной части обязательств по предоставлению займов кредитный убыток </w:t>
      </w:r>
      <w:r w:rsidR="00385B19">
        <w:rPr>
          <w:lang w:val="ru-RU"/>
        </w:rPr>
        <w:t>представляет собой</w:t>
      </w:r>
      <w:r w:rsidR="00385B19" w:rsidRPr="0049187C">
        <w:rPr>
          <w:lang w:val="ru-RU"/>
        </w:rPr>
        <w:t xml:space="preserve"> приведенн</w:t>
      </w:r>
      <w:r w:rsidR="00385B19">
        <w:rPr>
          <w:lang w:val="ru-RU"/>
        </w:rPr>
        <w:t>ую</w:t>
      </w:r>
      <w:r w:rsidR="00385B19" w:rsidRPr="0049187C">
        <w:rPr>
          <w:lang w:val="ru-RU"/>
        </w:rPr>
        <w:t xml:space="preserve"> </w:t>
      </w:r>
      <w:r w:rsidR="007F17EB" w:rsidRPr="0049187C">
        <w:rPr>
          <w:lang w:val="ru-RU"/>
        </w:rPr>
        <w:t>стоимость разницы между</w:t>
      </w:r>
      <w:r w:rsidRPr="0049187C">
        <w:rPr>
          <w:lang w:val="ru-RU"/>
        </w:rPr>
        <w:t>:</w:t>
      </w:r>
      <w:bookmarkEnd w:id="324"/>
    </w:p>
    <w:p w:rsidR="001529CA" w:rsidRPr="0049187C" w:rsidRDefault="001529CA">
      <w:pPr>
        <w:pStyle w:val="IASBNormalnparaL1"/>
        <w:rPr>
          <w:lang w:val="ru-RU"/>
        </w:rPr>
      </w:pPr>
      <w:r w:rsidRPr="0049187C">
        <w:rPr>
          <w:lang w:val="ru-RU"/>
        </w:rPr>
        <w:t>(a)</w:t>
      </w:r>
      <w:r w:rsidRPr="0049187C">
        <w:rPr>
          <w:lang w:val="ru-RU"/>
        </w:rPr>
        <w:tab/>
      </w:r>
      <w:bookmarkStart w:id="325" w:name="F32626591"/>
      <w:r w:rsidR="007F17EB" w:rsidRPr="0049187C">
        <w:rPr>
          <w:lang w:val="ru-RU"/>
        </w:rPr>
        <w:t xml:space="preserve">предусмотренными договором денежными потоками, которые причитаются организации, если держатель обязательства по предоставлению займов использует </w:t>
      </w:r>
      <w:r w:rsidR="00385B19">
        <w:rPr>
          <w:lang w:val="ru-RU"/>
        </w:rPr>
        <w:t>право на получение займа</w:t>
      </w:r>
      <w:r w:rsidRPr="0049187C">
        <w:rPr>
          <w:lang w:val="ru-RU"/>
        </w:rPr>
        <w:t xml:space="preserve">; </w:t>
      </w:r>
      <w:r w:rsidR="007F17EB" w:rsidRPr="0049187C">
        <w:rPr>
          <w:lang w:val="ru-RU"/>
        </w:rPr>
        <w:t>и</w:t>
      </w:r>
      <w:bookmarkEnd w:id="325"/>
    </w:p>
    <w:p w:rsidR="001529CA" w:rsidRPr="0049187C" w:rsidRDefault="001529CA">
      <w:pPr>
        <w:pStyle w:val="IASBNormalnparaL1"/>
        <w:rPr>
          <w:lang w:val="ru-RU"/>
        </w:rPr>
      </w:pPr>
      <w:r w:rsidRPr="0049187C">
        <w:rPr>
          <w:lang w:val="ru-RU"/>
        </w:rPr>
        <w:t>(b)</w:t>
      </w:r>
      <w:r w:rsidRPr="0049187C">
        <w:rPr>
          <w:lang w:val="ru-RU"/>
        </w:rPr>
        <w:tab/>
      </w:r>
      <w:bookmarkStart w:id="326" w:name="F32626593"/>
      <w:r w:rsidR="007F17EB" w:rsidRPr="0049187C">
        <w:rPr>
          <w:lang w:val="ru-RU"/>
        </w:rPr>
        <w:t xml:space="preserve">денежными потоками, которые организация ожидает получить, если </w:t>
      </w:r>
      <w:r w:rsidR="007E3C4F">
        <w:rPr>
          <w:lang w:val="ru-RU"/>
        </w:rPr>
        <w:t>право на получение займа было использовано</w:t>
      </w:r>
      <w:r w:rsidRPr="0049187C">
        <w:rPr>
          <w:lang w:val="ru-RU"/>
        </w:rPr>
        <w:t>.</w:t>
      </w:r>
      <w:bookmarkEnd w:id="326"/>
    </w:p>
    <w:p w:rsidR="001529CA" w:rsidRPr="0049187C" w:rsidRDefault="001529CA">
      <w:pPr>
        <w:pStyle w:val="IASBNormalnpara"/>
        <w:rPr>
          <w:lang w:val="ru-RU"/>
        </w:rPr>
      </w:pPr>
      <w:r w:rsidRPr="0049187C">
        <w:rPr>
          <w:lang w:val="ru-RU"/>
        </w:rPr>
        <w:t>B5.5.31</w:t>
      </w:r>
      <w:r w:rsidRPr="0049187C">
        <w:rPr>
          <w:lang w:val="ru-RU"/>
        </w:rPr>
        <w:tab/>
      </w:r>
      <w:bookmarkStart w:id="327" w:name="F32626594"/>
      <w:r w:rsidR="00F25D90" w:rsidRPr="0049187C">
        <w:rPr>
          <w:lang w:val="ru-RU"/>
        </w:rPr>
        <w:t>Осуществл</w:t>
      </w:r>
      <w:r w:rsidR="007E3C4F">
        <w:rPr>
          <w:lang w:val="ru-RU"/>
        </w:rPr>
        <w:t>яемая</w:t>
      </w:r>
      <w:r w:rsidR="00964EDD" w:rsidRPr="0049187C">
        <w:rPr>
          <w:lang w:val="ru-RU"/>
        </w:rPr>
        <w:t xml:space="preserve"> организацией оценка ожидаемых кредитных убытков по обязательствам по предоставлению займов должна соответствовать ее ожиданиям в отношении использования </w:t>
      </w:r>
      <w:r w:rsidR="007E3C4F">
        <w:rPr>
          <w:lang w:val="ru-RU"/>
        </w:rPr>
        <w:t xml:space="preserve">права на получение </w:t>
      </w:r>
      <w:r w:rsidR="00943C3D" w:rsidRPr="0049187C">
        <w:rPr>
          <w:lang w:val="ru-RU"/>
        </w:rPr>
        <w:t xml:space="preserve">займа в рамках </w:t>
      </w:r>
      <w:r w:rsidR="00964EDD" w:rsidRPr="0049187C">
        <w:rPr>
          <w:lang w:val="ru-RU"/>
        </w:rPr>
        <w:t>обязательства по пре</w:t>
      </w:r>
      <w:r w:rsidR="00921D42">
        <w:rPr>
          <w:lang w:val="ru-RU"/>
        </w:rPr>
        <w:t>доставлению займов, т.</w:t>
      </w:r>
      <w:r w:rsidR="00921D42">
        <w:t> </w:t>
      </w:r>
      <w:r w:rsidR="00964EDD" w:rsidRPr="0049187C">
        <w:rPr>
          <w:lang w:val="ru-RU"/>
        </w:rPr>
        <w:t xml:space="preserve">е. она должна учитывать ожидаемую часть </w:t>
      </w:r>
      <w:r w:rsidR="007E3C4F">
        <w:rPr>
          <w:lang w:val="ru-RU"/>
        </w:rPr>
        <w:t xml:space="preserve">прав на получение займа по </w:t>
      </w:r>
      <w:r w:rsidR="007E3C4F" w:rsidRPr="0049187C">
        <w:rPr>
          <w:lang w:val="ru-RU"/>
        </w:rPr>
        <w:t>обязательств</w:t>
      </w:r>
      <w:r w:rsidR="007E3C4F">
        <w:rPr>
          <w:lang w:val="ru-RU"/>
        </w:rPr>
        <w:t>у</w:t>
      </w:r>
      <w:r w:rsidR="007E3C4F" w:rsidRPr="0049187C">
        <w:rPr>
          <w:lang w:val="ru-RU"/>
        </w:rPr>
        <w:t xml:space="preserve"> </w:t>
      </w:r>
      <w:r w:rsidR="00964EDD" w:rsidRPr="0049187C">
        <w:rPr>
          <w:lang w:val="ru-RU"/>
        </w:rPr>
        <w:t xml:space="preserve">по предоставлению займов, которая будет использована </w:t>
      </w:r>
      <w:r w:rsidR="00057605" w:rsidRPr="0049187C">
        <w:rPr>
          <w:lang w:val="ru-RU"/>
        </w:rPr>
        <w:t>на протяжении</w:t>
      </w:r>
      <w:r w:rsidR="00964EDD" w:rsidRPr="0049187C">
        <w:rPr>
          <w:lang w:val="ru-RU"/>
        </w:rPr>
        <w:t xml:space="preserve"> 12 месяцев после отчетной даты при оценке </w:t>
      </w:r>
      <w:r w:rsidR="007E6FF8">
        <w:rPr>
          <w:lang w:val="ru-RU"/>
        </w:rPr>
        <w:t xml:space="preserve">12-месячных </w:t>
      </w:r>
      <w:r w:rsidR="00964EDD" w:rsidRPr="0049187C">
        <w:rPr>
          <w:lang w:val="ru-RU"/>
        </w:rPr>
        <w:t>ожидаемых кредитных убытков</w:t>
      </w:r>
      <w:r w:rsidR="00E46579">
        <w:rPr>
          <w:lang w:val="ru-RU"/>
        </w:rPr>
        <w:t>,</w:t>
      </w:r>
      <w:r w:rsidR="00964EDD" w:rsidRPr="0049187C">
        <w:rPr>
          <w:lang w:val="ru-RU"/>
        </w:rPr>
        <w:t xml:space="preserve"> и ожидаемую часть </w:t>
      </w:r>
      <w:r w:rsidR="007E3C4F">
        <w:rPr>
          <w:lang w:val="ru-RU"/>
        </w:rPr>
        <w:t xml:space="preserve">прав на получение займа по </w:t>
      </w:r>
      <w:r w:rsidR="007E3C4F" w:rsidRPr="0049187C">
        <w:rPr>
          <w:lang w:val="ru-RU"/>
        </w:rPr>
        <w:t>обязательств</w:t>
      </w:r>
      <w:r w:rsidR="007E3C4F">
        <w:rPr>
          <w:lang w:val="ru-RU"/>
        </w:rPr>
        <w:t>у</w:t>
      </w:r>
      <w:r w:rsidR="007E3C4F" w:rsidRPr="0049187C">
        <w:rPr>
          <w:lang w:val="ru-RU"/>
        </w:rPr>
        <w:t xml:space="preserve"> </w:t>
      </w:r>
      <w:r w:rsidR="00964EDD" w:rsidRPr="0049187C">
        <w:rPr>
          <w:lang w:val="ru-RU"/>
        </w:rPr>
        <w:t xml:space="preserve">по предоставлению займов, которая будет использована в течение ожидаемого срока действия обязательства по предоставлению займов при оценке ожидаемых кредитных убытков </w:t>
      </w:r>
      <w:r w:rsidR="007E6FF8">
        <w:rPr>
          <w:lang w:val="ru-RU"/>
        </w:rPr>
        <w:t>за весь</w:t>
      </w:r>
      <w:r w:rsidR="00964EDD" w:rsidRPr="0049187C">
        <w:rPr>
          <w:lang w:val="ru-RU"/>
        </w:rPr>
        <w:t xml:space="preserve"> срок</w:t>
      </w:r>
      <w:r w:rsidRPr="0049187C">
        <w:rPr>
          <w:lang w:val="ru-RU"/>
        </w:rPr>
        <w:t>.</w:t>
      </w:r>
      <w:bookmarkEnd w:id="327"/>
    </w:p>
    <w:p w:rsidR="001529CA" w:rsidRPr="0049187C" w:rsidRDefault="001529CA">
      <w:pPr>
        <w:pStyle w:val="IASBNormalnpara"/>
        <w:rPr>
          <w:lang w:val="ru-RU"/>
        </w:rPr>
      </w:pPr>
      <w:r w:rsidRPr="0049187C">
        <w:rPr>
          <w:lang w:val="ru-RU"/>
        </w:rPr>
        <w:t>B5.5.32</w:t>
      </w:r>
      <w:r w:rsidRPr="0049187C">
        <w:rPr>
          <w:lang w:val="ru-RU"/>
        </w:rPr>
        <w:tab/>
      </w:r>
      <w:bookmarkStart w:id="328" w:name="F32626595"/>
      <w:r w:rsidR="00503077" w:rsidRPr="0049187C">
        <w:rPr>
          <w:lang w:val="ru-RU"/>
        </w:rPr>
        <w:t xml:space="preserve">В случае договора финансовой гарантии организация должна осуществлять выплаты исключительно </w:t>
      </w:r>
      <w:r w:rsidR="007636B3" w:rsidRPr="0049187C">
        <w:rPr>
          <w:lang w:val="ru-RU"/>
        </w:rPr>
        <w:t>при наступлении</w:t>
      </w:r>
      <w:r w:rsidR="00503077" w:rsidRPr="0049187C">
        <w:rPr>
          <w:lang w:val="ru-RU"/>
        </w:rPr>
        <w:t xml:space="preserve"> </w:t>
      </w:r>
      <w:r w:rsidR="00943C3D" w:rsidRPr="0049187C">
        <w:rPr>
          <w:lang w:val="ru-RU"/>
        </w:rPr>
        <w:t>дефолта</w:t>
      </w:r>
      <w:r w:rsidR="00503077" w:rsidRPr="0049187C">
        <w:rPr>
          <w:lang w:val="ru-RU"/>
        </w:rPr>
        <w:t xml:space="preserve"> должника в соответствии с условиями инструмента, по которому предоставляется гарантия</w:t>
      </w:r>
      <w:r w:rsidRPr="0049187C">
        <w:rPr>
          <w:lang w:val="ru-RU"/>
        </w:rPr>
        <w:t xml:space="preserve">. </w:t>
      </w:r>
      <w:r w:rsidR="00503077" w:rsidRPr="0049187C">
        <w:rPr>
          <w:lang w:val="ru-RU"/>
        </w:rPr>
        <w:t xml:space="preserve">Соответственно, </w:t>
      </w:r>
      <w:r w:rsidR="00527880">
        <w:rPr>
          <w:lang w:val="ru-RU"/>
        </w:rPr>
        <w:t>недополучение</w:t>
      </w:r>
      <w:r w:rsidR="007E3C4F" w:rsidRPr="0049187C">
        <w:rPr>
          <w:lang w:val="ru-RU"/>
        </w:rPr>
        <w:t xml:space="preserve"> </w:t>
      </w:r>
      <w:r w:rsidR="00503077" w:rsidRPr="0049187C">
        <w:rPr>
          <w:lang w:val="ru-RU"/>
        </w:rPr>
        <w:t xml:space="preserve">денежных средств – это ожидаемые выплаты, возмещающие держателю </w:t>
      </w:r>
      <w:r w:rsidR="007E3C4F">
        <w:rPr>
          <w:lang w:val="ru-RU"/>
        </w:rPr>
        <w:t xml:space="preserve">инструмента </w:t>
      </w:r>
      <w:r w:rsidR="00503077" w:rsidRPr="0049187C">
        <w:rPr>
          <w:lang w:val="ru-RU"/>
        </w:rPr>
        <w:t xml:space="preserve">кредитные убытки, которые он несет, за вычетом сумм, которые организация ожидает получить от держателя, должника либо любой другой стороны. Если </w:t>
      </w:r>
      <w:r w:rsidR="007E3C4F">
        <w:rPr>
          <w:lang w:val="ru-RU"/>
        </w:rPr>
        <w:t>гарантия покрывает актив</w:t>
      </w:r>
      <w:r w:rsidR="00503077" w:rsidRPr="0049187C">
        <w:rPr>
          <w:lang w:val="ru-RU"/>
        </w:rPr>
        <w:t xml:space="preserve"> в полном объеме, оценка </w:t>
      </w:r>
      <w:r w:rsidR="00527880">
        <w:rPr>
          <w:lang w:val="ru-RU"/>
        </w:rPr>
        <w:t>недополучений</w:t>
      </w:r>
      <w:r w:rsidR="007E3C4F" w:rsidRPr="0049187C">
        <w:rPr>
          <w:lang w:val="ru-RU"/>
        </w:rPr>
        <w:t xml:space="preserve"> </w:t>
      </w:r>
      <w:r w:rsidR="00503077" w:rsidRPr="0049187C">
        <w:rPr>
          <w:lang w:val="ru-RU"/>
        </w:rPr>
        <w:t xml:space="preserve">денежных средств для договора финансовой гарантии будет соответствовать оценке </w:t>
      </w:r>
      <w:r w:rsidR="00527880">
        <w:rPr>
          <w:lang w:val="ru-RU"/>
        </w:rPr>
        <w:t>недополучений</w:t>
      </w:r>
      <w:r w:rsidR="007E3C4F" w:rsidRPr="0049187C">
        <w:rPr>
          <w:lang w:val="ru-RU"/>
        </w:rPr>
        <w:t xml:space="preserve"> </w:t>
      </w:r>
      <w:r w:rsidR="00503077" w:rsidRPr="0049187C">
        <w:rPr>
          <w:lang w:val="ru-RU"/>
        </w:rPr>
        <w:t>денежных средств для актива, явля</w:t>
      </w:r>
      <w:r w:rsidR="007E3C4F">
        <w:rPr>
          <w:lang w:val="ru-RU"/>
        </w:rPr>
        <w:t>ющегося</w:t>
      </w:r>
      <w:r w:rsidR="00503077" w:rsidRPr="0049187C">
        <w:rPr>
          <w:lang w:val="ru-RU"/>
        </w:rPr>
        <w:t xml:space="preserve"> предметом гарантии</w:t>
      </w:r>
      <w:r w:rsidRPr="0049187C">
        <w:rPr>
          <w:lang w:val="ru-RU"/>
        </w:rPr>
        <w:t>.</w:t>
      </w:r>
      <w:bookmarkEnd w:id="328"/>
    </w:p>
    <w:p w:rsidR="001529CA" w:rsidRPr="0049187C" w:rsidRDefault="001529CA">
      <w:pPr>
        <w:pStyle w:val="IASBNormalnpara"/>
        <w:rPr>
          <w:lang w:val="ru-RU"/>
        </w:rPr>
      </w:pPr>
      <w:r w:rsidRPr="0049187C">
        <w:rPr>
          <w:lang w:val="ru-RU"/>
        </w:rPr>
        <w:t>B5.5.33</w:t>
      </w:r>
      <w:r w:rsidRPr="0049187C">
        <w:rPr>
          <w:lang w:val="ru-RU"/>
        </w:rPr>
        <w:tab/>
      </w:r>
      <w:bookmarkStart w:id="329" w:name="F32626596"/>
      <w:r w:rsidR="00503077" w:rsidRPr="0049187C">
        <w:rPr>
          <w:lang w:val="ru-RU"/>
        </w:rPr>
        <w:t xml:space="preserve">В случае </w:t>
      </w:r>
      <w:r w:rsidR="000B61C3">
        <w:rPr>
          <w:lang w:val="ru-RU"/>
        </w:rPr>
        <w:t xml:space="preserve">кредитно-обесцененного </w:t>
      </w:r>
      <w:r w:rsidR="00503077" w:rsidRPr="0049187C">
        <w:rPr>
          <w:lang w:val="ru-RU"/>
        </w:rPr>
        <w:t>финансового актива</w:t>
      </w:r>
      <w:r w:rsidR="007D71B7">
        <w:rPr>
          <w:lang w:val="ru-RU"/>
        </w:rPr>
        <w:t xml:space="preserve"> по состоянию</w:t>
      </w:r>
      <w:r w:rsidR="001F1045" w:rsidRPr="0049187C">
        <w:rPr>
          <w:lang w:val="ru-RU"/>
        </w:rPr>
        <w:t xml:space="preserve"> на отчетную дату, который при этом не является приобретенным или </w:t>
      </w:r>
      <w:r w:rsidR="000B61C3">
        <w:rPr>
          <w:lang w:val="ru-RU"/>
        </w:rPr>
        <w:t>созданным кредитно-обесцененным</w:t>
      </w:r>
      <w:r w:rsidR="007D40C6" w:rsidRPr="0049187C">
        <w:rPr>
          <w:lang w:val="ru-RU"/>
        </w:rPr>
        <w:t xml:space="preserve"> финансовым активом, организация должна оценить ожидаемые кредитные убытки как разницу между валовой балансовой стоимостью актива и приведенной стоимостью расчетных будущих денежных потоков, дисконтированн</w:t>
      </w:r>
      <w:r w:rsidR="006743F2" w:rsidRPr="0049187C">
        <w:rPr>
          <w:lang w:val="ru-RU"/>
        </w:rPr>
        <w:t>ых</w:t>
      </w:r>
      <w:r w:rsidR="007D40C6" w:rsidRPr="0049187C">
        <w:rPr>
          <w:lang w:val="ru-RU"/>
        </w:rPr>
        <w:t xml:space="preserve"> с использованием первоначальной эффективной процентной ставки по финансовому активу</w:t>
      </w:r>
      <w:r w:rsidRPr="0049187C">
        <w:rPr>
          <w:lang w:val="ru-RU"/>
        </w:rPr>
        <w:t xml:space="preserve">. </w:t>
      </w:r>
      <w:r w:rsidR="007D40C6" w:rsidRPr="0049187C">
        <w:rPr>
          <w:lang w:val="ru-RU"/>
        </w:rPr>
        <w:t>Любая корректировка признается в составе прибыли или убытка как прибыль или убыток от обесценения</w:t>
      </w:r>
      <w:r w:rsidRPr="0049187C">
        <w:rPr>
          <w:lang w:val="ru-RU"/>
        </w:rPr>
        <w:t>.</w:t>
      </w:r>
      <w:bookmarkEnd w:id="329"/>
    </w:p>
    <w:p w:rsidR="001529CA" w:rsidRPr="0049187C" w:rsidRDefault="001529CA">
      <w:pPr>
        <w:pStyle w:val="IASBNormalnpara"/>
        <w:rPr>
          <w:lang w:val="ru-RU"/>
        </w:rPr>
      </w:pPr>
      <w:r w:rsidRPr="0049187C">
        <w:rPr>
          <w:lang w:val="ru-RU"/>
        </w:rPr>
        <w:t>B5.5.34</w:t>
      </w:r>
      <w:r w:rsidRPr="0049187C">
        <w:rPr>
          <w:lang w:val="ru-RU"/>
        </w:rPr>
        <w:tab/>
      </w:r>
      <w:bookmarkStart w:id="330" w:name="F32626597"/>
      <w:r w:rsidR="007C37CB" w:rsidRPr="0049187C">
        <w:rPr>
          <w:lang w:val="ru-RU"/>
        </w:rPr>
        <w:t>При</w:t>
      </w:r>
      <w:r w:rsidR="007D40C6" w:rsidRPr="0049187C">
        <w:rPr>
          <w:lang w:val="ru-RU"/>
        </w:rPr>
        <w:t xml:space="preserve"> оценк</w:t>
      </w:r>
      <w:r w:rsidR="007C37CB" w:rsidRPr="0049187C">
        <w:rPr>
          <w:lang w:val="ru-RU"/>
        </w:rPr>
        <w:t>е</w:t>
      </w:r>
      <w:r w:rsidR="007D40C6" w:rsidRPr="0049187C">
        <w:rPr>
          <w:lang w:val="ru-RU"/>
        </w:rPr>
        <w:t xml:space="preserve"> оценочного резерва под убытки для дебиторской задолженности по аренде денежные потоки, используемые для определения ожидаемых кредитных убытков</w:t>
      </w:r>
      <w:r w:rsidR="007B0E29" w:rsidRPr="0049187C">
        <w:rPr>
          <w:lang w:val="ru-RU"/>
        </w:rPr>
        <w:t>,</w:t>
      </w:r>
      <w:r w:rsidR="007D40C6" w:rsidRPr="0049187C">
        <w:rPr>
          <w:lang w:val="ru-RU"/>
        </w:rPr>
        <w:t xml:space="preserve"> должны соответствовать денежным потокам, используемым при оценке дебиторской задолженности по а</w:t>
      </w:r>
      <w:r w:rsidR="00015E5A">
        <w:rPr>
          <w:lang w:val="ru-RU"/>
        </w:rPr>
        <w:t xml:space="preserve">ренде в соответствии с </w:t>
      </w:r>
      <w:r w:rsidR="00047253" w:rsidRPr="00047253">
        <w:rPr>
          <w:lang w:val="ru-RU"/>
        </w:rPr>
        <w:t>МСФО (IFRS</w:t>
      </w:r>
      <w:r w:rsidR="00047253">
        <w:rPr>
          <w:lang w:val="ru-RU"/>
        </w:rPr>
        <w:t>)</w:t>
      </w:r>
      <w:r w:rsidR="00047253" w:rsidRPr="00047253">
        <w:rPr>
          <w:lang w:val="ru-RU"/>
        </w:rPr>
        <w:t xml:space="preserve"> 16</w:t>
      </w:r>
      <w:r w:rsidRPr="0049187C">
        <w:rPr>
          <w:lang w:val="ru-RU"/>
        </w:rPr>
        <w:t xml:space="preserve"> </w:t>
      </w:r>
      <w:r w:rsidR="007D40C6" w:rsidRPr="0049187C">
        <w:rPr>
          <w:i/>
          <w:lang w:val="ru-RU"/>
        </w:rPr>
        <w:t>«Аренда»</w:t>
      </w:r>
      <w:r w:rsidRPr="0049187C">
        <w:rPr>
          <w:lang w:val="ru-RU"/>
        </w:rPr>
        <w:t>.</w:t>
      </w:r>
      <w:bookmarkEnd w:id="330"/>
    </w:p>
    <w:p w:rsidR="001529CA" w:rsidRPr="0049187C" w:rsidRDefault="001529CA">
      <w:pPr>
        <w:pStyle w:val="IASBNormalnpara"/>
        <w:rPr>
          <w:lang w:val="ru-RU"/>
        </w:rPr>
      </w:pPr>
      <w:r w:rsidRPr="0049187C">
        <w:rPr>
          <w:lang w:val="ru-RU"/>
        </w:rPr>
        <w:t>B5.5.35</w:t>
      </w:r>
      <w:r w:rsidRPr="0049187C">
        <w:rPr>
          <w:lang w:val="ru-RU"/>
        </w:rPr>
        <w:tab/>
      </w:r>
      <w:bookmarkStart w:id="331" w:name="F32626599"/>
      <w:r w:rsidR="007D40C6" w:rsidRPr="0049187C">
        <w:rPr>
          <w:lang w:val="ru-RU"/>
        </w:rPr>
        <w:t xml:space="preserve">Организация может использовать </w:t>
      </w:r>
      <w:r w:rsidR="004A0580" w:rsidRPr="0049187C">
        <w:rPr>
          <w:lang w:val="ru-RU"/>
        </w:rPr>
        <w:t>упрощения</w:t>
      </w:r>
      <w:r w:rsidR="007D40C6" w:rsidRPr="0049187C">
        <w:rPr>
          <w:lang w:val="ru-RU"/>
        </w:rPr>
        <w:t xml:space="preserve"> практического характера при оценке ожидаемых кредитных убытков, если они соответствуют принципам</w:t>
      </w:r>
      <w:r w:rsidR="007E6E67">
        <w:rPr>
          <w:lang w:val="ru-RU"/>
        </w:rPr>
        <w:t>, указанным</w:t>
      </w:r>
      <w:r w:rsidR="007D40C6" w:rsidRPr="0049187C">
        <w:rPr>
          <w:lang w:val="ru-RU"/>
        </w:rPr>
        <w:t xml:space="preserve"> </w:t>
      </w:r>
      <w:r w:rsidR="004A0580" w:rsidRPr="0049187C">
        <w:rPr>
          <w:lang w:val="ru-RU"/>
        </w:rPr>
        <w:t xml:space="preserve">в </w:t>
      </w:r>
      <w:r w:rsidR="007D40C6" w:rsidRPr="0049187C">
        <w:rPr>
          <w:lang w:val="ru-RU"/>
        </w:rPr>
        <w:t>пункт</w:t>
      </w:r>
      <w:r w:rsidR="004A0580" w:rsidRPr="0049187C">
        <w:rPr>
          <w:lang w:val="ru-RU"/>
        </w:rPr>
        <w:t>е</w:t>
      </w:r>
      <w:r w:rsidRPr="0049187C">
        <w:rPr>
          <w:lang w:val="ru-RU"/>
        </w:rPr>
        <w:t xml:space="preserve"> 5.5.17. </w:t>
      </w:r>
      <w:r w:rsidR="007D40C6" w:rsidRPr="0049187C">
        <w:rPr>
          <w:lang w:val="ru-RU"/>
        </w:rPr>
        <w:t xml:space="preserve">Примером </w:t>
      </w:r>
      <w:r w:rsidR="004A0580" w:rsidRPr="0049187C">
        <w:rPr>
          <w:lang w:val="ru-RU"/>
        </w:rPr>
        <w:t>упрощения</w:t>
      </w:r>
      <w:r w:rsidR="007D40C6" w:rsidRPr="0049187C">
        <w:rPr>
          <w:lang w:val="ru-RU"/>
        </w:rPr>
        <w:t xml:space="preserve"> практического характера </w:t>
      </w:r>
      <w:r w:rsidR="00A534B2" w:rsidRPr="0049187C">
        <w:rPr>
          <w:lang w:val="ru-RU"/>
        </w:rPr>
        <w:t xml:space="preserve">является расчет ожидаемых кредитных убытков по торговой дебиторской задолженности с использованием матрицы оценочных </w:t>
      </w:r>
      <w:r w:rsidR="00D84CDD">
        <w:rPr>
          <w:lang w:val="ru-RU"/>
        </w:rPr>
        <w:t>резервов</w:t>
      </w:r>
      <w:r w:rsidRPr="0049187C">
        <w:rPr>
          <w:lang w:val="ru-RU"/>
        </w:rPr>
        <w:t xml:space="preserve">. </w:t>
      </w:r>
      <w:r w:rsidR="00A534B2" w:rsidRPr="0049187C">
        <w:rPr>
          <w:lang w:val="ru-RU"/>
        </w:rPr>
        <w:t xml:space="preserve">Организация будет использовать свой </w:t>
      </w:r>
      <w:r w:rsidR="007B0E29" w:rsidRPr="0049187C">
        <w:rPr>
          <w:lang w:val="ru-RU"/>
        </w:rPr>
        <w:t xml:space="preserve">прошлый </w:t>
      </w:r>
      <w:r w:rsidR="00A534B2" w:rsidRPr="0049187C">
        <w:rPr>
          <w:lang w:val="ru-RU"/>
        </w:rPr>
        <w:t xml:space="preserve">опыт </w:t>
      </w:r>
      <w:r w:rsidR="0080029F" w:rsidRPr="0049187C">
        <w:rPr>
          <w:lang w:val="ru-RU"/>
        </w:rPr>
        <w:t xml:space="preserve">возникновения </w:t>
      </w:r>
      <w:r w:rsidR="00A534B2" w:rsidRPr="0049187C">
        <w:rPr>
          <w:lang w:val="ru-RU"/>
        </w:rPr>
        <w:t>кредитных убытков (скорректированных соответствующим образом согласно пунктам</w:t>
      </w:r>
      <w:r w:rsidRPr="0049187C">
        <w:rPr>
          <w:lang w:val="ru-RU"/>
        </w:rPr>
        <w:t xml:space="preserve"> B5.5.51–B5.5.52) </w:t>
      </w:r>
      <w:r w:rsidR="00A534B2" w:rsidRPr="0049187C">
        <w:rPr>
          <w:lang w:val="ru-RU"/>
        </w:rPr>
        <w:t xml:space="preserve">в случае торговой дебиторской задолженности для оценки </w:t>
      </w:r>
      <w:r w:rsidR="007E6FF8">
        <w:rPr>
          <w:lang w:val="ru-RU"/>
        </w:rPr>
        <w:t xml:space="preserve">12-месячных </w:t>
      </w:r>
      <w:r w:rsidR="00A534B2" w:rsidRPr="0049187C">
        <w:rPr>
          <w:lang w:val="ru-RU"/>
        </w:rPr>
        <w:t xml:space="preserve">ожидаемых кредитных убытков или ожидаемых кредитных убытков </w:t>
      </w:r>
      <w:r w:rsidR="007E6FF8">
        <w:rPr>
          <w:lang w:val="ru-RU"/>
        </w:rPr>
        <w:t>за весь срок</w:t>
      </w:r>
      <w:r w:rsidR="00A534B2" w:rsidRPr="0049187C">
        <w:rPr>
          <w:lang w:val="ru-RU"/>
        </w:rPr>
        <w:t xml:space="preserve">, </w:t>
      </w:r>
      <w:r w:rsidR="00A4608B">
        <w:rPr>
          <w:lang w:val="ru-RU"/>
        </w:rPr>
        <w:t>соответственно</w:t>
      </w:r>
      <w:r w:rsidRPr="0049187C">
        <w:rPr>
          <w:lang w:val="ru-RU"/>
        </w:rPr>
        <w:t xml:space="preserve">. </w:t>
      </w:r>
      <w:r w:rsidR="00A534B2" w:rsidRPr="0049187C">
        <w:rPr>
          <w:lang w:val="ru-RU"/>
        </w:rPr>
        <w:t xml:space="preserve">Матрица оценочных </w:t>
      </w:r>
      <w:r w:rsidR="00A4608B">
        <w:rPr>
          <w:lang w:val="ru-RU"/>
        </w:rPr>
        <w:t>резервов</w:t>
      </w:r>
      <w:r w:rsidR="00A4608B" w:rsidRPr="0049187C">
        <w:rPr>
          <w:lang w:val="ru-RU"/>
        </w:rPr>
        <w:t xml:space="preserve"> </w:t>
      </w:r>
      <w:r w:rsidR="00A534B2" w:rsidRPr="0049187C">
        <w:rPr>
          <w:lang w:val="ru-RU"/>
        </w:rPr>
        <w:t xml:space="preserve">может, например, устанавливать </w:t>
      </w:r>
      <w:r w:rsidR="00D11F1F" w:rsidRPr="0049187C">
        <w:rPr>
          <w:lang w:val="ru-RU"/>
        </w:rPr>
        <w:t xml:space="preserve">фиксированные ставки оценочных </w:t>
      </w:r>
      <w:r w:rsidR="00A4608B">
        <w:rPr>
          <w:lang w:val="ru-RU"/>
        </w:rPr>
        <w:t>резервов</w:t>
      </w:r>
      <w:r w:rsidR="00A4608B" w:rsidRPr="0049187C">
        <w:rPr>
          <w:lang w:val="ru-RU"/>
        </w:rPr>
        <w:t xml:space="preserve"> </w:t>
      </w:r>
      <w:r w:rsidR="00D11F1F" w:rsidRPr="0049187C">
        <w:rPr>
          <w:lang w:val="ru-RU"/>
        </w:rPr>
        <w:t>в зависимости от количества дней просроч</w:t>
      </w:r>
      <w:r w:rsidR="00A4608B">
        <w:rPr>
          <w:lang w:val="ru-RU"/>
        </w:rPr>
        <w:t>ки</w:t>
      </w:r>
      <w:r w:rsidR="007C37CB" w:rsidRPr="0049187C">
        <w:rPr>
          <w:lang w:val="ru-RU"/>
        </w:rPr>
        <w:t xml:space="preserve"> т</w:t>
      </w:r>
      <w:r w:rsidR="00D11F1F" w:rsidRPr="0049187C">
        <w:rPr>
          <w:lang w:val="ru-RU"/>
        </w:rPr>
        <w:t>орговой дебиторской задолженности (например, 1 процент, если просроч</w:t>
      </w:r>
      <w:r w:rsidR="00A4608B">
        <w:rPr>
          <w:lang w:val="ru-RU"/>
        </w:rPr>
        <w:t>ка</w:t>
      </w:r>
      <w:r w:rsidR="007C37CB" w:rsidRPr="0049187C">
        <w:rPr>
          <w:lang w:val="ru-RU"/>
        </w:rPr>
        <w:t xml:space="preserve"> </w:t>
      </w:r>
      <w:r w:rsidR="00A4608B" w:rsidRPr="0049187C">
        <w:rPr>
          <w:lang w:val="ru-RU"/>
        </w:rPr>
        <w:t>отсутству</w:t>
      </w:r>
      <w:r w:rsidR="00A4608B">
        <w:rPr>
          <w:lang w:val="ru-RU"/>
        </w:rPr>
        <w:t>е</w:t>
      </w:r>
      <w:r w:rsidR="00A4608B" w:rsidRPr="0049187C">
        <w:rPr>
          <w:lang w:val="ru-RU"/>
        </w:rPr>
        <w:t>т</w:t>
      </w:r>
      <w:r w:rsidR="0080029F" w:rsidRPr="0049187C">
        <w:rPr>
          <w:lang w:val="ru-RU"/>
        </w:rPr>
        <w:t>;</w:t>
      </w:r>
      <w:r w:rsidR="00D11F1F" w:rsidRPr="0049187C">
        <w:rPr>
          <w:lang w:val="ru-RU"/>
        </w:rPr>
        <w:t xml:space="preserve"> 2 процента, если </w:t>
      </w:r>
      <w:r w:rsidR="007C37CB" w:rsidRPr="0049187C">
        <w:rPr>
          <w:lang w:val="ru-RU"/>
        </w:rPr>
        <w:t>платежи просрочены</w:t>
      </w:r>
      <w:r w:rsidR="00D11F1F" w:rsidRPr="0049187C">
        <w:rPr>
          <w:lang w:val="ru-RU"/>
        </w:rPr>
        <w:t xml:space="preserve"> менее</w:t>
      </w:r>
      <w:r w:rsidR="007C37CB" w:rsidRPr="0049187C">
        <w:rPr>
          <w:lang w:val="ru-RU"/>
        </w:rPr>
        <w:t xml:space="preserve"> чем на</w:t>
      </w:r>
      <w:r w:rsidR="00D11F1F" w:rsidRPr="0049187C">
        <w:rPr>
          <w:lang w:val="ru-RU"/>
        </w:rPr>
        <w:t xml:space="preserve"> 30 дней</w:t>
      </w:r>
      <w:r w:rsidR="0080029F" w:rsidRPr="0049187C">
        <w:rPr>
          <w:lang w:val="ru-RU"/>
        </w:rPr>
        <w:t>;</w:t>
      </w:r>
      <w:r w:rsidR="00D11F1F" w:rsidRPr="0049187C">
        <w:rPr>
          <w:lang w:val="ru-RU"/>
        </w:rPr>
        <w:t xml:space="preserve"> 3 процента, если </w:t>
      </w:r>
      <w:r w:rsidR="007C37CB" w:rsidRPr="0049187C">
        <w:rPr>
          <w:lang w:val="ru-RU"/>
        </w:rPr>
        <w:t>платежи просрочены</w:t>
      </w:r>
      <w:r w:rsidR="00D11F1F" w:rsidRPr="0049187C">
        <w:rPr>
          <w:lang w:val="ru-RU"/>
        </w:rPr>
        <w:t xml:space="preserve"> более</w:t>
      </w:r>
      <w:r w:rsidR="004A0580" w:rsidRPr="0049187C">
        <w:rPr>
          <w:lang w:val="ru-RU"/>
        </w:rPr>
        <w:t xml:space="preserve"> чем</w:t>
      </w:r>
      <w:r w:rsidR="00374B7B">
        <w:rPr>
          <w:lang w:val="ru-RU"/>
        </w:rPr>
        <w:t xml:space="preserve"> на</w:t>
      </w:r>
      <w:r w:rsidR="00D11F1F" w:rsidRPr="0049187C">
        <w:rPr>
          <w:lang w:val="ru-RU"/>
        </w:rPr>
        <w:t xml:space="preserve"> 30 дней, но менее </w:t>
      </w:r>
      <w:r w:rsidR="004A0580" w:rsidRPr="0049187C">
        <w:rPr>
          <w:lang w:val="ru-RU"/>
        </w:rPr>
        <w:t>чем</w:t>
      </w:r>
      <w:r w:rsidR="00374B7B">
        <w:rPr>
          <w:lang w:val="ru-RU"/>
        </w:rPr>
        <w:t xml:space="preserve"> на</w:t>
      </w:r>
      <w:r w:rsidR="004A0580" w:rsidRPr="0049187C">
        <w:rPr>
          <w:lang w:val="ru-RU"/>
        </w:rPr>
        <w:t xml:space="preserve"> </w:t>
      </w:r>
      <w:r w:rsidR="00D11F1F" w:rsidRPr="0049187C">
        <w:rPr>
          <w:lang w:val="ru-RU"/>
        </w:rPr>
        <w:t>90 дней</w:t>
      </w:r>
      <w:r w:rsidR="0080029F" w:rsidRPr="0049187C">
        <w:rPr>
          <w:lang w:val="ru-RU"/>
        </w:rPr>
        <w:t>;</w:t>
      </w:r>
      <w:r w:rsidR="00D11F1F" w:rsidRPr="0049187C">
        <w:rPr>
          <w:lang w:val="ru-RU"/>
        </w:rPr>
        <w:t xml:space="preserve"> 20 процентов, если </w:t>
      </w:r>
      <w:r w:rsidR="007C37CB" w:rsidRPr="0049187C">
        <w:rPr>
          <w:lang w:val="ru-RU"/>
        </w:rPr>
        <w:t xml:space="preserve">платежи просрочены </w:t>
      </w:r>
      <w:r w:rsidR="00A4608B">
        <w:rPr>
          <w:lang w:val="ru-RU"/>
        </w:rPr>
        <w:t>более чем</w:t>
      </w:r>
      <w:r w:rsidR="00D11F1F" w:rsidRPr="0049187C">
        <w:rPr>
          <w:lang w:val="ru-RU"/>
        </w:rPr>
        <w:t xml:space="preserve"> </w:t>
      </w:r>
      <w:r w:rsidR="00374B7B">
        <w:rPr>
          <w:lang w:val="ru-RU"/>
        </w:rPr>
        <w:t xml:space="preserve">на </w:t>
      </w:r>
      <w:r w:rsidR="00D11F1F" w:rsidRPr="0049187C">
        <w:rPr>
          <w:lang w:val="ru-RU"/>
        </w:rPr>
        <w:t xml:space="preserve">90 </w:t>
      </w:r>
      <w:r w:rsidR="00A4608B">
        <w:rPr>
          <w:lang w:val="ru-RU"/>
        </w:rPr>
        <w:t>дней, но менее</w:t>
      </w:r>
      <w:r w:rsidR="00374B7B">
        <w:rPr>
          <w:lang w:val="ru-RU"/>
        </w:rPr>
        <w:t xml:space="preserve"> чем на</w:t>
      </w:r>
      <w:r w:rsidR="00A4608B" w:rsidRPr="0049187C">
        <w:rPr>
          <w:lang w:val="ru-RU"/>
        </w:rPr>
        <w:t xml:space="preserve"> </w:t>
      </w:r>
      <w:r w:rsidR="00D11F1F" w:rsidRPr="0049187C">
        <w:rPr>
          <w:lang w:val="ru-RU"/>
        </w:rPr>
        <w:t>180 дней и т. д.</w:t>
      </w:r>
      <w:r w:rsidRPr="0049187C">
        <w:rPr>
          <w:lang w:val="ru-RU"/>
        </w:rPr>
        <w:t xml:space="preserve">). </w:t>
      </w:r>
      <w:r w:rsidR="00D11F1F" w:rsidRPr="0049187C">
        <w:rPr>
          <w:lang w:val="ru-RU"/>
        </w:rPr>
        <w:t>В зависимости от ди</w:t>
      </w:r>
      <w:r w:rsidR="0049187C">
        <w:rPr>
          <w:lang w:val="ru-RU"/>
        </w:rPr>
        <w:t>в</w:t>
      </w:r>
      <w:r w:rsidR="00D11F1F" w:rsidRPr="0049187C">
        <w:rPr>
          <w:lang w:val="ru-RU"/>
        </w:rPr>
        <w:t xml:space="preserve">ерсифицированности своей клиентской базы организация будет </w:t>
      </w:r>
      <w:r w:rsidR="001B1431">
        <w:rPr>
          <w:lang w:val="ru-RU"/>
        </w:rPr>
        <w:t xml:space="preserve">группировать активы в </w:t>
      </w:r>
      <w:r w:rsidR="00D11F1F" w:rsidRPr="0049187C">
        <w:rPr>
          <w:lang w:val="ru-RU"/>
        </w:rPr>
        <w:t xml:space="preserve">соответствующие группы, если ее </w:t>
      </w:r>
      <w:r w:rsidR="0080029F" w:rsidRPr="0049187C">
        <w:rPr>
          <w:lang w:val="ru-RU"/>
        </w:rPr>
        <w:t xml:space="preserve">прошлый </w:t>
      </w:r>
      <w:r w:rsidR="00D11F1F" w:rsidRPr="0049187C">
        <w:rPr>
          <w:lang w:val="ru-RU"/>
        </w:rPr>
        <w:t xml:space="preserve">опыт </w:t>
      </w:r>
      <w:r w:rsidR="0080029F" w:rsidRPr="0049187C">
        <w:rPr>
          <w:lang w:val="ru-RU"/>
        </w:rPr>
        <w:t xml:space="preserve">возникновения </w:t>
      </w:r>
      <w:r w:rsidR="00D11F1F" w:rsidRPr="0049187C">
        <w:rPr>
          <w:lang w:val="ru-RU"/>
        </w:rPr>
        <w:t xml:space="preserve">кредитных убытков свидетельствует о значительно отличающихся </w:t>
      </w:r>
      <w:r w:rsidR="001B1431">
        <w:rPr>
          <w:lang w:val="ru-RU"/>
        </w:rPr>
        <w:t xml:space="preserve">характеристиках возникновения </w:t>
      </w:r>
      <w:r w:rsidR="00D11F1F" w:rsidRPr="0049187C">
        <w:rPr>
          <w:lang w:val="ru-RU"/>
        </w:rPr>
        <w:t>убытков для различных</w:t>
      </w:r>
      <w:r w:rsidR="001B1431">
        <w:rPr>
          <w:lang w:val="ru-RU"/>
        </w:rPr>
        <w:t xml:space="preserve"> клиентских</w:t>
      </w:r>
      <w:r w:rsidR="00D11F1F" w:rsidRPr="0049187C">
        <w:rPr>
          <w:lang w:val="ru-RU"/>
        </w:rPr>
        <w:t xml:space="preserve"> сегментов</w:t>
      </w:r>
      <w:r w:rsidRPr="0049187C">
        <w:rPr>
          <w:lang w:val="ru-RU"/>
        </w:rPr>
        <w:t xml:space="preserve">. </w:t>
      </w:r>
      <w:r w:rsidR="00D11F1F" w:rsidRPr="0049187C">
        <w:rPr>
          <w:lang w:val="ru-RU"/>
        </w:rPr>
        <w:t>Примеры критериев, которые могут использоваться для группировки активов, включают в себя географический регион, тип продукта, рейтинг клиент</w:t>
      </w:r>
      <w:r w:rsidR="0080029F" w:rsidRPr="0049187C">
        <w:rPr>
          <w:lang w:val="ru-RU"/>
        </w:rPr>
        <w:t>ов</w:t>
      </w:r>
      <w:r w:rsidR="00D11F1F" w:rsidRPr="0049187C">
        <w:rPr>
          <w:lang w:val="ru-RU"/>
        </w:rPr>
        <w:t>, обеспечение или страхование торговых кредитных рисков и тип клиент</w:t>
      </w:r>
      <w:r w:rsidR="0080029F" w:rsidRPr="0049187C">
        <w:rPr>
          <w:lang w:val="ru-RU"/>
        </w:rPr>
        <w:t>ов</w:t>
      </w:r>
      <w:r w:rsidRPr="0049187C">
        <w:rPr>
          <w:lang w:val="ru-RU"/>
        </w:rPr>
        <w:t xml:space="preserve"> (</w:t>
      </w:r>
      <w:r w:rsidR="00D11F1F" w:rsidRPr="0049187C">
        <w:rPr>
          <w:lang w:val="ru-RU"/>
        </w:rPr>
        <w:t>например, оптовые или розничные</w:t>
      </w:r>
      <w:r w:rsidRPr="0049187C">
        <w:rPr>
          <w:lang w:val="ru-RU"/>
        </w:rPr>
        <w:t xml:space="preserve">). </w:t>
      </w:r>
      <w:bookmarkEnd w:id="331"/>
    </w:p>
    <w:p w:rsidR="001529CA" w:rsidRPr="0049187C" w:rsidRDefault="00D11F1F">
      <w:pPr>
        <w:pStyle w:val="IASBSectionTitle3Ind"/>
        <w:rPr>
          <w:lang w:val="ru-RU"/>
        </w:rPr>
      </w:pPr>
      <w:r w:rsidRPr="0049187C">
        <w:rPr>
          <w:lang w:val="ru-RU"/>
        </w:rPr>
        <w:t xml:space="preserve">Определение </w:t>
      </w:r>
      <w:r w:rsidR="00735450" w:rsidRPr="0049187C">
        <w:rPr>
          <w:lang w:val="ru-RU"/>
        </w:rPr>
        <w:t>дефолта</w:t>
      </w:r>
    </w:p>
    <w:p w:rsidR="001529CA" w:rsidRPr="0049187C" w:rsidRDefault="001529CA">
      <w:pPr>
        <w:pStyle w:val="IASBNormalnpara"/>
        <w:rPr>
          <w:lang w:val="ru-RU"/>
        </w:rPr>
      </w:pPr>
      <w:r w:rsidRPr="0049187C">
        <w:rPr>
          <w:lang w:val="ru-RU"/>
        </w:rPr>
        <w:t>B5.5.36</w:t>
      </w:r>
      <w:r w:rsidRPr="0049187C">
        <w:rPr>
          <w:lang w:val="ru-RU"/>
        </w:rPr>
        <w:tab/>
      </w:r>
      <w:bookmarkStart w:id="332" w:name="F32626602"/>
      <w:r w:rsidR="00735450" w:rsidRPr="0049187C">
        <w:rPr>
          <w:lang w:val="ru-RU"/>
        </w:rPr>
        <w:t>Пункт</w:t>
      </w:r>
      <w:r w:rsidRPr="0049187C">
        <w:rPr>
          <w:lang w:val="ru-RU"/>
        </w:rPr>
        <w:t xml:space="preserve"> 5.5.9 </w:t>
      </w:r>
      <w:r w:rsidR="00735450" w:rsidRPr="0049187C">
        <w:rPr>
          <w:lang w:val="ru-RU"/>
        </w:rPr>
        <w:t xml:space="preserve">требует, чтобы при определении </w:t>
      </w:r>
      <w:r w:rsidR="00562223" w:rsidRPr="0049187C">
        <w:rPr>
          <w:lang w:val="ru-RU"/>
        </w:rPr>
        <w:t xml:space="preserve">того, </w:t>
      </w:r>
      <w:r w:rsidR="00735450" w:rsidRPr="0049187C">
        <w:rPr>
          <w:lang w:val="ru-RU"/>
        </w:rPr>
        <w:t>значительно</w:t>
      </w:r>
      <w:r w:rsidR="00562223" w:rsidRPr="0049187C">
        <w:rPr>
          <w:lang w:val="ru-RU"/>
        </w:rPr>
        <w:t xml:space="preserve"> ли</w:t>
      </w:r>
      <w:r w:rsidR="00735450" w:rsidRPr="0049187C">
        <w:rPr>
          <w:lang w:val="ru-RU"/>
        </w:rPr>
        <w:t xml:space="preserve"> увелич</w:t>
      </w:r>
      <w:r w:rsidR="00562223" w:rsidRPr="0049187C">
        <w:rPr>
          <w:lang w:val="ru-RU"/>
        </w:rPr>
        <w:t>ился</w:t>
      </w:r>
      <w:r w:rsidR="00735450" w:rsidRPr="0049187C">
        <w:rPr>
          <w:lang w:val="ru-RU"/>
        </w:rPr>
        <w:t xml:space="preserve"> кредитн</w:t>
      </w:r>
      <w:r w:rsidR="00562223" w:rsidRPr="0049187C">
        <w:rPr>
          <w:lang w:val="ru-RU"/>
        </w:rPr>
        <w:t>ый</w:t>
      </w:r>
      <w:r w:rsidR="00735450" w:rsidRPr="0049187C">
        <w:rPr>
          <w:lang w:val="ru-RU"/>
        </w:rPr>
        <w:t xml:space="preserve"> риск по финансовому инструменту</w:t>
      </w:r>
      <w:r w:rsidR="00562223" w:rsidRPr="0049187C">
        <w:rPr>
          <w:lang w:val="ru-RU"/>
        </w:rPr>
        <w:t>,</w:t>
      </w:r>
      <w:r w:rsidR="00735450" w:rsidRPr="0049187C">
        <w:rPr>
          <w:lang w:val="ru-RU"/>
        </w:rPr>
        <w:t xml:space="preserve"> организация </w:t>
      </w:r>
      <w:r w:rsidR="003D58BA">
        <w:rPr>
          <w:lang w:val="ru-RU"/>
        </w:rPr>
        <w:t>рассматривала</w:t>
      </w:r>
      <w:r w:rsidR="003D58BA" w:rsidRPr="0049187C">
        <w:rPr>
          <w:lang w:val="ru-RU"/>
        </w:rPr>
        <w:t xml:space="preserve"> </w:t>
      </w:r>
      <w:r w:rsidR="00735450" w:rsidRPr="0049187C">
        <w:rPr>
          <w:lang w:val="ru-RU"/>
        </w:rPr>
        <w:t xml:space="preserve">изменение риска </w:t>
      </w:r>
      <w:r w:rsidR="00A43464" w:rsidRPr="0049187C">
        <w:rPr>
          <w:lang w:val="ru-RU"/>
        </w:rPr>
        <w:t xml:space="preserve">наступления </w:t>
      </w:r>
      <w:r w:rsidR="00735450" w:rsidRPr="0049187C">
        <w:rPr>
          <w:lang w:val="ru-RU"/>
        </w:rPr>
        <w:t xml:space="preserve">дефолта </w:t>
      </w:r>
      <w:r w:rsidR="00C577C1">
        <w:rPr>
          <w:lang w:val="ru-RU"/>
        </w:rPr>
        <w:t>с момента</w:t>
      </w:r>
      <w:r w:rsidR="00735450" w:rsidRPr="0049187C">
        <w:rPr>
          <w:lang w:val="ru-RU"/>
        </w:rPr>
        <w:t xml:space="preserve"> первоначального признания</w:t>
      </w:r>
      <w:r w:rsidRPr="0049187C">
        <w:rPr>
          <w:lang w:val="ru-RU"/>
        </w:rPr>
        <w:t>.</w:t>
      </w:r>
      <w:bookmarkEnd w:id="332"/>
    </w:p>
    <w:p w:rsidR="001529CA" w:rsidRPr="0049187C" w:rsidRDefault="001529CA">
      <w:pPr>
        <w:pStyle w:val="IASBNormalnpara"/>
        <w:rPr>
          <w:lang w:val="ru-RU"/>
        </w:rPr>
      </w:pPr>
      <w:r w:rsidRPr="0049187C">
        <w:rPr>
          <w:lang w:val="ru-RU"/>
        </w:rPr>
        <w:t>B5.5.37</w:t>
      </w:r>
      <w:r w:rsidRPr="0049187C">
        <w:rPr>
          <w:lang w:val="ru-RU"/>
        </w:rPr>
        <w:tab/>
      </w:r>
      <w:bookmarkStart w:id="333" w:name="F32626603"/>
      <w:r w:rsidR="00735450" w:rsidRPr="0049187C">
        <w:rPr>
          <w:lang w:val="ru-RU"/>
        </w:rPr>
        <w:t xml:space="preserve">При определении дефолта для целей определения риска </w:t>
      </w:r>
      <w:r w:rsidR="00A43464" w:rsidRPr="0049187C">
        <w:rPr>
          <w:lang w:val="ru-RU"/>
        </w:rPr>
        <w:t xml:space="preserve">наступления </w:t>
      </w:r>
      <w:r w:rsidR="00735450" w:rsidRPr="0049187C">
        <w:rPr>
          <w:lang w:val="ru-RU"/>
        </w:rPr>
        <w:t>дефолта</w:t>
      </w:r>
      <w:r w:rsidR="00063C4C" w:rsidRPr="0049187C">
        <w:rPr>
          <w:lang w:val="ru-RU"/>
        </w:rPr>
        <w:t xml:space="preserve"> организация должна применять определение дефолта, которое соответствует определению, используемому для целей </w:t>
      </w:r>
      <w:r w:rsidR="003D58BA">
        <w:rPr>
          <w:lang w:val="ru-RU"/>
        </w:rPr>
        <w:t xml:space="preserve">внутреннего </w:t>
      </w:r>
      <w:r w:rsidR="00063C4C" w:rsidRPr="0049187C">
        <w:rPr>
          <w:lang w:val="ru-RU"/>
        </w:rPr>
        <w:t>управления кредитным риском</w:t>
      </w:r>
      <w:r w:rsidR="00025F40" w:rsidRPr="0049187C">
        <w:rPr>
          <w:lang w:val="ru-RU"/>
        </w:rPr>
        <w:t xml:space="preserve"> </w:t>
      </w:r>
      <w:r w:rsidR="00CB5D14" w:rsidRPr="0049187C">
        <w:rPr>
          <w:lang w:val="ru-RU"/>
        </w:rPr>
        <w:t>по</w:t>
      </w:r>
      <w:r w:rsidR="00025F40" w:rsidRPr="0049187C">
        <w:rPr>
          <w:lang w:val="ru-RU"/>
        </w:rPr>
        <w:t xml:space="preserve"> соответствующе</w:t>
      </w:r>
      <w:r w:rsidR="00CB5D14" w:rsidRPr="0049187C">
        <w:rPr>
          <w:lang w:val="ru-RU"/>
        </w:rPr>
        <w:t>му</w:t>
      </w:r>
      <w:r w:rsidR="00025F40" w:rsidRPr="0049187C">
        <w:rPr>
          <w:lang w:val="ru-RU"/>
        </w:rPr>
        <w:t xml:space="preserve"> финансово</w:t>
      </w:r>
      <w:r w:rsidR="00CB5D14" w:rsidRPr="0049187C">
        <w:rPr>
          <w:lang w:val="ru-RU"/>
        </w:rPr>
        <w:t>му</w:t>
      </w:r>
      <w:r w:rsidR="00025F40" w:rsidRPr="0049187C">
        <w:rPr>
          <w:lang w:val="ru-RU"/>
        </w:rPr>
        <w:t xml:space="preserve"> инструмент</w:t>
      </w:r>
      <w:r w:rsidR="00CB5D14" w:rsidRPr="0049187C">
        <w:rPr>
          <w:lang w:val="ru-RU"/>
        </w:rPr>
        <w:t>у</w:t>
      </w:r>
      <w:r w:rsidR="00025F40" w:rsidRPr="0049187C">
        <w:rPr>
          <w:lang w:val="ru-RU"/>
        </w:rPr>
        <w:t xml:space="preserve">, и </w:t>
      </w:r>
      <w:r w:rsidR="003D58BA">
        <w:rPr>
          <w:lang w:val="ru-RU"/>
        </w:rPr>
        <w:t>рассматривать</w:t>
      </w:r>
      <w:r w:rsidR="003D58BA" w:rsidRPr="0049187C">
        <w:rPr>
          <w:lang w:val="ru-RU"/>
        </w:rPr>
        <w:t xml:space="preserve"> </w:t>
      </w:r>
      <w:r w:rsidR="00025F40" w:rsidRPr="0049187C">
        <w:rPr>
          <w:lang w:val="ru-RU"/>
        </w:rPr>
        <w:t>качественные показатели</w:t>
      </w:r>
      <w:r w:rsidRPr="0049187C">
        <w:rPr>
          <w:lang w:val="ru-RU"/>
        </w:rPr>
        <w:t xml:space="preserve"> (</w:t>
      </w:r>
      <w:r w:rsidR="00025F40" w:rsidRPr="0049187C">
        <w:rPr>
          <w:lang w:val="ru-RU"/>
        </w:rPr>
        <w:t>например, финансовые ковенанты</w:t>
      </w:r>
      <w:r w:rsidRPr="0049187C">
        <w:rPr>
          <w:lang w:val="ru-RU"/>
        </w:rPr>
        <w:t>)</w:t>
      </w:r>
      <w:r w:rsidR="00025F40" w:rsidRPr="0049187C">
        <w:rPr>
          <w:lang w:val="ru-RU"/>
        </w:rPr>
        <w:t xml:space="preserve">, когда это </w:t>
      </w:r>
      <w:r w:rsidR="006C5B51">
        <w:rPr>
          <w:lang w:val="ru-RU"/>
        </w:rPr>
        <w:t>уместно</w:t>
      </w:r>
      <w:r w:rsidRPr="0049187C">
        <w:rPr>
          <w:lang w:val="ru-RU"/>
        </w:rPr>
        <w:t xml:space="preserve">. </w:t>
      </w:r>
      <w:r w:rsidR="00025F40" w:rsidRPr="0049187C">
        <w:rPr>
          <w:lang w:val="ru-RU"/>
        </w:rPr>
        <w:t xml:space="preserve">Однако существует опровержимое допущение о том, что дефолт </w:t>
      </w:r>
      <w:r w:rsidR="00A43464" w:rsidRPr="0049187C">
        <w:rPr>
          <w:lang w:val="ru-RU"/>
        </w:rPr>
        <w:t>наступает</w:t>
      </w:r>
      <w:r w:rsidR="00025F40" w:rsidRPr="0049187C">
        <w:rPr>
          <w:lang w:val="ru-RU"/>
        </w:rPr>
        <w:t xml:space="preserve"> не позже, чем когда финансовый актив просрочен на 90 дней, за исключением случаев</w:t>
      </w:r>
      <w:r w:rsidR="003D58BA">
        <w:rPr>
          <w:lang w:val="ru-RU"/>
        </w:rPr>
        <w:t xml:space="preserve">, когда организация располагает </w:t>
      </w:r>
      <w:r w:rsidR="00025F40" w:rsidRPr="0049187C">
        <w:rPr>
          <w:lang w:val="ru-RU"/>
        </w:rPr>
        <w:t xml:space="preserve">обоснованной и </w:t>
      </w:r>
      <w:r w:rsidR="003D58BA">
        <w:rPr>
          <w:lang w:val="ru-RU"/>
        </w:rPr>
        <w:t>подтверждаемой</w:t>
      </w:r>
      <w:r w:rsidR="003D58BA" w:rsidRPr="0049187C">
        <w:rPr>
          <w:lang w:val="ru-RU"/>
        </w:rPr>
        <w:t xml:space="preserve"> информаци</w:t>
      </w:r>
      <w:r w:rsidR="003D58BA">
        <w:rPr>
          <w:lang w:val="ru-RU"/>
        </w:rPr>
        <w:t>ей</w:t>
      </w:r>
      <w:r w:rsidR="00025F40" w:rsidRPr="0049187C">
        <w:rPr>
          <w:lang w:val="ru-RU"/>
        </w:rPr>
        <w:t>, демонстрирующей</w:t>
      </w:r>
      <w:r w:rsidR="003D58BA">
        <w:rPr>
          <w:lang w:val="ru-RU"/>
        </w:rPr>
        <w:t>, что использование критерия дефолта, предусматривающ</w:t>
      </w:r>
      <w:r w:rsidR="002F6B82">
        <w:rPr>
          <w:lang w:val="ru-RU"/>
        </w:rPr>
        <w:t>его</w:t>
      </w:r>
      <w:r w:rsidR="003D58BA">
        <w:rPr>
          <w:lang w:val="ru-RU"/>
        </w:rPr>
        <w:t xml:space="preserve"> большую заде</w:t>
      </w:r>
      <w:r w:rsidR="00216D60">
        <w:rPr>
          <w:lang w:val="ru-RU"/>
        </w:rPr>
        <w:t>р</w:t>
      </w:r>
      <w:r w:rsidR="003D58BA">
        <w:rPr>
          <w:lang w:val="ru-RU"/>
        </w:rPr>
        <w:t xml:space="preserve">жку платежа, является более </w:t>
      </w:r>
      <w:r w:rsidR="006C5B51">
        <w:rPr>
          <w:lang w:val="ru-RU"/>
        </w:rPr>
        <w:t>уместным</w:t>
      </w:r>
      <w:r w:rsidRPr="0049187C">
        <w:rPr>
          <w:lang w:val="ru-RU"/>
        </w:rPr>
        <w:t xml:space="preserve">. </w:t>
      </w:r>
      <w:r w:rsidR="00025F40" w:rsidRPr="0049187C">
        <w:rPr>
          <w:lang w:val="ru-RU"/>
        </w:rPr>
        <w:t xml:space="preserve">Определение дефолта, используемое для этих целей, должно применяться последовательно ко всем финансовым инструментам, за исключением случаев, когда становится </w:t>
      </w:r>
      <w:r w:rsidR="003D58BA" w:rsidRPr="0049187C">
        <w:rPr>
          <w:lang w:val="ru-RU"/>
        </w:rPr>
        <w:t>доступн</w:t>
      </w:r>
      <w:r w:rsidR="003D58BA">
        <w:rPr>
          <w:lang w:val="ru-RU"/>
        </w:rPr>
        <w:t>а</w:t>
      </w:r>
      <w:r w:rsidR="003D58BA" w:rsidRPr="0049187C">
        <w:rPr>
          <w:lang w:val="ru-RU"/>
        </w:rPr>
        <w:t xml:space="preserve"> </w:t>
      </w:r>
      <w:r w:rsidR="00025F40" w:rsidRPr="0049187C">
        <w:rPr>
          <w:lang w:val="ru-RU"/>
        </w:rPr>
        <w:t xml:space="preserve">информация, демонстрирующая, что другое определение дефолта является более </w:t>
      </w:r>
      <w:r w:rsidR="006C5B51">
        <w:rPr>
          <w:lang w:val="ru-RU"/>
        </w:rPr>
        <w:t>уместным</w:t>
      </w:r>
      <w:r w:rsidR="003D58BA" w:rsidRPr="0049187C">
        <w:rPr>
          <w:lang w:val="ru-RU"/>
        </w:rPr>
        <w:t xml:space="preserve"> </w:t>
      </w:r>
      <w:r w:rsidR="00025F40" w:rsidRPr="0049187C">
        <w:rPr>
          <w:lang w:val="ru-RU"/>
        </w:rPr>
        <w:t>для определенного финансового инструмента</w:t>
      </w:r>
      <w:r w:rsidRPr="0049187C">
        <w:rPr>
          <w:lang w:val="ru-RU"/>
        </w:rPr>
        <w:t>.</w:t>
      </w:r>
      <w:bookmarkEnd w:id="333"/>
    </w:p>
    <w:p w:rsidR="001529CA" w:rsidRPr="0049187C" w:rsidRDefault="00025F40">
      <w:pPr>
        <w:pStyle w:val="IASBSectionTitle3Ind"/>
        <w:rPr>
          <w:lang w:val="ru-RU"/>
        </w:rPr>
      </w:pPr>
      <w:bookmarkStart w:id="334" w:name="F32626605"/>
      <w:r w:rsidRPr="0049187C">
        <w:rPr>
          <w:lang w:val="ru-RU"/>
        </w:rPr>
        <w:t>Период, на протяжении которого оцениваются ожидаемые кредитные убытки</w:t>
      </w:r>
      <w:bookmarkEnd w:id="334"/>
    </w:p>
    <w:p w:rsidR="00D7176B" w:rsidRPr="0049187C" w:rsidRDefault="001529CA" w:rsidP="00D7176B">
      <w:pPr>
        <w:pStyle w:val="IASBNormalnpara"/>
        <w:rPr>
          <w:lang w:val="ru-RU"/>
        </w:rPr>
      </w:pPr>
      <w:r w:rsidRPr="0049187C">
        <w:rPr>
          <w:lang w:val="ru-RU"/>
        </w:rPr>
        <w:t>B5.5.38</w:t>
      </w:r>
      <w:r w:rsidRPr="0049187C">
        <w:rPr>
          <w:lang w:val="ru-RU"/>
        </w:rPr>
        <w:tab/>
      </w:r>
      <w:bookmarkStart w:id="335" w:name="F32626606"/>
      <w:r w:rsidR="006B1578" w:rsidRPr="0049187C">
        <w:rPr>
          <w:lang w:val="ru-RU"/>
        </w:rPr>
        <w:t>В соответствии с пунктом</w:t>
      </w:r>
      <w:r w:rsidRPr="0049187C">
        <w:rPr>
          <w:lang w:val="ru-RU"/>
        </w:rPr>
        <w:t xml:space="preserve"> 5.5.19</w:t>
      </w:r>
      <w:r w:rsidR="006B1578" w:rsidRPr="0049187C">
        <w:rPr>
          <w:lang w:val="ru-RU"/>
        </w:rPr>
        <w:t xml:space="preserve"> максимальный период, на протяжении которого должны оцениваться ожидаемые кредитные убытки, равен максимальному </w:t>
      </w:r>
      <w:r w:rsidR="00AE2B72" w:rsidRPr="0049187C">
        <w:rPr>
          <w:lang w:val="ru-RU"/>
        </w:rPr>
        <w:t>предусмотренному договором</w:t>
      </w:r>
      <w:r w:rsidR="006B1578" w:rsidRPr="0049187C">
        <w:rPr>
          <w:lang w:val="ru-RU"/>
        </w:rPr>
        <w:t xml:space="preserve"> периоду, на протяжении которого организация подвержена кредитному риску</w:t>
      </w:r>
      <w:r w:rsidRPr="0049187C">
        <w:rPr>
          <w:lang w:val="ru-RU"/>
        </w:rPr>
        <w:t xml:space="preserve">. </w:t>
      </w:r>
      <w:r w:rsidR="006B1578" w:rsidRPr="0049187C">
        <w:rPr>
          <w:lang w:val="ru-RU"/>
        </w:rPr>
        <w:t xml:space="preserve">В случае обязательств по предоставлению займов и договоров финансовой гарантии это максимальный </w:t>
      </w:r>
      <w:r w:rsidR="00AE2B72" w:rsidRPr="0049187C">
        <w:rPr>
          <w:lang w:val="ru-RU"/>
        </w:rPr>
        <w:t>предусмотренный договором</w:t>
      </w:r>
      <w:r w:rsidR="006B1578" w:rsidRPr="0049187C">
        <w:rPr>
          <w:lang w:val="ru-RU"/>
        </w:rPr>
        <w:t xml:space="preserve"> период, </w:t>
      </w:r>
      <w:r w:rsidR="00366385" w:rsidRPr="0049187C">
        <w:rPr>
          <w:lang w:val="ru-RU"/>
        </w:rPr>
        <w:t>на протяжении</w:t>
      </w:r>
      <w:r w:rsidR="006B1578" w:rsidRPr="0049187C">
        <w:rPr>
          <w:lang w:val="ru-RU"/>
        </w:rPr>
        <w:t xml:space="preserve"> которого у организации </w:t>
      </w:r>
      <w:r w:rsidR="00D7176B">
        <w:rPr>
          <w:lang w:val="ru-RU"/>
        </w:rPr>
        <w:t>имеется</w:t>
      </w:r>
      <w:r w:rsidR="00D7176B" w:rsidRPr="0049187C">
        <w:rPr>
          <w:lang w:val="ru-RU"/>
        </w:rPr>
        <w:t xml:space="preserve"> </w:t>
      </w:r>
      <w:r w:rsidR="0060782D">
        <w:rPr>
          <w:lang w:val="ru-RU"/>
        </w:rPr>
        <w:t>существующая</w:t>
      </w:r>
      <w:r w:rsidR="006B1578" w:rsidRPr="0049187C">
        <w:rPr>
          <w:lang w:val="ru-RU"/>
        </w:rPr>
        <w:t xml:space="preserve"> </w:t>
      </w:r>
      <w:r w:rsidR="0060782D">
        <w:rPr>
          <w:lang w:val="ru-RU"/>
        </w:rPr>
        <w:t>предусмотренная договором обязанность</w:t>
      </w:r>
      <w:r w:rsidR="0022568C" w:rsidRPr="0049187C">
        <w:rPr>
          <w:lang w:val="ru-RU"/>
        </w:rPr>
        <w:t xml:space="preserve"> </w:t>
      </w:r>
      <w:r w:rsidR="00366385" w:rsidRPr="0049187C">
        <w:rPr>
          <w:lang w:val="ru-RU"/>
        </w:rPr>
        <w:t>по предоставлению кредита</w:t>
      </w:r>
      <w:r w:rsidRPr="0049187C">
        <w:rPr>
          <w:lang w:val="ru-RU"/>
        </w:rPr>
        <w:t>.</w:t>
      </w:r>
      <w:bookmarkEnd w:id="335"/>
    </w:p>
    <w:p w:rsidR="001529CA" w:rsidRPr="0049187C" w:rsidRDefault="001529CA">
      <w:pPr>
        <w:pStyle w:val="IASBNormalnpara"/>
        <w:rPr>
          <w:lang w:val="ru-RU"/>
        </w:rPr>
      </w:pPr>
      <w:r w:rsidRPr="0049187C">
        <w:rPr>
          <w:lang w:val="ru-RU"/>
        </w:rPr>
        <w:t>B5.5.39</w:t>
      </w:r>
      <w:r w:rsidRPr="0049187C">
        <w:rPr>
          <w:lang w:val="ru-RU"/>
        </w:rPr>
        <w:tab/>
      </w:r>
      <w:bookmarkStart w:id="336" w:name="F32626607"/>
      <w:r w:rsidR="00D7176B" w:rsidRPr="0049187C">
        <w:rPr>
          <w:lang w:val="ru-RU"/>
        </w:rPr>
        <w:t>Однако в соответствии с пунктом 5.5.20 некоторые финансовые инструменты включают как компонент займа, так и компонент неиспользованной части обязательства по предоставлению займов, и предусмотренн</w:t>
      </w:r>
      <w:r w:rsidR="00114A22">
        <w:rPr>
          <w:lang w:val="ru-RU"/>
        </w:rPr>
        <w:t>ая</w:t>
      </w:r>
      <w:r w:rsidR="00D7176B" w:rsidRPr="0049187C">
        <w:rPr>
          <w:lang w:val="ru-RU"/>
        </w:rPr>
        <w:t xml:space="preserve"> договором </w:t>
      </w:r>
      <w:r w:rsidR="00114A22">
        <w:rPr>
          <w:lang w:val="ru-RU"/>
        </w:rPr>
        <w:t>возможность организации</w:t>
      </w:r>
      <w:r w:rsidR="00D7176B" w:rsidRPr="0049187C">
        <w:rPr>
          <w:lang w:val="ru-RU"/>
        </w:rPr>
        <w:t xml:space="preserve"> требовать погашения</w:t>
      </w:r>
      <w:r w:rsidR="00D7176B">
        <w:rPr>
          <w:lang w:val="ru-RU"/>
        </w:rPr>
        <w:t xml:space="preserve"> займа</w:t>
      </w:r>
      <w:r w:rsidR="00D7176B" w:rsidRPr="0049187C">
        <w:rPr>
          <w:lang w:val="ru-RU"/>
        </w:rPr>
        <w:t xml:space="preserve"> и аннулировать неиспользованную часть обязательства по предоставлению займов не ограничивает подверженность организации риску кредитных убытков договорным сроком для </w:t>
      </w:r>
      <w:r w:rsidR="00D7176B">
        <w:rPr>
          <w:lang w:val="ru-RU"/>
        </w:rPr>
        <w:t xml:space="preserve">подачи </w:t>
      </w:r>
      <w:r w:rsidR="00D7176B" w:rsidRPr="0049187C">
        <w:rPr>
          <w:lang w:val="ru-RU"/>
        </w:rPr>
        <w:t xml:space="preserve">уведомления. </w:t>
      </w:r>
      <w:r w:rsidR="00934B65" w:rsidRPr="0049187C">
        <w:rPr>
          <w:lang w:val="ru-RU"/>
        </w:rPr>
        <w:t xml:space="preserve">Например, возобновляемые механизмы кредитования, </w:t>
      </w:r>
      <w:r w:rsidR="00A9771A" w:rsidRPr="0049187C">
        <w:rPr>
          <w:lang w:val="ru-RU"/>
        </w:rPr>
        <w:t>такие как</w:t>
      </w:r>
      <w:r w:rsidR="00934B65" w:rsidRPr="0049187C">
        <w:rPr>
          <w:lang w:val="ru-RU"/>
        </w:rPr>
        <w:t xml:space="preserve"> кредитные карты и овердрафты могут быть отозваны кредитором с уведомлением всего за один день</w:t>
      </w:r>
      <w:r w:rsidRPr="0049187C">
        <w:rPr>
          <w:lang w:val="ru-RU"/>
        </w:rPr>
        <w:t xml:space="preserve">. </w:t>
      </w:r>
      <w:r w:rsidR="0045535E" w:rsidRPr="0049187C">
        <w:rPr>
          <w:lang w:val="ru-RU"/>
        </w:rPr>
        <w:t>Однако на практике кредиторы продолжают предоставлять кредит на протяжении более длительного периода и могут от</w:t>
      </w:r>
      <w:r w:rsidR="00D7176B">
        <w:rPr>
          <w:lang w:val="ru-RU"/>
        </w:rPr>
        <w:t>зывать</w:t>
      </w:r>
      <w:r w:rsidR="0045535E" w:rsidRPr="0049187C">
        <w:rPr>
          <w:lang w:val="ru-RU"/>
        </w:rPr>
        <w:t xml:space="preserve"> кредит </w:t>
      </w:r>
      <w:r w:rsidR="00D7176B">
        <w:rPr>
          <w:lang w:val="ru-RU"/>
        </w:rPr>
        <w:t>только</w:t>
      </w:r>
      <w:r w:rsidR="00D7176B" w:rsidRPr="0049187C">
        <w:rPr>
          <w:lang w:val="ru-RU"/>
        </w:rPr>
        <w:t xml:space="preserve"> </w:t>
      </w:r>
      <w:r w:rsidR="00D7176B">
        <w:rPr>
          <w:lang w:val="ru-RU"/>
        </w:rPr>
        <w:t xml:space="preserve">после </w:t>
      </w:r>
      <w:r w:rsidR="0045535E" w:rsidRPr="0049187C">
        <w:rPr>
          <w:lang w:val="ru-RU"/>
        </w:rPr>
        <w:t>увеличени</w:t>
      </w:r>
      <w:r w:rsidR="00A9771A" w:rsidRPr="0049187C">
        <w:rPr>
          <w:lang w:val="ru-RU"/>
        </w:rPr>
        <w:t>я</w:t>
      </w:r>
      <w:r w:rsidR="0045535E" w:rsidRPr="0049187C">
        <w:rPr>
          <w:lang w:val="ru-RU"/>
        </w:rPr>
        <w:t xml:space="preserve"> кредитного риска заемщика, что может произойти слишком поздно для предотвращения некоторых или всех ожидаемых кредитных убытков</w:t>
      </w:r>
      <w:r w:rsidRPr="0049187C">
        <w:rPr>
          <w:lang w:val="ru-RU"/>
        </w:rPr>
        <w:t xml:space="preserve">. </w:t>
      </w:r>
      <w:r w:rsidR="0045535E" w:rsidRPr="0049187C">
        <w:rPr>
          <w:lang w:val="ru-RU"/>
        </w:rPr>
        <w:t xml:space="preserve">Ниже перечислены характеристики, которыми обычно обладают </w:t>
      </w:r>
      <w:r w:rsidR="00D7176B">
        <w:rPr>
          <w:lang w:val="ru-RU"/>
        </w:rPr>
        <w:t xml:space="preserve">такие </w:t>
      </w:r>
      <w:r w:rsidR="0045535E" w:rsidRPr="0049187C">
        <w:rPr>
          <w:lang w:val="ru-RU"/>
        </w:rPr>
        <w:t xml:space="preserve">финансовые инструменты в силу </w:t>
      </w:r>
      <w:r w:rsidR="00D7176B">
        <w:rPr>
          <w:lang w:val="ru-RU"/>
        </w:rPr>
        <w:t xml:space="preserve">их </w:t>
      </w:r>
      <w:r w:rsidR="0045535E" w:rsidRPr="0049187C">
        <w:rPr>
          <w:lang w:val="ru-RU"/>
        </w:rPr>
        <w:t xml:space="preserve">характера, способа управления </w:t>
      </w:r>
      <w:r w:rsidR="00D7176B">
        <w:rPr>
          <w:lang w:val="ru-RU"/>
        </w:rPr>
        <w:t>ими</w:t>
      </w:r>
      <w:r w:rsidR="0045535E" w:rsidRPr="0049187C">
        <w:rPr>
          <w:lang w:val="ru-RU"/>
        </w:rPr>
        <w:t xml:space="preserve"> и характера имеющейся информации о значительных увеличениях кредитного риска</w:t>
      </w:r>
      <w:r w:rsidRPr="0049187C">
        <w:rPr>
          <w:lang w:val="ru-RU"/>
        </w:rPr>
        <w:t>:</w:t>
      </w:r>
      <w:bookmarkEnd w:id="336"/>
    </w:p>
    <w:p w:rsidR="001529CA" w:rsidRPr="0049187C" w:rsidRDefault="001529CA">
      <w:pPr>
        <w:pStyle w:val="IASBNormalnparaL1"/>
        <w:rPr>
          <w:lang w:val="ru-RU"/>
        </w:rPr>
      </w:pPr>
      <w:r w:rsidRPr="0049187C">
        <w:rPr>
          <w:lang w:val="ru-RU"/>
        </w:rPr>
        <w:t>(a)</w:t>
      </w:r>
      <w:r w:rsidRPr="0049187C">
        <w:rPr>
          <w:lang w:val="ru-RU"/>
        </w:rPr>
        <w:tab/>
      </w:r>
      <w:bookmarkStart w:id="337" w:name="F32626610"/>
      <w:r w:rsidR="0045535E" w:rsidRPr="0049187C">
        <w:rPr>
          <w:lang w:val="ru-RU"/>
        </w:rPr>
        <w:t xml:space="preserve">финансовые инструменты не имеют фиксированного срока или </w:t>
      </w:r>
      <w:r w:rsidR="00D7176B">
        <w:rPr>
          <w:lang w:val="ru-RU"/>
        </w:rPr>
        <w:t>схемы</w:t>
      </w:r>
      <w:r w:rsidR="00D7176B" w:rsidRPr="0049187C">
        <w:rPr>
          <w:lang w:val="ru-RU"/>
        </w:rPr>
        <w:t xml:space="preserve"> </w:t>
      </w:r>
      <w:r w:rsidR="0045535E" w:rsidRPr="0049187C">
        <w:rPr>
          <w:lang w:val="ru-RU"/>
        </w:rPr>
        <w:t xml:space="preserve">погашения и обычно договором предусматривается </w:t>
      </w:r>
      <w:r w:rsidR="00114A22">
        <w:rPr>
          <w:lang w:val="ru-RU"/>
        </w:rPr>
        <w:t>короткий</w:t>
      </w:r>
      <w:r w:rsidR="00114A22" w:rsidRPr="0049187C">
        <w:rPr>
          <w:lang w:val="ru-RU"/>
        </w:rPr>
        <w:t xml:space="preserve"> </w:t>
      </w:r>
      <w:r w:rsidR="0045535E" w:rsidRPr="0049187C">
        <w:rPr>
          <w:lang w:val="ru-RU"/>
        </w:rPr>
        <w:t xml:space="preserve">период </w:t>
      </w:r>
      <w:r w:rsidR="00114A22">
        <w:rPr>
          <w:lang w:val="ru-RU"/>
        </w:rPr>
        <w:t xml:space="preserve">для их </w:t>
      </w:r>
      <w:r w:rsidR="0045535E" w:rsidRPr="0049187C">
        <w:rPr>
          <w:lang w:val="ru-RU"/>
        </w:rPr>
        <w:t>аннулирования</w:t>
      </w:r>
      <w:r w:rsidRPr="0049187C">
        <w:rPr>
          <w:lang w:val="ru-RU"/>
        </w:rPr>
        <w:t xml:space="preserve"> (</w:t>
      </w:r>
      <w:r w:rsidR="0045535E" w:rsidRPr="0049187C">
        <w:rPr>
          <w:lang w:val="ru-RU"/>
        </w:rPr>
        <w:t>например, один день</w:t>
      </w:r>
      <w:r w:rsidRPr="0049187C">
        <w:rPr>
          <w:lang w:val="ru-RU"/>
        </w:rPr>
        <w:t>);</w:t>
      </w:r>
      <w:bookmarkEnd w:id="337"/>
    </w:p>
    <w:p w:rsidR="001529CA" w:rsidRPr="0049187C" w:rsidRDefault="001529CA">
      <w:pPr>
        <w:pStyle w:val="IASBNormalnparaL1"/>
        <w:rPr>
          <w:lang w:val="ru-RU"/>
        </w:rPr>
      </w:pPr>
      <w:r w:rsidRPr="0049187C">
        <w:rPr>
          <w:lang w:val="ru-RU"/>
        </w:rPr>
        <w:t>(b)</w:t>
      </w:r>
      <w:r w:rsidRPr="0049187C">
        <w:rPr>
          <w:lang w:val="ru-RU"/>
        </w:rPr>
        <w:tab/>
      </w:r>
      <w:bookmarkStart w:id="338" w:name="F32626612"/>
      <w:r w:rsidR="00DC4EFF" w:rsidRPr="0049187C">
        <w:rPr>
          <w:lang w:val="ru-RU"/>
        </w:rPr>
        <w:t xml:space="preserve">предусмотренная договором возможность </w:t>
      </w:r>
      <w:r w:rsidR="0040773B" w:rsidRPr="0049187C">
        <w:rPr>
          <w:lang w:val="ru-RU"/>
        </w:rPr>
        <w:t>аннулировать</w:t>
      </w:r>
      <w:r w:rsidR="00DC4EFF" w:rsidRPr="0049187C">
        <w:rPr>
          <w:lang w:val="ru-RU"/>
        </w:rPr>
        <w:t xml:space="preserve"> договор </w:t>
      </w:r>
      <w:r w:rsidR="00B24027" w:rsidRPr="0049187C">
        <w:rPr>
          <w:lang w:val="ru-RU"/>
        </w:rPr>
        <w:t xml:space="preserve">не используется в рамках обычного </w:t>
      </w:r>
      <w:r w:rsidR="00A9771A" w:rsidRPr="0049187C">
        <w:rPr>
          <w:lang w:val="ru-RU"/>
        </w:rPr>
        <w:t>текущего</w:t>
      </w:r>
      <w:r w:rsidR="00B24027" w:rsidRPr="0049187C">
        <w:rPr>
          <w:lang w:val="ru-RU"/>
        </w:rPr>
        <w:t xml:space="preserve"> управления финансовым инструментом, и договор может быть </w:t>
      </w:r>
      <w:r w:rsidR="0040773B" w:rsidRPr="0049187C">
        <w:rPr>
          <w:lang w:val="ru-RU"/>
        </w:rPr>
        <w:t>аннулирован</w:t>
      </w:r>
      <w:r w:rsidR="00B24027" w:rsidRPr="0049187C">
        <w:rPr>
          <w:lang w:val="ru-RU"/>
        </w:rPr>
        <w:t xml:space="preserve"> </w:t>
      </w:r>
      <w:r w:rsidR="00114A22">
        <w:rPr>
          <w:lang w:val="ru-RU"/>
        </w:rPr>
        <w:t>только</w:t>
      </w:r>
      <w:r w:rsidR="00114A22" w:rsidRPr="0049187C">
        <w:rPr>
          <w:lang w:val="ru-RU"/>
        </w:rPr>
        <w:t xml:space="preserve"> </w:t>
      </w:r>
      <w:r w:rsidR="00B24027" w:rsidRPr="0049187C">
        <w:rPr>
          <w:lang w:val="ru-RU"/>
        </w:rPr>
        <w:t>в том случае, когда организации становится известно об увеличении кредитного риска на уровне механизма</w:t>
      </w:r>
      <w:r w:rsidR="0040773B" w:rsidRPr="0049187C">
        <w:rPr>
          <w:lang w:val="ru-RU"/>
        </w:rPr>
        <w:t xml:space="preserve"> кредитования</w:t>
      </w:r>
      <w:r w:rsidRPr="0049187C">
        <w:rPr>
          <w:lang w:val="ru-RU"/>
        </w:rPr>
        <w:t xml:space="preserve">; </w:t>
      </w:r>
      <w:bookmarkEnd w:id="338"/>
      <w:r w:rsidR="0045535E" w:rsidRPr="0049187C">
        <w:rPr>
          <w:lang w:val="ru-RU"/>
        </w:rPr>
        <w:t>и</w:t>
      </w:r>
    </w:p>
    <w:p w:rsidR="001529CA" w:rsidRPr="0049187C" w:rsidRDefault="001529CA">
      <w:pPr>
        <w:pStyle w:val="IASBNormalnparaL1"/>
        <w:rPr>
          <w:lang w:val="ru-RU"/>
        </w:rPr>
      </w:pPr>
      <w:r w:rsidRPr="0049187C">
        <w:rPr>
          <w:lang w:val="ru-RU"/>
        </w:rPr>
        <w:t>(c)</w:t>
      </w:r>
      <w:r w:rsidRPr="0049187C">
        <w:rPr>
          <w:lang w:val="ru-RU"/>
        </w:rPr>
        <w:tab/>
      </w:r>
      <w:bookmarkStart w:id="339" w:name="F32626614"/>
      <w:r w:rsidR="0045535E" w:rsidRPr="0049187C">
        <w:rPr>
          <w:lang w:val="ru-RU"/>
        </w:rPr>
        <w:t xml:space="preserve">управление финансовыми инструментами осуществляется на </w:t>
      </w:r>
      <w:r w:rsidR="0040773B" w:rsidRPr="0049187C">
        <w:rPr>
          <w:lang w:val="ru-RU"/>
        </w:rPr>
        <w:t>групповой</w:t>
      </w:r>
      <w:r w:rsidR="0045535E" w:rsidRPr="0049187C">
        <w:rPr>
          <w:lang w:val="ru-RU"/>
        </w:rPr>
        <w:t xml:space="preserve"> основе</w:t>
      </w:r>
      <w:r w:rsidRPr="0049187C">
        <w:rPr>
          <w:lang w:val="ru-RU"/>
        </w:rPr>
        <w:t>.</w:t>
      </w:r>
      <w:bookmarkEnd w:id="339"/>
    </w:p>
    <w:p w:rsidR="001529CA" w:rsidRPr="0049187C" w:rsidRDefault="001529CA">
      <w:pPr>
        <w:pStyle w:val="IASBNormalnpara"/>
        <w:rPr>
          <w:lang w:val="ru-RU"/>
        </w:rPr>
      </w:pPr>
      <w:r w:rsidRPr="0049187C">
        <w:rPr>
          <w:lang w:val="ru-RU"/>
        </w:rPr>
        <w:t>B5.5.40</w:t>
      </w:r>
      <w:r w:rsidRPr="0049187C">
        <w:rPr>
          <w:lang w:val="ru-RU"/>
        </w:rPr>
        <w:tab/>
      </w:r>
      <w:bookmarkStart w:id="340" w:name="F32626615"/>
      <w:r w:rsidR="00B24027" w:rsidRPr="0049187C">
        <w:rPr>
          <w:lang w:val="ru-RU"/>
        </w:rPr>
        <w:t>При определении периода, на протяжении которого организация ожидает</w:t>
      </w:r>
      <w:r w:rsidR="0040773B" w:rsidRPr="0049187C">
        <w:rPr>
          <w:lang w:val="ru-RU"/>
        </w:rPr>
        <w:t>, что она</w:t>
      </w:r>
      <w:r w:rsidR="00B24027" w:rsidRPr="0049187C">
        <w:rPr>
          <w:lang w:val="ru-RU"/>
        </w:rPr>
        <w:t xml:space="preserve"> б</w:t>
      </w:r>
      <w:r w:rsidR="0040773B" w:rsidRPr="0049187C">
        <w:rPr>
          <w:lang w:val="ru-RU"/>
        </w:rPr>
        <w:t>удет</w:t>
      </w:r>
      <w:r w:rsidR="00B24027" w:rsidRPr="0049187C">
        <w:rPr>
          <w:lang w:val="ru-RU"/>
        </w:rPr>
        <w:t xml:space="preserve"> подвержен</w:t>
      </w:r>
      <w:r w:rsidR="0040773B" w:rsidRPr="0049187C">
        <w:rPr>
          <w:lang w:val="ru-RU"/>
        </w:rPr>
        <w:t>а</w:t>
      </w:r>
      <w:r w:rsidR="00B24027" w:rsidRPr="0049187C">
        <w:rPr>
          <w:lang w:val="ru-RU"/>
        </w:rPr>
        <w:t xml:space="preserve"> кредитному риску, но для которого ожидаемые кредитные убытки не будут уменьшены в результате обычных действий организации по управлению кредитным риском, организация должна учитывать такие факторы, как информация за прошлые периоды и </w:t>
      </w:r>
      <w:r w:rsidR="0040773B" w:rsidRPr="0049187C">
        <w:rPr>
          <w:lang w:val="ru-RU"/>
        </w:rPr>
        <w:t xml:space="preserve">прошлый </w:t>
      </w:r>
      <w:r w:rsidR="00B24027" w:rsidRPr="0049187C">
        <w:rPr>
          <w:lang w:val="ru-RU"/>
        </w:rPr>
        <w:t>опыт в отношении следующего</w:t>
      </w:r>
      <w:r w:rsidRPr="0049187C">
        <w:rPr>
          <w:lang w:val="ru-RU"/>
        </w:rPr>
        <w:t xml:space="preserve">: </w:t>
      </w:r>
      <w:bookmarkEnd w:id="340"/>
    </w:p>
    <w:p w:rsidR="001529CA" w:rsidRPr="0049187C" w:rsidRDefault="001529CA">
      <w:pPr>
        <w:pStyle w:val="IASBNormalnparaL1"/>
        <w:rPr>
          <w:lang w:val="ru-RU"/>
        </w:rPr>
      </w:pPr>
      <w:r w:rsidRPr="0049187C">
        <w:rPr>
          <w:lang w:val="ru-RU"/>
        </w:rPr>
        <w:t>(a)</w:t>
      </w:r>
      <w:r w:rsidRPr="0049187C">
        <w:rPr>
          <w:lang w:val="ru-RU"/>
        </w:rPr>
        <w:tab/>
      </w:r>
      <w:bookmarkStart w:id="341" w:name="F32626618"/>
      <w:r w:rsidR="00B24027" w:rsidRPr="0049187C">
        <w:rPr>
          <w:lang w:val="ru-RU"/>
        </w:rPr>
        <w:t>период, на протяжении которого организация подвергалась кредитному риску по аналогичным финансовым инструментам</w:t>
      </w:r>
      <w:r w:rsidRPr="0049187C">
        <w:rPr>
          <w:lang w:val="ru-RU"/>
        </w:rPr>
        <w:t>;</w:t>
      </w:r>
      <w:bookmarkEnd w:id="341"/>
    </w:p>
    <w:p w:rsidR="001529CA" w:rsidRPr="0049187C" w:rsidRDefault="001529CA">
      <w:pPr>
        <w:pStyle w:val="IASBNormalnparaL1"/>
        <w:rPr>
          <w:lang w:val="ru-RU"/>
        </w:rPr>
      </w:pPr>
      <w:r w:rsidRPr="0049187C">
        <w:rPr>
          <w:lang w:val="ru-RU"/>
        </w:rPr>
        <w:t>(b)</w:t>
      </w:r>
      <w:r w:rsidRPr="0049187C">
        <w:rPr>
          <w:lang w:val="ru-RU"/>
        </w:rPr>
        <w:tab/>
      </w:r>
      <w:bookmarkStart w:id="342" w:name="F32626620"/>
      <w:r w:rsidR="00B24027" w:rsidRPr="0049187C">
        <w:rPr>
          <w:lang w:val="ru-RU"/>
        </w:rPr>
        <w:t>продолжит</w:t>
      </w:r>
      <w:r w:rsidR="0040773B" w:rsidRPr="0049187C">
        <w:rPr>
          <w:lang w:val="ru-RU"/>
        </w:rPr>
        <w:t xml:space="preserve">ельность </w:t>
      </w:r>
      <w:r w:rsidR="00BC6A8B">
        <w:rPr>
          <w:lang w:val="ru-RU"/>
        </w:rPr>
        <w:t>периода времени до наступления</w:t>
      </w:r>
      <w:r w:rsidR="00BC6A8B" w:rsidRPr="0049187C">
        <w:rPr>
          <w:lang w:val="ru-RU"/>
        </w:rPr>
        <w:t xml:space="preserve"> </w:t>
      </w:r>
      <w:r w:rsidR="0040773B" w:rsidRPr="0049187C">
        <w:rPr>
          <w:lang w:val="ru-RU"/>
        </w:rPr>
        <w:t>дефолт</w:t>
      </w:r>
      <w:r w:rsidR="00B24027" w:rsidRPr="0049187C">
        <w:rPr>
          <w:lang w:val="ru-RU"/>
        </w:rPr>
        <w:t>ов по аналогичным финансовым инструментам после значительного увеличения кредитного риска</w:t>
      </w:r>
      <w:r w:rsidRPr="0049187C">
        <w:rPr>
          <w:lang w:val="ru-RU"/>
        </w:rPr>
        <w:t xml:space="preserve">; </w:t>
      </w:r>
      <w:r w:rsidR="00B24027" w:rsidRPr="0049187C">
        <w:rPr>
          <w:lang w:val="ru-RU"/>
        </w:rPr>
        <w:t>и</w:t>
      </w:r>
      <w:bookmarkEnd w:id="342"/>
    </w:p>
    <w:p w:rsidR="001529CA" w:rsidRPr="0049187C" w:rsidRDefault="001529CA">
      <w:pPr>
        <w:pStyle w:val="IASBNormalnparaL1"/>
        <w:rPr>
          <w:lang w:val="ru-RU"/>
        </w:rPr>
      </w:pPr>
      <w:r w:rsidRPr="0049187C">
        <w:rPr>
          <w:lang w:val="ru-RU"/>
        </w:rPr>
        <w:t>(c)</w:t>
      </w:r>
      <w:r w:rsidRPr="0049187C">
        <w:rPr>
          <w:lang w:val="ru-RU"/>
        </w:rPr>
        <w:tab/>
      </w:r>
      <w:bookmarkStart w:id="343" w:name="F32626622"/>
      <w:r w:rsidR="00B24027" w:rsidRPr="0049187C">
        <w:rPr>
          <w:lang w:val="ru-RU"/>
        </w:rPr>
        <w:t>действия по управлению кредитным риском, которые организация предполагает предпринять после увеличения кредитного риска по финансов</w:t>
      </w:r>
      <w:r w:rsidR="00155D2F" w:rsidRPr="0049187C">
        <w:rPr>
          <w:lang w:val="ru-RU"/>
        </w:rPr>
        <w:t>ому</w:t>
      </w:r>
      <w:r w:rsidR="00B24027" w:rsidRPr="0049187C">
        <w:rPr>
          <w:lang w:val="ru-RU"/>
        </w:rPr>
        <w:t xml:space="preserve"> инструмент</w:t>
      </w:r>
      <w:r w:rsidR="00155D2F" w:rsidRPr="0049187C">
        <w:rPr>
          <w:lang w:val="ru-RU"/>
        </w:rPr>
        <w:t>у</w:t>
      </w:r>
      <w:r w:rsidR="00B24027" w:rsidRPr="0049187C">
        <w:rPr>
          <w:lang w:val="ru-RU"/>
        </w:rPr>
        <w:t xml:space="preserve">, например, уменьшение или отмена лимитов </w:t>
      </w:r>
      <w:r w:rsidR="00BC6A8B">
        <w:rPr>
          <w:lang w:val="ru-RU"/>
        </w:rPr>
        <w:t>на использование</w:t>
      </w:r>
      <w:r w:rsidR="00B24027" w:rsidRPr="0049187C">
        <w:rPr>
          <w:lang w:val="ru-RU"/>
        </w:rPr>
        <w:t xml:space="preserve"> неиспользованных средств</w:t>
      </w:r>
      <w:bookmarkEnd w:id="343"/>
      <w:r w:rsidR="00B24027" w:rsidRPr="0049187C">
        <w:rPr>
          <w:lang w:val="ru-RU"/>
        </w:rPr>
        <w:t>.</w:t>
      </w:r>
    </w:p>
    <w:p w:rsidR="001529CA" w:rsidRPr="0049187C" w:rsidRDefault="00B939F2">
      <w:pPr>
        <w:pStyle w:val="IASBSectionTitle3Ind"/>
        <w:rPr>
          <w:lang w:val="ru-RU"/>
        </w:rPr>
      </w:pPr>
      <w:bookmarkStart w:id="344" w:name="F32626624"/>
      <w:r w:rsidRPr="0049187C">
        <w:rPr>
          <w:lang w:val="ru-RU"/>
        </w:rPr>
        <w:t>Результат, взвешенный с учетом вероятности</w:t>
      </w:r>
      <w:bookmarkEnd w:id="344"/>
    </w:p>
    <w:p w:rsidR="001529CA" w:rsidRPr="0049187C" w:rsidRDefault="001529CA">
      <w:pPr>
        <w:pStyle w:val="IASBNormalnpara"/>
        <w:rPr>
          <w:lang w:val="ru-RU"/>
        </w:rPr>
      </w:pPr>
      <w:r w:rsidRPr="0049187C">
        <w:rPr>
          <w:lang w:val="ru-RU"/>
        </w:rPr>
        <w:t>B5.5.41</w:t>
      </w:r>
      <w:r w:rsidRPr="0049187C">
        <w:rPr>
          <w:lang w:val="ru-RU"/>
        </w:rPr>
        <w:tab/>
      </w:r>
      <w:bookmarkStart w:id="345" w:name="F32626625"/>
      <w:r w:rsidR="00B939F2" w:rsidRPr="0049187C">
        <w:rPr>
          <w:lang w:val="ru-RU"/>
        </w:rPr>
        <w:t>Цель</w:t>
      </w:r>
      <w:r w:rsidR="002A629D" w:rsidRPr="0049187C">
        <w:rPr>
          <w:lang w:val="ru-RU"/>
        </w:rPr>
        <w:t>ю</w:t>
      </w:r>
      <w:r w:rsidR="00B939F2" w:rsidRPr="0049187C">
        <w:rPr>
          <w:lang w:val="ru-RU"/>
        </w:rPr>
        <w:t xml:space="preserve"> оценки ожидаемых кредитных убытков не </w:t>
      </w:r>
      <w:r w:rsidR="002A629D" w:rsidRPr="0049187C">
        <w:rPr>
          <w:lang w:val="ru-RU"/>
        </w:rPr>
        <w:t>является</w:t>
      </w:r>
      <w:r w:rsidR="00B939F2" w:rsidRPr="0049187C">
        <w:rPr>
          <w:lang w:val="ru-RU"/>
        </w:rPr>
        <w:t xml:space="preserve"> ни </w:t>
      </w:r>
      <w:r w:rsidR="002A629D" w:rsidRPr="0049187C">
        <w:rPr>
          <w:lang w:val="ru-RU"/>
        </w:rPr>
        <w:t>о</w:t>
      </w:r>
      <w:r w:rsidR="00B939F2" w:rsidRPr="0049187C">
        <w:rPr>
          <w:lang w:val="ru-RU"/>
        </w:rPr>
        <w:t>ценк</w:t>
      </w:r>
      <w:r w:rsidR="002A629D" w:rsidRPr="0049187C">
        <w:rPr>
          <w:lang w:val="ru-RU"/>
        </w:rPr>
        <w:t>а</w:t>
      </w:r>
      <w:r w:rsidR="00B939F2" w:rsidRPr="0049187C">
        <w:rPr>
          <w:lang w:val="ru-RU"/>
        </w:rPr>
        <w:t xml:space="preserve"> худшего сценария, ни оценк</w:t>
      </w:r>
      <w:r w:rsidR="002A629D" w:rsidRPr="0049187C">
        <w:rPr>
          <w:lang w:val="ru-RU"/>
        </w:rPr>
        <w:t>а</w:t>
      </w:r>
      <w:r w:rsidRPr="0049187C">
        <w:rPr>
          <w:lang w:val="ru-RU"/>
        </w:rPr>
        <w:t xml:space="preserve"> </w:t>
      </w:r>
      <w:r w:rsidR="00B939F2" w:rsidRPr="0049187C">
        <w:rPr>
          <w:lang w:val="ru-RU"/>
        </w:rPr>
        <w:t>лучшего сценария</w:t>
      </w:r>
      <w:r w:rsidRPr="0049187C">
        <w:rPr>
          <w:lang w:val="ru-RU"/>
        </w:rPr>
        <w:t xml:space="preserve">. </w:t>
      </w:r>
      <w:r w:rsidR="00BC6A8B">
        <w:rPr>
          <w:lang w:val="ru-RU"/>
        </w:rPr>
        <w:t>Напротив</w:t>
      </w:r>
      <w:r w:rsidR="00A43464" w:rsidRPr="0049187C">
        <w:rPr>
          <w:lang w:val="ru-RU"/>
        </w:rPr>
        <w:t>,</w:t>
      </w:r>
      <w:r w:rsidR="00B939F2" w:rsidRPr="0049187C">
        <w:rPr>
          <w:lang w:val="ru-RU"/>
        </w:rPr>
        <w:t xml:space="preserve"> оценка ожидаемых кредитных убытков должна всегда отражать возможность того, что кредитные убытки </w:t>
      </w:r>
      <w:r w:rsidR="00A43464" w:rsidRPr="0049187C">
        <w:rPr>
          <w:lang w:val="ru-RU"/>
        </w:rPr>
        <w:t>возникнут</w:t>
      </w:r>
      <w:r w:rsidR="00B939F2" w:rsidRPr="0049187C">
        <w:rPr>
          <w:lang w:val="ru-RU"/>
        </w:rPr>
        <w:t xml:space="preserve">, и возможность того, что кредитные убытки не </w:t>
      </w:r>
      <w:r w:rsidR="00A43464" w:rsidRPr="0049187C">
        <w:rPr>
          <w:lang w:val="ru-RU"/>
        </w:rPr>
        <w:t>возникнут</w:t>
      </w:r>
      <w:r w:rsidR="00B939F2" w:rsidRPr="0049187C">
        <w:rPr>
          <w:lang w:val="ru-RU"/>
        </w:rPr>
        <w:t>, даже если наиболее вероятным результатом является отсутствие кредитных убытков</w:t>
      </w:r>
      <w:r w:rsidRPr="0049187C">
        <w:rPr>
          <w:lang w:val="ru-RU"/>
        </w:rPr>
        <w:t>.</w:t>
      </w:r>
      <w:bookmarkEnd w:id="345"/>
    </w:p>
    <w:p w:rsidR="001529CA" w:rsidRPr="0049187C" w:rsidRDefault="001529CA">
      <w:pPr>
        <w:pStyle w:val="IASBNormalnpara"/>
        <w:rPr>
          <w:lang w:val="ru-RU"/>
        </w:rPr>
      </w:pPr>
      <w:r w:rsidRPr="0049187C">
        <w:rPr>
          <w:lang w:val="ru-RU"/>
        </w:rPr>
        <w:t>B5.5.42</w:t>
      </w:r>
      <w:r w:rsidRPr="0049187C">
        <w:rPr>
          <w:lang w:val="ru-RU"/>
        </w:rPr>
        <w:tab/>
      </w:r>
      <w:bookmarkStart w:id="346" w:name="F32626626"/>
      <w:r w:rsidR="0075579B" w:rsidRPr="0049187C">
        <w:rPr>
          <w:lang w:val="ru-RU"/>
        </w:rPr>
        <w:t>Пункт</w:t>
      </w:r>
      <w:r w:rsidRPr="0049187C">
        <w:rPr>
          <w:lang w:val="ru-RU"/>
        </w:rPr>
        <w:t xml:space="preserve"> 5.5.17(a) </w:t>
      </w:r>
      <w:r w:rsidR="0075579B" w:rsidRPr="0049187C">
        <w:rPr>
          <w:lang w:val="ru-RU"/>
        </w:rPr>
        <w:t>требует, чтобы оценка ожидаемых кредитных убытков отражала непредвзятую и взвешенную с учетом вероятности сумму, которая определяется путем анализа диапазона возможных результатов</w:t>
      </w:r>
      <w:r w:rsidRPr="0049187C">
        <w:rPr>
          <w:lang w:val="ru-RU"/>
        </w:rPr>
        <w:t xml:space="preserve">. </w:t>
      </w:r>
      <w:r w:rsidR="0075579B" w:rsidRPr="0049187C">
        <w:rPr>
          <w:lang w:val="ru-RU"/>
        </w:rPr>
        <w:t>На практике такой анализ необязательно должен быть сложным</w:t>
      </w:r>
      <w:r w:rsidRPr="0049187C">
        <w:rPr>
          <w:lang w:val="ru-RU"/>
        </w:rPr>
        <w:t xml:space="preserve">. </w:t>
      </w:r>
      <w:r w:rsidR="0075579B" w:rsidRPr="0049187C">
        <w:rPr>
          <w:lang w:val="ru-RU"/>
        </w:rPr>
        <w:t xml:space="preserve">В некоторых случаях относительно </w:t>
      </w:r>
      <w:r w:rsidR="00BC6A8B" w:rsidRPr="0049187C">
        <w:rPr>
          <w:lang w:val="ru-RU"/>
        </w:rPr>
        <w:t>просто</w:t>
      </w:r>
      <w:r w:rsidR="00BC6A8B">
        <w:rPr>
          <w:lang w:val="ru-RU"/>
        </w:rPr>
        <w:t>е</w:t>
      </w:r>
      <w:r w:rsidR="00BC6A8B" w:rsidRPr="0049187C">
        <w:rPr>
          <w:lang w:val="ru-RU"/>
        </w:rPr>
        <w:t xml:space="preserve"> моделировани</w:t>
      </w:r>
      <w:r w:rsidR="00BC6A8B">
        <w:rPr>
          <w:lang w:val="ru-RU"/>
        </w:rPr>
        <w:t>е</w:t>
      </w:r>
      <w:r w:rsidR="00BC6A8B" w:rsidRPr="0049187C">
        <w:rPr>
          <w:lang w:val="ru-RU"/>
        </w:rPr>
        <w:t xml:space="preserve"> </w:t>
      </w:r>
      <w:r w:rsidR="0075579B" w:rsidRPr="0049187C">
        <w:rPr>
          <w:lang w:val="ru-RU"/>
        </w:rPr>
        <w:t xml:space="preserve">без большого количества подробных </w:t>
      </w:r>
      <w:r w:rsidR="00BC6A8B">
        <w:rPr>
          <w:lang w:val="ru-RU"/>
        </w:rPr>
        <w:t>симуляций</w:t>
      </w:r>
      <w:r w:rsidR="00BC6A8B" w:rsidRPr="0049187C">
        <w:rPr>
          <w:lang w:val="ru-RU"/>
        </w:rPr>
        <w:t xml:space="preserve"> </w:t>
      </w:r>
      <w:r w:rsidR="0075579B" w:rsidRPr="0049187C">
        <w:rPr>
          <w:lang w:val="ru-RU"/>
        </w:rPr>
        <w:t>сценариев</w:t>
      </w:r>
      <w:r w:rsidR="00BC6A8B">
        <w:rPr>
          <w:lang w:val="ru-RU"/>
        </w:rPr>
        <w:t xml:space="preserve"> будет достаточным</w:t>
      </w:r>
      <w:r w:rsidRPr="0049187C">
        <w:rPr>
          <w:lang w:val="ru-RU"/>
        </w:rPr>
        <w:t xml:space="preserve">. </w:t>
      </w:r>
      <w:r w:rsidR="0075579B" w:rsidRPr="0049187C">
        <w:rPr>
          <w:lang w:val="ru-RU"/>
        </w:rPr>
        <w:t xml:space="preserve">Например, средние кредитные убытки </w:t>
      </w:r>
      <w:r w:rsidR="00BC6A8B">
        <w:rPr>
          <w:lang w:val="ru-RU"/>
        </w:rPr>
        <w:t xml:space="preserve">по </w:t>
      </w:r>
      <w:r w:rsidR="0075579B" w:rsidRPr="0049187C">
        <w:rPr>
          <w:lang w:val="ru-RU"/>
        </w:rPr>
        <w:t xml:space="preserve">большой </w:t>
      </w:r>
      <w:r w:rsidR="00BC6A8B" w:rsidRPr="0049187C">
        <w:rPr>
          <w:lang w:val="ru-RU"/>
        </w:rPr>
        <w:t>групп</w:t>
      </w:r>
      <w:r w:rsidR="00BC6A8B">
        <w:rPr>
          <w:lang w:val="ru-RU"/>
        </w:rPr>
        <w:t>е</w:t>
      </w:r>
      <w:r w:rsidR="00BC6A8B" w:rsidRPr="0049187C">
        <w:rPr>
          <w:lang w:val="ru-RU"/>
        </w:rPr>
        <w:t xml:space="preserve"> </w:t>
      </w:r>
      <w:r w:rsidR="0075579B" w:rsidRPr="0049187C">
        <w:rPr>
          <w:lang w:val="ru-RU"/>
        </w:rPr>
        <w:t>финансовых инструментов с общими характеристиками риска могут быть обоснованной оценкой суммы, взвешенной с учетом вероятности</w:t>
      </w:r>
      <w:r w:rsidRPr="0049187C">
        <w:rPr>
          <w:lang w:val="ru-RU"/>
        </w:rPr>
        <w:t xml:space="preserve">. </w:t>
      </w:r>
      <w:r w:rsidR="0075579B" w:rsidRPr="0049187C">
        <w:rPr>
          <w:lang w:val="ru-RU"/>
        </w:rPr>
        <w:t>В других ситуациях</w:t>
      </w:r>
      <w:r w:rsidR="00BC6A8B">
        <w:rPr>
          <w:lang w:val="ru-RU"/>
        </w:rPr>
        <w:t>,</w:t>
      </w:r>
      <w:r w:rsidR="0075579B" w:rsidRPr="0049187C">
        <w:rPr>
          <w:lang w:val="ru-RU"/>
        </w:rPr>
        <w:t xml:space="preserve"> </w:t>
      </w:r>
      <w:r w:rsidR="00BC6A8B">
        <w:rPr>
          <w:lang w:val="ru-RU"/>
        </w:rPr>
        <w:t>вероятно, будет необходима</w:t>
      </w:r>
      <w:r w:rsidR="0075579B" w:rsidRPr="0049187C">
        <w:rPr>
          <w:lang w:val="ru-RU"/>
        </w:rPr>
        <w:t xml:space="preserve"> </w:t>
      </w:r>
      <w:r w:rsidR="00D70699" w:rsidRPr="0049187C">
        <w:rPr>
          <w:lang w:val="ru-RU"/>
        </w:rPr>
        <w:t>идентификация</w:t>
      </w:r>
      <w:r w:rsidR="0075579B" w:rsidRPr="0049187C">
        <w:rPr>
          <w:lang w:val="ru-RU"/>
        </w:rPr>
        <w:t xml:space="preserve"> сценариев, которые указывают сумму и сроки денежных потоков для определенных результатов, а также расчетную вероятность таких результатов</w:t>
      </w:r>
      <w:r w:rsidRPr="0049187C">
        <w:rPr>
          <w:lang w:val="ru-RU"/>
        </w:rPr>
        <w:t xml:space="preserve">. </w:t>
      </w:r>
      <w:r w:rsidR="0075579B" w:rsidRPr="0049187C">
        <w:rPr>
          <w:lang w:val="ru-RU"/>
        </w:rPr>
        <w:t xml:space="preserve">В таких ситуациях </w:t>
      </w:r>
      <w:r w:rsidR="00BC6A8B" w:rsidRPr="0049187C">
        <w:rPr>
          <w:lang w:val="ru-RU"/>
        </w:rPr>
        <w:t>в соответствии с пунктом 5.5.18</w:t>
      </w:r>
      <w:r w:rsidR="00BC6A8B">
        <w:rPr>
          <w:lang w:val="ru-RU"/>
        </w:rPr>
        <w:t xml:space="preserve"> </w:t>
      </w:r>
      <w:r w:rsidR="0075579B" w:rsidRPr="0049187C">
        <w:rPr>
          <w:lang w:val="ru-RU"/>
        </w:rPr>
        <w:t>ожидаемые кредитные убытки должны отражать как минимум два результата</w:t>
      </w:r>
      <w:r w:rsidRPr="0049187C">
        <w:rPr>
          <w:lang w:val="ru-RU"/>
        </w:rPr>
        <w:t>.</w:t>
      </w:r>
      <w:bookmarkEnd w:id="346"/>
    </w:p>
    <w:p w:rsidR="001529CA" w:rsidRPr="0049187C" w:rsidRDefault="001529CA">
      <w:pPr>
        <w:pStyle w:val="IASBNormalnpara"/>
        <w:rPr>
          <w:lang w:val="ru-RU"/>
        </w:rPr>
      </w:pPr>
      <w:r w:rsidRPr="0049187C">
        <w:rPr>
          <w:lang w:val="ru-RU"/>
        </w:rPr>
        <w:t>B5.5.43</w:t>
      </w:r>
      <w:r w:rsidRPr="0049187C">
        <w:rPr>
          <w:lang w:val="ru-RU"/>
        </w:rPr>
        <w:tab/>
      </w:r>
      <w:bookmarkStart w:id="347" w:name="F32626627"/>
      <w:r w:rsidR="00101573" w:rsidRPr="0049187C">
        <w:rPr>
          <w:lang w:val="ru-RU"/>
        </w:rPr>
        <w:t xml:space="preserve">В случае ожидаемых кредитных убытков </w:t>
      </w:r>
      <w:r w:rsidR="007E6FF8">
        <w:rPr>
          <w:lang w:val="ru-RU"/>
        </w:rPr>
        <w:t>за весь срок</w:t>
      </w:r>
      <w:r w:rsidR="00101573" w:rsidRPr="0049187C">
        <w:rPr>
          <w:lang w:val="ru-RU"/>
        </w:rPr>
        <w:t xml:space="preserve"> организация должна оценить риск наступления дефолта по финансовому инструменту на протяжении его ожидаемого срока действия</w:t>
      </w:r>
      <w:r w:rsidRPr="0049187C">
        <w:rPr>
          <w:lang w:val="ru-RU"/>
        </w:rPr>
        <w:t xml:space="preserve">. </w:t>
      </w:r>
      <w:r w:rsidR="007E6FF8">
        <w:rPr>
          <w:lang w:val="ru-RU"/>
        </w:rPr>
        <w:t>12-месячные о</w:t>
      </w:r>
      <w:r w:rsidR="00101573" w:rsidRPr="0049187C">
        <w:rPr>
          <w:lang w:val="ru-RU"/>
        </w:rPr>
        <w:t xml:space="preserve">жидаемые кредитные убытки являются частью ожидаемых кредитных убытков </w:t>
      </w:r>
      <w:r w:rsidR="007E6FF8">
        <w:rPr>
          <w:lang w:val="ru-RU"/>
        </w:rPr>
        <w:t>за весь</w:t>
      </w:r>
      <w:r w:rsidR="00101573" w:rsidRPr="0049187C">
        <w:rPr>
          <w:lang w:val="ru-RU"/>
        </w:rPr>
        <w:t xml:space="preserve"> ср</w:t>
      </w:r>
      <w:r w:rsidR="007E6FF8">
        <w:rPr>
          <w:lang w:val="ru-RU"/>
        </w:rPr>
        <w:t>ок</w:t>
      </w:r>
      <w:r w:rsidR="00101573" w:rsidRPr="0049187C">
        <w:rPr>
          <w:lang w:val="ru-RU"/>
        </w:rPr>
        <w:t xml:space="preserve"> и представляют </w:t>
      </w:r>
      <w:r w:rsidR="00527880">
        <w:rPr>
          <w:lang w:val="ru-RU"/>
        </w:rPr>
        <w:t>недополучения</w:t>
      </w:r>
      <w:r w:rsidR="00990580" w:rsidRPr="0049187C">
        <w:rPr>
          <w:lang w:val="ru-RU"/>
        </w:rPr>
        <w:t xml:space="preserve"> </w:t>
      </w:r>
      <w:r w:rsidR="00101573" w:rsidRPr="0049187C">
        <w:rPr>
          <w:lang w:val="ru-RU"/>
        </w:rPr>
        <w:t xml:space="preserve">денежных средств, </w:t>
      </w:r>
      <w:r w:rsidR="00990580" w:rsidRPr="0049187C">
        <w:rPr>
          <w:lang w:val="ru-RU"/>
        </w:rPr>
        <w:t>которы</w:t>
      </w:r>
      <w:r w:rsidR="00990580">
        <w:rPr>
          <w:lang w:val="ru-RU"/>
        </w:rPr>
        <w:t>е</w:t>
      </w:r>
      <w:r w:rsidR="00990580" w:rsidRPr="0049187C">
        <w:rPr>
          <w:lang w:val="ru-RU"/>
        </w:rPr>
        <w:t xml:space="preserve"> буд</w:t>
      </w:r>
      <w:r w:rsidR="00990580">
        <w:rPr>
          <w:lang w:val="ru-RU"/>
        </w:rPr>
        <w:t>у</w:t>
      </w:r>
      <w:r w:rsidR="00990580" w:rsidRPr="0049187C">
        <w:rPr>
          <w:lang w:val="ru-RU"/>
        </w:rPr>
        <w:t xml:space="preserve">т </w:t>
      </w:r>
      <w:r w:rsidR="00101573" w:rsidRPr="0049187C">
        <w:rPr>
          <w:lang w:val="ru-RU"/>
        </w:rPr>
        <w:t>иметь место при наступлении дефолта в течение 12 месяцев после отчетной даты</w:t>
      </w:r>
      <w:r w:rsidRPr="0049187C">
        <w:rPr>
          <w:lang w:val="ru-RU"/>
        </w:rPr>
        <w:t xml:space="preserve"> (</w:t>
      </w:r>
      <w:r w:rsidR="00101573" w:rsidRPr="0049187C">
        <w:rPr>
          <w:lang w:val="ru-RU"/>
        </w:rPr>
        <w:t xml:space="preserve">либо в течение более </w:t>
      </w:r>
      <w:r w:rsidR="00990580">
        <w:rPr>
          <w:lang w:val="ru-RU"/>
        </w:rPr>
        <w:t>короткого</w:t>
      </w:r>
      <w:r w:rsidR="00990580" w:rsidRPr="0049187C">
        <w:rPr>
          <w:lang w:val="ru-RU"/>
        </w:rPr>
        <w:t xml:space="preserve"> </w:t>
      </w:r>
      <w:r w:rsidR="00101573" w:rsidRPr="0049187C">
        <w:rPr>
          <w:lang w:val="ru-RU"/>
        </w:rPr>
        <w:t xml:space="preserve">периода, если ожидаемый срок действия финансового инструмента составляет менее 12 месяцев), </w:t>
      </w:r>
      <w:r w:rsidR="00990580" w:rsidRPr="0049187C">
        <w:rPr>
          <w:lang w:val="ru-RU"/>
        </w:rPr>
        <w:t>взвешенны</w:t>
      </w:r>
      <w:r w:rsidR="00990580">
        <w:rPr>
          <w:lang w:val="ru-RU"/>
        </w:rPr>
        <w:t>е</w:t>
      </w:r>
      <w:r w:rsidR="00990580" w:rsidRPr="0049187C">
        <w:rPr>
          <w:lang w:val="ru-RU"/>
        </w:rPr>
        <w:t xml:space="preserve"> </w:t>
      </w:r>
      <w:r w:rsidR="00101573" w:rsidRPr="0049187C">
        <w:rPr>
          <w:lang w:val="ru-RU"/>
        </w:rPr>
        <w:t>с учетом вероятности наступления такого дефолта</w:t>
      </w:r>
      <w:r w:rsidRPr="0049187C">
        <w:rPr>
          <w:lang w:val="ru-RU"/>
        </w:rPr>
        <w:t xml:space="preserve">. </w:t>
      </w:r>
      <w:r w:rsidR="00101573" w:rsidRPr="0049187C">
        <w:rPr>
          <w:lang w:val="ru-RU"/>
        </w:rPr>
        <w:t xml:space="preserve">Таким образом, </w:t>
      </w:r>
      <w:r w:rsidR="007E6FF8">
        <w:rPr>
          <w:lang w:val="ru-RU"/>
        </w:rPr>
        <w:t xml:space="preserve">12-месячные </w:t>
      </w:r>
      <w:r w:rsidR="00101573" w:rsidRPr="0049187C">
        <w:rPr>
          <w:lang w:val="ru-RU"/>
        </w:rPr>
        <w:t xml:space="preserve">ожидаемые кредитные убытки не являются ни ожидаемыми кредитными убытками </w:t>
      </w:r>
      <w:r w:rsidR="007E6FF8">
        <w:rPr>
          <w:lang w:val="ru-RU"/>
        </w:rPr>
        <w:t>за весь срок</w:t>
      </w:r>
      <w:r w:rsidR="00101573" w:rsidRPr="0049187C">
        <w:rPr>
          <w:lang w:val="ru-RU"/>
        </w:rPr>
        <w:t xml:space="preserve">, которые организация понесет по финансовым инструментам, </w:t>
      </w:r>
      <w:r w:rsidR="00A43464" w:rsidRPr="0049187C">
        <w:rPr>
          <w:lang w:val="ru-RU"/>
        </w:rPr>
        <w:t>наступление</w:t>
      </w:r>
      <w:r w:rsidR="00101573" w:rsidRPr="0049187C">
        <w:rPr>
          <w:lang w:val="ru-RU"/>
        </w:rPr>
        <w:t xml:space="preserve"> дефолт</w:t>
      </w:r>
      <w:r w:rsidR="00A43464" w:rsidRPr="0049187C">
        <w:rPr>
          <w:lang w:val="ru-RU"/>
        </w:rPr>
        <w:t>а по которым организация прогно</w:t>
      </w:r>
      <w:r w:rsidR="00D70699" w:rsidRPr="0049187C">
        <w:rPr>
          <w:lang w:val="ru-RU"/>
        </w:rPr>
        <w:t>з</w:t>
      </w:r>
      <w:r w:rsidR="00A43464" w:rsidRPr="0049187C">
        <w:rPr>
          <w:lang w:val="ru-RU"/>
        </w:rPr>
        <w:t>ирует</w:t>
      </w:r>
      <w:r w:rsidR="00101573" w:rsidRPr="0049187C">
        <w:rPr>
          <w:lang w:val="ru-RU"/>
        </w:rPr>
        <w:t xml:space="preserve"> </w:t>
      </w:r>
      <w:r w:rsidR="00D70699" w:rsidRPr="0049187C">
        <w:rPr>
          <w:lang w:val="ru-RU"/>
        </w:rPr>
        <w:t>на протяжении</w:t>
      </w:r>
      <w:r w:rsidR="00101573" w:rsidRPr="0049187C">
        <w:rPr>
          <w:lang w:val="ru-RU"/>
        </w:rPr>
        <w:t xml:space="preserve"> следующих 12 месяцев, ни </w:t>
      </w:r>
      <w:r w:rsidR="00C71592">
        <w:rPr>
          <w:lang w:val="ru-RU"/>
        </w:rPr>
        <w:t>недополучениями</w:t>
      </w:r>
      <w:r w:rsidR="00990580" w:rsidRPr="0049187C">
        <w:rPr>
          <w:lang w:val="ru-RU"/>
        </w:rPr>
        <w:t xml:space="preserve"> </w:t>
      </w:r>
      <w:r w:rsidR="00101573" w:rsidRPr="0049187C">
        <w:rPr>
          <w:lang w:val="ru-RU"/>
        </w:rPr>
        <w:t xml:space="preserve">денежных средств, </w:t>
      </w:r>
      <w:r w:rsidR="00990580" w:rsidRPr="0049187C">
        <w:rPr>
          <w:lang w:val="ru-RU"/>
        </w:rPr>
        <w:t>которы</w:t>
      </w:r>
      <w:r w:rsidR="00990580">
        <w:rPr>
          <w:lang w:val="ru-RU"/>
        </w:rPr>
        <w:t>е</w:t>
      </w:r>
      <w:r w:rsidR="00990580" w:rsidRPr="0049187C">
        <w:rPr>
          <w:lang w:val="ru-RU"/>
        </w:rPr>
        <w:t xml:space="preserve"> прогнозиру</w:t>
      </w:r>
      <w:r w:rsidR="00990580">
        <w:rPr>
          <w:lang w:val="ru-RU"/>
        </w:rPr>
        <w:t>ю</w:t>
      </w:r>
      <w:r w:rsidR="00990580" w:rsidRPr="0049187C">
        <w:rPr>
          <w:lang w:val="ru-RU"/>
        </w:rPr>
        <w:t xml:space="preserve">тся </w:t>
      </w:r>
      <w:r w:rsidR="00D70699" w:rsidRPr="0049187C">
        <w:rPr>
          <w:lang w:val="ru-RU"/>
        </w:rPr>
        <w:t>на протяжении</w:t>
      </w:r>
      <w:r w:rsidR="00101573" w:rsidRPr="0049187C">
        <w:rPr>
          <w:lang w:val="ru-RU"/>
        </w:rPr>
        <w:t xml:space="preserve"> следующих 12 месяцев</w:t>
      </w:r>
      <w:r w:rsidRPr="0049187C">
        <w:rPr>
          <w:lang w:val="ru-RU"/>
        </w:rPr>
        <w:t>.</w:t>
      </w:r>
      <w:bookmarkEnd w:id="347"/>
    </w:p>
    <w:p w:rsidR="001529CA" w:rsidRPr="0049187C" w:rsidRDefault="004114F4">
      <w:pPr>
        <w:pStyle w:val="IASBSectionTitle3Ind"/>
        <w:rPr>
          <w:lang w:val="ru-RU"/>
        </w:rPr>
      </w:pPr>
      <w:r>
        <w:rPr>
          <w:lang w:val="ru-RU"/>
        </w:rPr>
        <w:t>Временн</w:t>
      </w:r>
      <w:r w:rsidRPr="00453F25">
        <w:rPr>
          <w:lang w:val="ru-RU"/>
        </w:rPr>
        <w:t>á</w:t>
      </w:r>
      <w:r w:rsidR="00B939F2" w:rsidRPr="0049187C">
        <w:rPr>
          <w:lang w:val="ru-RU"/>
        </w:rPr>
        <w:t>я стоимость денег</w:t>
      </w:r>
    </w:p>
    <w:p w:rsidR="001529CA" w:rsidRPr="0049187C" w:rsidRDefault="001529CA">
      <w:pPr>
        <w:pStyle w:val="IASBNormalnpara"/>
        <w:rPr>
          <w:lang w:val="ru-RU"/>
        </w:rPr>
      </w:pPr>
      <w:r w:rsidRPr="0049187C">
        <w:rPr>
          <w:lang w:val="ru-RU"/>
        </w:rPr>
        <w:t>B5.5.44</w:t>
      </w:r>
      <w:r w:rsidRPr="0049187C">
        <w:rPr>
          <w:lang w:val="ru-RU"/>
        </w:rPr>
        <w:tab/>
      </w:r>
      <w:bookmarkStart w:id="348" w:name="F32626630"/>
      <w:r w:rsidR="009A5FD1" w:rsidRPr="0049187C">
        <w:rPr>
          <w:lang w:val="ru-RU"/>
        </w:rPr>
        <w:t>Ожидаемые кредитные убытки должны дисконтироваться до отчетной даты, а не до даты ожидаемого дефолта или какой-либо другой даты</w:t>
      </w:r>
      <w:r w:rsidR="009D009A" w:rsidRPr="0049187C">
        <w:rPr>
          <w:lang w:val="ru-RU"/>
        </w:rPr>
        <w:t>,</w:t>
      </w:r>
      <w:r w:rsidR="009A5FD1" w:rsidRPr="0049187C">
        <w:rPr>
          <w:lang w:val="ru-RU"/>
        </w:rPr>
        <w:t xml:space="preserve"> с использованием эффективной процентной ставки, определенной при первоначальном признании, или ее приблизительного значения. </w:t>
      </w:r>
      <w:r w:rsidR="002039A5">
        <w:rPr>
          <w:lang w:val="ru-RU"/>
        </w:rPr>
        <w:t>В случае</w:t>
      </w:r>
      <w:r w:rsidR="009A5FD1" w:rsidRPr="0049187C">
        <w:rPr>
          <w:lang w:val="ru-RU"/>
        </w:rPr>
        <w:t xml:space="preserve"> финансового инструмента </w:t>
      </w:r>
      <w:r w:rsidR="002039A5">
        <w:rPr>
          <w:lang w:val="ru-RU"/>
        </w:rPr>
        <w:t>с переменной процентной ставкой</w:t>
      </w:r>
      <w:r w:rsidR="009A5FD1" w:rsidRPr="0049187C">
        <w:rPr>
          <w:lang w:val="ru-RU"/>
        </w:rPr>
        <w:t xml:space="preserve"> ожидаемые кредитные убытки должны дисконтироваться с использованием текущей эффективной процентной ставки, определенной в соответствии с пунктом</w:t>
      </w:r>
      <w:r w:rsidRPr="0049187C">
        <w:rPr>
          <w:lang w:val="ru-RU"/>
        </w:rPr>
        <w:t xml:space="preserve"> B5.4.5.</w:t>
      </w:r>
      <w:bookmarkEnd w:id="348"/>
    </w:p>
    <w:p w:rsidR="001529CA" w:rsidRPr="0049187C" w:rsidRDefault="001529CA">
      <w:pPr>
        <w:pStyle w:val="IASBNormalnpara"/>
        <w:rPr>
          <w:lang w:val="ru-RU"/>
        </w:rPr>
      </w:pPr>
      <w:r w:rsidRPr="0049187C">
        <w:rPr>
          <w:lang w:val="ru-RU"/>
        </w:rPr>
        <w:t>B5.5.45</w:t>
      </w:r>
      <w:r w:rsidRPr="0049187C">
        <w:rPr>
          <w:lang w:val="ru-RU"/>
        </w:rPr>
        <w:tab/>
      </w:r>
      <w:bookmarkStart w:id="349" w:name="F32626631"/>
      <w:r w:rsidR="009A5FD1" w:rsidRPr="0049187C">
        <w:rPr>
          <w:lang w:val="ru-RU"/>
        </w:rPr>
        <w:t xml:space="preserve">В случае приобретенных или </w:t>
      </w:r>
      <w:r w:rsidR="003D3EED">
        <w:rPr>
          <w:lang w:val="ru-RU"/>
        </w:rPr>
        <w:t>созданных кредитно-обесцененных финансовых активов</w:t>
      </w:r>
      <w:r w:rsidR="009A5FD1" w:rsidRPr="0049187C">
        <w:rPr>
          <w:lang w:val="ru-RU"/>
        </w:rPr>
        <w:t xml:space="preserve"> ожидаемые кредитные убытки должны дисконтироваться с использованием </w:t>
      </w:r>
      <w:r w:rsidR="009D009A" w:rsidRPr="0049187C">
        <w:rPr>
          <w:lang w:val="ru-RU"/>
        </w:rPr>
        <w:t xml:space="preserve">скорректированной с учетом </w:t>
      </w:r>
      <w:r w:rsidR="00D16812">
        <w:rPr>
          <w:lang w:val="ru-RU"/>
        </w:rPr>
        <w:t xml:space="preserve">кредитного </w:t>
      </w:r>
      <w:r w:rsidR="009D009A" w:rsidRPr="0049187C">
        <w:rPr>
          <w:lang w:val="ru-RU"/>
        </w:rPr>
        <w:t xml:space="preserve">риска </w:t>
      </w:r>
      <w:r w:rsidR="009A5FD1" w:rsidRPr="0049187C">
        <w:rPr>
          <w:lang w:val="ru-RU"/>
        </w:rPr>
        <w:t xml:space="preserve">эффективной процентной ставки, </w:t>
      </w:r>
      <w:r w:rsidR="009D009A" w:rsidRPr="0049187C">
        <w:rPr>
          <w:lang w:val="ru-RU"/>
        </w:rPr>
        <w:t>определенной</w:t>
      </w:r>
      <w:r w:rsidR="009A5FD1" w:rsidRPr="0049187C">
        <w:rPr>
          <w:lang w:val="ru-RU"/>
        </w:rPr>
        <w:t xml:space="preserve"> при первоначальном признании</w:t>
      </w:r>
      <w:r w:rsidRPr="0049187C">
        <w:rPr>
          <w:lang w:val="ru-RU"/>
        </w:rPr>
        <w:t>.</w:t>
      </w:r>
      <w:bookmarkEnd w:id="349"/>
    </w:p>
    <w:p w:rsidR="001529CA" w:rsidRPr="0049187C" w:rsidRDefault="001529CA">
      <w:pPr>
        <w:pStyle w:val="IASBNormalnpara"/>
        <w:rPr>
          <w:lang w:val="ru-RU"/>
        </w:rPr>
      </w:pPr>
      <w:r w:rsidRPr="0049187C">
        <w:rPr>
          <w:lang w:val="ru-RU"/>
        </w:rPr>
        <w:t>B5.5.46</w:t>
      </w:r>
      <w:r w:rsidRPr="0049187C">
        <w:rPr>
          <w:lang w:val="ru-RU"/>
        </w:rPr>
        <w:tab/>
      </w:r>
      <w:bookmarkStart w:id="350" w:name="F32626632"/>
      <w:r w:rsidR="009A5FD1" w:rsidRPr="0049187C">
        <w:rPr>
          <w:lang w:val="ru-RU"/>
        </w:rPr>
        <w:t>Ожидаемые кредитные убытки по дебиторской задолженности по аренде должны дисконтироваться с использованием той же ставки дисконтирования, которая используется при оценке дебиторской задолженности по а</w:t>
      </w:r>
      <w:r w:rsidR="004A4B71">
        <w:rPr>
          <w:lang w:val="ru-RU"/>
        </w:rPr>
        <w:t xml:space="preserve">ренде в соответствии с </w:t>
      </w:r>
      <w:r w:rsidR="00047253" w:rsidRPr="00047253">
        <w:rPr>
          <w:lang w:val="ru-RU"/>
        </w:rPr>
        <w:t>МСФО (IFRS</w:t>
      </w:r>
      <w:r w:rsidR="00047253">
        <w:rPr>
          <w:lang w:val="ru-RU"/>
        </w:rPr>
        <w:t>)</w:t>
      </w:r>
      <w:r w:rsidR="00047253" w:rsidRPr="00047253">
        <w:rPr>
          <w:lang w:val="ru-RU"/>
        </w:rPr>
        <w:t xml:space="preserve"> 16</w:t>
      </w:r>
      <w:r w:rsidRPr="0049187C">
        <w:rPr>
          <w:lang w:val="ru-RU"/>
        </w:rPr>
        <w:t>.</w:t>
      </w:r>
      <w:bookmarkEnd w:id="350"/>
    </w:p>
    <w:p w:rsidR="001529CA" w:rsidRPr="0049187C" w:rsidRDefault="001529CA">
      <w:pPr>
        <w:pStyle w:val="IASBNormalnpara"/>
        <w:rPr>
          <w:lang w:val="ru-RU"/>
        </w:rPr>
      </w:pPr>
      <w:r w:rsidRPr="0049187C">
        <w:rPr>
          <w:lang w:val="ru-RU"/>
        </w:rPr>
        <w:t>B5.5.47</w:t>
      </w:r>
      <w:r w:rsidRPr="0049187C">
        <w:rPr>
          <w:lang w:val="ru-RU"/>
        </w:rPr>
        <w:tab/>
      </w:r>
      <w:bookmarkStart w:id="351" w:name="F32626633"/>
      <w:r w:rsidR="004F561D" w:rsidRPr="0049187C">
        <w:rPr>
          <w:lang w:val="ru-RU"/>
        </w:rPr>
        <w:t xml:space="preserve">Ожидаемые кредитные убытки по обязательству по предоставлению займов должны дисконтироваться с использованием эффективной </w:t>
      </w:r>
      <w:r w:rsidR="0049187C" w:rsidRPr="0049187C">
        <w:rPr>
          <w:lang w:val="ru-RU"/>
        </w:rPr>
        <w:t>процентной</w:t>
      </w:r>
      <w:r w:rsidR="004F561D" w:rsidRPr="0049187C">
        <w:rPr>
          <w:lang w:val="ru-RU"/>
        </w:rPr>
        <w:t xml:space="preserve"> ставки </w:t>
      </w:r>
      <w:r w:rsidR="00413039" w:rsidRPr="0049187C">
        <w:rPr>
          <w:lang w:val="ru-RU"/>
        </w:rPr>
        <w:t>(</w:t>
      </w:r>
      <w:r w:rsidR="004F561D" w:rsidRPr="0049187C">
        <w:rPr>
          <w:lang w:val="ru-RU"/>
        </w:rPr>
        <w:t>или ее приблизительного значения</w:t>
      </w:r>
      <w:r w:rsidR="00413039" w:rsidRPr="0049187C">
        <w:rPr>
          <w:lang w:val="ru-RU"/>
        </w:rPr>
        <w:t>)</w:t>
      </w:r>
      <w:r w:rsidR="004F561D" w:rsidRPr="0049187C">
        <w:rPr>
          <w:lang w:val="ru-RU"/>
        </w:rPr>
        <w:t>, которая будет применяться при признании финансового актива</w:t>
      </w:r>
      <w:r w:rsidR="00413039" w:rsidRPr="0049187C">
        <w:rPr>
          <w:lang w:val="ru-RU"/>
        </w:rPr>
        <w:t xml:space="preserve"> в результате</w:t>
      </w:r>
      <w:r w:rsidR="004F561D" w:rsidRPr="0049187C">
        <w:rPr>
          <w:lang w:val="ru-RU"/>
        </w:rPr>
        <w:t xml:space="preserve"> </w:t>
      </w:r>
      <w:r w:rsidR="00D16812">
        <w:rPr>
          <w:lang w:val="ru-RU"/>
        </w:rPr>
        <w:t xml:space="preserve">исполнения </w:t>
      </w:r>
      <w:r w:rsidR="004F561D" w:rsidRPr="0049187C">
        <w:rPr>
          <w:lang w:val="ru-RU"/>
        </w:rPr>
        <w:t>обязательств</w:t>
      </w:r>
      <w:r w:rsidR="00413039" w:rsidRPr="0049187C">
        <w:rPr>
          <w:lang w:val="ru-RU"/>
        </w:rPr>
        <w:t>а</w:t>
      </w:r>
      <w:r w:rsidR="004F561D" w:rsidRPr="0049187C">
        <w:rPr>
          <w:lang w:val="ru-RU"/>
        </w:rPr>
        <w:t xml:space="preserve"> по предоставлению займов</w:t>
      </w:r>
      <w:r w:rsidRPr="0049187C">
        <w:rPr>
          <w:lang w:val="ru-RU"/>
        </w:rPr>
        <w:t xml:space="preserve">. </w:t>
      </w:r>
      <w:r w:rsidR="004F561D" w:rsidRPr="0049187C">
        <w:rPr>
          <w:lang w:val="ru-RU"/>
        </w:rPr>
        <w:t>Это обусловлено тем, что для целей применения требований</w:t>
      </w:r>
      <w:r w:rsidR="00705E4E">
        <w:rPr>
          <w:lang w:val="ru-RU"/>
        </w:rPr>
        <w:t>,</w:t>
      </w:r>
      <w:r w:rsidR="004F561D" w:rsidRPr="0049187C">
        <w:rPr>
          <w:lang w:val="ru-RU"/>
        </w:rPr>
        <w:t xml:space="preserve"> к</w:t>
      </w:r>
      <w:r w:rsidR="00705E4E">
        <w:rPr>
          <w:lang w:val="ru-RU"/>
        </w:rPr>
        <w:t>асающихся обесценения,</w:t>
      </w:r>
      <w:r w:rsidR="004F561D" w:rsidRPr="0049187C">
        <w:rPr>
          <w:lang w:val="ru-RU"/>
        </w:rPr>
        <w:t xml:space="preserve"> финансовый актив, </w:t>
      </w:r>
      <w:r w:rsidR="00D16812">
        <w:rPr>
          <w:lang w:val="ru-RU"/>
        </w:rPr>
        <w:t>признаваемый</w:t>
      </w:r>
      <w:r w:rsidR="004F561D" w:rsidRPr="0049187C">
        <w:rPr>
          <w:lang w:val="ru-RU"/>
        </w:rPr>
        <w:t xml:space="preserve"> после использования</w:t>
      </w:r>
      <w:r w:rsidRPr="0049187C">
        <w:rPr>
          <w:lang w:val="ru-RU"/>
        </w:rPr>
        <w:t xml:space="preserve"> </w:t>
      </w:r>
      <w:r w:rsidR="004F561D" w:rsidRPr="0049187C">
        <w:rPr>
          <w:lang w:val="ru-RU"/>
        </w:rPr>
        <w:t>части</w:t>
      </w:r>
      <w:r w:rsidR="00D16812">
        <w:rPr>
          <w:lang w:val="ru-RU"/>
        </w:rPr>
        <w:t xml:space="preserve"> прав по</w:t>
      </w:r>
      <w:r w:rsidR="004F561D" w:rsidRPr="0049187C">
        <w:rPr>
          <w:lang w:val="ru-RU"/>
        </w:rPr>
        <w:t xml:space="preserve"> </w:t>
      </w:r>
      <w:r w:rsidR="00D16812" w:rsidRPr="0049187C">
        <w:rPr>
          <w:lang w:val="ru-RU"/>
        </w:rPr>
        <w:t>обязательств</w:t>
      </w:r>
      <w:r w:rsidR="00D16812">
        <w:rPr>
          <w:lang w:val="ru-RU"/>
        </w:rPr>
        <w:t>у</w:t>
      </w:r>
      <w:r w:rsidR="00D16812" w:rsidRPr="0049187C">
        <w:rPr>
          <w:lang w:val="ru-RU"/>
        </w:rPr>
        <w:t xml:space="preserve"> </w:t>
      </w:r>
      <w:r w:rsidR="004F561D" w:rsidRPr="0049187C">
        <w:rPr>
          <w:lang w:val="ru-RU"/>
        </w:rPr>
        <w:t>по предоставлению займов, должен считаться продолжением такого обязательства, а не новым финансовым инструментом</w:t>
      </w:r>
      <w:r w:rsidRPr="0049187C">
        <w:rPr>
          <w:lang w:val="ru-RU"/>
        </w:rPr>
        <w:t xml:space="preserve">. </w:t>
      </w:r>
      <w:r w:rsidR="004F561D" w:rsidRPr="0049187C">
        <w:rPr>
          <w:lang w:val="ru-RU"/>
        </w:rPr>
        <w:t>Соответственно, ожидаемые кредитные убытки по финансовому активу</w:t>
      </w:r>
      <w:r w:rsidR="00DB5171" w:rsidRPr="0049187C">
        <w:rPr>
          <w:lang w:val="ru-RU"/>
        </w:rPr>
        <w:t xml:space="preserve"> должны оцениваться с учетом первоначального кредитного риска по обязательству по предоставлению займ</w:t>
      </w:r>
      <w:r w:rsidR="009D009A" w:rsidRPr="0049187C">
        <w:rPr>
          <w:lang w:val="ru-RU"/>
        </w:rPr>
        <w:t>ов</w:t>
      </w:r>
      <w:r w:rsidR="00DB5171" w:rsidRPr="0049187C">
        <w:rPr>
          <w:lang w:val="ru-RU"/>
        </w:rPr>
        <w:t xml:space="preserve"> с даты, на которую организация стала стороной по обязательству</w:t>
      </w:r>
      <w:r w:rsidR="00B80D82">
        <w:rPr>
          <w:lang w:val="ru-RU"/>
        </w:rPr>
        <w:t>,</w:t>
      </w:r>
      <w:r w:rsidR="00A95386" w:rsidRPr="00A95386">
        <w:rPr>
          <w:lang w:val="ru-RU"/>
        </w:rPr>
        <w:t xml:space="preserve"> </w:t>
      </w:r>
      <w:r w:rsidR="00A95386">
        <w:rPr>
          <w:lang w:val="ru-RU"/>
        </w:rPr>
        <w:t>без права</w:t>
      </w:r>
      <w:r w:rsidR="00DE0EF7">
        <w:rPr>
          <w:lang w:val="ru-RU"/>
        </w:rPr>
        <w:t xml:space="preserve"> </w:t>
      </w:r>
      <w:r w:rsidR="00B878E6">
        <w:rPr>
          <w:lang w:val="ru-RU"/>
        </w:rPr>
        <w:t xml:space="preserve">его </w:t>
      </w:r>
      <w:r w:rsidR="00DE0EF7">
        <w:rPr>
          <w:lang w:val="ru-RU"/>
        </w:rPr>
        <w:t>последующей</w:t>
      </w:r>
      <w:r w:rsidR="00A95386">
        <w:rPr>
          <w:lang w:val="ru-RU"/>
        </w:rPr>
        <w:t xml:space="preserve"> отмены</w:t>
      </w:r>
      <w:r w:rsidRPr="0049187C">
        <w:rPr>
          <w:lang w:val="ru-RU"/>
        </w:rPr>
        <w:t>.</w:t>
      </w:r>
      <w:bookmarkEnd w:id="351"/>
    </w:p>
    <w:p w:rsidR="001529CA" w:rsidRPr="0049187C" w:rsidRDefault="001529CA">
      <w:pPr>
        <w:pStyle w:val="IASBNormalnpara"/>
        <w:rPr>
          <w:lang w:val="ru-RU"/>
        </w:rPr>
      </w:pPr>
      <w:r w:rsidRPr="0049187C">
        <w:rPr>
          <w:lang w:val="ru-RU"/>
        </w:rPr>
        <w:t>B5.5.48</w:t>
      </w:r>
      <w:r w:rsidRPr="0049187C">
        <w:rPr>
          <w:lang w:val="ru-RU"/>
        </w:rPr>
        <w:tab/>
      </w:r>
      <w:bookmarkStart w:id="352" w:name="F32626634"/>
      <w:r w:rsidR="00DB5171" w:rsidRPr="0049187C">
        <w:rPr>
          <w:lang w:val="ru-RU"/>
        </w:rPr>
        <w:t>Ожидаемые кредитные убытки по договорам финансовой гарантии или по обязательствам по предоставлению займов, эффективная процентная ставка для которых не может быть определена, должны дисконтироваться посредством применения ставки дисконтирования, отража</w:t>
      </w:r>
      <w:r w:rsidR="009D009A" w:rsidRPr="0049187C">
        <w:rPr>
          <w:lang w:val="ru-RU"/>
        </w:rPr>
        <w:t>ющей</w:t>
      </w:r>
      <w:r w:rsidR="00DB5171" w:rsidRPr="0049187C">
        <w:rPr>
          <w:lang w:val="ru-RU"/>
        </w:rPr>
        <w:t xml:space="preserve"> </w:t>
      </w:r>
      <w:r w:rsidR="00E1095F">
        <w:rPr>
          <w:lang w:val="ru-RU"/>
        </w:rPr>
        <w:t>текущую рыночную оценку временн</w:t>
      </w:r>
      <w:r w:rsidR="00E1095F" w:rsidRPr="00B44571">
        <w:rPr>
          <w:lang w:val="ru-RU"/>
        </w:rPr>
        <w:t>ó</w:t>
      </w:r>
      <w:r w:rsidR="00DB5171" w:rsidRPr="0049187C">
        <w:rPr>
          <w:lang w:val="ru-RU"/>
        </w:rPr>
        <w:t>й стоимости ден</w:t>
      </w:r>
      <w:r w:rsidR="00D23004" w:rsidRPr="0049187C">
        <w:rPr>
          <w:lang w:val="ru-RU"/>
        </w:rPr>
        <w:t xml:space="preserve">ег и риски, которые </w:t>
      </w:r>
      <w:r w:rsidR="00D16812" w:rsidRPr="0049187C">
        <w:rPr>
          <w:lang w:val="ru-RU"/>
        </w:rPr>
        <w:t xml:space="preserve">специфичны </w:t>
      </w:r>
      <w:r w:rsidR="00DB5171" w:rsidRPr="0049187C">
        <w:rPr>
          <w:lang w:val="ru-RU"/>
        </w:rPr>
        <w:t xml:space="preserve">для денежных потоков, но только если, и в объеме, в котором, риски учитываются посредством корректировки ставки дисконтирования, а не посредством корректировки </w:t>
      </w:r>
      <w:r w:rsidR="00D16812" w:rsidRPr="0049187C">
        <w:rPr>
          <w:lang w:val="ru-RU"/>
        </w:rPr>
        <w:t>дисконтируем</w:t>
      </w:r>
      <w:r w:rsidR="00D16812">
        <w:rPr>
          <w:lang w:val="ru-RU"/>
        </w:rPr>
        <w:t>ых</w:t>
      </w:r>
      <w:r w:rsidR="00D16812" w:rsidRPr="0049187C">
        <w:rPr>
          <w:lang w:val="ru-RU"/>
        </w:rPr>
        <w:t xml:space="preserve"> </w:t>
      </w:r>
      <w:r w:rsidR="00527880">
        <w:rPr>
          <w:lang w:val="ru-RU"/>
        </w:rPr>
        <w:t>недополучений</w:t>
      </w:r>
      <w:r w:rsidR="00D16812" w:rsidRPr="0049187C">
        <w:rPr>
          <w:lang w:val="ru-RU"/>
        </w:rPr>
        <w:t xml:space="preserve"> </w:t>
      </w:r>
      <w:r w:rsidR="00DB5171" w:rsidRPr="0049187C">
        <w:rPr>
          <w:lang w:val="ru-RU"/>
        </w:rPr>
        <w:t>денежных средств</w:t>
      </w:r>
      <w:r w:rsidRPr="0049187C">
        <w:rPr>
          <w:lang w:val="ru-RU"/>
        </w:rPr>
        <w:t>.</w:t>
      </w:r>
      <w:bookmarkEnd w:id="352"/>
    </w:p>
    <w:p w:rsidR="001529CA" w:rsidRPr="0049187C" w:rsidRDefault="00DB5171">
      <w:pPr>
        <w:pStyle w:val="IASBSectionTitle3Ind"/>
        <w:rPr>
          <w:lang w:val="ru-RU"/>
        </w:rPr>
      </w:pPr>
      <w:bookmarkStart w:id="353" w:name="F32626636"/>
      <w:r w:rsidRPr="0049187C">
        <w:rPr>
          <w:lang w:val="ru-RU"/>
        </w:rPr>
        <w:t xml:space="preserve">Обоснованная и </w:t>
      </w:r>
      <w:r w:rsidR="00D16812">
        <w:rPr>
          <w:lang w:val="ru-RU"/>
        </w:rPr>
        <w:t>подтверждаемая</w:t>
      </w:r>
      <w:r w:rsidR="00D16812" w:rsidRPr="0049187C">
        <w:rPr>
          <w:lang w:val="ru-RU"/>
        </w:rPr>
        <w:t xml:space="preserve"> </w:t>
      </w:r>
      <w:r w:rsidRPr="0049187C">
        <w:rPr>
          <w:lang w:val="ru-RU"/>
        </w:rPr>
        <w:t>информация</w:t>
      </w:r>
      <w:bookmarkEnd w:id="353"/>
    </w:p>
    <w:p w:rsidR="001529CA" w:rsidRPr="0049187C" w:rsidRDefault="001529CA">
      <w:pPr>
        <w:pStyle w:val="IASBNormalnpara"/>
        <w:rPr>
          <w:lang w:val="ru-RU"/>
        </w:rPr>
      </w:pPr>
      <w:r w:rsidRPr="0049187C">
        <w:rPr>
          <w:lang w:val="ru-RU"/>
        </w:rPr>
        <w:t>B5.5.49</w:t>
      </w:r>
      <w:r w:rsidRPr="0049187C">
        <w:rPr>
          <w:lang w:val="ru-RU"/>
        </w:rPr>
        <w:tab/>
      </w:r>
      <w:bookmarkStart w:id="354" w:name="F32626637"/>
      <w:r w:rsidR="00D44730" w:rsidRPr="0049187C">
        <w:rPr>
          <w:lang w:val="ru-RU"/>
        </w:rPr>
        <w:t xml:space="preserve">Для целей настоящего стандарта обоснованная и </w:t>
      </w:r>
      <w:r w:rsidR="00D16812">
        <w:rPr>
          <w:lang w:val="ru-RU"/>
        </w:rPr>
        <w:t>подтверждаемая</w:t>
      </w:r>
      <w:r w:rsidR="00D16812" w:rsidRPr="0049187C">
        <w:rPr>
          <w:lang w:val="ru-RU"/>
        </w:rPr>
        <w:t xml:space="preserve"> </w:t>
      </w:r>
      <w:r w:rsidR="00D44730" w:rsidRPr="0049187C">
        <w:rPr>
          <w:lang w:val="ru-RU"/>
        </w:rPr>
        <w:t xml:space="preserve">информация – это информация, которая </w:t>
      </w:r>
      <w:r w:rsidR="00413039" w:rsidRPr="0049187C">
        <w:rPr>
          <w:lang w:val="ru-RU"/>
        </w:rPr>
        <w:t xml:space="preserve">является </w:t>
      </w:r>
      <w:r w:rsidR="00D44730" w:rsidRPr="0049187C">
        <w:rPr>
          <w:lang w:val="ru-RU"/>
        </w:rPr>
        <w:t>обоснованно доступн</w:t>
      </w:r>
      <w:r w:rsidR="00413039" w:rsidRPr="0049187C">
        <w:rPr>
          <w:lang w:val="ru-RU"/>
        </w:rPr>
        <w:t>ой</w:t>
      </w:r>
      <w:r w:rsidR="00D44730" w:rsidRPr="0049187C">
        <w:rPr>
          <w:lang w:val="ru-RU"/>
        </w:rPr>
        <w:t xml:space="preserve"> </w:t>
      </w:r>
      <w:r w:rsidR="007D71B7">
        <w:rPr>
          <w:lang w:val="ru-RU"/>
        </w:rPr>
        <w:t xml:space="preserve">по состоянию </w:t>
      </w:r>
      <w:r w:rsidR="00D44730" w:rsidRPr="0049187C">
        <w:rPr>
          <w:lang w:val="ru-RU"/>
        </w:rPr>
        <w:t>на отчетную дату без чрезмерных затрат и</w:t>
      </w:r>
      <w:r w:rsidR="009D009A" w:rsidRPr="0049187C">
        <w:rPr>
          <w:lang w:val="ru-RU"/>
        </w:rPr>
        <w:t>ли</w:t>
      </w:r>
      <w:r w:rsidR="00D44730" w:rsidRPr="0049187C">
        <w:rPr>
          <w:lang w:val="ru-RU"/>
        </w:rPr>
        <w:t xml:space="preserve"> усилий, включая информацию о прошлых событиях, текущих условиях и прогнозах будущих экономических условий. Информация, которая доступна для целей финансовой отчетности, считается доступной без чрезмерных затрат и</w:t>
      </w:r>
      <w:r w:rsidR="009D009A" w:rsidRPr="0049187C">
        <w:rPr>
          <w:lang w:val="ru-RU"/>
        </w:rPr>
        <w:t>ли</w:t>
      </w:r>
      <w:r w:rsidR="00D44730" w:rsidRPr="0049187C">
        <w:rPr>
          <w:lang w:val="ru-RU"/>
        </w:rPr>
        <w:t xml:space="preserve"> усилий</w:t>
      </w:r>
      <w:r w:rsidRPr="0049187C">
        <w:rPr>
          <w:lang w:val="ru-RU"/>
        </w:rPr>
        <w:t>.</w:t>
      </w:r>
      <w:bookmarkEnd w:id="354"/>
    </w:p>
    <w:p w:rsidR="001529CA" w:rsidRPr="0049187C" w:rsidRDefault="001529CA">
      <w:pPr>
        <w:pStyle w:val="IASBNormalnpara"/>
        <w:rPr>
          <w:lang w:val="ru-RU"/>
        </w:rPr>
      </w:pPr>
      <w:r w:rsidRPr="0049187C">
        <w:rPr>
          <w:lang w:val="ru-RU"/>
        </w:rPr>
        <w:t>B5.5.50</w:t>
      </w:r>
      <w:r w:rsidRPr="0049187C">
        <w:rPr>
          <w:lang w:val="ru-RU"/>
        </w:rPr>
        <w:tab/>
      </w:r>
      <w:bookmarkStart w:id="355" w:name="F32626638"/>
      <w:r w:rsidR="00FD7064" w:rsidRPr="0049187C">
        <w:rPr>
          <w:lang w:val="ru-RU"/>
        </w:rPr>
        <w:t xml:space="preserve">Организация не </w:t>
      </w:r>
      <w:r w:rsidR="00342864">
        <w:rPr>
          <w:lang w:val="ru-RU"/>
        </w:rPr>
        <w:t xml:space="preserve">обязательно </w:t>
      </w:r>
      <w:r w:rsidR="00FD7064" w:rsidRPr="0049187C">
        <w:rPr>
          <w:lang w:val="ru-RU"/>
        </w:rPr>
        <w:t>должна использовать прогнозы относительно будущих условий на протяжении всего ожидаемого срока действия финансового инструмента. Объем суждений, необходимы</w:t>
      </w:r>
      <w:r w:rsidR="00413039" w:rsidRPr="0049187C">
        <w:rPr>
          <w:lang w:val="ru-RU"/>
        </w:rPr>
        <w:t>х</w:t>
      </w:r>
      <w:r w:rsidR="00FD7064" w:rsidRPr="0049187C">
        <w:rPr>
          <w:lang w:val="ru-RU"/>
        </w:rPr>
        <w:t xml:space="preserve"> для оценки ожидаемых кредитных убытков</w:t>
      </w:r>
      <w:r w:rsidR="009D009A" w:rsidRPr="0049187C">
        <w:rPr>
          <w:lang w:val="ru-RU"/>
        </w:rPr>
        <w:t>,</w:t>
      </w:r>
      <w:r w:rsidR="00FD7064" w:rsidRPr="0049187C">
        <w:rPr>
          <w:lang w:val="ru-RU"/>
        </w:rPr>
        <w:t xml:space="preserve"> зависит от наличия подробной информации. По мере увеличения горизонта прогнозирования уменьшается наличие подробной информации и увеличивается объем суждений, необходимы</w:t>
      </w:r>
      <w:r w:rsidR="00413039" w:rsidRPr="0049187C">
        <w:rPr>
          <w:lang w:val="ru-RU"/>
        </w:rPr>
        <w:t>х</w:t>
      </w:r>
      <w:r w:rsidR="00FD7064" w:rsidRPr="0049187C">
        <w:rPr>
          <w:lang w:val="ru-RU"/>
        </w:rPr>
        <w:t xml:space="preserve"> для оценки ожидаемых кредитных убытков</w:t>
      </w:r>
      <w:r w:rsidRPr="0049187C">
        <w:rPr>
          <w:lang w:val="ru-RU"/>
        </w:rPr>
        <w:t xml:space="preserve">. </w:t>
      </w:r>
      <w:r w:rsidR="00FD7064" w:rsidRPr="0049187C">
        <w:rPr>
          <w:lang w:val="ru-RU"/>
        </w:rPr>
        <w:t xml:space="preserve">Оценка ожидаемых кредитных убытков не требует </w:t>
      </w:r>
      <w:r w:rsidR="00342864">
        <w:rPr>
          <w:lang w:val="ru-RU"/>
        </w:rPr>
        <w:t xml:space="preserve">обязательной </w:t>
      </w:r>
      <w:r w:rsidR="00FD7064" w:rsidRPr="0049187C">
        <w:rPr>
          <w:lang w:val="ru-RU"/>
        </w:rPr>
        <w:t xml:space="preserve">подробной оценки для периодов в далеком будущем </w:t>
      </w:r>
      <w:r w:rsidR="00062B70">
        <w:rPr>
          <w:lang w:val="ru-RU"/>
        </w:rPr>
        <w:t xml:space="preserve">– </w:t>
      </w:r>
      <w:r w:rsidR="00FD7064" w:rsidRPr="0049187C">
        <w:rPr>
          <w:lang w:val="ru-RU"/>
        </w:rPr>
        <w:t>для таких периодов организация может экстраполировать имеющуюся подробную информацию</w:t>
      </w:r>
      <w:r w:rsidRPr="0049187C">
        <w:rPr>
          <w:lang w:val="ru-RU"/>
        </w:rPr>
        <w:t>.</w:t>
      </w:r>
      <w:bookmarkEnd w:id="355"/>
    </w:p>
    <w:p w:rsidR="001529CA" w:rsidRPr="0049187C" w:rsidRDefault="001529CA">
      <w:pPr>
        <w:pStyle w:val="IASBNormalnpara"/>
        <w:rPr>
          <w:lang w:val="ru-RU"/>
        </w:rPr>
      </w:pPr>
      <w:r w:rsidRPr="0049187C">
        <w:rPr>
          <w:lang w:val="ru-RU"/>
        </w:rPr>
        <w:t>B5.5.51</w:t>
      </w:r>
      <w:r w:rsidRPr="0049187C">
        <w:rPr>
          <w:lang w:val="ru-RU"/>
        </w:rPr>
        <w:tab/>
      </w:r>
      <w:bookmarkStart w:id="356" w:name="F32626639"/>
      <w:r w:rsidR="00FD7064" w:rsidRPr="0049187C">
        <w:rPr>
          <w:lang w:val="ru-RU"/>
        </w:rPr>
        <w:t xml:space="preserve">Организация не обязана осуществлять исчерпывающий поиск информации, но должна учитывать всю обоснованную и </w:t>
      </w:r>
      <w:r w:rsidR="00342864">
        <w:rPr>
          <w:lang w:val="ru-RU"/>
        </w:rPr>
        <w:t>подтверждаемую</w:t>
      </w:r>
      <w:r w:rsidR="00342864" w:rsidRPr="0049187C">
        <w:rPr>
          <w:lang w:val="ru-RU"/>
        </w:rPr>
        <w:t xml:space="preserve"> </w:t>
      </w:r>
      <w:r w:rsidR="00FD7064" w:rsidRPr="0049187C">
        <w:rPr>
          <w:lang w:val="ru-RU"/>
        </w:rPr>
        <w:t>информацию, которая доступна без чрезмерных затрат и</w:t>
      </w:r>
      <w:r w:rsidR="009D009A" w:rsidRPr="0049187C">
        <w:rPr>
          <w:lang w:val="ru-RU"/>
        </w:rPr>
        <w:t>ли</w:t>
      </w:r>
      <w:r w:rsidR="00FD7064" w:rsidRPr="0049187C">
        <w:rPr>
          <w:lang w:val="ru-RU"/>
        </w:rPr>
        <w:t xml:space="preserve"> усилий и </w:t>
      </w:r>
      <w:r w:rsidR="00135534" w:rsidRPr="0049187C">
        <w:rPr>
          <w:lang w:val="ru-RU"/>
        </w:rPr>
        <w:t xml:space="preserve">уместна </w:t>
      </w:r>
      <w:r w:rsidR="00FD7064" w:rsidRPr="0049187C">
        <w:rPr>
          <w:lang w:val="ru-RU"/>
        </w:rPr>
        <w:t>для оценки</w:t>
      </w:r>
      <w:r w:rsidR="0053028D" w:rsidRPr="0049187C">
        <w:rPr>
          <w:lang w:val="ru-RU"/>
        </w:rPr>
        <w:t xml:space="preserve"> ожидаемых кредитных убытков, включая влияние ожидаемых досрочных погашений.</w:t>
      </w:r>
      <w:r w:rsidRPr="0049187C">
        <w:rPr>
          <w:lang w:val="ru-RU"/>
        </w:rPr>
        <w:t xml:space="preserve"> </w:t>
      </w:r>
      <w:r w:rsidR="0053028D" w:rsidRPr="0049187C">
        <w:rPr>
          <w:lang w:val="ru-RU"/>
        </w:rPr>
        <w:t xml:space="preserve">Используемая информация должна включать факторы, </w:t>
      </w:r>
      <w:r w:rsidR="00342864" w:rsidRPr="0049187C">
        <w:rPr>
          <w:lang w:val="ru-RU"/>
        </w:rPr>
        <w:t>специфичны</w:t>
      </w:r>
      <w:r w:rsidR="00342864">
        <w:rPr>
          <w:lang w:val="ru-RU"/>
        </w:rPr>
        <w:t>е</w:t>
      </w:r>
      <w:r w:rsidR="00342864" w:rsidRPr="0049187C">
        <w:rPr>
          <w:lang w:val="ru-RU"/>
        </w:rPr>
        <w:t xml:space="preserve"> </w:t>
      </w:r>
      <w:r w:rsidR="0053028D" w:rsidRPr="0049187C">
        <w:rPr>
          <w:lang w:val="ru-RU"/>
        </w:rPr>
        <w:t>для заемщика, общие экономические условия и оценку как текущ</w:t>
      </w:r>
      <w:r w:rsidR="009D009A" w:rsidRPr="0049187C">
        <w:rPr>
          <w:lang w:val="ru-RU"/>
        </w:rPr>
        <w:t>его</w:t>
      </w:r>
      <w:r w:rsidR="0053028D" w:rsidRPr="0049187C">
        <w:rPr>
          <w:lang w:val="ru-RU"/>
        </w:rPr>
        <w:t xml:space="preserve">, так и прогнозируемого развития условий </w:t>
      </w:r>
      <w:r w:rsidR="007D71B7">
        <w:rPr>
          <w:lang w:val="ru-RU"/>
        </w:rPr>
        <w:t>по состоянию</w:t>
      </w:r>
      <w:r w:rsidR="007D71B7" w:rsidRPr="0049187C">
        <w:rPr>
          <w:lang w:val="ru-RU"/>
        </w:rPr>
        <w:t xml:space="preserve"> </w:t>
      </w:r>
      <w:r w:rsidR="0053028D" w:rsidRPr="0049187C">
        <w:rPr>
          <w:lang w:val="ru-RU"/>
        </w:rPr>
        <w:t>на отчетную дату</w:t>
      </w:r>
      <w:r w:rsidRPr="0049187C">
        <w:rPr>
          <w:lang w:val="ru-RU"/>
        </w:rPr>
        <w:t xml:space="preserve">. </w:t>
      </w:r>
      <w:r w:rsidR="0053028D" w:rsidRPr="0049187C">
        <w:rPr>
          <w:lang w:val="ru-RU"/>
        </w:rPr>
        <w:t xml:space="preserve">Организация может использовать различные источники данных, которые могут быть как внутренними (специфичными для организации), так и внешними. Возможные источники данных включают в себя внутренний прошлый опыт </w:t>
      </w:r>
      <w:r w:rsidR="009D009A" w:rsidRPr="0049187C">
        <w:rPr>
          <w:lang w:val="ru-RU"/>
        </w:rPr>
        <w:t xml:space="preserve">возникновения </w:t>
      </w:r>
      <w:r w:rsidR="0053028D" w:rsidRPr="0049187C">
        <w:rPr>
          <w:lang w:val="ru-RU"/>
        </w:rPr>
        <w:t xml:space="preserve">кредитных убытков, внутренние рейтинги, опыт </w:t>
      </w:r>
      <w:r w:rsidR="009D009A" w:rsidRPr="0049187C">
        <w:rPr>
          <w:lang w:val="ru-RU"/>
        </w:rPr>
        <w:t xml:space="preserve">возникновения </w:t>
      </w:r>
      <w:r w:rsidR="0053028D" w:rsidRPr="0049187C">
        <w:rPr>
          <w:lang w:val="ru-RU"/>
        </w:rPr>
        <w:t>кредитных убытков других организаций и внешние рейтинги, отчеты и статистические данные</w:t>
      </w:r>
      <w:r w:rsidRPr="0049187C">
        <w:rPr>
          <w:lang w:val="ru-RU"/>
        </w:rPr>
        <w:t xml:space="preserve">. </w:t>
      </w:r>
      <w:r w:rsidR="0053028D" w:rsidRPr="0049187C">
        <w:rPr>
          <w:lang w:val="ru-RU"/>
        </w:rPr>
        <w:t xml:space="preserve">Организации, не располагающие или располагающие недостаточными источниками специфичных для организации данных, могут использовать опыт аналогичных организаций </w:t>
      </w:r>
      <w:r w:rsidR="00342864">
        <w:rPr>
          <w:lang w:val="ru-RU"/>
        </w:rPr>
        <w:t>для</w:t>
      </w:r>
      <w:r w:rsidR="0053028D" w:rsidRPr="0049187C">
        <w:rPr>
          <w:lang w:val="ru-RU"/>
        </w:rPr>
        <w:t xml:space="preserve"> сопоставимого финансового инструмента</w:t>
      </w:r>
      <w:r w:rsidRPr="0049187C">
        <w:rPr>
          <w:lang w:val="ru-RU"/>
        </w:rPr>
        <w:t xml:space="preserve"> (</w:t>
      </w:r>
      <w:r w:rsidR="0053028D" w:rsidRPr="0049187C">
        <w:rPr>
          <w:lang w:val="ru-RU"/>
        </w:rPr>
        <w:t xml:space="preserve">или </w:t>
      </w:r>
      <w:r w:rsidR="00342864">
        <w:rPr>
          <w:lang w:val="ru-RU"/>
        </w:rPr>
        <w:t xml:space="preserve">сопоставимых </w:t>
      </w:r>
      <w:r w:rsidR="0053028D" w:rsidRPr="0049187C">
        <w:rPr>
          <w:lang w:val="ru-RU"/>
        </w:rPr>
        <w:t>групп финансовых инструментов</w:t>
      </w:r>
      <w:r w:rsidRPr="0049187C">
        <w:rPr>
          <w:lang w:val="ru-RU"/>
        </w:rPr>
        <w:t>).</w:t>
      </w:r>
      <w:bookmarkEnd w:id="356"/>
    </w:p>
    <w:p w:rsidR="001529CA" w:rsidRPr="0049187C" w:rsidRDefault="001529CA">
      <w:pPr>
        <w:pStyle w:val="IASBNormalnpara"/>
        <w:rPr>
          <w:lang w:val="ru-RU"/>
        </w:rPr>
      </w:pPr>
      <w:r w:rsidRPr="0049187C">
        <w:rPr>
          <w:lang w:val="ru-RU"/>
        </w:rPr>
        <w:t>B5.5.52</w:t>
      </w:r>
      <w:r w:rsidRPr="0049187C">
        <w:rPr>
          <w:lang w:val="ru-RU"/>
        </w:rPr>
        <w:tab/>
      </w:r>
      <w:bookmarkStart w:id="357" w:name="F32626641"/>
      <w:r w:rsidR="00A857CD" w:rsidRPr="0049187C">
        <w:rPr>
          <w:lang w:val="ru-RU"/>
        </w:rPr>
        <w:t xml:space="preserve">Информация прошлых </w:t>
      </w:r>
      <w:r w:rsidR="009D009A" w:rsidRPr="0049187C">
        <w:rPr>
          <w:lang w:val="ru-RU"/>
        </w:rPr>
        <w:t>периодов</w:t>
      </w:r>
      <w:r w:rsidR="00A857CD" w:rsidRPr="0049187C">
        <w:rPr>
          <w:lang w:val="ru-RU"/>
        </w:rPr>
        <w:t xml:space="preserve"> </w:t>
      </w:r>
      <w:r w:rsidR="004F62E4" w:rsidRPr="0049187C">
        <w:rPr>
          <w:lang w:val="ru-RU"/>
        </w:rPr>
        <w:t xml:space="preserve">является важной отправной точкой или базой для оценки ожидаемых кредитных убытков. Однако организация должна корректировать данные прошлых </w:t>
      </w:r>
      <w:r w:rsidR="009D009A" w:rsidRPr="0049187C">
        <w:rPr>
          <w:lang w:val="ru-RU"/>
        </w:rPr>
        <w:t>периодов</w:t>
      </w:r>
      <w:r w:rsidR="004F62E4" w:rsidRPr="0049187C">
        <w:rPr>
          <w:lang w:val="ru-RU"/>
        </w:rPr>
        <w:t xml:space="preserve">, например, опыт </w:t>
      </w:r>
      <w:r w:rsidR="009D009A" w:rsidRPr="0049187C">
        <w:rPr>
          <w:lang w:val="ru-RU"/>
        </w:rPr>
        <w:t xml:space="preserve">возникновения </w:t>
      </w:r>
      <w:r w:rsidR="004F62E4" w:rsidRPr="0049187C">
        <w:rPr>
          <w:lang w:val="ru-RU"/>
        </w:rPr>
        <w:t xml:space="preserve">кредитных убытков, на основе текущих наблюдаемых данных для отражения влияния текущих условий и прогнозов относительно будущих условий, </w:t>
      </w:r>
      <w:r w:rsidR="000B1A45" w:rsidRPr="0049187C">
        <w:rPr>
          <w:lang w:val="ru-RU"/>
        </w:rPr>
        <w:t>которые не влияли на период, лежащий в основе данных прошлых лет</w:t>
      </w:r>
      <w:r w:rsidR="00736846" w:rsidRPr="0049187C">
        <w:rPr>
          <w:lang w:val="ru-RU"/>
        </w:rPr>
        <w:t>, а также для исключ</w:t>
      </w:r>
      <w:r w:rsidR="00DB464E" w:rsidRPr="0049187C">
        <w:rPr>
          <w:lang w:val="ru-RU"/>
        </w:rPr>
        <w:t>ения влияния</w:t>
      </w:r>
      <w:r w:rsidR="00736846" w:rsidRPr="0049187C">
        <w:rPr>
          <w:lang w:val="ru-RU"/>
        </w:rPr>
        <w:t xml:space="preserve"> условий в </w:t>
      </w:r>
      <w:r w:rsidR="00342864" w:rsidRPr="0049187C">
        <w:rPr>
          <w:lang w:val="ru-RU"/>
        </w:rPr>
        <w:t>прошл</w:t>
      </w:r>
      <w:r w:rsidR="00342864">
        <w:rPr>
          <w:lang w:val="ru-RU"/>
        </w:rPr>
        <w:t>ых</w:t>
      </w:r>
      <w:r w:rsidR="00342864" w:rsidRPr="0049187C">
        <w:rPr>
          <w:lang w:val="ru-RU"/>
        </w:rPr>
        <w:t xml:space="preserve"> период</w:t>
      </w:r>
      <w:r w:rsidR="00342864">
        <w:rPr>
          <w:lang w:val="ru-RU"/>
        </w:rPr>
        <w:t>ах</w:t>
      </w:r>
      <w:r w:rsidR="00736846" w:rsidRPr="0049187C">
        <w:rPr>
          <w:lang w:val="ru-RU"/>
        </w:rPr>
        <w:t xml:space="preserve">, которые не являются </w:t>
      </w:r>
      <w:r w:rsidR="00342864">
        <w:rPr>
          <w:lang w:val="ru-RU"/>
        </w:rPr>
        <w:t>уместными</w:t>
      </w:r>
      <w:r w:rsidR="00342864" w:rsidRPr="0049187C">
        <w:rPr>
          <w:lang w:val="ru-RU"/>
        </w:rPr>
        <w:t xml:space="preserve"> </w:t>
      </w:r>
      <w:r w:rsidR="00736846" w:rsidRPr="0049187C">
        <w:rPr>
          <w:lang w:val="ru-RU"/>
        </w:rPr>
        <w:t>для будущих денежных потоков</w:t>
      </w:r>
      <w:r w:rsidR="00D23004" w:rsidRPr="0049187C">
        <w:rPr>
          <w:lang w:val="ru-RU"/>
        </w:rPr>
        <w:t>, предусмотренных договором</w:t>
      </w:r>
      <w:r w:rsidRPr="0049187C">
        <w:rPr>
          <w:lang w:val="ru-RU"/>
        </w:rPr>
        <w:t xml:space="preserve">. </w:t>
      </w:r>
      <w:r w:rsidR="00736846" w:rsidRPr="0049187C">
        <w:rPr>
          <w:lang w:val="ru-RU"/>
        </w:rPr>
        <w:t xml:space="preserve">В некоторых случаях, в зависимости от характера информации прошлых </w:t>
      </w:r>
      <w:r w:rsidR="00DB464E" w:rsidRPr="0049187C">
        <w:rPr>
          <w:lang w:val="ru-RU"/>
        </w:rPr>
        <w:t>периодов</w:t>
      </w:r>
      <w:r w:rsidR="00736846" w:rsidRPr="0049187C">
        <w:rPr>
          <w:lang w:val="ru-RU"/>
        </w:rPr>
        <w:t xml:space="preserve"> и того, когда она рассчитывалась, в сравнении с обстоятельствами</w:t>
      </w:r>
      <w:r w:rsidR="007D71B7">
        <w:rPr>
          <w:lang w:val="ru-RU"/>
        </w:rPr>
        <w:t xml:space="preserve"> по состоянию</w:t>
      </w:r>
      <w:r w:rsidR="00736846" w:rsidRPr="0049187C">
        <w:rPr>
          <w:lang w:val="ru-RU"/>
        </w:rPr>
        <w:t xml:space="preserve"> на отчетную дату и характеристиками рассматриваемого финансового инструмента</w:t>
      </w:r>
      <w:r w:rsidR="00342864">
        <w:rPr>
          <w:lang w:val="ru-RU"/>
        </w:rPr>
        <w:t xml:space="preserve">, </w:t>
      </w:r>
      <w:r w:rsidR="00342864" w:rsidRPr="0049187C">
        <w:rPr>
          <w:lang w:val="ru-RU"/>
        </w:rPr>
        <w:t xml:space="preserve">наилучшей обоснованной и </w:t>
      </w:r>
      <w:r w:rsidR="00342864">
        <w:rPr>
          <w:lang w:val="ru-RU"/>
        </w:rPr>
        <w:t>подтверждаемой</w:t>
      </w:r>
      <w:r w:rsidR="00342864" w:rsidRPr="0049187C">
        <w:rPr>
          <w:lang w:val="ru-RU"/>
        </w:rPr>
        <w:t xml:space="preserve"> информацией может быть нескорректированная информация прошлых периодов</w:t>
      </w:r>
      <w:r w:rsidR="00736846" w:rsidRPr="0049187C">
        <w:rPr>
          <w:lang w:val="ru-RU"/>
        </w:rPr>
        <w:t>. Оценки изменений ожидаемых кредитных убытков должны отражать изменения соответствующих наблюдаемых данных от периода к периоду</w:t>
      </w:r>
      <w:r w:rsidRPr="0049187C">
        <w:rPr>
          <w:lang w:val="ru-RU"/>
        </w:rPr>
        <w:t xml:space="preserve"> (</w:t>
      </w:r>
      <w:r w:rsidR="00736846" w:rsidRPr="0049187C">
        <w:rPr>
          <w:lang w:val="ru-RU"/>
        </w:rPr>
        <w:t>например, изменения уровня безработицы</w:t>
      </w:r>
      <w:r w:rsidRPr="0049187C">
        <w:rPr>
          <w:lang w:val="ru-RU"/>
        </w:rPr>
        <w:t xml:space="preserve">, </w:t>
      </w:r>
      <w:r w:rsidR="00736846" w:rsidRPr="0049187C">
        <w:rPr>
          <w:lang w:val="ru-RU"/>
        </w:rPr>
        <w:t>цен на недвижимость</w:t>
      </w:r>
      <w:r w:rsidRPr="0049187C">
        <w:rPr>
          <w:lang w:val="ru-RU"/>
        </w:rPr>
        <w:t xml:space="preserve">, </w:t>
      </w:r>
      <w:r w:rsidR="00736846" w:rsidRPr="0049187C">
        <w:rPr>
          <w:lang w:val="ru-RU"/>
        </w:rPr>
        <w:t>цен на товары</w:t>
      </w:r>
      <w:r w:rsidRPr="0049187C">
        <w:rPr>
          <w:lang w:val="ru-RU"/>
        </w:rPr>
        <w:t xml:space="preserve">, </w:t>
      </w:r>
      <w:r w:rsidR="00A349DA">
        <w:rPr>
          <w:lang w:val="ru-RU"/>
        </w:rPr>
        <w:t>платежного</w:t>
      </w:r>
      <w:r w:rsidR="00342864">
        <w:rPr>
          <w:lang w:val="ru-RU"/>
        </w:rPr>
        <w:t xml:space="preserve"> статус</w:t>
      </w:r>
      <w:r w:rsidR="00A349DA">
        <w:rPr>
          <w:lang w:val="ru-RU"/>
        </w:rPr>
        <w:t>а</w:t>
      </w:r>
      <w:r w:rsidR="00736846" w:rsidRPr="0049187C">
        <w:rPr>
          <w:lang w:val="ru-RU"/>
        </w:rPr>
        <w:t xml:space="preserve"> или прочих факторов, </w:t>
      </w:r>
      <w:r w:rsidR="00DB464E" w:rsidRPr="0049187C">
        <w:rPr>
          <w:lang w:val="ru-RU"/>
        </w:rPr>
        <w:t xml:space="preserve">указывающих на возникновение </w:t>
      </w:r>
      <w:r w:rsidR="00736846" w:rsidRPr="0049187C">
        <w:rPr>
          <w:lang w:val="ru-RU"/>
        </w:rPr>
        <w:t>кредитных убытк</w:t>
      </w:r>
      <w:r w:rsidR="00DB464E" w:rsidRPr="0049187C">
        <w:rPr>
          <w:lang w:val="ru-RU"/>
        </w:rPr>
        <w:t>ов</w:t>
      </w:r>
      <w:r w:rsidR="00736846" w:rsidRPr="0049187C">
        <w:rPr>
          <w:lang w:val="ru-RU"/>
        </w:rPr>
        <w:t xml:space="preserve"> по финансовому инструменту или </w:t>
      </w:r>
      <w:r w:rsidR="00A349DA">
        <w:rPr>
          <w:lang w:val="ru-RU"/>
        </w:rPr>
        <w:t>по</w:t>
      </w:r>
      <w:r w:rsidR="00736846" w:rsidRPr="0049187C">
        <w:rPr>
          <w:lang w:val="ru-RU"/>
        </w:rPr>
        <w:t xml:space="preserve"> группе финансовых инструментов, а также </w:t>
      </w:r>
      <w:r w:rsidR="004D3CC5">
        <w:rPr>
          <w:lang w:val="ru-RU"/>
        </w:rPr>
        <w:t xml:space="preserve">изменений </w:t>
      </w:r>
      <w:r w:rsidR="004129FD" w:rsidRPr="0049187C">
        <w:rPr>
          <w:lang w:val="ru-RU"/>
        </w:rPr>
        <w:t xml:space="preserve">в </w:t>
      </w:r>
      <w:r w:rsidR="004D3CC5">
        <w:rPr>
          <w:lang w:val="ru-RU"/>
        </w:rPr>
        <w:t>величине</w:t>
      </w:r>
      <w:r w:rsidR="004D3CC5" w:rsidRPr="0049187C">
        <w:rPr>
          <w:lang w:val="ru-RU"/>
        </w:rPr>
        <w:t xml:space="preserve"> </w:t>
      </w:r>
      <w:r w:rsidR="00736846" w:rsidRPr="0049187C">
        <w:rPr>
          <w:lang w:val="ru-RU"/>
        </w:rPr>
        <w:t>таких изменений</w:t>
      </w:r>
      <w:r w:rsidRPr="0049187C">
        <w:rPr>
          <w:lang w:val="ru-RU"/>
        </w:rPr>
        <w:t>)</w:t>
      </w:r>
      <w:r w:rsidR="00736846" w:rsidRPr="0049187C">
        <w:rPr>
          <w:lang w:val="ru-RU"/>
        </w:rPr>
        <w:t xml:space="preserve"> и соответствовать </w:t>
      </w:r>
      <w:r w:rsidR="004D3CC5">
        <w:rPr>
          <w:lang w:val="ru-RU"/>
        </w:rPr>
        <w:t>направлению этих изменений</w:t>
      </w:r>
      <w:r w:rsidRPr="0049187C">
        <w:rPr>
          <w:lang w:val="ru-RU"/>
        </w:rPr>
        <w:t xml:space="preserve">. </w:t>
      </w:r>
      <w:r w:rsidR="00736846" w:rsidRPr="0049187C">
        <w:rPr>
          <w:lang w:val="ru-RU"/>
        </w:rPr>
        <w:t xml:space="preserve">Организация должна регулярно анализировать методологию и допущения, используемые </w:t>
      </w:r>
      <w:r w:rsidR="004D3CC5">
        <w:rPr>
          <w:lang w:val="ru-RU"/>
        </w:rPr>
        <w:t xml:space="preserve">ею </w:t>
      </w:r>
      <w:r w:rsidR="00736846" w:rsidRPr="0049187C">
        <w:rPr>
          <w:lang w:val="ru-RU"/>
        </w:rPr>
        <w:t>для оценки ожидаемых кредитных убытков</w:t>
      </w:r>
      <w:r w:rsidR="0043766C" w:rsidRPr="0049187C">
        <w:rPr>
          <w:lang w:val="ru-RU"/>
        </w:rPr>
        <w:t xml:space="preserve">, с целью </w:t>
      </w:r>
      <w:r w:rsidR="00DB464E" w:rsidRPr="0049187C">
        <w:rPr>
          <w:lang w:val="ru-RU"/>
        </w:rPr>
        <w:t>сокращени</w:t>
      </w:r>
      <w:r w:rsidR="0043766C" w:rsidRPr="0049187C">
        <w:rPr>
          <w:lang w:val="ru-RU"/>
        </w:rPr>
        <w:t>я различий между оценками и фактическими кредитными убытками</w:t>
      </w:r>
      <w:r w:rsidRPr="0049187C">
        <w:rPr>
          <w:lang w:val="ru-RU"/>
        </w:rPr>
        <w:t>.</w:t>
      </w:r>
      <w:bookmarkEnd w:id="357"/>
    </w:p>
    <w:p w:rsidR="001529CA" w:rsidRPr="0049187C" w:rsidRDefault="001529CA">
      <w:pPr>
        <w:pStyle w:val="IASBNormalnpara"/>
        <w:rPr>
          <w:lang w:val="ru-RU"/>
        </w:rPr>
      </w:pPr>
      <w:r w:rsidRPr="0049187C">
        <w:rPr>
          <w:lang w:val="ru-RU"/>
        </w:rPr>
        <w:t>B5.5.53</w:t>
      </w:r>
      <w:r w:rsidRPr="0049187C">
        <w:rPr>
          <w:lang w:val="ru-RU"/>
        </w:rPr>
        <w:tab/>
      </w:r>
      <w:bookmarkStart w:id="358" w:name="F32626642"/>
      <w:r w:rsidR="0043766C" w:rsidRPr="0049187C">
        <w:rPr>
          <w:lang w:val="ru-RU"/>
        </w:rPr>
        <w:t xml:space="preserve">В случае использования </w:t>
      </w:r>
      <w:r w:rsidR="00997C71" w:rsidRPr="0049187C">
        <w:rPr>
          <w:lang w:val="ru-RU"/>
        </w:rPr>
        <w:t>прошлого опыта возникновения кредитных убытков</w:t>
      </w:r>
      <w:r w:rsidR="0043766C" w:rsidRPr="0049187C">
        <w:rPr>
          <w:lang w:val="ru-RU"/>
        </w:rPr>
        <w:t xml:space="preserve"> при оценке ожидаемых кредитных убытков ва</w:t>
      </w:r>
      <w:r w:rsidR="00257CA2" w:rsidRPr="0049187C">
        <w:rPr>
          <w:lang w:val="ru-RU"/>
        </w:rPr>
        <w:t>жно, чтобы информация</w:t>
      </w:r>
      <w:r w:rsidR="008C5916" w:rsidRPr="0049187C">
        <w:rPr>
          <w:lang w:val="ru-RU"/>
        </w:rPr>
        <w:t xml:space="preserve"> об уровнях кредитных убытк</w:t>
      </w:r>
      <w:r w:rsidR="00C6103E" w:rsidRPr="0049187C">
        <w:rPr>
          <w:lang w:val="ru-RU"/>
        </w:rPr>
        <w:t>ов</w:t>
      </w:r>
      <w:r w:rsidR="008C5916" w:rsidRPr="0049187C">
        <w:rPr>
          <w:lang w:val="ru-RU"/>
        </w:rPr>
        <w:t xml:space="preserve"> прошлых лет применялась к группам, которые определяются </w:t>
      </w:r>
      <w:r w:rsidR="00D72A3D" w:rsidRPr="0049187C">
        <w:rPr>
          <w:lang w:val="ru-RU"/>
        </w:rPr>
        <w:t xml:space="preserve">аналогично группам, по которым наблюдались </w:t>
      </w:r>
      <w:r w:rsidR="004D3CC5">
        <w:rPr>
          <w:lang w:val="ru-RU"/>
        </w:rPr>
        <w:t xml:space="preserve">соответствующие </w:t>
      </w:r>
      <w:r w:rsidR="00D72A3D" w:rsidRPr="0049187C">
        <w:rPr>
          <w:lang w:val="ru-RU"/>
        </w:rPr>
        <w:t>уровни кредитных убытков прошлых лет</w:t>
      </w:r>
      <w:r w:rsidRPr="0049187C">
        <w:rPr>
          <w:lang w:val="ru-RU"/>
        </w:rPr>
        <w:t xml:space="preserve">. </w:t>
      </w:r>
      <w:r w:rsidR="00D72A3D" w:rsidRPr="0049187C">
        <w:rPr>
          <w:lang w:val="ru-RU"/>
        </w:rPr>
        <w:t xml:space="preserve">Соответственно, </w:t>
      </w:r>
      <w:r w:rsidR="0057415E" w:rsidRPr="0049187C">
        <w:rPr>
          <w:lang w:val="ru-RU"/>
        </w:rPr>
        <w:t xml:space="preserve">используемый метод должен </w:t>
      </w:r>
      <w:r w:rsidR="00975937" w:rsidRPr="0049187C">
        <w:rPr>
          <w:lang w:val="ru-RU"/>
        </w:rPr>
        <w:t>обеспечивать</w:t>
      </w:r>
      <w:r w:rsidR="0057415E" w:rsidRPr="0049187C">
        <w:rPr>
          <w:lang w:val="ru-RU"/>
        </w:rPr>
        <w:t xml:space="preserve"> соотнесение каждой группы финансовых активов с информацией о кредитных убытках прошлых лет в группе финансовых активов с аналогичными характеристиками риска и с </w:t>
      </w:r>
      <w:r w:rsidR="004D3CC5">
        <w:rPr>
          <w:lang w:val="ru-RU"/>
        </w:rPr>
        <w:t>уместными</w:t>
      </w:r>
      <w:r w:rsidR="004D3CC5" w:rsidRPr="0049187C">
        <w:rPr>
          <w:lang w:val="ru-RU"/>
        </w:rPr>
        <w:t xml:space="preserve"> </w:t>
      </w:r>
      <w:r w:rsidR="0057415E" w:rsidRPr="0049187C">
        <w:rPr>
          <w:lang w:val="ru-RU"/>
        </w:rPr>
        <w:t>наблюдаемыми данными, которые отражают текущие условия</w:t>
      </w:r>
      <w:r w:rsidRPr="0049187C">
        <w:rPr>
          <w:lang w:val="ru-RU"/>
        </w:rPr>
        <w:t>.</w:t>
      </w:r>
      <w:bookmarkEnd w:id="358"/>
    </w:p>
    <w:p w:rsidR="001529CA" w:rsidRPr="0049187C" w:rsidRDefault="001529CA">
      <w:pPr>
        <w:pStyle w:val="IASBNormalnpara"/>
        <w:rPr>
          <w:lang w:val="ru-RU"/>
        </w:rPr>
      </w:pPr>
      <w:r w:rsidRPr="0049187C">
        <w:rPr>
          <w:lang w:val="ru-RU"/>
        </w:rPr>
        <w:t>B5.5.54</w:t>
      </w:r>
      <w:r w:rsidRPr="0049187C">
        <w:rPr>
          <w:lang w:val="ru-RU"/>
        </w:rPr>
        <w:tab/>
      </w:r>
      <w:bookmarkStart w:id="359" w:name="F32626643"/>
      <w:r w:rsidR="0057415E" w:rsidRPr="0049187C">
        <w:rPr>
          <w:lang w:val="ru-RU"/>
        </w:rPr>
        <w:t xml:space="preserve">Ожидаемые кредитные убытки отражают собственные ожидания организации </w:t>
      </w:r>
      <w:r w:rsidR="00997C71" w:rsidRPr="0049187C">
        <w:rPr>
          <w:lang w:val="ru-RU"/>
        </w:rPr>
        <w:t>в отношении</w:t>
      </w:r>
      <w:r w:rsidR="0057415E" w:rsidRPr="0049187C">
        <w:rPr>
          <w:lang w:val="ru-RU"/>
        </w:rPr>
        <w:t xml:space="preserve"> кредитных убытков. Однако, учитывая при оценке ожидаемых кредитных убытков </w:t>
      </w:r>
      <w:r w:rsidR="004D3CC5" w:rsidRPr="0049187C">
        <w:rPr>
          <w:lang w:val="ru-RU"/>
        </w:rPr>
        <w:t xml:space="preserve">всю обоснованную и </w:t>
      </w:r>
      <w:r w:rsidR="004D3CC5">
        <w:rPr>
          <w:lang w:val="ru-RU"/>
        </w:rPr>
        <w:t>подтверждаемую</w:t>
      </w:r>
      <w:r w:rsidR="004D3CC5" w:rsidRPr="0049187C">
        <w:rPr>
          <w:lang w:val="ru-RU"/>
        </w:rPr>
        <w:t xml:space="preserve"> информацию, доступную без чрезмерных затрат или усилий, </w:t>
      </w:r>
      <w:r w:rsidR="0057415E" w:rsidRPr="0049187C">
        <w:rPr>
          <w:lang w:val="ru-RU"/>
        </w:rPr>
        <w:t>организация также должна принимать во внимание наблюдаемую рыночную информацию о кредитном риске определенного финансового инструмента или аналогичных финансовых инструментов</w:t>
      </w:r>
      <w:r w:rsidRPr="0049187C">
        <w:rPr>
          <w:lang w:val="ru-RU"/>
        </w:rPr>
        <w:t>.</w:t>
      </w:r>
      <w:bookmarkEnd w:id="359"/>
    </w:p>
    <w:p w:rsidR="001529CA" w:rsidRPr="0049187C" w:rsidRDefault="0057415E">
      <w:pPr>
        <w:pStyle w:val="IASBSectionTitle3Ind"/>
        <w:rPr>
          <w:lang w:val="ru-RU"/>
        </w:rPr>
      </w:pPr>
      <w:r w:rsidRPr="0049187C">
        <w:rPr>
          <w:lang w:val="ru-RU"/>
        </w:rPr>
        <w:t>Обеспечение</w:t>
      </w:r>
    </w:p>
    <w:p w:rsidR="001529CA" w:rsidRPr="0049187C" w:rsidRDefault="001529CA">
      <w:pPr>
        <w:pStyle w:val="IASBNormalnpara"/>
        <w:rPr>
          <w:lang w:val="ru-RU"/>
        </w:rPr>
      </w:pPr>
      <w:r w:rsidRPr="0049187C">
        <w:rPr>
          <w:lang w:val="ru-RU"/>
        </w:rPr>
        <w:t>B5.5.55</w:t>
      </w:r>
      <w:r w:rsidRPr="0049187C">
        <w:rPr>
          <w:lang w:val="ru-RU"/>
        </w:rPr>
        <w:tab/>
      </w:r>
      <w:bookmarkStart w:id="360" w:name="F32626646"/>
      <w:r w:rsidR="00A91BE8" w:rsidRPr="0049187C">
        <w:rPr>
          <w:lang w:val="ru-RU"/>
        </w:rPr>
        <w:t xml:space="preserve">Для целей оценки ожидаемых кредитных убытков оценка </w:t>
      </w:r>
      <w:r w:rsidR="004D3CC5" w:rsidRPr="0049187C">
        <w:rPr>
          <w:lang w:val="ru-RU"/>
        </w:rPr>
        <w:t>ожидаем</w:t>
      </w:r>
      <w:r w:rsidR="004D3CC5">
        <w:rPr>
          <w:lang w:val="ru-RU"/>
        </w:rPr>
        <w:t>ых</w:t>
      </w:r>
      <w:r w:rsidR="004D3CC5" w:rsidRPr="0049187C">
        <w:rPr>
          <w:lang w:val="ru-RU"/>
        </w:rPr>
        <w:t xml:space="preserve"> </w:t>
      </w:r>
      <w:r w:rsidR="00527880">
        <w:rPr>
          <w:lang w:val="ru-RU"/>
        </w:rPr>
        <w:t>недополучений</w:t>
      </w:r>
      <w:r w:rsidR="004D3CC5" w:rsidRPr="0049187C">
        <w:rPr>
          <w:lang w:val="ru-RU"/>
        </w:rPr>
        <w:t xml:space="preserve"> </w:t>
      </w:r>
      <w:r w:rsidR="00A91BE8" w:rsidRPr="0049187C">
        <w:rPr>
          <w:lang w:val="ru-RU"/>
        </w:rPr>
        <w:t xml:space="preserve">денежных средств должна отражать денежные потоки, ожидаемые от обеспечения и прочих механизмов повышения </w:t>
      </w:r>
      <w:r w:rsidR="004D3CC5">
        <w:rPr>
          <w:lang w:val="ru-RU"/>
        </w:rPr>
        <w:t xml:space="preserve">кредитного </w:t>
      </w:r>
      <w:r w:rsidR="00A91BE8" w:rsidRPr="0049187C">
        <w:rPr>
          <w:lang w:val="ru-RU"/>
        </w:rPr>
        <w:t xml:space="preserve">качества, которые являются частью договорных условий и не признаются организацией отдельно. Оценка </w:t>
      </w:r>
      <w:r w:rsidR="004D3CC5" w:rsidRPr="0049187C">
        <w:rPr>
          <w:lang w:val="ru-RU"/>
        </w:rPr>
        <w:t>ожидаем</w:t>
      </w:r>
      <w:r w:rsidR="004D3CC5">
        <w:rPr>
          <w:lang w:val="ru-RU"/>
        </w:rPr>
        <w:t>ых</w:t>
      </w:r>
      <w:r w:rsidR="004D3CC5" w:rsidRPr="0049187C">
        <w:rPr>
          <w:lang w:val="ru-RU"/>
        </w:rPr>
        <w:t xml:space="preserve"> </w:t>
      </w:r>
      <w:r w:rsidR="00527880">
        <w:rPr>
          <w:lang w:val="ru-RU"/>
        </w:rPr>
        <w:t>недополучений</w:t>
      </w:r>
      <w:r w:rsidR="004D3CC5" w:rsidRPr="0049187C">
        <w:rPr>
          <w:lang w:val="ru-RU"/>
        </w:rPr>
        <w:t xml:space="preserve"> </w:t>
      </w:r>
      <w:r w:rsidR="00A91BE8" w:rsidRPr="0049187C">
        <w:rPr>
          <w:lang w:val="ru-RU"/>
        </w:rPr>
        <w:t>денежных средств по обеспеченн</w:t>
      </w:r>
      <w:r w:rsidR="003C32E1" w:rsidRPr="0049187C">
        <w:rPr>
          <w:lang w:val="ru-RU"/>
        </w:rPr>
        <w:t>ому</w:t>
      </w:r>
      <w:r w:rsidR="00A91BE8" w:rsidRPr="0049187C">
        <w:rPr>
          <w:lang w:val="ru-RU"/>
        </w:rPr>
        <w:t xml:space="preserve"> залогом финансов</w:t>
      </w:r>
      <w:r w:rsidR="003C32E1" w:rsidRPr="0049187C">
        <w:rPr>
          <w:lang w:val="ru-RU"/>
        </w:rPr>
        <w:t>ому</w:t>
      </w:r>
      <w:r w:rsidR="00A91BE8" w:rsidRPr="0049187C">
        <w:rPr>
          <w:lang w:val="ru-RU"/>
        </w:rPr>
        <w:t xml:space="preserve"> инструмент</w:t>
      </w:r>
      <w:r w:rsidR="003C32E1" w:rsidRPr="0049187C">
        <w:rPr>
          <w:lang w:val="ru-RU"/>
        </w:rPr>
        <w:t>у</w:t>
      </w:r>
      <w:r w:rsidR="00A91BE8" w:rsidRPr="0049187C">
        <w:rPr>
          <w:lang w:val="ru-RU"/>
        </w:rPr>
        <w:t xml:space="preserve"> отражает сумму и сроки денежных потоков, которые ожидаются от обращения взыскания на обеспечение, за вычетом затрат на получение и продажу обеспечения, вне зависим</w:t>
      </w:r>
      <w:r w:rsidR="00975937" w:rsidRPr="0049187C">
        <w:rPr>
          <w:lang w:val="ru-RU"/>
        </w:rPr>
        <w:t>о</w:t>
      </w:r>
      <w:r w:rsidR="00A91BE8" w:rsidRPr="0049187C">
        <w:rPr>
          <w:lang w:val="ru-RU"/>
        </w:rPr>
        <w:t>сти от веро</w:t>
      </w:r>
      <w:r w:rsidR="005B57A4">
        <w:rPr>
          <w:lang w:val="ru-RU"/>
        </w:rPr>
        <w:t>ятности обращения взыскания (т.</w:t>
      </w:r>
      <w:r w:rsidR="005B57A4">
        <w:t> </w:t>
      </w:r>
      <w:r w:rsidR="00A91BE8" w:rsidRPr="0049187C">
        <w:rPr>
          <w:lang w:val="ru-RU"/>
        </w:rPr>
        <w:t>е. оценка ожидаемых денежных потоков учитывает вероятность обращения взыскания и возникающи</w:t>
      </w:r>
      <w:r w:rsidR="00975937" w:rsidRPr="0049187C">
        <w:rPr>
          <w:lang w:val="ru-RU"/>
        </w:rPr>
        <w:t>е</w:t>
      </w:r>
      <w:r w:rsidR="00A91BE8" w:rsidRPr="0049187C">
        <w:rPr>
          <w:lang w:val="ru-RU"/>
        </w:rPr>
        <w:t xml:space="preserve"> в результате денежны</w:t>
      </w:r>
      <w:r w:rsidR="00975937" w:rsidRPr="0049187C">
        <w:rPr>
          <w:lang w:val="ru-RU"/>
        </w:rPr>
        <w:t>е</w:t>
      </w:r>
      <w:r w:rsidR="00A91BE8" w:rsidRPr="0049187C">
        <w:rPr>
          <w:lang w:val="ru-RU"/>
        </w:rPr>
        <w:t xml:space="preserve"> поток</w:t>
      </w:r>
      <w:r w:rsidR="00975937" w:rsidRPr="0049187C">
        <w:rPr>
          <w:lang w:val="ru-RU"/>
        </w:rPr>
        <w:t>и</w:t>
      </w:r>
      <w:r w:rsidRPr="0049187C">
        <w:rPr>
          <w:lang w:val="ru-RU"/>
        </w:rPr>
        <w:t xml:space="preserve">). </w:t>
      </w:r>
      <w:r w:rsidR="00A91BE8" w:rsidRPr="0049187C">
        <w:rPr>
          <w:lang w:val="ru-RU"/>
        </w:rPr>
        <w:t xml:space="preserve">Соответственно, любые денежные потоки, которые ожидаются от реализации обеспечения за </w:t>
      </w:r>
      <w:r w:rsidR="004D3CC5">
        <w:rPr>
          <w:lang w:val="ru-RU"/>
        </w:rPr>
        <w:t>пределами</w:t>
      </w:r>
      <w:r w:rsidR="004D3CC5" w:rsidRPr="0049187C">
        <w:rPr>
          <w:lang w:val="ru-RU"/>
        </w:rPr>
        <w:t xml:space="preserve"> </w:t>
      </w:r>
      <w:r w:rsidR="00A91BE8" w:rsidRPr="0049187C">
        <w:rPr>
          <w:lang w:val="ru-RU"/>
        </w:rPr>
        <w:t xml:space="preserve">договорных сроков погашения, должны быть включены в такой анализ. Любое обеспечение, полученное в результате обращения взыскания, не признается в качестве </w:t>
      </w:r>
      <w:r w:rsidR="00FE70C9">
        <w:rPr>
          <w:lang w:val="ru-RU"/>
        </w:rPr>
        <w:t>отдельного</w:t>
      </w:r>
      <w:r w:rsidR="00A91BE8" w:rsidRPr="0049187C">
        <w:rPr>
          <w:lang w:val="ru-RU"/>
        </w:rPr>
        <w:t xml:space="preserve"> от обеспеченного залогом финансового инструмента</w:t>
      </w:r>
      <w:r w:rsidR="00FE70C9">
        <w:rPr>
          <w:lang w:val="ru-RU"/>
        </w:rPr>
        <w:t xml:space="preserve"> актива</w:t>
      </w:r>
      <w:r w:rsidR="00A91BE8" w:rsidRPr="0049187C">
        <w:rPr>
          <w:lang w:val="ru-RU"/>
        </w:rPr>
        <w:t xml:space="preserve">, </w:t>
      </w:r>
      <w:r w:rsidR="00FE70C9">
        <w:rPr>
          <w:lang w:val="ru-RU"/>
        </w:rPr>
        <w:t xml:space="preserve">за исключением случаев, когда </w:t>
      </w:r>
      <w:r w:rsidR="00A91BE8" w:rsidRPr="0049187C">
        <w:rPr>
          <w:lang w:val="ru-RU"/>
        </w:rPr>
        <w:t>оно удовлетворяет соответствующим критериям признания актива в настоящем или других стандартах</w:t>
      </w:r>
      <w:r w:rsidRPr="0049187C">
        <w:rPr>
          <w:lang w:val="ru-RU"/>
        </w:rPr>
        <w:t>.</w:t>
      </w:r>
      <w:bookmarkEnd w:id="360"/>
    </w:p>
    <w:p w:rsidR="001529CA" w:rsidRPr="0049187C" w:rsidRDefault="00A91BE8">
      <w:pPr>
        <w:pStyle w:val="IASBSectionTitle2Ind"/>
        <w:rPr>
          <w:lang w:val="ru-RU"/>
        </w:rPr>
      </w:pPr>
      <w:bookmarkStart w:id="361" w:name="F32626648"/>
      <w:r w:rsidRPr="0049187C">
        <w:rPr>
          <w:lang w:val="ru-RU"/>
        </w:rPr>
        <w:t>Реклассификация финансовых активов</w:t>
      </w:r>
      <w:r w:rsidR="001529CA" w:rsidRPr="0049187C">
        <w:rPr>
          <w:lang w:val="ru-RU"/>
        </w:rPr>
        <w:t xml:space="preserve"> (</w:t>
      </w:r>
      <w:r w:rsidR="00C25F1D">
        <w:rPr>
          <w:lang w:val="ru-RU"/>
        </w:rPr>
        <w:t>Р</w:t>
      </w:r>
      <w:r w:rsidRPr="0049187C">
        <w:rPr>
          <w:lang w:val="ru-RU"/>
        </w:rPr>
        <w:t>аздел</w:t>
      </w:r>
      <w:r w:rsidR="001529CA" w:rsidRPr="0049187C">
        <w:rPr>
          <w:lang w:val="ru-RU"/>
        </w:rPr>
        <w:t xml:space="preserve"> 5.6)</w:t>
      </w:r>
      <w:bookmarkEnd w:id="361"/>
    </w:p>
    <w:p w:rsidR="001529CA" w:rsidRPr="0049187C" w:rsidRDefault="001529CA">
      <w:pPr>
        <w:pStyle w:val="IASBNormalnpara"/>
        <w:rPr>
          <w:lang w:val="ru-RU"/>
        </w:rPr>
      </w:pPr>
      <w:r w:rsidRPr="0049187C">
        <w:rPr>
          <w:lang w:val="ru-RU"/>
        </w:rPr>
        <w:t>B5.6.1</w:t>
      </w:r>
      <w:r w:rsidRPr="0049187C">
        <w:rPr>
          <w:lang w:val="ru-RU"/>
        </w:rPr>
        <w:tab/>
      </w:r>
      <w:bookmarkStart w:id="362" w:name="F32626649"/>
      <w:r w:rsidR="00182E39" w:rsidRPr="0049187C">
        <w:rPr>
          <w:lang w:val="ru-RU"/>
        </w:rPr>
        <w:t xml:space="preserve">Если организация реклассифицирует финансовые активы в соответствии с пунктом </w:t>
      </w:r>
      <w:r w:rsidRPr="0049187C">
        <w:rPr>
          <w:lang w:val="ru-RU"/>
        </w:rPr>
        <w:t xml:space="preserve">4.4.1, </w:t>
      </w:r>
      <w:r w:rsidR="00182E39" w:rsidRPr="0049187C">
        <w:rPr>
          <w:lang w:val="ru-RU"/>
        </w:rPr>
        <w:t>пункт</w:t>
      </w:r>
      <w:r w:rsidRPr="0049187C">
        <w:rPr>
          <w:lang w:val="ru-RU"/>
        </w:rPr>
        <w:t xml:space="preserve"> 5.6.1 </w:t>
      </w:r>
      <w:r w:rsidR="00182E39" w:rsidRPr="0049187C">
        <w:rPr>
          <w:lang w:val="ru-RU"/>
        </w:rPr>
        <w:t>требует, чтобы реклассификация применялась перспективно с даты реклассификации</w:t>
      </w:r>
      <w:r w:rsidRPr="0049187C">
        <w:rPr>
          <w:lang w:val="ru-RU"/>
        </w:rPr>
        <w:t xml:space="preserve">. </w:t>
      </w:r>
      <w:r w:rsidR="00182E39" w:rsidRPr="0049187C">
        <w:rPr>
          <w:lang w:val="ru-RU"/>
        </w:rPr>
        <w:t>Как категория оценки по амортизированной стоимости, так и категория оценки по справедливой стоимости через прочий совокупный доход требуют определения эффективной процентной ставки при первоначальном признании</w:t>
      </w:r>
      <w:r w:rsidRPr="0049187C">
        <w:rPr>
          <w:lang w:val="ru-RU"/>
        </w:rPr>
        <w:t xml:space="preserve">. </w:t>
      </w:r>
      <w:r w:rsidR="00182E39" w:rsidRPr="0049187C">
        <w:rPr>
          <w:lang w:val="ru-RU"/>
        </w:rPr>
        <w:t>Обе эти категории оценки также требуют аналогичного применения требований</w:t>
      </w:r>
      <w:r w:rsidR="00705E4E">
        <w:rPr>
          <w:lang w:val="ru-RU"/>
        </w:rPr>
        <w:t>,</w:t>
      </w:r>
      <w:r w:rsidR="00182E39" w:rsidRPr="0049187C">
        <w:rPr>
          <w:lang w:val="ru-RU"/>
        </w:rPr>
        <w:t xml:space="preserve"> к</w:t>
      </w:r>
      <w:r w:rsidR="00705E4E">
        <w:rPr>
          <w:lang w:val="ru-RU"/>
        </w:rPr>
        <w:t>асающихся обесценения</w:t>
      </w:r>
      <w:r w:rsidR="00182E39" w:rsidRPr="0049187C">
        <w:rPr>
          <w:lang w:val="ru-RU"/>
        </w:rPr>
        <w:t>. Следовательно, когда организация реклассифицирует финансовый актив из категории оцен</w:t>
      </w:r>
      <w:r w:rsidR="00D709F9" w:rsidRPr="0049187C">
        <w:rPr>
          <w:lang w:val="ru-RU"/>
        </w:rPr>
        <w:t>иваемых</w:t>
      </w:r>
      <w:r w:rsidR="00182E39" w:rsidRPr="0049187C">
        <w:rPr>
          <w:lang w:val="ru-RU"/>
        </w:rPr>
        <w:t xml:space="preserve"> по амортизир</w:t>
      </w:r>
      <w:r w:rsidR="003C32E1" w:rsidRPr="0049187C">
        <w:rPr>
          <w:lang w:val="ru-RU"/>
        </w:rPr>
        <w:t>ованной</w:t>
      </w:r>
      <w:r w:rsidR="00182E39" w:rsidRPr="0049187C">
        <w:rPr>
          <w:lang w:val="ru-RU"/>
        </w:rPr>
        <w:t xml:space="preserve"> стоимости в категорию оцен</w:t>
      </w:r>
      <w:r w:rsidR="00D709F9" w:rsidRPr="0049187C">
        <w:rPr>
          <w:lang w:val="ru-RU"/>
        </w:rPr>
        <w:t>иваемых</w:t>
      </w:r>
      <w:r w:rsidR="00182E39" w:rsidRPr="0049187C">
        <w:rPr>
          <w:lang w:val="ru-RU"/>
        </w:rPr>
        <w:t xml:space="preserve"> по справедливой стоимости через прочий совокупный доход и наоборот</w:t>
      </w:r>
      <w:r w:rsidRPr="0049187C">
        <w:rPr>
          <w:lang w:val="ru-RU"/>
        </w:rPr>
        <w:t>:</w:t>
      </w:r>
      <w:bookmarkEnd w:id="362"/>
    </w:p>
    <w:p w:rsidR="001529CA" w:rsidRPr="0049187C" w:rsidRDefault="001529CA">
      <w:pPr>
        <w:pStyle w:val="IASBNormalnparaL1"/>
        <w:rPr>
          <w:lang w:val="ru-RU"/>
        </w:rPr>
      </w:pPr>
      <w:r w:rsidRPr="0049187C">
        <w:rPr>
          <w:lang w:val="ru-RU"/>
        </w:rPr>
        <w:t>(a)</w:t>
      </w:r>
      <w:r w:rsidRPr="0049187C">
        <w:rPr>
          <w:lang w:val="ru-RU"/>
        </w:rPr>
        <w:tab/>
      </w:r>
      <w:bookmarkStart w:id="363" w:name="F32626652"/>
      <w:r w:rsidR="00182E39" w:rsidRPr="0049187C">
        <w:rPr>
          <w:lang w:val="ru-RU"/>
        </w:rPr>
        <w:t xml:space="preserve">признание процентной выручки не изменится и, следовательно, организация продолжает использовать </w:t>
      </w:r>
      <w:r w:rsidR="004834D7" w:rsidRPr="0049187C">
        <w:rPr>
          <w:lang w:val="ru-RU"/>
        </w:rPr>
        <w:t>т</w:t>
      </w:r>
      <w:r w:rsidR="004834D7">
        <w:rPr>
          <w:lang w:val="ru-RU"/>
        </w:rPr>
        <w:t>у</w:t>
      </w:r>
      <w:r w:rsidR="004834D7" w:rsidRPr="0049187C">
        <w:rPr>
          <w:lang w:val="ru-RU"/>
        </w:rPr>
        <w:t xml:space="preserve"> </w:t>
      </w:r>
      <w:r w:rsidR="00182E39" w:rsidRPr="0049187C">
        <w:rPr>
          <w:lang w:val="ru-RU"/>
        </w:rPr>
        <w:t>же эффективную процентную ставку</w:t>
      </w:r>
      <w:r w:rsidRPr="0049187C">
        <w:rPr>
          <w:lang w:val="ru-RU"/>
        </w:rPr>
        <w:t>.</w:t>
      </w:r>
      <w:bookmarkEnd w:id="363"/>
    </w:p>
    <w:p w:rsidR="001529CA" w:rsidRPr="0049187C" w:rsidRDefault="001529CA">
      <w:pPr>
        <w:pStyle w:val="IASBNormalnparaL1"/>
        <w:rPr>
          <w:lang w:val="ru-RU"/>
        </w:rPr>
      </w:pPr>
      <w:r w:rsidRPr="0049187C">
        <w:rPr>
          <w:lang w:val="ru-RU"/>
        </w:rPr>
        <w:t>(b)</w:t>
      </w:r>
      <w:r w:rsidRPr="0049187C">
        <w:rPr>
          <w:lang w:val="ru-RU"/>
        </w:rPr>
        <w:tab/>
      </w:r>
      <w:bookmarkStart w:id="364" w:name="F32626654"/>
      <w:r w:rsidR="00182E39" w:rsidRPr="0049187C">
        <w:rPr>
          <w:lang w:val="ru-RU"/>
        </w:rPr>
        <w:t>оценка ожидаемых кредитных убытков не изменится</w:t>
      </w:r>
      <w:r w:rsidR="00393807" w:rsidRPr="0049187C">
        <w:rPr>
          <w:lang w:val="ru-RU"/>
        </w:rPr>
        <w:t xml:space="preserve">, поскольку </w:t>
      </w:r>
      <w:r w:rsidR="00D80A5A" w:rsidRPr="0049187C">
        <w:rPr>
          <w:lang w:val="ru-RU"/>
        </w:rPr>
        <w:t>обе категории оценки используют одинаковый подход к обесценению</w:t>
      </w:r>
      <w:r w:rsidRPr="0049187C">
        <w:rPr>
          <w:lang w:val="ru-RU"/>
        </w:rPr>
        <w:t xml:space="preserve">. </w:t>
      </w:r>
      <w:r w:rsidR="00D80A5A" w:rsidRPr="0049187C">
        <w:rPr>
          <w:lang w:val="ru-RU"/>
        </w:rPr>
        <w:t>Однако если финансовый актив реклассифицируется из категории оцен</w:t>
      </w:r>
      <w:r w:rsidR="00D709F9" w:rsidRPr="0049187C">
        <w:rPr>
          <w:lang w:val="ru-RU"/>
        </w:rPr>
        <w:t>иваемых</w:t>
      </w:r>
      <w:r w:rsidR="00D80A5A" w:rsidRPr="0049187C">
        <w:rPr>
          <w:lang w:val="ru-RU"/>
        </w:rPr>
        <w:t xml:space="preserve"> по справедливой стоимости через прочий совокупный доход в категорию оцен</w:t>
      </w:r>
      <w:r w:rsidR="00D709F9" w:rsidRPr="0049187C">
        <w:rPr>
          <w:lang w:val="ru-RU"/>
        </w:rPr>
        <w:t>иваемых</w:t>
      </w:r>
      <w:r w:rsidR="00D80A5A" w:rsidRPr="0049187C">
        <w:rPr>
          <w:lang w:val="ru-RU"/>
        </w:rPr>
        <w:t xml:space="preserve"> по амортизированной стоимости, оценочный резерв под убытки будет признаваться как корректировка валовой балансовой стоимости финансового актива с даты реклассификации</w:t>
      </w:r>
      <w:r w:rsidRPr="0049187C">
        <w:rPr>
          <w:lang w:val="ru-RU"/>
        </w:rPr>
        <w:t xml:space="preserve">. </w:t>
      </w:r>
      <w:r w:rsidR="00D80A5A" w:rsidRPr="0049187C">
        <w:rPr>
          <w:lang w:val="ru-RU"/>
        </w:rPr>
        <w:t>Если финансовый актив реклассифицируется из категории оцен</w:t>
      </w:r>
      <w:r w:rsidR="00D709F9" w:rsidRPr="0049187C">
        <w:rPr>
          <w:lang w:val="ru-RU"/>
        </w:rPr>
        <w:t>иваемых</w:t>
      </w:r>
      <w:r w:rsidR="00D80A5A" w:rsidRPr="0049187C">
        <w:rPr>
          <w:lang w:val="ru-RU"/>
        </w:rPr>
        <w:t xml:space="preserve"> по амортизированной стоимости в категорию оцен</w:t>
      </w:r>
      <w:r w:rsidR="00D709F9" w:rsidRPr="0049187C">
        <w:rPr>
          <w:lang w:val="ru-RU"/>
        </w:rPr>
        <w:t>иваемых</w:t>
      </w:r>
      <w:r w:rsidR="00D80A5A" w:rsidRPr="0049187C">
        <w:rPr>
          <w:lang w:val="ru-RU"/>
        </w:rPr>
        <w:t xml:space="preserve"> по справедливой стоимости через прочий совокупный доход, признание оценочного резерва под убытки прекратится (и, следовательно, он больше не будет признаваться в качестве корректировки валовой балансовой стоимости), но вместо этого он будет признаваться как накопленная сумма обесценения (равн</w:t>
      </w:r>
      <w:r w:rsidR="008104C6" w:rsidRPr="0049187C">
        <w:rPr>
          <w:lang w:val="ru-RU"/>
        </w:rPr>
        <w:t>ой</w:t>
      </w:r>
      <w:r w:rsidR="00D80A5A" w:rsidRPr="0049187C">
        <w:rPr>
          <w:lang w:val="ru-RU"/>
        </w:rPr>
        <w:t xml:space="preserve"> величин</w:t>
      </w:r>
      <w:r w:rsidR="008104C6" w:rsidRPr="0049187C">
        <w:rPr>
          <w:lang w:val="ru-RU"/>
        </w:rPr>
        <w:t>ы</w:t>
      </w:r>
      <w:r w:rsidR="00D80A5A" w:rsidRPr="0049187C">
        <w:rPr>
          <w:lang w:val="ru-RU"/>
        </w:rPr>
        <w:t xml:space="preserve">) в составе прочего совокупного дохода и будет раскрываться с даты реклассификации. </w:t>
      </w:r>
      <w:bookmarkEnd w:id="364"/>
    </w:p>
    <w:p w:rsidR="001529CA" w:rsidRPr="0049187C" w:rsidRDefault="001529CA">
      <w:pPr>
        <w:pStyle w:val="IASBNormalnpara"/>
        <w:rPr>
          <w:lang w:val="ru-RU"/>
        </w:rPr>
      </w:pPr>
      <w:r w:rsidRPr="0049187C">
        <w:rPr>
          <w:lang w:val="ru-RU"/>
        </w:rPr>
        <w:t>B5.6.2</w:t>
      </w:r>
      <w:r w:rsidRPr="0049187C">
        <w:rPr>
          <w:lang w:val="ru-RU"/>
        </w:rPr>
        <w:tab/>
      </w:r>
      <w:bookmarkStart w:id="365" w:name="F32626655"/>
      <w:r w:rsidR="00D80A5A" w:rsidRPr="0049187C">
        <w:rPr>
          <w:lang w:val="ru-RU"/>
        </w:rPr>
        <w:t xml:space="preserve">Однако </w:t>
      </w:r>
      <w:r w:rsidR="00E93B41">
        <w:rPr>
          <w:lang w:val="ru-RU"/>
        </w:rPr>
        <w:t xml:space="preserve">от </w:t>
      </w:r>
      <w:r w:rsidR="00E93B41" w:rsidRPr="0049187C">
        <w:rPr>
          <w:lang w:val="ru-RU"/>
        </w:rPr>
        <w:t>организаци</w:t>
      </w:r>
      <w:r w:rsidR="00E93B41">
        <w:rPr>
          <w:lang w:val="ru-RU"/>
        </w:rPr>
        <w:t>и</w:t>
      </w:r>
      <w:r w:rsidR="00E93B41" w:rsidRPr="0049187C">
        <w:rPr>
          <w:lang w:val="ru-RU"/>
        </w:rPr>
        <w:t xml:space="preserve"> </w:t>
      </w:r>
      <w:r w:rsidR="00D80A5A" w:rsidRPr="0049187C">
        <w:rPr>
          <w:lang w:val="ru-RU"/>
        </w:rPr>
        <w:t xml:space="preserve">не </w:t>
      </w:r>
      <w:r w:rsidR="00E93B41">
        <w:rPr>
          <w:lang w:val="ru-RU"/>
        </w:rPr>
        <w:t>требуется</w:t>
      </w:r>
      <w:r w:rsidR="00E93B41" w:rsidRPr="0049187C">
        <w:rPr>
          <w:lang w:val="ru-RU"/>
        </w:rPr>
        <w:t xml:space="preserve"> </w:t>
      </w:r>
      <w:r w:rsidR="00D80A5A" w:rsidRPr="0049187C">
        <w:rPr>
          <w:lang w:val="ru-RU"/>
        </w:rPr>
        <w:t xml:space="preserve">отдельно признавать процентную выручку </w:t>
      </w:r>
      <w:r w:rsidR="00E93B41">
        <w:rPr>
          <w:lang w:val="ru-RU"/>
        </w:rPr>
        <w:t>или</w:t>
      </w:r>
      <w:r w:rsidR="00E93B41" w:rsidRPr="0049187C">
        <w:rPr>
          <w:lang w:val="ru-RU"/>
        </w:rPr>
        <w:t xml:space="preserve"> </w:t>
      </w:r>
      <w:r w:rsidR="00D80A5A" w:rsidRPr="0049187C">
        <w:rPr>
          <w:lang w:val="ru-RU"/>
        </w:rPr>
        <w:t>прибыли или убытки от обесценения для финансового актива, оцениваемого по справедливой стоимости через прибыль или убыток</w:t>
      </w:r>
      <w:r w:rsidRPr="0049187C">
        <w:rPr>
          <w:lang w:val="ru-RU"/>
        </w:rPr>
        <w:t xml:space="preserve">. </w:t>
      </w:r>
      <w:r w:rsidR="00D80A5A" w:rsidRPr="0049187C">
        <w:rPr>
          <w:lang w:val="ru-RU"/>
        </w:rPr>
        <w:t>Следовательно, когда организация реклассифицирует финансовый актив из категории оцен</w:t>
      </w:r>
      <w:r w:rsidR="00D709F9" w:rsidRPr="0049187C">
        <w:rPr>
          <w:lang w:val="ru-RU"/>
        </w:rPr>
        <w:t>иваемых</w:t>
      </w:r>
      <w:r w:rsidR="00D80A5A" w:rsidRPr="0049187C">
        <w:rPr>
          <w:lang w:val="ru-RU"/>
        </w:rPr>
        <w:t xml:space="preserve"> по справедливой стоимости через прибыль или убыток</w:t>
      </w:r>
      <w:r w:rsidR="001F6915" w:rsidRPr="0049187C">
        <w:rPr>
          <w:lang w:val="ru-RU"/>
        </w:rPr>
        <w:t>, эффективная процентная ставка определяется на основе справедливой стоимости актива на дату реклассификации. Кр</w:t>
      </w:r>
      <w:r w:rsidR="003557D9">
        <w:rPr>
          <w:lang w:val="ru-RU"/>
        </w:rPr>
        <w:t>оме того, для целей применения Р</w:t>
      </w:r>
      <w:r w:rsidR="001F6915" w:rsidRPr="0049187C">
        <w:rPr>
          <w:lang w:val="ru-RU"/>
        </w:rPr>
        <w:t xml:space="preserve">аздела </w:t>
      </w:r>
      <w:r w:rsidRPr="0049187C">
        <w:rPr>
          <w:lang w:val="ru-RU"/>
        </w:rPr>
        <w:t xml:space="preserve">5.5 </w:t>
      </w:r>
      <w:r w:rsidR="001F6915" w:rsidRPr="0049187C">
        <w:rPr>
          <w:lang w:val="ru-RU"/>
        </w:rPr>
        <w:t xml:space="preserve">к финансовому активу с даты </w:t>
      </w:r>
      <w:r w:rsidR="00E93B41">
        <w:rPr>
          <w:lang w:val="ru-RU"/>
        </w:rPr>
        <w:t xml:space="preserve">его </w:t>
      </w:r>
      <w:r w:rsidR="001F6915" w:rsidRPr="0049187C">
        <w:rPr>
          <w:lang w:val="ru-RU"/>
        </w:rPr>
        <w:t>реклассификации</w:t>
      </w:r>
      <w:r w:rsidR="00E93B41">
        <w:rPr>
          <w:lang w:val="ru-RU"/>
        </w:rPr>
        <w:t>,</w:t>
      </w:r>
      <w:r w:rsidR="001F6915" w:rsidRPr="0049187C">
        <w:rPr>
          <w:lang w:val="ru-RU"/>
        </w:rPr>
        <w:t xml:space="preserve"> дата реклассификации считается датой </w:t>
      </w:r>
      <w:r w:rsidR="00E93B41">
        <w:rPr>
          <w:lang w:val="ru-RU"/>
        </w:rPr>
        <w:t xml:space="preserve">его </w:t>
      </w:r>
      <w:r w:rsidR="001F6915" w:rsidRPr="0049187C">
        <w:rPr>
          <w:lang w:val="ru-RU"/>
        </w:rPr>
        <w:t>первоначального признания</w:t>
      </w:r>
      <w:r w:rsidRPr="0049187C">
        <w:rPr>
          <w:lang w:val="ru-RU"/>
        </w:rPr>
        <w:t>.</w:t>
      </w:r>
      <w:bookmarkEnd w:id="365"/>
    </w:p>
    <w:p w:rsidR="001529CA" w:rsidRPr="0049187C" w:rsidRDefault="001F6915">
      <w:pPr>
        <w:pStyle w:val="IASBSectionTitle2Ind"/>
        <w:rPr>
          <w:lang w:val="ru-RU"/>
        </w:rPr>
      </w:pPr>
      <w:bookmarkStart w:id="366" w:name="F32626329"/>
      <w:r w:rsidRPr="0049187C">
        <w:rPr>
          <w:lang w:val="ru-RU"/>
        </w:rPr>
        <w:t>Прибыли и убытки</w:t>
      </w:r>
      <w:r w:rsidR="001529CA" w:rsidRPr="0049187C">
        <w:rPr>
          <w:lang w:val="ru-RU"/>
        </w:rPr>
        <w:t xml:space="preserve"> (</w:t>
      </w:r>
      <w:r w:rsidR="00C25F1D">
        <w:rPr>
          <w:lang w:val="ru-RU"/>
        </w:rPr>
        <w:t>Р</w:t>
      </w:r>
      <w:r w:rsidRPr="0049187C">
        <w:rPr>
          <w:lang w:val="ru-RU"/>
        </w:rPr>
        <w:t>аздел</w:t>
      </w:r>
      <w:r w:rsidR="001529CA" w:rsidRPr="0049187C">
        <w:rPr>
          <w:lang w:val="ru-RU"/>
        </w:rPr>
        <w:t xml:space="preserve"> 5.7)</w:t>
      </w:r>
      <w:bookmarkEnd w:id="366"/>
    </w:p>
    <w:p w:rsidR="001529CA" w:rsidRPr="0049187C" w:rsidRDefault="001529CA">
      <w:pPr>
        <w:pStyle w:val="IASBNormalnpara"/>
        <w:rPr>
          <w:lang w:val="ru-RU"/>
        </w:rPr>
      </w:pPr>
      <w:r w:rsidRPr="0049187C">
        <w:rPr>
          <w:lang w:val="ru-RU"/>
        </w:rPr>
        <w:t>B5.7.1</w:t>
      </w:r>
      <w:r w:rsidRPr="0049187C">
        <w:rPr>
          <w:lang w:val="ru-RU"/>
        </w:rPr>
        <w:tab/>
      </w:r>
      <w:bookmarkStart w:id="367" w:name="F32626333"/>
      <w:r w:rsidR="00FA4BD4" w:rsidRPr="0049187C">
        <w:rPr>
          <w:lang w:val="ru-RU"/>
        </w:rPr>
        <w:t>Пункт</w:t>
      </w:r>
      <w:r w:rsidRPr="0049187C">
        <w:rPr>
          <w:lang w:val="ru-RU"/>
        </w:rPr>
        <w:t xml:space="preserve"> 5.7.5 </w:t>
      </w:r>
      <w:r w:rsidR="00FA4BD4" w:rsidRPr="0049187C">
        <w:rPr>
          <w:lang w:val="ru-RU"/>
        </w:rPr>
        <w:t>разрешает организации принять решение</w:t>
      </w:r>
      <w:r w:rsidR="00B80D82">
        <w:rPr>
          <w:lang w:val="ru-RU"/>
        </w:rPr>
        <w:t>,</w:t>
      </w:r>
      <w:r w:rsidR="00DE0EF7" w:rsidRPr="00DE0EF7">
        <w:rPr>
          <w:lang w:val="ru-RU"/>
        </w:rPr>
        <w:t xml:space="preserve"> </w:t>
      </w:r>
      <w:r w:rsidR="00DE0EF7">
        <w:rPr>
          <w:lang w:val="ru-RU"/>
        </w:rPr>
        <w:t>без права</w:t>
      </w:r>
      <w:r w:rsidR="00B878E6">
        <w:rPr>
          <w:lang w:val="ru-RU"/>
        </w:rPr>
        <w:t xml:space="preserve"> его последующей</w:t>
      </w:r>
      <w:r w:rsidR="00DE0EF7">
        <w:rPr>
          <w:lang w:val="ru-RU"/>
        </w:rPr>
        <w:t xml:space="preserve"> </w:t>
      </w:r>
      <w:r w:rsidR="00B878E6">
        <w:rPr>
          <w:lang w:val="ru-RU"/>
        </w:rPr>
        <w:t>отмены</w:t>
      </w:r>
      <w:r w:rsidR="00B80D82">
        <w:rPr>
          <w:lang w:val="ru-RU"/>
        </w:rPr>
        <w:t>,</w:t>
      </w:r>
      <w:r w:rsidR="00FA4BD4" w:rsidRPr="0049187C">
        <w:rPr>
          <w:lang w:val="ru-RU"/>
        </w:rPr>
        <w:t xml:space="preserve"> </w:t>
      </w:r>
      <w:r w:rsidR="008104C6" w:rsidRPr="0049187C">
        <w:rPr>
          <w:lang w:val="ru-RU"/>
        </w:rPr>
        <w:t xml:space="preserve">представлять в </w:t>
      </w:r>
      <w:r w:rsidR="002C0246" w:rsidRPr="0049187C">
        <w:rPr>
          <w:lang w:val="ru-RU"/>
        </w:rPr>
        <w:t xml:space="preserve">составе </w:t>
      </w:r>
      <w:r w:rsidR="00FA4BD4" w:rsidRPr="0049187C">
        <w:rPr>
          <w:lang w:val="ru-RU"/>
        </w:rPr>
        <w:t>проче</w:t>
      </w:r>
      <w:r w:rsidR="002C0246" w:rsidRPr="0049187C">
        <w:rPr>
          <w:lang w:val="ru-RU"/>
        </w:rPr>
        <w:t>го</w:t>
      </w:r>
      <w:r w:rsidR="00FA4BD4" w:rsidRPr="0049187C">
        <w:rPr>
          <w:lang w:val="ru-RU"/>
        </w:rPr>
        <w:t xml:space="preserve"> совокупно</w:t>
      </w:r>
      <w:r w:rsidR="002C0246" w:rsidRPr="0049187C">
        <w:rPr>
          <w:lang w:val="ru-RU"/>
        </w:rPr>
        <w:t>го</w:t>
      </w:r>
      <w:r w:rsidR="00FA4BD4" w:rsidRPr="0049187C">
        <w:rPr>
          <w:lang w:val="ru-RU"/>
        </w:rPr>
        <w:t xml:space="preserve"> доход</w:t>
      </w:r>
      <w:r w:rsidR="002C0246" w:rsidRPr="0049187C">
        <w:rPr>
          <w:lang w:val="ru-RU"/>
        </w:rPr>
        <w:t>а</w:t>
      </w:r>
      <w:r w:rsidR="00FA4BD4" w:rsidRPr="0049187C">
        <w:rPr>
          <w:lang w:val="ru-RU"/>
        </w:rPr>
        <w:t xml:space="preserve"> изменени</w:t>
      </w:r>
      <w:r w:rsidR="008104C6" w:rsidRPr="0049187C">
        <w:rPr>
          <w:lang w:val="ru-RU"/>
        </w:rPr>
        <w:t>я</w:t>
      </w:r>
      <w:r w:rsidR="00FA4BD4" w:rsidRPr="0049187C">
        <w:rPr>
          <w:lang w:val="ru-RU"/>
        </w:rPr>
        <w:t xml:space="preserve"> справедливой стоимости инвестиции в долевой инструмент, не предназначен</w:t>
      </w:r>
      <w:r w:rsidR="008104C6" w:rsidRPr="0049187C">
        <w:rPr>
          <w:lang w:val="ru-RU"/>
        </w:rPr>
        <w:t>ный</w:t>
      </w:r>
      <w:r w:rsidR="00FA4BD4" w:rsidRPr="0049187C">
        <w:rPr>
          <w:lang w:val="ru-RU"/>
        </w:rPr>
        <w:t xml:space="preserve"> для торговли</w:t>
      </w:r>
      <w:r w:rsidRPr="0049187C">
        <w:rPr>
          <w:lang w:val="ru-RU"/>
        </w:rPr>
        <w:t xml:space="preserve">. </w:t>
      </w:r>
      <w:r w:rsidR="00FA4BD4" w:rsidRPr="0049187C">
        <w:rPr>
          <w:lang w:val="ru-RU"/>
        </w:rPr>
        <w:t xml:space="preserve">Такое решение принимается по каждому инструменту </w:t>
      </w:r>
      <w:r w:rsidR="002C0246" w:rsidRPr="0049187C">
        <w:rPr>
          <w:lang w:val="ru-RU"/>
        </w:rPr>
        <w:t xml:space="preserve">в отдельности </w:t>
      </w:r>
      <w:r w:rsidR="00542BF0">
        <w:rPr>
          <w:lang w:val="ru-RU"/>
        </w:rPr>
        <w:t>(т. </w:t>
      </w:r>
      <w:r w:rsidR="00FA4BD4" w:rsidRPr="0049187C">
        <w:rPr>
          <w:lang w:val="ru-RU"/>
        </w:rPr>
        <w:t>е. по каждой акции)</w:t>
      </w:r>
      <w:r w:rsidRPr="0049187C">
        <w:rPr>
          <w:lang w:val="ru-RU"/>
        </w:rPr>
        <w:t xml:space="preserve">. </w:t>
      </w:r>
      <w:r w:rsidR="00FA4BD4" w:rsidRPr="0049187C">
        <w:rPr>
          <w:lang w:val="ru-RU"/>
        </w:rPr>
        <w:t xml:space="preserve">Суммы, представленные в </w:t>
      </w:r>
      <w:r w:rsidR="002C0246" w:rsidRPr="0049187C">
        <w:rPr>
          <w:lang w:val="ru-RU"/>
        </w:rPr>
        <w:t>составе прочего</w:t>
      </w:r>
      <w:r w:rsidR="00FA4BD4" w:rsidRPr="0049187C">
        <w:rPr>
          <w:lang w:val="ru-RU"/>
        </w:rPr>
        <w:t xml:space="preserve"> совокупно</w:t>
      </w:r>
      <w:r w:rsidR="002C0246" w:rsidRPr="0049187C">
        <w:rPr>
          <w:lang w:val="ru-RU"/>
        </w:rPr>
        <w:t>го</w:t>
      </w:r>
      <w:r w:rsidR="00FA4BD4" w:rsidRPr="0049187C">
        <w:rPr>
          <w:lang w:val="ru-RU"/>
        </w:rPr>
        <w:t xml:space="preserve"> доход</w:t>
      </w:r>
      <w:r w:rsidR="002C0246" w:rsidRPr="0049187C">
        <w:rPr>
          <w:lang w:val="ru-RU"/>
        </w:rPr>
        <w:t>а</w:t>
      </w:r>
      <w:r w:rsidR="00FA4BD4" w:rsidRPr="0049187C">
        <w:rPr>
          <w:lang w:val="ru-RU"/>
        </w:rPr>
        <w:t>, не должны впоследствии пере</w:t>
      </w:r>
      <w:r w:rsidR="002C0246" w:rsidRPr="0049187C">
        <w:rPr>
          <w:lang w:val="ru-RU"/>
        </w:rPr>
        <w:t>водиться</w:t>
      </w:r>
      <w:r w:rsidR="00FA4BD4" w:rsidRPr="0049187C">
        <w:rPr>
          <w:lang w:val="ru-RU"/>
        </w:rPr>
        <w:t xml:space="preserve"> в состав прибыли или убытка</w:t>
      </w:r>
      <w:r w:rsidRPr="0049187C">
        <w:rPr>
          <w:lang w:val="ru-RU"/>
        </w:rPr>
        <w:t xml:space="preserve">. </w:t>
      </w:r>
      <w:r w:rsidR="00FA4BD4" w:rsidRPr="0049187C">
        <w:rPr>
          <w:lang w:val="ru-RU"/>
        </w:rPr>
        <w:t>Однако организация может пере</w:t>
      </w:r>
      <w:r w:rsidR="002C0246" w:rsidRPr="0049187C">
        <w:rPr>
          <w:lang w:val="ru-RU"/>
        </w:rPr>
        <w:t>вести</w:t>
      </w:r>
      <w:r w:rsidR="00FA4BD4" w:rsidRPr="0049187C">
        <w:rPr>
          <w:lang w:val="ru-RU"/>
        </w:rPr>
        <w:t xml:space="preserve"> </w:t>
      </w:r>
      <w:r w:rsidR="000B15B4" w:rsidRPr="0049187C">
        <w:rPr>
          <w:lang w:val="ru-RU"/>
        </w:rPr>
        <w:t>совокупную</w:t>
      </w:r>
      <w:r w:rsidR="00FA4BD4" w:rsidRPr="0049187C">
        <w:rPr>
          <w:lang w:val="ru-RU"/>
        </w:rPr>
        <w:t xml:space="preserve"> прибыль или убыток </w:t>
      </w:r>
      <w:r w:rsidR="000B15B4" w:rsidRPr="0049187C">
        <w:rPr>
          <w:lang w:val="ru-RU"/>
        </w:rPr>
        <w:t>из одной статьи капитала в другую</w:t>
      </w:r>
      <w:r w:rsidRPr="0049187C">
        <w:rPr>
          <w:lang w:val="ru-RU"/>
        </w:rPr>
        <w:t xml:space="preserve">. </w:t>
      </w:r>
      <w:r w:rsidR="00FA4BD4" w:rsidRPr="0049187C">
        <w:rPr>
          <w:lang w:val="ru-RU"/>
        </w:rPr>
        <w:t>Ди</w:t>
      </w:r>
      <w:r w:rsidR="00432602" w:rsidRPr="0049187C">
        <w:rPr>
          <w:lang w:val="ru-RU"/>
        </w:rPr>
        <w:t>в</w:t>
      </w:r>
      <w:r w:rsidR="00FA4BD4" w:rsidRPr="0049187C">
        <w:rPr>
          <w:lang w:val="ru-RU"/>
        </w:rPr>
        <w:t xml:space="preserve">иденды по таким инвестициям признаются в составе прибыли или убытка в соответствии с пунктом </w:t>
      </w:r>
      <w:r w:rsidRPr="0049187C">
        <w:rPr>
          <w:lang w:val="ru-RU"/>
        </w:rPr>
        <w:t>5.7.6</w:t>
      </w:r>
      <w:r w:rsidR="00FA4BD4" w:rsidRPr="0049187C">
        <w:rPr>
          <w:lang w:val="ru-RU"/>
        </w:rPr>
        <w:t xml:space="preserve">, </w:t>
      </w:r>
      <w:r w:rsidR="000B15B4" w:rsidRPr="0049187C">
        <w:rPr>
          <w:lang w:val="ru-RU"/>
        </w:rPr>
        <w:t xml:space="preserve">если только не очевидно, что дивиденд представляет собой возмещение части </w:t>
      </w:r>
      <w:r w:rsidR="00C034FB">
        <w:rPr>
          <w:lang w:val="ru-RU"/>
        </w:rPr>
        <w:t xml:space="preserve">первоначальной </w:t>
      </w:r>
      <w:r w:rsidR="000B15B4" w:rsidRPr="0049187C">
        <w:rPr>
          <w:lang w:val="ru-RU"/>
        </w:rPr>
        <w:t>стоимости инвестиции</w:t>
      </w:r>
      <w:r w:rsidRPr="0049187C">
        <w:rPr>
          <w:lang w:val="ru-RU"/>
        </w:rPr>
        <w:t>.</w:t>
      </w:r>
      <w:bookmarkEnd w:id="367"/>
    </w:p>
    <w:p w:rsidR="001529CA" w:rsidRPr="0049187C" w:rsidRDefault="001529CA">
      <w:pPr>
        <w:pStyle w:val="IASBNormalnpara"/>
        <w:rPr>
          <w:lang w:val="ru-RU"/>
        </w:rPr>
      </w:pPr>
      <w:r w:rsidRPr="0049187C">
        <w:rPr>
          <w:lang w:val="ru-RU"/>
        </w:rPr>
        <w:t>B5.7.1A</w:t>
      </w:r>
      <w:r w:rsidRPr="0049187C">
        <w:rPr>
          <w:lang w:val="ru-RU"/>
        </w:rPr>
        <w:tab/>
      </w:r>
      <w:bookmarkStart w:id="368" w:name="F32626657"/>
      <w:r w:rsidR="009B39CF" w:rsidRPr="0049187C">
        <w:rPr>
          <w:lang w:val="ru-RU"/>
        </w:rPr>
        <w:t>За исключением случаев, когда применяется пункт</w:t>
      </w:r>
      <w:r w:rsidRPr="0049187C">
        <w:rPr>
          <w:lang w:val="ru-RU"/>
        </w:rPr>
        <w:t xml:space="preserve"> 4.1.5, </w:t>
      </w:r>
      <w:r w:rsidR="009B39CF" w:rsidRPr="0049187C">
        <w:rPr>
          <w:lang w:val="ru-RU"/>
        </w:rPr>
        <w:t>пункт</w:t>
      </w:r>
      <w:r w:rsidRPr="0049187C">
        <w:rPr>
          <w:lang w:val="ru-RU"/>
        </w:rPr>
        <w:t xml:space="preserve"> 4.1.2A </w:t>
      </w:r>
      <w:r w:rsidR="009B39CF" w:rsidRPr="0049187C">
        <w:rPr>
          <w:lang w:val="ru-RU"/>
        </w:rPr>
        <w:t>требует оценки финансового актива по справедливой стоимости через прочий совокупный доход, если договорные у</w:t>
      </w:r>
      <w:r w:rsidR="00A349DA">
        <w:rPr>
          <w:lang w:val="ru-RU"/>
        </w:rPr>
        <w:t>словия финансового актива обусло</w:t>
      </w:r>
      <w:r w:rsidR="009B39CF" w:rsidRPr="0049187C">
        <w:rPr>
          <w:lang w:val="ru-RU"/>
        </w:rPr>
        <w:t xml:space="preserve">вливают </w:t>
      </w:r>
      <w:r w:rsidR="00432602" w:rsidRPr="0049187C">
        <w:rPr>
          <w:lang w:val="ru-RU"/>
        </w:rPr>
        <w:t xml:space="preserve">денежные потоки, </w:t>
      </w:r>
      <w:r w:rsidR="00E93B41">
        <w:rPr>
          <w:lang w:val="ru-RU"/>
        </w:rPr>
        <w:t>являющиеся</w:t>
      </w:r>
      <w:r w:rsidR="00432602" w:rsidRPr="0049187C">
        <w:rPr>
          <w:lang w:val="ru-RU"/>
        </w:rPr>
        <w:t xml:space="preserve"> исключительно выплатами основной суммы и процентов по невыплаченной основной сумме, </w:t>
      </w:r>
      <w:r w:rsidR="00E93B41">
        <w:rPr>
          <w:lang w:val="ru-RU"/>
        </w:rPr>
        <w:t>и</w:t>
      </w:r>
      <w:r w:rsidR="00E93B41" w:rsidRPr="0049187C">
        <w:rPr>
          <w:lang w:val="ru-RU"/>
        </w:rPr>
        <w:t xml:space="preserve"> </w:t>
      </w:r>
      <w:r w:rsidR="00432602" w:rsidRPr="0049187C">
        <w:rPr>
          <w:lang w:val="ru-RU"/>
        </w:rPr>
        <w:t xml:space="preserve">актив удерживается в рамках бизнес-модели, цель которой достигается за счет как получения </w:t>
      </w:r>
      <w:r w:rsidR="00D0515F" w:rsidRPr="0049187C">
        <w:rPr>
          <w:lang w:val="ru-RU"/>
        </w:rPr>
        <w:t>предусмотренных договором</w:t>
      </w:r>
      <w:r w:rsidR="00432602" w:rsidRPr="0049187C">
        <w:rPr>
          <w:lang w:val="ru-RU"/>
        </w:rPr>
        <w:t xml:space="preserve"> денежных потоков, так и продажи финансовых активов</w:t>
      </w:r>
      <w:r w:rsidRPr="0049187C">
        <w:rPr>
          <w:lang w:val="ru-RU"/>
        </w:rPr>
        <w:t xml:space="preserve">. </w:t>
      </w:r>
      <w:r w:rsidR="00E93162" w:rsidRPr="0049187C">
        <w:rPr>
          <w:lang w:val="ru-RU"/>
        </w:rPr>
        <w:t xml:space="preserve">Данная </w:t>
      </w:r>
      <w:r w:rsidR="00DF48AB" w:rsidRPr="0049187C">
        <w:rPr>
          <w:lang w:val="ru-RU"/>
        </w:rPr>
        <w:t>категория</w:t>
      </w:r>
      <w:r w:rsidR="00E93162" w:rsidRPr="0049187C">
        <w:rPr>
          <w:lang w:val="ru-RU"/>
        </w:rPr>
        <w:t xml:space="preserve"> оценки признает </w:t>
      </w:r>
      <w:r w:rsidR="005A2C38">
        <w:rPr>
          <w:lang w:val="ru-RU"/>
        </w:rPr>
        <w:t>соответствующие суммы</w:t>
      </w:r>
      <w:r w:rsidR="005A2C38" w:rsidRPr="0049187C">
        <w:rPr>
          <w:lang w:val="ru-RU"/>
        </w:rPr>
        <w:t xml:space="preserve"> </w:t>
      </w:r>
      <w:r w:rsidR="00E93162" w:rsidRPr="0049187C">
        <w:rPr>
          <w:lang w:val="ru-RU"/>
        </w:rPr>
        <w:t xml:space="preserve">в составе прибыли или убытка, как если бы финансовый актив оценивался по амортизированной стоимости, </w:t>
      </w:r>
      <w:r w:rsidR="005A2C38">
        <w:rPr>
          <w:lang w:val="ru-RU"/>
        </w:rPr>
        <w:t xml:space="preserve">в то время как </w:t>
      </w:r>
      <w:r w:rsidR="00E93162" w:rsidRPr="0049187C">
        <w:rPr>
          <w:lang w:val="ru-RU"/>
        </w:rPr>
        <w:t xml:space="preserve">в отчете о финансовом положении </w:t>
      </w:r>
      <w:r w:rsidR="005A2C38" w:rsidRPr="0049187C">
        <w:rPr>
          <w:lang w:val="ru-RU"/>
        </w:rPr>
        <w:t xml:space="preserve">финансовый актив оценивается </w:t>
      </w:r>
      <w:r w:rsidR="00E93162" w:rsidRPr="0049187C">
        <w:rPr>
          <w:lang w:val="ru-RU"/>
        </w:rPr>
        <w:t>по справедливой стоимости</w:t>
      </w:r>
      <w:r w:rsidRPr="0049187C">
        <w:rPr>
          <w:lang w:val="ru-RU"/>
        </w:rPr>
        <w:t xml:space="preserve">. </w:t>
      </w:r>
      <w:r w:rsidR="00E93162" w:rsidRPr="0049187C">
        <w:rPr>
          <w:lang w:val="ru-RU"/>
        </w:rPr>
        <w:t>Прибыли или убытки, отличные от тех, которые признаются в составе прибыли или убытка в соответствии с пунктами</w:t>
      </w:r>
      <w:r w:rsidRPr="0049187C">
        <w:rPr>
          <w:lang w:val="ru-RU"/>
        </w:rPr>
        <w:t xml:space="preserve"> 5.7.10–5.7.11, </w:t>
      </w:r>
      <w:r w:rsidR="00E93162" w:rsidRPr="0049187C">
        <w:rPr>
          <w:lang w:val="ru-RU"/>
        </w:rPr>
        <w:t xml:space="preserve">признаются в </w:t>
      </w:r>
      <w:r w:rsidR="002C0246" w:rsidRPr="0049187C">
        <w:rPr>
          <w:lang w:val="ru-RU"/>
        </w:rPr>
        <w:t xml:space="preserve">составе </w:t>
      </w:r>
      <w:r w:rsidR="00E93162" w:rsidRPr="0049187C">
        <w:rPr>
          <w:lang w:val="ru-RU"/>
        </w:rPr>
        <w:t>проче</w:t>
      </w:r>
      <w:r w:rsidR="002C0246" w:rsidRPr="0049187C">
        <w:rPr>
          <w:lang w:val="ru-RU"/>
        </w:rPr>
        <w:t>го</w:t>
      </w:r>
      <w:r w:rsidR="00E93162" w:rsidRPr="0049187C">
        <w:rPr>
          <w:lang w:val="ru-RU"/>
        </w:rPr>
        <w:t xml:space="preserve"> совокупно</w:t>
      </w:r>
      <w:r w:rsidR="002C0246" w:rsidRPr="0049187C">
        <w:rPr>
          <w:lang w:val="ru-RU"/>
        </w:rPr>
        <w:t>го</w:t>
      </w:r>
      <w:r w:rsidR="00E93162" w:rsidRPr="0049187C">
        <w:rPr>
          <w:lang w:val="ru-RU"/>
        </w:rPr>
        <w:t xml:space="preserve"> доход</w:t>
      </w:r>
      <w:r w:rsidR="002C0246" w:rsidRPr="0049187C">
        <w:rPr>
          <w:lang w:val="ru-RU"/>
        </w:rPr>
        <w:t>а</w:t>
      </w:r>
      <w:r w:rsidRPr="0049187C">
        <w:rPr>
          <w:lang w:val="ru-RU"/>
        </w:rPr>
        <w:t xml:space="preserve">. </w:t>
      </w:r>
      <w:r w:rsidR="00E93162" w:rsidRPr="0049187C">
        <w:rPr>
          <w:lang w:val="ru-RU"/>
        </w:rPr>
        <w:t>Когда признание таких финансовых активов прекращается, накопленные прибыли или убытки, ранее признанные в составе прочего совокупного дохода, реклассифицируются в состав прибыли или убытка. Это отражает прибыль или убыток, которые признавались бы в составе прибыли или убытка при прекращении признания, если бы финансовый актив оценивался по амортизированной стоимости</w:t>
      </w:r>
      <w:r w:rsidRPr="0049187C">
        <w:rPr>
          <w:lang w:val="ru-RU"/>
        </w:rPr>
        <w:t>.</w:t>
      </w:r>
      <w:bookmarkEnd w:id="368"/>
    </w:p>
    <w:p w:rsidR="009B39CF" w:rsidRPr="0049187C" w:rsidRDefault="001529CA">
      <w:pPr>
        <w:pStyle w:val="IASBNormalnpara"/>
        <w:rPr>
          <w:lang w:val="ru-RU"/>
        </w:rPr>
      </w:pPr>
      <w:r w:rsidRPr="0049187C">
        <w:rPr>
          <w:lang w:val="ru-RU"/>
        </w:rPr>
        <w:t>B5.7.2</w:t>
      </w:r>
      <w:r w:rsidRPr="0049187C">
        <w:rPr>
          <w:lang w:val="ru-RU"/>
        </w:rPr>
        <w:tab/>
      </w:r>
      <w:bookmarkStart w:id="369" w:name="SL32626344"/>
      <w:r w:rsidR="009B39CF" w:rsidRPr="0049187C">
        <w:rPr>
          <w:lang w:val="ru-RU"/>
        </w:rPr>
        <w:t xml:space="preserve">Организация применяет МСФО (IAS) 21 к финансовым активам и финансовым обязательствам, </w:t>
      </w:r>
      <w:r w:rsidR="005A2C38">
        <w:rPr>
          <w:lang w:val="ru-RU"/>
        </w:rPr>
        <w:t>являющимся</w:t>
      </w:r>
      <w:r w:rsidR="009B39CF" w:rsidRPr="0049187C">
        <w:rPr>
          <w:lang w:val="ru-RU"/>
        </w:rPr>
        <w:t xml:space="preserve"> монетарными статьями в соответствии с МСФО (IAS) 21 и выражен</w:t>
      </w:r>
      <w:r w:rsidR="005A2C38">
        <w:rPr>
          <w:lang w:val="ru-RU"/>
        </w:rPr>
        <w:t>н</w:t>
      </w:r>
      <w:r w:rsidR="009B39CF" w:rsidRPr="0049187C">
        <w:rPr>
          <w:lang w:val="ru-RU"/>
        </w:rPr>
        <w:t>ы</w:t>
      </w:r>
      <w:r w:rsidR="005A2C38">
        <w:rPr>
          <w:lang w:val="ru-RU"/>
        </w:rPr>
        <w:t>м</w:t>
      </w:r>
      <w:r w:rsidR="009B39CF" w:rsidRPr="0049187C">
        <w:rPr>
          <w:lang w:val="ru-RU"/>
        </w:rPr>
        <w:t xml:space="preserve"> в иностранной валюте. В соответствии с МСФО (IAS) 21 прибыли или убытки по курсовым разницам по монетарным активам и монетарным обязательствам должны признаваться в составе прибыли или убытка. Исключением является монетарная статья, </w:t>
      </w:r>
      <w:r w:rsidR="00CD3637">
        <w:rPr>
          <w:lang w:val="ru-RU"/>
        </w:rPr>
        <w:t>определенная по усмотрению организации</w:t>
      </w:r>
      <w:r w:rsidR="009B39CF" w:rsidRPr="0049187C">
        <w:rPr>
          <w:lang w:val="ru-RU"/>
        </w:rPr>
        <w:t xml:space="preserve"> как инструмент хеджирования при хеджировании денежных потоков (см. пункт 6.5.11), хеджировании чистой инвестиции (см. пункт 6.5.13) или хеджировании справедливой стоимости долевого инструмента, для которого организация выбрала вариант представления изменений справедливой стоимости в составе прочего совокупного дохода в соответствии с пунктом 5.7.5 (см. пункт 6.5.8). </w:t>
      </w:r>
    </w:p>
    <w:bookmarkEnd w:id="369"/>
    <w:p w:rsidR="001529CA" w:rsidRPr="0049187C" w:rsidRDefault="001529CA">
      <w:pPr>
        <w:pStyle w:val="IASBNormalnpara"/>
        <w:rPr>
          <w:lang w:val="ru-RU"/>
        </w:rPr>
      </w:pPr>
      <w:r w:rsidRPr="0049187C">
        <w:rPr>
          <w:lang w:val="ru-RU"/>
        </w:rPr>
        <w:t>B5.7.2A</w:t>
      </w:r>
      <w:r w:rsidRPr="0049187C">
        <w:rPr>
          <w:lang w:val="ru-RU"/>
        </w:rPr>
        <w:tab/>
      </w:r>
      <w:bookmarkStart w:id="370" w:name="F32751313"/>
      <w:r w:rsidR="00E93162" w:rsidRPr="0049187C">
        <w:rPr>
          <w:lang w:val="ru-RU"/>
        </w:rPr>
        <w:t xml:space="preserve">Для целей признания прибылей или убытков по курсовым разницам в соответствии с МСФО (IAS) 21 финансовый актив, оцениваемый по справедливой стоимости через прочий совокупный доход в соответствии с пунктом </w:t>
      </w:r>
      <w:r w:rsidRPr="0049187C">
        <w:rPr>
          <w:lang w:val="ru-RU"/>
        </w:rPr>
        <w:t>4.1.2A</w:t>
      </w:r>
      <w:r w:rsidR="00E93162" w:rsidRPr="0049187C">
        <w:rPr>
          <w:lang w:val="ru-RU"/>
        </w:rPr>
        <w:t>, считается монетарной статьей</w:t>
      </w:r>
      <w:r w:rsidRPr="0049187C">
        <w:rPr>
          <w:lang w:val="ru-RU"/>
        </w:rPr>
        <w:t xml:space="preserve">. </w:t>
      </w:r>
      <w:r w:rsidR="00E93162" w:rsidRPr="0049187C">
        <w:rPr>
          <w:lang w:val="ru-RU"/>
        </w:rPr>
        <w:t>Соответственно</w:t>
      </w:r>
      <w:r w:rsidRPr="0049187C">
        <w:rPr>
          <w:lang w:val="ru-RU"/>
        </w:rPr>
        <w:t xml:space="preserve">, </w:t>
      </w:r>
      <w:r w:rsidR="00E93162" w:rsidRPr="0049187C">
        <w:rPr>
          <w:lang w:val="ru-RU"/>
        </w:rPr>
        <w:t>такой финансовый актив учитывается как актив, оцениваемый по амортизированной стоимости в иностранной валюте</w:t>
      </w:r>
      <w:r w:rsidRPr="0049187C">
        <w:rPr>
          <w:lang w:val="ru-RU"/>
        </w:rPr>
        <w:t xml:space="preserve">. </w:t>
      </w:r>
      <w:r w:rsidR="00E93162" w:rsidRPr="0049187C">
        <w:rPr>
          <w:lang w:val="ru-RU"/>
        </w:rPr>
        <w:t>Курсовые разницы по амортизированной стоимости признаются в составе прибыли или убытка, а прочие изменения балансовой стоимости признаются в соответствии с пунктом</w:t>
      </w:r>
      <w:r w:rsidRPr="0049187C">
        <w:rPr>
          <w:lang w:val="ru-RU"/>
        </w:rPr>
        <w:t xml:space="preserve"> 5.7.10. </w:t>
      </w:r>
      <w:bookmarkEnd w:id="370"/>
    </w:p>
    <w:p w:rsidR="001529CA" w:rsidRPr="0049187C" w:rsidRDefault="001529CA">
      <w:pPr>
        <w:pStyle w:val="IASBNormalnpara"/>
        <w:rPr>
          <w:lang w:val="ru-RU"/>
        </w:rPr>
      </w:pPr>
      <w:r w:rsidRPr="0049187C">
        <w:rPr>
          <w:lang w:val="ru-RU"/>
        </w:rPr>
        <w:t>B5.7.3</w:t>
      </w:r>
      <w:r w:rsidRPr="0049187C">
        <w:rPr>
          <w:lang w:val="ru-RU"/>
        </w:rPr>
        <w:tab/>
      </w:r>
      <w:bookmarkStart w:id="371" w:name="F32626345"/>
      <w:r w:rsidR="00E93162" w:rsidRPr="0049187C">
        <w:rPr>
          <w:lang w:val="ru-RU"/>
        </w:rPr>
        <w:t>Пункт</w:t>
      </w:r>
      <w:r w:rsidRPr="0049187C">
        <w:rPr>
          <w:lang w:val="ru-RU"/>
        </w:rPr>
        <w:t xml:space="preserve"> 5.7.5 </w:t>
      </w:r>
      <w:r w:rsidR="00E93162" w:rsidRPr="0049187C">
        <w:rPr>
          <w:lang w:val="ru-RU"/>
        </w:rPr>
        <w:t>разрешает организации принять решение</w:t>
      </w:r>
      <w:r w:rsidR="00B80D82">
        <w:rPr>
          <w:lang w:val="ru-RU"/>
        </w:rPr>
        <w:t>,</w:t>
      </w:r>
      <w:r w:rsidR="00DE0EF7">
        <w:rPr>
          <w:lang w:val="ru-RU"/>
        </w:rPr>
        <w:t xml:space="preserve"> без права</w:t>
      </w:r>
      <w:r w:rsidR="00B878E6">
        <w:rPr>
          <w:lang w:val="ru-RU"/>
        </w:rPr>
        <w:t xml:space="preserve"> его последующей отмены</w:t>
      </w:r>
      <w:r w:rsidR="00B80D82">
        <w:rPr>
          <w:lang w:val="ru-RU"/>
        </w:rPr>
        <w:t>,</w:t>
      </w:r>
      <w:r w:rsidR="00E93162" w:rsidRPr="0049187C">
        <w:rPr>
          <w:lang w:val="ru-RU"/>
        </w:rPr>
        <w:t xml:space="preserve"> </w:t>
      </w:r>
      <w:r w:rsidR="00337A9F" w:rsidRPr="0049187C">
        <w:rPr>
          <w:lang w:val="ru-RU"/>
        </w:rPr>
        <w:t>представлять</w:t>
      </w:r>
      <w:r w:rsidR="00E93162" w:rsidRPr="0049187C">
        <w:rPr>
          <w:lang w:val="ru-RU"/>
        </w:rPr>
        <w:t xml:space="preserve"> в </w:t>
      </w:r>
      <w:r w:rsidR="002C0246" w:rsidRPr="0049187C">
        <w:rPr>
          <w:lang w:val="ru-RU"/>
        </w:rPr>
        <w:t xml:space="preserve">составе </w:t>
      </w:r>
      <w:r w:rsidR="00E93162" w:rsidRPr="0049187C">
        <w:rPr>
          <w:lang w:val="ru-RU"/>
        </w:rPr>
        <w:t>проче</w:t>
      </w:r>
      <w:r w:rsidR="002C0246" w:rsidRPr="0049187C">
        <w:rPr>
          <w:lang w:val="ru-RU"/>
        </w:rPr>
        <w:t>го</w:t>
      </w:r>
      <w:r w:rsidR="00E93162" w:rsidRPr="0049187C">
        <w:rPr>
          <w:lang w:val="ru-RU"/>
        </w:rPr>
        <w:t xml:space="preserve"> совокупно</w:t>
      </w:r>
      <w:r w:rsidR="002C0246" w:rsidRPr="0049187C">
        <w:rPr>
          <w:lang w:val="ru-RU"/>
        </w:rPr>
        <w:t>го</w:t>
      </w:r>
      <w:r w:rsidR="00E93162" w:rsidRPr="0049187C">
        <w:rPr>
          <w:lang w:val="ru-RU"/>
        </w:rPr>
        <w:t xml:space="preserve"> доход</w:t>
      </w:r>
      <w:r w:rsidR="002C0246" w:rsidRPr="0049187C">
        <w:rPr>
          <w:lang w:val="ru-RU"/>
        </w:rPr>
        <w:t>а</w:t>
      </w:r>
      <w:r w:rsidR="00E93162" w:rsidRPr="0049187C">
        <w:rPr>
          <w:lang w:val="ru-RU"/>
        </w:rPr>
        <w:t xml:space="preserve"> последующи</w:t>
      </w:r>
      <w:r w:rsidR="00337A9F" w:rsidRPr="0049187C">
        <w:rPr>
          <w:lang w:val="ru-RU"/>
        </w:rPr>
        <w:t>е</w:t>
      </w:r>
      <w:r w:rsidR="00E93162" w:rsidRPr="0049187C">
        <w:rPr>
          <w:lang w:val="ru-RU"/>
        </w:rPr>
        <w:t xml:space="preserve"> изменени</w:t>
      </w:r>
      <w:r w:rsidR="00337A9F" w:rsidRPr="0049187C">
        <w:rPr>
          <w:lang w:val="ru-RU"/>
        </w:rPr>
        <w:t>я</w:t>
      </w:r>
      <w:r w:rsidR="00E93162" w:rsidRPr="0049187C">
        <w:rPr>
          <w:lang w:val="ru-RU"/>
        </w:rPr>
        <w:t xml:space="preserve"> справедливой стоимости определенных инвестиций в долевые инструменты. Такая инвестиция не является монетарной статьей. Соответственно, прибыль или убыток, </w:t>
      </w:r>
      <w:r w:rsidR="002C0246" w:rsidRPr="0049187C">
        <w:rPr>
          <w:lang w:val="ru-RU"/>
        </w:rPr>
        <w:t>представленные</w:t>
      </w:r>
      <w:r w:rsidR="00E93162" w:rsidRPr="0049187C">
        <w:rPr>
          <w:lang w:val="ru-RU"/>
        </w:rPr>
        <w:t xml:space="preserve"> в </w:t>
      </w:r>
      <w:r w:rsidR="002C0246" w:rsidRPr="0049187C">
        <w:rPr>
          <w:lang w:val="ru-RU"/>
        </w:rPr>
        <w:t xml:space="preserve">составе </w:t>
      </w:r>
      <w:r w:rsidR="00E93162" w:rsidRPr="0049187C">
        <w:rPr>
          <w:lang w:val="ru-RU"/>
        </w:rPr>
        <w:t>проче</w:t>
      </w:r>
      <w:r w:rsidR="002C0246" w:rsidRPr="0049187C">
        <w:rPr>
          <w:lang w:val="ru-RU"/>
        </w:rPr>
        <w:t>го</w:t>
      </w:r>
      <w:r w:rsidR="00E93162" w:rsidRPr="0049187C">
        <w:rPr>
          <w:lang w:val="ru-RU"/>
        </w:rPr>
        <w:t xml:space="preserve"> совокупно</w:t>
      </w:r>
      <w:r w:rsidR="002C0246" w:rsidRPr="0049187C">
        <w:rPr>
          <w:lang w:val="ru-RU"/>
        </w:rPr>
        <w:t>го</w:t>
      </w:r>
      <w:r w:rsidR="00E93162" w:rsidRPr="0049187C">
        <w:rPr>
          <w:lang w:val="ru-RU"/>
        </w:rPr>
        <w:t xml:space="preserve"> доход</w:t>
      </w:r>
      <w:r w:rsidR="002C0246" w:rsidRPr="0049187C">
        <w:rPr>
          <w:lang w:val="ru-RU"/>
        </w:rPr>
        <w:t>а</w:t>
      </w:r>
      <w:r w:rsidR="00E93162" w:rsidRPr="0049187C">
        <w:rPr>
          <w:lang w:val="ru-RU"/>
        </w:rPr>
        <w:t xml:space="preserve"> в соответствии с пунктом </w:t>
      </w:r>
      <w:r w:rsidRPr="0049187C">
        <w:rPr>
          <w:lang w:val="ru-RU"/>
        </w:rPr>
        <w:t>5.7.5</w:t>
      </w:r>
      <w:r w:rsidR="00E93162" w:rsidRPr="0049187C">
        <w:rPr>
          <w:lang w:val="ru-RU"/>
        </w:rPr>
        <w:t>,</w:t>
      </w:r>
      <w:r w:rsidR="00593828" w:rsidRPr="0049187C">
        <w:rPr>
          <w:lang w:val="ru-RU"/>
        </w:rPr>
        <w:t xml:space="preserve"> включают </w:t>
      </w:r>
      <w:r w:rsidR="005A2C38">
        <w:rPr>
          <w:lang w:val="ru-RU"/>
        </w:rPr>
        <w:t>в себя</w:t>
      </w:r>
      <w:r w:rsidR="005A2C38" w:rsidRPr="0049187C">
        <w:rPr>
          <w:lang w:val="ru-RU"/>
        </w:rPr>
        <w:t xml:space="preserve"> </w:t>
      </w:r>
      <w:r w:rsidR="00593828" w:rsidRPr="0049187C">
        <w:rPr>
          <w:lang w:val="ru-RU"/>
        </w:rPr>
        <w:t>соответствующий валютный компонент</w:t>
      </w:r>
      <w:r w:rsidRPr="0049187C">
        <w:rPr>
          <w:lang w:val="ru-RU"/>
        </w:rPr>
        <w:t>.</w:t>
      </w:r>
      <w:bookmarkEnd w:id="371"/>
    </w:p>
    <w:p w:rsidR="001529CA" w:rsidRPr="0049187C" w:rsidRDefault="001529CA">
      <w:pPr>
        <w:pStyle w:val="IASBNormalnpara"/>
        <w:rPr>
          <w:lang w:val="ru-RU"/>
        </w:rPr>
      </w:pPr>
      <w:r w:rsidRPr="0049187C">
        <w:rPr>
          <w:lang w:val="ru-RU"/>
        </w:rPr>
        <w:t>B5.7.4</w:t>
      </w:r>
      <w:r w:rsidRPr="0049187C">
        <w:rPr>
          <w:lang w:val="ru-RU"/>
        </w:rPr>
        <w:tab/>
      </w:r>
      <w:bookmarkStart w:id="372" w:name="F32626348"/>
      <w:r w:rsidR="00593828" w:rsidRPr="0049187C">
        <w:rPr>
          <w:lang w:val="ru-RU"/>
        </w:rPr>
        <w:t>При наличии отношений хеджирования между непроизводным монетарным активом и непроизводным монетарным обязательством изменения валютного компонента таких финансовых инструментов представляются в составе прибыли или убытка</w:t>
      </w:r>
      <w:r w:rsidRPr="0049187C">
        <w:rPr>
          <w:lang w:val="ru-RU"/>
        </w:rPr>
        <w:t>.</w:t>
      </w:r>
      <w:bookmarkEnd w:id="372"/>
    </w:p>
    <w:p w:rsidR="001529CA" w:rsidRPr="0049187C" w:rsidRDefault="00593828">
      <w:pPr>
        <w:pStyle w:val="IASBSectionTitle3Ind"/>
        <w:rPr>
          <w:lang w:val="ru-RU"/>
        </w:rPr>
      </w:pPr>
      <w:bookmarkStart w:id="373" w:name="F32626350"/>
      <w:r w:rsidRPr="0049187C">
        <w:rPr>
          <w:lang w:val="ru-RU"/>
        </w:rPr>
        <w:t xml:space="preserve">Обязательства, </w:t>
      </w:r>
      <w:r w:rsidR="00CD3637">
        <w:rPr>
          <w:lang w:val="ru-RU"/>
        </w:rPr>
        <w:t>классифицированные по усмотрению организации</w:t>
      </w:r>
      <w:r w:rsidRPr="0049187C">
        <w:rPr>
          <w:lang w:val="ru-RU"/>
        </w:rPr>
        <w:t xml:space="preserve"> как оцениваемые по справедливой стоимости через прибыль или убыток</w:t>
      </w:r>
      <w:bookmarkEnd w:id="373"/>
    </w:p>
    <w:p w:rsidR="001529CA" w:rsidRPr="0049187C" w:rsidRDefault="001529CA" w:rsidP="002C0246">
      <w:pPr>
        <w:pStyle w:val="IASBNormalnpara"/>
        <w:rPr>
          <w:lang w:val="ru-RU"/>
        </w:rPr>
      </w:pPr>
      <w:r w:rsidRPr="0049187C">
        <w:rPr>
          <w:lang w:val="ru-RU"/>
        </w:rPr>
        <w:t>B5.7.5</w:t>
      </w:r>
      <w:r w:rsidRPr="0049187C">
        <w:rPr>
          <w:lang w:val="ru-RU"/>
        </w:rPr>
        <w:tab/>
      </w:r>
      <w:bookmarkStart w:id="374" w:name="F32626354"/>
      <w:r w:rsidR="003C7B33" w:rsidRPr="0049187C">
        <w:rPr>
          <w:lang w:val="ru-RU"/>
        </w:rPr>
        <w:t xml:space="preserve">Когда организация </w:t>
      </w:r>
      <w:r w:rsidR="00057361">
        <w:rPr>
          <w:lang w:val="ru-RU"/>
        </w:rPr>
        <w:t xml:space="preserve">по </w:t>
      </w:r>
      <w:r w:rsidR="00017EB0">
        <w:rPr>
          <w:lang w:val="ru-RU"/>
        </w:rPr>
        <w:t>своему</w:t>
      </w:r>
      <w:r w:rsidR="00CD3637">
        <w:rPr>
          <w:lang w:val="ru-RU"/>
        </w:rPr>
        <w:t xml:space="preserve"> усмотрению классифицирует</w:t>
      </w:r>
      <w:r w:rsidR="003C7B33" w:rsidRPr="0049187C">
        <w:rPr>
          <w:lang w:val="ru-RU"/>
        </w:rPr>
        <w:t xml:space="preserve"> финансовое обязательство </w:t>
      </w:r>
      <w:r w:rsidR="002C0246" w:rsidRPr="0049187C">
        <w:rPr>
          <w:lang w:val="ru-RU"/>
        </w:rPr>
        <w:t xml:space="preserve">как оцениваемое </w:t>
      </w:r>
      <w:r w:rsidR="003C7B33" w:rsidRPr="0049187C">
        <w:rPr>
          <w:lang w:val="ru-RU"/>
        </w:rPr>
        <w:t xml:space="preserve">по справедливой стоимости через прибыль или убыток, она должна определить, </w:t>
      </w:r>
      <w:r w:rsidR="002C0246" w:rsidRPr="0049187C">
        <w:rPr>
          <w:lang w:val="ru-RU"/>
        </w:rPr>
        <w:t xml:space="preserve">не </w:t>
      </w:r>
      <w:r w:rsidR="00017EB0">
        <w:rPr>
          <w:lang w:val="ru-RU"/>
        </w:rPr>
        <w:t>приведет</w:t>
      </w:r>
      <w:r w:rsidR="002C0246" w:rsidRPr="0049187C">
        <w:rPr>
          <w:lang w:val="ru-RU"/>
        </w:rPr>
        <w:t xml:space="preserve"> ли</w:t>
      </w:r>
      <w:r w:rsidR="00017EB0">
        <w:rPr>
          <w:lang w:val="ru-RU"/>
        </w:rPr>
        <w:t xml:space="preserve"> представление эффекта от</w:t>
      </w:r>
      <w:r w:rsidR="00017EB0" w:rsidRPr="0049187C">
        <w:rPr>
          <w:lang w:val="ru-RU"/>
        </w:rPr>
        <w:t xml:space="preserve"> изменений кредитного риска по</w:t>
      </w:r>
      <w:r w:rsidR="00017EB0">
        <w:rPr>
          <w:lang w:val="ru-RU"/>
        </w:rPr>
        <w:t xml:space="preserve"> этому</w:t>
      </w:r>
      <w:r w:rsidR="00017EB0" w:rsidRPr="0049187C">
        <w:rPr>
          <w:lang w:val="ru-RU"/>
        </w:rPr>
        <w:t xml:space="preserve"> обязательству в составе прочего совокупного дохода</w:t>
      </w:r>
      <w:r w:rsidR="00017EB0">
        <w:rPr>
          <w:lang w:val="ru-RU"/>
        </w:rPr>
        <w:t xml:space="preserve"> к возникновению или увеличению учетного несоответствия, которое отразится</w:t>
      </w:r>
      <w:r w:rsidR="002C0246" w:rsidRPr="0049187C">
        <w:rPr>
          <w:lang w:val="ru-RU"/>
        </w:rPr>
        <w:t xml:space="preserve"> </w:t>
      </w:r>
      <w:r w:rsidR="00017EB0">
        <w:rPr>
          <w:lang w:val="ru-RU"/>
        </w:rPr>
        <w:t>на величине</w:t>
      </w:r>
      <w:r w:rsidR="002C0246" w:rsidRPr="0049187C">
        <w:rPr>
          <w:lang w:val="ru-RU"/>
        </w:rPr>
        <w:t xml:space="preserve"> прибыли или убытк</w:t>
      </w:r>
      <w:r w:rsidR="00017EB0">
        <w:rPr>
          <w:lang w:val="ru-RU"/>
        </w:rPr>
        <w:t>а</w:t>
      </w:r>
      <w:r w:rsidR="002C0246" w:rsidRPr="0049187C">
        <w:rPr>
          <w:lang w:val="ru-RU"/>
        </w:rPr>
        <w:t xml:space="preserve">. </w:t>
      </w:r>
      <w:r w:rsidR="003C7B33" w:rsidRPr="0049187C">
        <w:rPr>
          <w:lang w:val="ru-RU"/>
        </w:rPr>
        <w:t xml:space="preserve">Учетное несоответствие </w:t>
      </w:r>
      <w:r w:rsidR="002C0246" w:rsidRPr="0049187C">
        <w:rPr>
          <w:lang w:val="ru-RU"/>
        </w:rPr>
        <w:t xml:space="preserve">возникнет или </w:t>
      </w:r>
      <w:r w:rsidR="00D23004" w:rsidRPr="0049187C">
        <w:rPr>
          <w:lang w:val="ru-RU"/>
        </w:rPr>
        <w:t>увеличится</w:t>
      </w:r>
      <w:r w:rsidR="003C7B33" w:rsidRPr="0049187C">
        <w:rPr>
          <w:lang w:val="ru-RU"/>
        </w:rPr>
        <w:t xml:space="preserve">, если представление </w:t>
      </w:r>
      <w:r w:rsidR="0088460E">
        <w:rPr>
          <w:lang w:val="ru-RU"/>
        </w:rPr>
        <w:t xml:space="preserve">эффекта от </w:t>
      </w:r>
      <w:r w:rsidR="003C7B33" w:rsidRPr="0049187C">
        <w:rPr>
          <w:lang w:val="ru-RU"/>
        </w:rPr>
        <w:t xml:space="preserve">изменений кредитного риска </w:t>
      </w:r>
      <w:r w:rsidR="002C0246" w:rsidRPr="0049187C">
        <w:rPr>
          <w:lang w:val="ru-RU"/>
        </w:rPr>
        <w:t xml:space="preserve">по </w:t>
      </w:r>
      <w:r w:rsidR="003C7B33" w:rsidRPr="0049187C">
        <w:rPr>
          <w:lang w:val="ru-RU"/>
        </w:rPr>
        <w:t>обязательств</w:t>
      </w:r>
      <w:r w:rsidR="002C0246" w:rsidRPr="0049187C">
        <w:rPr>
          <w:lang w:val="ru-RU"/>
        </w:rPr>
        <w:t>у</w:t>
      </w:r>
      <w:r w:rsidR="003C7B33" w:rsidRPr="0049187C">
        <w:rPr>
          <w:lang w:val="ru-RU"/>
        </w:rPr>
        <w:t xml:space="preserve"> в </w:t>
      </w:r>
      <w:r w:rsidR="002C0246" w:rsidRPr="0049187C">
        <w:rPr>
          <w:lang w:val="ru-RU"/>
        </w:rPr>
        <w:t xml:space="preserve">составе </w:t>
      </w:r>
      <w:r w:rsidR="003C7B33" w:rsidRPr="0049187C">
        <w:rPr>
          <w:lang w:val="ru-RU"/>
        </w:rPr>
        <w:t>проче</w:t>
      </w:r>
      <w:r w:rsidR="002C0246" w:rsidRPr="0049187C">
        <w:rPr>
          <w:lang w:val="ru-RU"/>
        </w:rPr>
        <w:t>го</w:t>
      </w:r>
      <w:r w:rsidR="003C7B33" w:rsidRPr="0049187C">
        <w:rPr>
          <w:lang w:val="ru-RU"/>
        </w:rPr>
        <w:t xml:space="preserve"> совокупно</w:t>
      </w:r>
      <w:r w:rsidR="002C0246" w:rsidRPr="0049187C">
        <w:rPr>
          <w:lang w:val="ru-RU"/>
        </w:rPr>
        <w:t>го</w:t>
      </w:r>
      <w:r w:rsidR="003C7B33" w:rsidRPr="0049187C">
        <w:rPr>
          <w:lang w:val="ru-RU"/>
        </w:rPr>
        <w:t xml:space="preserve"> доход</w:t>
      </w:r>
      <w:r w:rsidR="002C0246" w:rsidRPr="0049187C">
        <w:rPr>
          <w:lang w:val="ru-RU"/>
        </w:rPr>
        <w:t>а</w:t>
      </w:r>
      <w:r w:rsidR="003C7B33" w:rsidRPr="0049187C">
        <w:rPr>
          <w:lang w:val="ru-RU"/>
        </w:rPr>
        <w:t xml:space="preserve"> приведет к большему </w:t>
      </w:r>
      <w:r w:rsidR="00017EB0">
        <w:rPr>
          <w:lang w:val="ru-RU"/>
        </w:rPr>
        <w:t>изменению прибыли или убытка</w:t>
      </w:r>
      <w:r w:rsidR="003C7B33" w:rsidRPr="0049187C">
        <w:rPr>
          <w:lang w:val="ru-RU"/>
        </w:rPr>
        <w:t xml:space="preserve">, чем в случае представления </w:t>
      </w:r>
      <w:r w:rsidR="002C0246" w:rsidRPr="0049187C">
        <w:rPr>
          <w:lang w:val="ru-RU"/>
        </w:rPr>
        <w:t>указанных</w:t>
      </w:r>
      <w:r w:rsidR="003C7B33" w:rsidRPr="0049187C">
        <w:rPr>
          <w:lang w:val="ru-RU"/>
        </w:rPr>
        <w:t xml:space="preserve"> сумм в </w:t>
      </w:r>
      <w:r w:rsidR="002C0246" w:rsidRPr="0049187C">
        <w:rPr>
          <w:lang w:val="ru-RU"/>
        </w:rPr>
        <w:t xml:space="preserve">составе </w:t>
      </w:r>
      <w:r w:rsidR="003C7B33" w:rsidRPr="0049187C">
        <w:rPr>
          <w:lang w:val="ru-RU"/>
        </w:rPr>
        <w:t>прибыли или убытк</w:t>
      </w:r>
      <w:r w:rsidR="002C0246" w:rsidRPr="0049187C">
        <w:rPr>
          <w:lang w:val="ru-RU"/>
        </w:rPr>
        <w:t>а</w:t>
      </w:r>
      <w:r w:rsidRPr="0049187C">
        <w:rPr>
          <w:lang w:val="ru-RU"/>
        </w:rPr>
        <w:t xml:space="preserve">. </w:t>
      </w:r>
      <w:bookmarkEnd w:id="374"/>
    </w:p>
    <w:p w:rsidR="001529CA" w:rsidRPr="0049187C" w:rsidRDefault="001529CA">
      <w:pPr>
        <w:pStyle w:val="IASBNormalnpara"/>
        <w:rPr>
          <w:lang w:val="ru-RU"/>
        </w:rPr>
      </w:pPr>
      <w:r w:rsidRPr="0049187C">
        <w:rPr>
          <w:lang w:val="ru-RU"/>
        </w:rPr>
        <w:t>B5.7.6</w:t>
      </w:r>
      <w:r w:rsidRPr="0049187C">
        <w:rPr>
          <w:lang w:val="ru-RU"/>
        </w:rPr>
        <w:tab/>
      </w:r>
      <w:bookmarkStart w:id="375" w:name="F32626355"/>
      <w:r w:rsidR="00643CBC" w:rsidRPr="0049187C">
        <w:rPr>
          <w:lang w:val="ru-RU"/>
        </w:rPr>
        <w:t xml:space="preserve">Для </w:t>
      </w:r>
      <w:r w:rsidR="002C0246" w:rsidRPr="0049187C">
        <w:rPr>
          <w:lang w:val="ru-RU"/>
        </w:rPr>
        <w:t>того, чтобы определить это,</w:t>
      </w:r>
      <w:r w:rsidR="00643CBC" w:rsidRPr="0049187C">
        <w:rPr>
          <w:lang w:val="ru-RU"/>
        </w:rPr>
        <w:t xml:space="preserve"> организация должна</w:t>
      </w:r>
      <w:r w:rsidR="00017EB0">
        <w:rPr>
          <w:lang w:val="ru-RU"/>
        </w:rPr>
        <w:t xml:space="preserve"> провести анализ и</w:t>
      </w:r>
      <w:r w:rsidR="00643CBC" w:rsidRPr="0049187C">
        <w:rPr>
          <w:lang w:val="ru-RU"/>
        </w:rPr>
        <w:t xml:space="preserve"> </w:t>
      </w:r>
      <w:r w:rsidR="002C0246" w:rsidRPr="0049187C">
        <w:rPr>
          <w:lang w:val="ru-RU"/>
        </w:rPr>
        <w:t>установить</w:t>
      </w:r>
      <w:r w:rsidR="00643CBC" w:rsidRPr="0049187C">
        <w:rPr>
          <w:lang w:val="ru-RU"/>
        </w:rPr>
        <w:t xml:space="preserve">, ожидает ли она, что </w:t>
      </w:r>
      <w:r w:rsidR="00CF14A7">
        <w:rPr>
          <w:lang w:val="ru-RU"/>
        </w:rPr>
        <w:t>эффект от</w:t>
      </w:r>
      <w:r w:rsidR="00643CBC" w:rsidRPr="0049187C">
        <w:rPr>
          <w:lang w:val="ru-RU"/>
        </w:rPr>
        <w:t xml:space="preserve"> изменений кредитного риска </w:t>
      </w:r>
      <w:r w:rsidR="002C0246" w:rsidRPr="0049187C">
        <w:rPr>
          <w:lang w:val="ru-RU"/>
        </w:rPr>
        <w:t xml:space="preserve">по </w:t>
      </w:r>
      <w:r w:rsidR="00643CBC" w:rsidRPr="0049187C">
        <w:rPr>
          <w:lang w:val="ru-RU"/>
        </w:rPr>
        <w:t>обязательств</w:t>
      </w:r>
      <w:r w:rsidR="002C0246" w:rsidRPr="0049187C">
        <w:rPr>
          <w:lang w:val="ru-RU"/>
        </w:rPr>
        <w:t>у</w:t>
      </w:r>
      <w:r w:rsidR="00017EB0">
        <w:rPr>
          <w:lang w:val="ru-RU"/>
        </w:rPr>
        <w:t>,</w:t>
      </w:r>
      <w:r w:rsidR="009A77C3">
        <w:rPr>
          <w:lang w:val="ru-RU"/>
        </w:rPr>
        <w:t xml:space="preserve"> </w:t>
      </w:r>
      <w:r w:rsidR="00017EB0">
        <w:rPr>
          <w:lang w:val="ru-RU"/>
        </w:rPr>
        <w:t>отражаемый в составе прибыли или убытка,</w:t>
      </w:r>
      <w:r w:rsidR="00A37D3E" w:rsidRPr="0049187C">
        <w:rPr>
          <w:lang w:val="ru-RU"/>
        </w:rPr>
        <w:t xml:space="preserve"> буде</w:t>
      </w:r>
      <w:r w:rsidR="00643CBC" w:rsidRPr="0049187C">
        <w:rPr>
          <w:lang w:val="ru-RU"/>
        </w:rPr>
        <w:t>т компенсирован изменени</w:t>
      </w:r>
      <w:r w:rsidR="00017EB0">
        <w:rPr>
          <w:lang w:val="ru-RU"/>
        </w:rPr>
        <w:t>ем</w:t>
      </w:r>
      <w:r w:rsidR="00643CBC" w:rsidRPr="0049187C">
        <w:rPr>
          <w:lang w:val="ru-RU"/>
        </w:rPr>
        <w:t xml:space="preserve"> справедливой стоимости другого финансового инструмента, оцениваемого по справедливой стоимости через прибыль или убыток</w:t>
      </w:r>
      <w:r w:rsidRPr="0049187C">
        <w:rPr>
          <w:lang w:val="ru-RU"/>
        </w:rPr>
        <w:t xml:space="preserve">. </w:t>
      </w:r>
      <w:r w:rsidR="00643CBC" w:rsidRPr="0049187C">
        <w:rPr>
          <w:lang w:val="ru-RU"/>
        </w:rPr>
        <w:t>Так</w:t>
      </w:r>
      <w:r w:rsidR="00A37D3E" w:rsidRPr="0049187C">
        <w:rPr>
          <w:lang w:val="ru-RU"/>
        </w:rPr>
        <w:t>и</w:t>
      </w:r>
      <w:r w:rsidR="00643CBC" w:rsidRPr="0049187C">
        <w:rPr>
          <w:lang w:val="ru-RU"/>
        </w:rPr>
        <w:t>е ожидани</w:t>
      </w:r>
      <w:r w:rsidR="00A37D3E" w:rsidRPr="0049187C">
        <w:rPr>
          <w:lang w:val="ru-RU"/>
        </w:rPr>
        <w:t>я</w:t>
      </w:r>
      <w:r w:rsidR="00643CBC" w:rsidRPr="0049187C">
        <w:rPr>
          <w:lang w:val="ru-RU"/>
        </w:rPr>
        <w:t xml:space="preserve"> должн</w:t>
      </w:r>
      <w:r w:rsidR="00A37D3E" w:rsidRPr="0049187C">
        <w:rPr>
          <w:lang w:val="ru-RU"/>
        </w:rPr>
        <w:t>ы</w:t>
      </w:r>
      <w:r w:rsidR="00643CBC" w:rsidRPr="0049187C">
        <w:rPr>
          <w:lang w:val="ru-RU"/>
        </w:rPr>
        <w:t xml:space="preserve"> основ</w:t>
      </w:r>
      <w:r w:rsidR="00A37D3E" w:rsidRPr="0049187C">
        <w:rPr>
          <w:lang w:val="ru-RU"/>
        </w:rPr>
        <w:t>ываться</w:t>
      </w:r>
      <w:r w:rsidR="00643CBC" w:rsidRPr="0049187C">
        <w:rPr>
          <w:lang w:val="ru-RU"/>
        </w:rPr>
        <w:t xml:space="preserve"> на </w:t>
      </w:r>
      <w:r w:rsidR="009A77C3">
        <w:rPr>
          <w:lang w:val="ru-RU"/>
        </w:rPr>
        <w:t>экономической взаимосвязи</w:t>
      </w:r>
      <w:r w:rsidR="00643CBC" w:rsidRPr="0049187C">
        <w:rPr>
          <w:lang w:val="ru-RU"/>
        </w:rPr>
        <w:t xml:space="preserve"> между характеристиками </w:t>
      </w:r>
      <w:r w:rsidR="00A37D3E" w:rsidRPr="0049187C">
        <w:rPr>
          <w:lang w:val="ru-RU"/>
        </w:rPr>
        <w:t xml:space="preserve">данного </w:t>
      </w:r>
      <w:r w:rsidR="00643CBC" w:rsidRPr="0049187C">
        <w:rPr>
          <w:lang w:val="ru-RU"/>
        </w:rPr>
        <w:t>обязательства и характеристиками другого финансового инструмента</w:t>
      </w:r>
      <w:r w:rsidRPr="0049187C">
        <w:rPr>
          <w:lang w:val="ru-RU"/>
        </w:rPr>
        <w:t xml:space="preserve">. </w:t>
      </w:r>
      <w:bookmarkEnd w:id="375"/>
    </w:p>
    <w:p w:rsidR="0050414D" w:rsidRPr="0049187C" w:rsidRDefault="001529CA">
      <w:pPr>
        <w:pStyle w:val="IASBNormalnpara"/>
        <w:rPr>
          <w:lang w:val="ru-RU"/>
        </w:rPr>
      </w:pPr>
      <w:r w:rsidRPr="0049187C">
        <w:rPr>
          <w:lang w:val="ru-RU"/>
        </w:rPr>
        <w:t>B5.7.7</w:t>
      </w:r>
      <w:r w:rsidRPr="0049187C">
        <w:rPr>
          <w:lang w:val="ru-RU"/>
        </w:rPr>
        <w:tab/>
      </w:r>
      <w:bookmarkStart w:id="376" w:name="F32626358"/>
      <w:r w:rsidR="009B157D">
        <w:rPr>
          <w:lang w:val="ru-RU"/>
        </w:rPr>
        <w:t>Дан</w:t>
      </w:r>
      <w:r w:rsidR="0082489F">
        <w:rPr>
          <w:lang w:val="ru-RU"/>
        </w:rPr>
        <w:t>н</w:t>
      </w:r>
      <w:r w:rsidR="00017EB0">
        <w:rPr>
          <w:lang w:val="ru-RU"/>
        </w:rPr>
        <w:t>ый</w:t>
      </w:r>
      <w:r w:rsidR="009B157D">
        <w:rPr>
          <w:lang w:val="ru-RU"/>
        </w:rPr>
        <w:t xml:space="preserve"> </w:t>
      </w:r>
      <w:r w:rsidR="00017EB0">
        <w:rPr>
          <w:lang w:val="ru-RU"/>
        </w:rPr>
        <w:t>вопрос решается</w:t>
      </w:r>
      <w:r w:rsidR="00A37D3E" w:rsidRPr="0049187C">
        <w:rPr>
          <w:lang w:val="ru-RU"/>
        </w:rPr>
        <w:t xml:space="preserve"> при первоначальном признании и не подлежит </w:t>
      </w:r>
      <w:r w:rsidR="009B157D">
        <w:rPr>
          <w:lang w:val="ru-RU"/>
        </w:rPr>
        <w:t>повторному анализу</w:t>
      </w:r>
      <w:r w:rsidRPr="0049187C">
        <w:rPr>
          <w:lang w:val="ru-RU"/>
        </w:rPr>
        <w:t xml:space="preserve">. </w:t>
      </w:r>
      <w:r w:rsidR="00A37D3E" w:rsidRPr="0049187C">
        <w:rPr>
          <w:lang w:val="ru-RU"/>
        </w:rPr>
        <w:t>Из практических соображений</w:t>
      </w:r>
      <w:r w:rsidR="00C61DCF">
        <w:rPr>
          <w:lang w:val="ru-RU"/>
        </w:rPr>
        <w:t xml:space="preserve"> нет необходимости в том, чтобы</w:t>
      </w:r>
      <w:r w:rsidR="00643CBC" w:rsidRPr="0049187C">
        <w:rPr>
          <w:lang w:val="ru-RU"/>
        </w:rPr>
        <w:t xml:space="preserve"> организаци</w:t>
      </w:r>
      <w:r w:rsidR="00C61DCF">
        <w:rPr>
          <w:lang w:val="ru-RU"/>
        </w:rPr>
        <w:t>я</w:t>
      </w:r>
      <w:r w:rsidR="00643CBC" w:rsidRPr="0049187C">
        <w:rPr>
          <w:lang w:val="ru-RU"/>
        </w:rPr>
        <w:t xml:space="preserve"> </w:t>
      </w:r>
      <w:r w:rsidR="00C61DCF">
        <w:rPr>
          <w:lang w:val="ru-RU"/>
        </w:rPr>
        <w:t>одновременно</w:t>
      </w:r>
      <w:r w:rsidR="009B157D">
        <w:rPr>
          <w:lang w:val="ru-RU"/>
        </w:rPr>
        <w:t xml:space="preserve"> станови</w:t>
      </w:r>
      <w:r w:rsidR="00C61DCF">
        <w:rPr>
          <w:lang w:val="ru-RU"/>
        </w:rPr>
        <w:t>лась</w:t>
      </w:r>
      <w:r w:rsidR="00A349DA">
        <w:rPr>
          <w:lang w:val="ru-RU"/>
        </w:rPr>
        <w:t xml:space="preserve"> стороной по</w:t>
      </w:r>
      <w:r w:rsidR="00C61DCF">
        <w:rPr>
          <w:lang w:val="ru-RU"/>
        </w:rPr>
        <w:t xml:space="preserve"> всем</w:t>
      </w:r>
      <w:r w:rsidR="00A349DA">
        <w:rPr>
          <w:lang w:val="ru-RU"/>
        </w:rPr>
        <w:t xml:space="preserve"> договорам, обусло</w:t>
      </w:r>
      <w:r w:rsidR="009B157D">
        <w:rPr>
          <w:lang w:val="ru-RU"/>
        </w:rPr>
        <w:t xml:space="preserve">вливающим признание </w:t>
      </w:r>
      <w:r w:rsidR="009B157D" w:rsidRPr="0049187C">
        <w:rPr>
          <w:lang w:val="ru-RU"/>
        </w:rPr>
        <w:t>актив</w:t>
      </w:r>
      <w:r w:rsidR="009B157D">
        <w:rPr>
          <w:lang w:val="ru-RU"/>
        </w:rPr>
        <w:t>ов</w:t>
      </w:r>
      <w:r w:rsidR="009B157D" w:rsidRPr="0049187C">
        <w:rPr>
          <w:lang w:val="ru-RU"/>
        </w:rPr>
        <w:t xml:space="preserve"> </w:t>
      </w:r>
      <w:r w:rsidR="0050414D" w:rsidRPr="0049187C">
        <w:rPr>
          <w:lang w:val="ru-RU"/>
        </w:rPr>
        <w:t xml:space="preserve">и обязательств, </w:t>
      </w:r>
      <w:r w:rsidR="009B157D">
        <w:rPr>
          <w:lang w:val="ru-RU"/>
        </w:rPr>
        <w:t>порождающих</w:t>
      </w:r>
      <w:r w:rsidR="009B157D" w:rsidRPr="0049187C">
        <w:rPr>
          <w:lang w:val="ru-RU"/>
        </w:rPr>
        <w:t xml:space="preserve"> </w:t>
      </w:r>
      <w:r w:rsidR="0050414D" w:rsidRPr="0049187C">
        <w:rPr>
          <w:lang w:val="ru-RU"/>
        </w:rPr>
        <w:t>учетное несоответствие</w:t>
      </w:r>
      <w:r w:rsidRPr="0049187C">
        <w:rPr>
          <w:lang w:val="ru-RU"/>
        </w:rPr>
        <w:t xml:space="preserve">. </w:t>
      </w:r>
      <w:r w:rsidR="006979C5" w:rsidRPr="0049187C">
        <w:rPr>
          <w:lang w:val="ru-RU"/>
        </w:rPr>
        <w:t xml:space="preserve">Допускается обоснованная </w:t>
      </w:r>
      <w:r w:rsidR="00F86935">
        <w:rPr>
          <w:lang w:val="ru-RU"/>
        </w:rPr>
        <w:t>задержка при условии</w:t>
      </w:r>
      <w:r w:rsidR="0050414D" w:rsidRPr="0049187C">
        <w:rPr>
          <w:lang w:val="ru-RU"/>
        </w:rPr>
        <w:t xml:space="preserve">, </w:t>
      </w:r>
      <w:r w:rsidR="00F86935">
        <w:rPr>
          <w:lang w:val="ru-RU"/>
        </w:rPr>
        <w:t>что</w:t>
      </w:r>
      <w:r w:rsidR="00F86935" w:rsidRPr="0049187C">
        <w:rPr>
          <w:lang w:val="ru-RU"/>
        </w:rPr>
        <w:t xml:space="preserve"> </w:t>
      </w:r>
      <w:r w:rsidR="00C61DCF">
        <w:rPr>
          <w:lang w:val="ru-RU"/>
        </w:rPr>
        <w:t xml:space="preserve">совершение </w:t>
      </w:r>
      <w:r w:rsidR="0050414D" w:rsidRPr="0049187C">
        <w:rPr>
          <w:lang w:val="ru-RU"/>
        </w:rPr>
        <w:t xml:space="preserve">остальных </w:t>
      </w:r>
      <w:r w:rsidR="00C61DCF">
        <w:rPr>
          <w:lang w:val="ru-RU"/>
        </w:rPr>
        <w:t>сделок ожидается</w:t>
      </w:r>
      <w:r w:rsidRPr="0049187C">
        <w:rPr>
          <w:lang w:val="ru-RU"/>
        </w:rPr>
        <w:t xml:space="preserve">. </w:t>
      </w:r>
      <w:r w:rsidR="00F86935">
        <w:rPr>
          <w:lang w:val="ru-RU"/>
        </w:rPr>
        <w:t>О</w:t>
      </w:r>
      <w:r w:rsidR="00F86935" w:rsidRPr="0049187C">
        <w:rPr>
          <w:lang w:val="ru-RU"/>
        </w:rPr>
        <w:t xml:space="preserve">рганизация должна последовательно применять </w:t>
      </w:r>
      <w:r w:rsidR="00F86935">
        <w:rPr>
          <w:lang w:val="ru-RU"/>
        </w:rPr>
        <w:t>выбранную ею</w:t>
      </w:r>
      <w:r w:rsidR="00F86935" w:rsidRPr="0049187C">
        <w:rPr>
          <w:lang w:val="ru-RU"/>
        </w:rPr>
        <w:t xml:space="preserve"> методологию </w:t>
      </w:r>
      <w:r w:rsidR="00F86935">
        <w:rPr>
          <w:lang w:val="ru-RU"/>
        </w:rPr>
        <w:t>д</w:t>
      </w:r>
      <w:r w:rsidR="00F86935" w:rsidRPr="0049187C">
        <w:rPr>
          <w:lang w:val="ru-RU"/>
        </w:rPr>
        <w:t xml:space="preserve">ля </w:t>
      </w:r>
      <w:r w:rsidR="0050414D" w:rsidRPr="0049187C">
        <w:rPr>
          <w:lang w:val="ru-RU"/>
        </w:rPr>
        <w:t>определения того, не</w:t>
      </w:r>
      <w:r w:rsidR="00017EB0">
        <w:rPr>
          <w:lang w:val="ru-RU"/>
        </w:rPr>
        <w:t xml:space="preserve"> приведет ли </w:t>
      </w:r>
      <w:r w:rsidR="00455C5B">
        <w:rPr>
          <w:lang w:val="ru-RU"/>
        </w:rPr>
        <w:t>представление</w:t>
      </w:r>
      <w:r w:rsidR="009A77C3">
        <w:rPr>
          <w:lang w:val="ru-RU"/>
        </w:rPr>
        <w:t xml:space="preserve"> эффекта от </w:t>
      </w:r>
      <w:r w:rsidR="009A77C3" w:rsidRPr="0049187C">
        <w:rPr>
          <w:lang w:val="ru-RU"/>
        </w:rPr>
        <w:t>изменений кредитного риска по обязательству в составе прочего совокупного дохода</w:t>
      </w:r>
      <w:r w:rsidR="0050414D" w:rsidRPr="0049187C">
        <w:rPr>
          <w:lang w:val="ru-RU"/>
        </w:rPr>
        <w:t xml:space="preserve"> </w:t>
      </w:r>
      <w:r w:rsidR="009A77C3">
        <w:rPr>
          <w:lang w:val="ru-RU"/>
        </w:rPr>
        <w:t>к возникновению или увеличению учетного несоответствия, которое отразится на величине</w:t>
      </w:r>
      <w:r w:rsidR="0050414D" w:rsidRPr="0049187C">
        <w:rPr>
          <w:lang w:val="ru-RU"/>
        </w:rPr>
        <w:t xml:space="preserve"> </w:t>
      </w:r>
      <w:r w:rsidR="009A77C3">
        <w:rPr>
          <w:lang w:val="ru-RU"/>
        </w:rPr>
        <w:t>прибыли или убытка</w:t>
      </w:r>
      <w:r w:rsidR="0050414D" w:rsidRPr="0049187C">
        <w:rPr>
          <w:lang w:val="ru-RU"/>
        </w:rPr>
        <w:t>. Однако</w:t>
      </w:r>
      <w:r w:rsidR="00A42227" w:rsidRPr="0049187C">
        <w:rPr>
          <w:lang w:val="ru-RU"/>
        </w:rPr>
        <w:t xml:space="preserve"> организация</w:t>
      </w:r>
      <w:r w:rsidR="0050414D" w:rsidRPr="0049187C">
        <w:rPr>
          <w:lang w:val="ru-RU"/>
        </w:rPr>
        <w:t xml:space="preserve"> может использовать разные метод</w:t>
      </w:r>
      <w:r w:rsidR="003629B7" w:rsidRPr="0049187C">
        <w:rPr>
          <w:lang w:val="ru-RU"/>
        </w:rPr>
        <w:t>ологии</w:t>
      </w:r>
      <w:r w:rsidR="009A77C3">
        <w:rPr>
          <w:lang w:val="ru-RU"/>
        </w:rPr>
        <w:t>, когда имеют место</w:t>
      </w:r>
      <w:r w:rsidR="0050414D" w:rsidRPr="0049187C">
        <w:rPr>
          <w:lang w:val="ru-RU"/>
        </w:rPr>
        <w:t xml:space="preserve"> </w:t>
      </w:r>
      <w:r w:rsidR="009A77C3">
        <w:rPr>
          <w:lang w:val="ru-RU"/>
        </w:rPr>
        <w:t>различные</w:t>
      </w:r>
      <w:r w:rsidR="0050414D" w:rsidRPr="0049187C">
        <w:rPr>
          <w:lang w:val="ru-RU"/>
        </w:rPr>
        <w:t xml:space="preserve"> </w:t>
      </w:r>
      <w:r w:rsidR="009A77C3">
        <w:rPr>
          <w:lang w:val="ru-RU"/>
        </w:rPr>
        <w:t>виды экономической</w:t>
      </w:r>
      <w:r w:rsidR="0050414D" w:rsidRPr="0049187C">
        <w:rPr>
          <w:lang w:val="ru-RU"/>
        </w:rPr>
        <w:t xml:space="preserve"> </w:t>
      </w:r>
      <w:r w:rsidR="009A77C3">
        <w:rPr>
          <w:lang w:val="ru-RU"/>
        </w:rPr>
        <w:t>взаимосвязи</w:t>
      </w:r>
      <w:r w:rsidR="0050414D" w:rsidRPr="0049187C">
        <w:rPr>
          <w:lang w:val="ru-RU"/>
        </w:rPr>
        <w:t xml:space="preserve"> между характеристиками обязательств, </w:t>
      </w:r>
      <w:r w:rsidR="00CD3637">
        <w:rPr>
          <w:lang w:val="ru-RU"/>
        </w:rPr>
        <w:t>классифицированных по усмотрению</w:t>
      </w:r>
      <w:r w:rsidR="009A77C3">
        <w:rPr>
          <w:lang w:val="ru-RU"/>
        </w:rPr>
        <w:t xml:space="preserve"> организации</w:t>
      </w:r>
      <w:r w:rsidR="0050414D" w:rsidRPr="0049187C">
        <w:rPr>
          <w:lang w:val="ru-RU"/>
        </w:rPr>
        <w:t xml:space="preserve"> как оцениваемые по справедливой стоимости</w:t>
      </w:r>
      <w:r w:rsidR="00A42227" w:rsidRPr="0049187C">
        <w:rPr>
          <w:lang w:val="ru-RU"/>
        </w:rPr>
        <w:t xml:space="preserve"> через прибыль или убыток</w:t>
      </w:r>
      <w:r w:rsidR="0050414D" w:rsidRPr="0049187C">
        <w:rPr>
          <w:lang w:val="ru-RU"/>
        </w:rPr>
        <w:t xml:space="preserve">, и характеристиками прочих финансовых инструментов. В соответствии с МСФО (IFRS) 7 в примечаниях к финансовой отчетности </w:t>
      </w:r>
      <w:r w:rsidR="00A42227" w:rsidRPr="0049187C">
        <w:rPr>
          <w:lang w:val="ru-RU"/>
        </w:rPr>
        <w:t>организация</w:t>
      </w:r>
      <w:r w:rsidR="0050414D" w:rsidRPr="0049187C">
        <w:rPr>
          <w:lang w:val="ru-RU"/>
        </w:rPr>
        <w:t xml:space="preserve"> должн</w:t>
      </w:r>
      <w:r w:rsidR="00A42227" w:rsidRPr="0049187C">
        <w:rPr>
          <w:lang w:val="ru-RU"/>
        </w:rPr>
        <w:t>а</w:t>
      </w:r>
      <w:r w:rsidR="0050414D" w:rsidRPr="0049187C">
        <w:rPr>
          <w:lang w:val="ru-RU"/>
        </w:rPr>
        <w:t xml:space="preserve"> раскрыть</w:t>
      </w:r>
      <w:r w:rsidR="00F86935">
        <w:rPr>
          <w:lang w:val="ru-RU"/>
        </w:rPr>
        <w:t xml:space="preserve"> </w:t>
      </w:r>
      <w:r w:rsidR="00A349DA">
        <w:rPr>
          <w:lang w:val="ru-RU"/>
        </w:rPr>
        <w:t>описательную</w:t>
      </w:r>
      <w:r w:rsidR="00F86935">
        <w:rPr>
          <w:lang w:val="ru-RU"/>
        </w:rPr>
        <w:t xml:space="preserve"> </w:t>
      </w:r>
      <w:r w:rsidR="0050414D" w:rsidRPr="0049187C">
        <w:rPr>
          <w:lang w:val="ru-RU"/>
        </w:rPr>
        <w:t xml:space="preserve">информацию о </w:t>
      </w:r>
      <w:r w:rsidR="00F86935">
        <w:rPr>
          <w:lang w:val="ru-RU"/>
        </w:rPr>
        <w:t>применяемых ею</w:t>
      </w:r>
      <w:r w:rsidR="00F86935" w:rsidRPr="0049187C">
        <w:rPr>
          <w:lang w:val="ru-RU"/>
        </w:rPr>
        <w:t xml:space="preserve"> </w:t>
      </w:r>
      <w:r w:rsidR="0050414D" w:rsidRPr="0049187C">
        <w:rPr>
          <w:lang w:val="ru-RU"/>
        </w:rPr>
        <w:t>методах определения вероятности возникновения или увеличения учетного несоответствия.</w:t>
      </w:r>
    </w:p>
    <w:bookmarkEnd w:id="376"/>
    <w:p w:rsidR="001529CA" w:rsidRPr="0049187C" w:rsidRDefault="001529CA">
      <w:pPr>
        <w:pStyle w:val="IASBNormalnpara"/>
        <w:rPr>
          <w:lang w:val="ru-RU"/>
        </w:rPr>
      </w:pPr>
      <w:r w:rsidRPr="0049187C">
        <w:rPr>
          <w:lang w:val="ru-RU"/>
        </w:rPr>
        <w:t>B5.7.8</w:t>
      </w:r>
      <w:r w:rsidRPr="0049187C">
        <w:rPr>
          <w:lang w:val="ru-RU"/>
        </w:rPr>
        <w:tab/>
      </w:r>
      <w:bookmarkStart w:id="377" w:name="F32626361"/>
      <w:r w:rsidR="00A42227" w:rsidRPr="0049187C">
        <w:rPr>
          <w:lang w:val="ru-RU"/>
        </w:rPr>
        <w:t xml:space="preserve">В случае </w:t>
      </w:r>
      <w:r w:rsidR="00F86935">
        <w:rPr>
          <w:lang w:val="ru-RU"/>
        </w:rPr>
        <w:t>если</w:t>
      </w:r>
      <w:r w:rsidR="00A42227" w:rsidRPr="0049187C">
        <w:rPr>
          <w:lang w:val="ru-RU"/>
        </w:rPr>
        <w:t xml:space="preserve"> </w:t>
      </w:r>
      <w:r w:rsidR="00F86935" w:rsidRPr="0049187C">
        <w:rPr>
          <w:lang w:val="ru-RU"/>
        </w:rPr>
        <w:t>тако</w:t>
      </w:r>
      <w:r w:rsidR="00F86935">
        <w:rPr>
          <w:lang w:val="ru-RU"/>
        </w:rPr>
        <w:t>е</w:t>
      </w:r>
      <w:r w:rsidR="00F86935" w:rsidRPr="0049187C">
        <w:rPr>
          <w:lang w:val="ru-RU"/>
        </w:rPr>
        <w:t xml:space="preserve"> несоответстви</w:t>
      </w:r>
      <w:r w:rsidR="00F86935">
        <w:rPr>
          <w:lang w:val="ru-RU"/>
        </w:rPr>
        <w:t xml:space="preserve">е возникает или увеличивается, </w:t>
      </w:r>
      <w:r w:rsidR="005436E0" w:rsidRPr="0049187C">
        <w:rPr>
          <w:lang w:val="ru-RU"/>
        </w:rPr>
        <w:t xml:space="preserve">организация должна представить все изменения справедливой стоимости (включая </w:t>
      </w:r>
      <w:r w:rsidR="00A01671">
        <w:rPr>
          <w:lang w:val="ru-RU"/>
        </w:rPr>
        <w:t>эффект от</w:t>
      </w:r>
      <w:r w:rsidR="005436E0" w:rsidRPr="0049187C">
        <w:rPr>
          <w:lang w:val="ru-RU"/>
        </w:rPr>
        <w:t xml:space="preserve"> изменений кредитного риска </w:t>
      </w:r>
      <w:r w:rsidR="00A42227" w:rsidRPr="0049187C">
        <w:rPr>
          <w:lang w:val="ru-RU"/>
        </w:rPr>
        <w:t xml:space="preserve">по </w:t>
      </w:r>
      <w:r w:rsidR="005436E0" w:rsidRPr="0049187C">
        <w:rPr>
          <w:lang w:val="ru-RU"/>
        </w:rPr>
        <w:t>обязательств</w:t>
      </w:r>
      <w:r w:rsidR="00A42227" w:rsidRPr="0049187C">
        <w:rPr>
          <w:lang w:val="ru-RU"/>
        </w:rPr>
        <w:t>у</w:t>
      </w:r>
      <w:r w:rsidR="005436E0" w:rsidRPr="0049187C">
        <w:rPr>
          <w:lang w:val="ru-RU"/>
        </w:rPr>
        <w:t>) в составе прибыли или убытка</w:t>
      </w:r>
      <w:r w:rsidRPr="0049187C">
        <w:rPr>
          <w:lang w:val="ru-RU"/>
        </w:rPr>
        <w:t xml:space="preserve">. </w:t>
      </w:r>
      <w:r w:rsidR="005436E0" w:rsidRPr="0049187C">
        <w:rPr>
          <w:lang w:val="ru-RU"/>
        </w:rPr>
        <w:t xml:space="preserve">Если такое несоответствие </w:t>
      </w:r>
      <w:r w:rsidR="00A42227" w:rsidRPr="0049187C">
        <w:rPr>
          <w:lang w:val="ru-RU"/>
        </w:rPr>
        <w:t>не возникает и не увеличивается</w:t>
      </w:r>
      <w:r w:rsidR="005436E0" w:rsidRPr="0049187C">
        <w:rPr>
          <w:lang w:val="ru-RU"/>
        </w:rPr>
        <w:t xml:space="preserve">, организация должна представить </w:t>
      </w:r>
      <w:r w:rsidR="00CF14A7">
        <w:rPr>
          <w:lang w:val="ru-RU"/>
        </w:rPr>
        <w:t>эффект от</w:t>
      </w:r>
      <w:r w:rsidR="005436E0" w:rsidRPr="0049187C">
        <w:rPr>
          <w:lang w:val="ru-RU"/>
        </w:rPr>
        <w:t xml:space="preserve"> изменений кредитного риска </w:t>
      </w:r>
      <w:r w:rsidR="00A42227" w:rsidRPr="0049187C">
        <w:rPr>
          <w:lang w:val="ru-RU"/>
        </w:rPr>
        <w:t xml:space="preserve">по </w:t>
      </w:r>
      <w:r w:rsidR="005436E0" w:rsidRPr="0049187C">
        <w:rPr>
          <w:lang w:val="ru-RU"/>
        </w:rPr>
        <w:t>обязательств</w:t>
      </w:r>
      <w:r w:rsidR="00A42227" w:rsidRPr="0049187C">
        <w:rPr>
          <w:lang w:val="ru-RU"/>
        </w:rPr>
        <w:t>у</w:t>
      </w:r>
      <w:r w:rsidR="005436E0" w:rsidRPr="0049187C">
        <w:rPr>
          <w:lang w:val="ru-RU"/>
        </w:rPr>
        <w:t xml:space="preserve"> в </w:t>
      </w:r>
      <w:r w:rsidR="00A42227" w:rsidRPr="0049187C">
        <w:rPr>
          <w:lang w:val="ru-RU"/>
        </w:rPr>
        <w:t xml:space="preserve">составе </w:t>
      </w:r>
      <w:r w:rsidR="005436E0" w:rsidRPr="0049187C">
        <w:rPr>
          <w:lang w:val="ru-RU"/>
        </w:rPr>
        <w:t>проче</w:t>
      </w:r>
      <w:r w:rsidR="00A42227" w:rsidRPr="0049187C">
        <w:rPr>
          <w:lang w:val="ru-RU"/>
        </w:rPr>
        <w:t>го</w:t>
      </w:r>
      <w:r w:rsidR="005436E0" w:rsidRPr="0049187C">
        <w:rPr>
          <w:lang w:val="ru-RU"/>
        </w:rPr>
        <w:t xml:space="preserve"> совокупно</w:t>
      </w:r>
      <w:r w:rsidR="00A42227" w:rsidRPr="0049187C">
        <w:rPr>
          <w:lang w:val="ru-RU"/>
        </w:rPr>
        <w:t>го</w:t>
      </w:r>
      <w:r w:rsidR="005436E0" w:rsidRPr="0049187C">
        <w:rPr>
          <w:lang w:val="ru-RU"/>
        </w:rPr>
        <w:t xml:space="preserve"> доход</w:t>
      </w:r>
      <w:r w:rsidR="00A42227" w:rsidRPr="0049187C">
        <w:rPr>
          <w:lang w:val="ru-RU"/>
        </w:rPr>
        <w:t>а</w:t>
      </w:r>
      <w:r w:rsidRPr="0049187C">
        <w:rPr>
          <w:lang w:val="ru-RU"/>
        </w:rPr>
        <w:t>.</w:t>
      </w:r>
      <w:bookmarkEnd w:id="377"/>
    </w:p>
    <w:p w:rsidR="001529CA" w:rsidRPr="0049187C" w:rsidRDefault="001529CA">
      <w:pPr>
        <w:pStyle w:val="IASBNormalnpara"/>
        <w:rPr>
          <w:lang w:val="ru-RU"/>
        </w:rPr>
      </w:pPr>
      <w:r w:rsidRPr="0049187C">
        <w:rPr>
          <w:lang w:val="ru-RU"/>
        </w:rPr>
        <w:t>B5.7.9</w:t>
      </w:r>
      <w:r w:rsidRPr="0049187C">
        <w:rPr>
          <w:lang w:val="ru-RU"/>
        </w:rPr>
        <w:tab/>
      </w:r>
      <w:bookmarkStart w:id="378" w:name="F32626368"/>
      <w:r w:rsidR="005436E0" w:rsidRPr="0049187C">
        <w:rPr>
          <w:lang w:val="ru-RU"/>
        </w:rPr>
        <w:t xml:space="preserve">Суммы, представленные в </w:t>
      </w:r>
      <w:r w:rsidR="00A42227" w:rsidRPr="0049187C">
        <w:rPr>
          <w:lang w:val="ru-RU"/>
        </w:rPr>
        <w:t xml:space="preserve">составе </w:t>
      </w:r>
      <w:r w:rsidR="005436E0" w:rsidRPr="0049187C">
        <w:rPr>
          <w:lang w:val="ru-RU"/>
        </w:rPr>
        <w:t>проче</w:t>
      </w:r>
      <w:r w:rsidR="00A42227" w:rsidRPr="0049187C">
        <w:rPr>
          <w:lang w:val="ru-RU"/>
        </w:rPr>
        <w:t xml:space="preserve">го </w:t>
      </w:r>
      <w:r w:rsidR="005436E0" w:rsidRPr="0049187C">
        <w:rPr>
          <w:lang w:val="ru-RU"/>
        </w:rPr>
        <w:t>совокупно</w:t>
      </w:r>
      <w:r w:rsidR="00A42227" w:rsidRPr="0049187C">
        <w:rPr>
          <w:lang w:val="ru-RU"/>
        </w:rPr>
        <w:t>го</w:t>
      </w:r>
      <w:r w:rsidR="005436E0" w:rsidRPr="0049187C">
        <w:rPr>
          <w:lang w:val="ru-RU"/>
        </w:rPr>
        <w:t xml:space="preserve"> доход</w:t>
      </w:r>
      <w:r w:rsidR="00A42227" w:rsidRPr="0049187C">
        <w:rPr>
          <w:lang w:val="ru-RU"/>
        </w:rPr>
        <w:t>а</w:t>
      </w:r>
      <w:r w:rsidR="005436E0" w:rsidRPr="0049187C">
        <w:rPr>
          <w:lang w:val="ru-RU"/>
        </w:rPr>
        <w:t>, не должны впоследствии переносит</w:t>
      </w:r>
      <w:r w:rsidR="00A42227" w:rsidRPr="0049187C">
        <w:rPr>
          <w:lang w:val="ru-RU"/>
        </w:rPr>
        <w:t>ь</w:t>
      </w:r>
      <w:r w:rsidR="005436E0" w:rsidRPr="0049187C">
        <w:rPr>
          <w:lang w:val="ru-RU"/>
        </w:rPr>
        <w:t>ся в состав прибыли или убытка. Однако организ</w:t>
      </w:r>
      <w:r w:rsidR="00A42227" w:rsidRPr="0049187C">
        <w:rPr>
          <w:lang w:val="ru-RU"/>
        </w:rPr>
        <w:t>ация может переносить</w:t>
      </w:r>
      <w:r w:rsidR="005436E0" w:rsidRPr="0049187C">
        <w:rPr>
          <w:lang w:val="ru-RU"/>
        </w:rPr>
        <w:t xml:space="preserve"> накопленн</w:t>
      </w:r>
      <w:r w:rsidR="00C92991">
        <w:rPr>
          <w:lang w:val="ru-RU"/>
        </w:rPr>
        <w:t>ую величину прибыли или убытка</w:t>
      </w:r>
      <w:r w:rsidR="005436E0" w:rsidRPr="0049187C">
        <w:rPr>
          <w:lang w:val="ru-RU"/>
        </w:rPr>
        <w:t xml:space="preserve"> </w:t>
      </w:r>
      <w:r w:rsidR="00C92991">
        <w:rPr>
          <w:lang w:val="ru-RU"/>
        </w:rPr>
        <w:t>между статьями</w:t>
      </w:r>
      <w:r w:rsidR="005436E0" w:rsidRPr="0049187C">
        <w:rPr>
          <w:lang w:val="ru-RU"/>
        </w:rPr>
        <w:t xml:space="preserve"> собственного капитала</w:t>
      </w:r>
      <w:r w:rsidRPr="0049187C">
        <w:rPr>
          <w:lang w:val="ru-RU"/>
        </w:rPr>
        <w:t>.</w:t>
      </w:r>
      <w:bookmarkEnd w:id="378"/>
    </w:p>
    <w:p w:rsidR="00A42227" w:rsidRPr="0049187C" w:rsidRDefault="001529CA">
      <w:pPr>
        <w:pStyle w:val="IASBNormalnpara"/>
        <w:rPr>
          <w:lang w:val="ru-RU"/>
        </w:rPr>
      </w:pPr>
      <w:r w:rsidRPr="0049187C">
        <w:rPr>
          <w:lang w:val="ru-RU"/>
        </w:rPr>
        <w:t>B5.7.10</w:t>
      </w:r>
      <w:r w:rsidRPr="0049187C">
        <w:rPr>
          <w:lang w:val="ru-RU"/>
        </w:rPr>
        <w:tab/>
      </w:r>
      <w:bookmarkStart w:id="379" w:name="F32626371"/>
      <w:r w:rsidR="00A42227" w:rsidRPr="0049187C">
        <w:rPr>
          <w:lang w:val="ru-RU"/>
        </w:rPr>
        <w:t>В следующем примере описывается ситуация, в которой учетное несоответствие</w:t>
      </w:r>
      <w:r w:rsidR="00CF14A7">
        <w:rPr>
          <w:lang w:val="ru-RU"/>
        </w:rPr>
        <w:t xml:space="preserve"> оказало бы влияние на</w:t>
      </w:r>
      <w:r w:rsidR="00A42227" w:rsidRPr="0049187C">
        <w:rPr>
          <w:lang w:val="ru-RU"/>
        </w:rPr>
        <w:t xml:space="preserve"> </w:t>
      </w:r>
      <w:r w:rsidR="00CF14A7">
        <w:rPr>
          <w:lang w:val="ru-RU"/>
        </w:rPr>
        <w:t>прибыль или убыток,</w:t>
      </w:r>
      <w:r w:rsidR="00A42227" w:rsidRPr="0049187C">
        <w:rPr>
          <w:lang w:val="ru-RU"/>
        </w:rPr>
        <w:t xml:space="preserve"> </w:t>
      </w:r>
      <w:r w:rsidR="00CF14A7">
        <w:rPr>
          <w:lang w:val="ru-RU"/>
        </w:rPr>
        <w:t>если бы</w:t>
      </w:r>
      <w:r w:rsidR="00A42227" w:rsidRPr="0049187C">
        <w:rPr>
          <w:lang w:val="ru-RU"/>
        </w:rPr>
        <w:t xml:space="preserve"> </w:t>
      </w:r>
      <w:r w:rsidR="00351001">
        <w:rPr>
          <w:lang w:val="ru-RU"/>
        </w:rPr>
        <w:t>эффект</w:t>
      </w:r>
      <w:r w:rsidR="00A01671">
        <w:rPr>
          <w:lang w:val="ru-RU"/>
        </w:rPr>
        <w:t xml:space="preserve"> от</w:t>
      </w:r>
      <w:r w:rsidR="00A42227" w:rsidRPr="0049187C">
        <w:rPr>
          <w:lang w:val="ru-RU"/>
        </w:rPr>
        <w:t xml:space="preserve"> изменений кр</w:t>
      </w:r>
      <w:r w:rsidR="00CF14A7">
        <w:rPr>
          <w:lang w:val="ru-RU"/>
        </w:rPr>
        <w:t xml:space="preserve">едитного риска по обязательству был представлен </w:t>
      </w:r>
      <w:r w:rsidR="00A42227" w:rsidRPr="0049187C">
        <w:rPr>
          <w:lang w:val="ru-RU"/>
        </w:rPr>
        <w:t xml:space="preserve">в составе прочего совокупного дохода. Ипотечный банк предоставляет </w:t>
      </w:r>
      <w:r w:rsidR="009C2081" w:rsidRPr="0049187C">
        <w:rPr>
          <w:lang w:val="ru-RU"/>
        </w:rPr>
        <w:t>займы</w:t>
      </w:r>
      <w:r w:rsidR="00A42227" w:rsidRPr="0049187C">
        <w:rPr>
          <w:lang w:val="ru-RU"/>
        </w:rPr>
        <w:t xml:space="preserve"> клиентам и финансирует данные </w:t>
      </w:r>
      <w:r w:rsidR="009C2081" w:rsidRPr="0049187C">
        <w:rPr>
          <w:lang w:val="ru-RU"/>
        </w:rPr>
        <w:t>займы</w:t>
      </w:r>
      <w:r w:rsidR="00A42227" w:rsidRPr="0049187C">
        <w:rPr>
          <w:lang w:val="ru-RU"/>
        </w:rPr>
        <w:t xml:space="preserve"> за счет продажи облигаций с совпадающими характеристиками (например, размер непогашенной суммы, график погашения, срок и валюта) на рынке. По условиям договора о предоставлении </w:t>
      </w:r>
      <w:r w:rsidR="009C2081" w:rsidRPr="0049187C">
        <w:rPr>
          <w:lang w:val="ru-RU"/>
        </w:rPr>
        <w:t>займа</w:t>
      </w:r>
      <w:r w:rsidR="00A42227" w:rsidRPr="0049187C">
        <w:rPr>
          <w:lang w:val="ru-RU"/>
        </w:rPr>
        <w:t xml:space="preserve"> клиент имеет право досрочно погасить предоставленн</w:t>
      </w:r>
      <w:r w:rsidR="009C2081" w:rsidRPr="0049187C">
        <w:rPr>
          <w:lang w:val="ru-RU"/>
        </w:rPr>
        <w:t>ый</w:t>
      </w:r>
      <w:r w:rsidR="00A42227" w:rsidRPr="0049187C">
        <w:rPr>
          <w:lang w:val="ru-RU"/>
        </w:rPr>
        <w:t xml:space="preserve"> ему </w:t>
      </w:r>
      <w:r w:rsidR="009C2081" w:rsidRPr="0049187C">
        <w:rPr>
          <w:lang w:val="ru-RU"/>
        </w:rPr>
        <w:t>заем</w:t>
      </w:r>
      <w:r w:rsidR="00A42227" w:rsidRPr="0049187C">
        <w:rPr>
          <w:lang w:val="ru-RU"/>
        </w:rPr>
        <w:t xml:space="preserve"> (т</w:t>
      </w:r>
      <w:r w:rsidR="009C2081" w:rsidRPr="0049187C">
        <w:rPr>
          <w:lang w:val="ru-RU"/>
        </w:rPr>
        <w:t>. е.</w:t>
      </w:r>
      <w:r w:rsidR="0060782D">
        <w:rPr>
          <w:lang w:val="ru-RU"/>
        </w:rPr>
        <w:t xml:space="preserve"> выполнить свою</w:t>
      </w:r>
      <w:r w:rsidR="00A42227" w:rsidRPr="0049187C">
        <w:rPr>
          <w:lang w:val="ru-RU"/>
        </w:rPr>
        <w:t xml:space="preserve"> </w:t>
      </w:r>
      <w:r w:rsidR="0060782D">
        <w:rPr>
          <w:lang w:val="ru-RU"/>
        </w:rPr>
        <w:t>обязанность</w:t>
      </w:r>
      <w:r w:rsidR="00A42227" w:rsidRPr="0049187C">
        <w:rPr>
          <w:lang w:val="ru-RU"/>
        </w:rPr>
        <w:t xml:space="preserve"> перед банком), купив на рынке соответствующую облигацию по справедливой стоимости и предоставив данную облигацию ипотечному банку. Если в результате пр</w:t>
      </w:r>
      <w:r w:rsidR="005E2633">
        <w:rPr>
          <w:lang w:val="ru-RU"/>
        </w:rPr>
        <w:t>едоставления данного предусмотренного договором</w:t>
      </w:r>
      <w:r w:rsidR="00A42227" w:rsidRPr="0049187C">
        <w:rPr>
          <w:lang w:val="ru-RU"/>
        </w:rPr>
        <w:t xml:space="preserve"> права на досрочное погашение кредит</w:t>
      </w:r>
      <w:r w:rsidR="009C2081" w:rsidRPr="0049187C">
        <w:rPr>
          <w:lang w:val="ru-RU"/>
        </w:rPr>
        <w:t>ное качество</w:t>
      </w:r>
      <w:r w:rsidR="00A42227" w:rsidRPr="0049187C">
        <w:rPr>
          <w:lang w:val="ru-RU"/>
        </w:rPr>
        <w:t xml:space="preserve"> облигации ухудшается (и, следовательно, справедливая стоимость обязательства ипотечного банка снижается), справедливая стоимость кредитного актива ипотечного банка также снижается. Изменение справедливой стоимости актива отражает </w:t>
      </w:r>
      <w:r w:rsidR="00CF14A7">
        <w:rPr>
          <w:lang w:val="ru-RU"/>
        </w:rPr>
        <w:t>имеющееся у</w:t>
      </w:r>
      <w:r w:rsidR="00A42227" w:rsidRPr="0049187C">
        <w:rPr>
          <w:lang w:val="ru-RU"/>
        </w:rPr>
        <w:t xml:space="preserve"> клиента</w:t>
      </w:r>
      <w:r w:rsidR="00CF14A7">
        <w:rPr>
          <w:lang w:val="ru-RU"/>
        </w:rPr>
        <w:t xml:space="preserve"> право, предусмотренное договором,</w:t>
      </w:r>
      <w:r w:rsidR="00A42227" w:rsidRPr="0049187C">
        <w:rPr>
          <w:lang w:val="ru-RU"/>
        </w:rPr>
        <w:t xml:space="preserve"> </w:t>
      </w:r>
      <w:r w:rsidR="00CF14A7">
        <w:rPr>
          <w:lang w:val="ru-RU"/>
        </w:rPr>
        <w:t>досрочно</w:t>
      </w:r>
      <w:r w:rsidR="00A42227" w:rsidRPr="0049187C">
        <w:rPr>
          <w:lang w:val="ru-RU"/>
        </w:rPr>
        <w:t xml:space="preserve"> пога</w:t>
      </w:r>
      <w:r w:rsidR="00CF14A7">
        <w:rPr>
          <w:lang w:val="ru-RU"/>
        </w:rPr>
        <w:t>сить ипотечный заем</w:t>
      </w:r>
      <w:r w:rsidR="00A42227" w:rsidRPr="0049187C">
        <w:rPr>
          <w:lang w:val="ru-RU"/>
        </w:rPr>
        <w:t xml:space="preserve"> путем приобретения соответствующей облигации по </w:t>
      </w:r>
      <w:r w:rsidR="00CF14A7">
        <w:rPr>
          <w:lang w:val="ru-RU"/>
        </w:rPr>
        <w:t>справедливой стоимости (которая в данном примере</w:t>
      </w:r>
      <w:r w:rsidR="00A42227" w:rsidRPr="0049187C">
        <w:rPr>
          <w:lang w:val="ru-RU"/>
        </w:rPr>
        <w:t xml:space="preserve"> снизилась) и предоставления </w:t>
      </w:r>
      <w:r w:rsidR="00CF14A7">
        <w:rPr>
          <w:lang w:val="ru-RU"/>
        </w:rPr>
        <w:t xml:space="preserve">этой </w:t>
      </w:r>
      <w:r w:rsidR="00A42227" w:rsidRPr="0049187C">
        <w:rPr>
          <w:lang w:val="ru-RU"/>
        </w:rPr>
        <w:t xml:space="preserve">облигации ипотечному банку. Следовательно, </w:t>
      </w:r>
      <w:r w:rsidR="00A01671">
        <w:rPr>
          <w:lang w:val="ru-RU"/>
        </w:rPr>
        <w:t>эффект от</w:t>
      </w:r>
      <w:r w:rsidR="00A42227" w:rsidRPr="0049187C">
        <w:rPr>
          <w:lang w:val="ru-RU"/>
        </w:rPr>
        <w:t xml:space="preserve"> изменений кредитного риска</w:t>
      </w:r>
      <w:r w:rsidR="00674CF5">
        <w:rPr>
          <w:lang w:val="ru-RU"/>
        </w:rPr>
        <w:t xml:space="preserve"> по</w:t>
      </w:r>
      <w:r w:rsidR="00A42227" w:rsidRPr="0049187C">
        <w:rPr>
          <w:lang w:val="ru-RU"/>
        </w:rPr>
        <w:t xml:space="preserve"> </w:t>
      </w:r>
      <w:r w:rsidR="00674CF5" w:rsidRPr="0049187C">
        <w:rPr>
          <w:lang w:val="ru-RU"/>
        </w:rPr>
        <w:t>обязательств</w:t>
      </w:r>
      <w:r w:rsidR="00674CF5">
        <w:rPr>
          <w:lang w:val="ru-RU"/>
        </w:rPr>
        <w:t>у</w:t>
      </w:r>
      <w:r w:rsidR="00674CF5" w:rsidRPr="0049187C">
        <w:rPr>
          <w:lang w:val="ru-RU"/>
        </w:rPr>
        <w:t xml:space="preserve"> </w:t>
      </w:r>
      <w:r w:rsidR="00A42227" w:rsidRPr="0049187C">
        <w:rPr>
          <w:lang w:val="ru-RU"/>
        </w:rPr>
        <w:t>(облигаци</w:t>
      </w:r>
      <w:r w:rsidR="00674CF5">
        <w:rPr>
          <w:lang w:val="ru-RU"/>
        </w:rPr>
        <w:t>и</w:t>
      </w:r>
      <w:r w:rsidR="00A01671">
        <w:rPr>
          <w:lang w:val="ru-RU"/>
        </w:rPr>
        <w:t>),</w:t>
      </w:r>
      <w:r w:rsidR="00CF14A7">
        <w:rPr>
          <w:lang w:val="ru-RU"/>
        </w:rPr>
        <w:t xml:space="preserve"> отражаемый в составе прибыли или убытка,</w:t>
      </w:r>
      <w:r w:rsidR="00A01671">
        <w:rPr>
          <w:lang w:val="ru-RU"/>
        </w:rPr>
        <w:t xml:space="preserve"> будет компенсирован</w:t>
      </w:r>
      <w:r w:rsidR="00A42227" w:rsidRPr="0049187C">
        <w:rPr>
          <w:lang w:val="ru-RU"/>
        </w:rPr>
        <w:t xml:space="preserve"> соответствующим изменением справедливой стоимости финансового актива (</w:t>
      </w:r>
      <w:r w:rsidR="009C2081" w:rsidRPr="0049187C">
        <w:rPr>
          <w:lang w:val="ru-RU"/>
        </w:rPr>
        <w:t>займа</w:t>
      </w:r>
      <w:r w:rsidR="00A42227" w:rsidRPr="0049187C">
        <w:rPr>
          <w:lang w:val="ru-RU"/>
        </w:rPr>
        <w:t xml:space="preserve">). Если бы </w:t>
      </w:r>
      <w:r w:rsidR="00CF14A7">
        <w:rPr>
          <w:lang w:val="ru-RU"/>
        </w:rPr>
        <w:t>эффект от</w:t>
      </w:r>
      <w:r w:rsidR="00A42227" w:rsidRPr="0049187C">
        <w:rPr>
          <w:lang w:val="ru-RU"/>
        </w:rPr>
        <w:t xml:space="preserve"> изменений кредит</w:t>
      </w:r>
      <w:r w:rsidR="00CF14A7">
        <w:rPr>
          <w:lang w:val="ru-RU"/>
        </w:rPr>
        <w:t>ного риска по обязательству был представлен</w:t>
      </w:r>
      <w:r w:rsidR="00A42227" w:rsidRPr="0049187C">
        <w:rPr>
          <w:lang w:val="ru-RU"/>
        </w:rPr>
        <w:t xml:space="preserve"> в составе прочего совокупного дохода, </w:t>
      </w:r>
      <w:r w:rsidR="00CF14A7">
        <w:rPr>
          <w:lang w:val="ru-RU"/>
        </w:rPr>
        <w:t xml:space="preserve">то </w:t>
      </w:r>
      <w:r w:rsidR="00A42227" w:rsidRPr="0049187C">
        <w:rPr>
          <w:lang w:val="ru-RU"/>
        </w:rPr>
        <w:t>возникло бы учетное несоответствие</w:t>
      </w:r>
      <w:r w:rsidR="00CF14A7">
        <w:rPr>
          <w:lang w:val="ru-RU"/>
        </w:rPr>
        <w:t>, которое отразилось бы на величине</w:t>
      </w:r>
      <w:r w:rsidR="00A42227" w:rsidRPr="0049187C">
        <w:rPr>
          <w:lang w:val="ru-RU"/>
        </w:rPr>
        <w:t xml:space="preserve"> </w:t>
      </w:r>
      <w:r w:rsidR="00CF14A7">
        <w:rPr>
          <w:lang w:val="ru-RU"/>
        </w:rPr>
        <w:t>прибыли или убытка</w:t>
      </w:r>
      <w:r w:rsidR="00A42227" w:rsidRPr="0049187C">
        <w:rPr>
          <w:lang w:val="ru-RU"/>
        </w:rPr>
        <w:t xml:space="preserve">. </w:t>
      </w:r>
      <w:r w:rsidR="00674CF5">
        <w:rPr>
          <w:lang w:val="ru-RU"/>
        </w:rPr>
        <w:t>Соответственно</w:t>
      </w:r>
      <w:r w:rsidR="0082489F">
        <w:rPr>
          <w:lang w:val="ru-RU"/>
        </w:rPr>
        <w:t>,</w:t>
      </w:r>
      <w:r w:rsidR="00A42227" w:rsidRPr="0049187C">
        <w:rPr>
          <w:lang w:val="ru-RU"/>
        </w:rPr>
        <w:t xml:space="preserve"> ипотечный банк обязан представлять все изменения справедливой стоимости обязательства (включая </w:t>
      </w:r>
      <w:r w:rsidR="00CF14A7">
        <w:rPr>
          <w:lang w:val="ru-RU"/>
        </w:rPr>
        <w:t>эффект от</w:t>
      </w:r>
      <w:r w:rsidR="00A42227" w:rsidRPr="0049187C">
        <w:rPr>
          <w:lang w:val="ru-RU"/>
        </w:rPr>
        <w:t xml:space="preserve"> изменений кредитного риска</w:t>
      </w:r>
      <w:r w:rsidR="00674CF5">
        <w:rPr>
          <w:lang w:val="ru-RU"/>
        </w:rPr>
        <w:t xml:space="preserve"> по</w:t>
      </w:r>
      <w:r w:rsidR="00A42227" w:rsidRPr="0049187C">
        <w:rPr>
          <w:lang w:val="ru-RU"/>
        </w:rPr>
        <w:t xml:space="preserve"> обязательств</w:t>
      </w:r>
      <w:r w:rsidR="00674CF5">
        <w:rPr>
          <w:lang w:val="ru-RU"/>
        </w:rPr>
        <w:t>у</w:t>
      </w:r>
      <w:r w:rsidR="00A42227" w:rsidRPr="0049187C">
        <w:rPr>
          <w:lang w:val="ru-RU"/>
        </w:rPr>
        <w:t>) в составе прибыли или убытка.</w:t>
      </w:r>
      <w:r w:rsidR="009C2081" w:rsidRPr="0049187C">
        <w:rPr>
          <w:lang w:val="ru-RU"/>
        </w:rPr>
        <w:t xml:space="preserve"> </w:t>
      </w:r>
    </w:p>
    <w:bookmarkEnd w:id="379"/>
    <w:p w:rsidR="009C2081" w:rsidRPr="0049187C" w:rsidRDefault="001529CA">
      <w:pPr>
        <w:pStyle w:val="IASBNormalnpara"/>
        <w:rPr>
          <w:lang w:val="ru-RU"/>
        </w:rPr>
      </w:pPr>
      <w:r w:rsidRPr="0049187C">
        <w:rPr>
          <w:lang w:val="ru-RU"/>
        </w:rPr>
        <w:t>B5.7.11</w:t>
      </w:r>
      <w:r w:rsidRPr="0049187C">
        <w:rPr>
          <w:lang w:val="ru-RU"/>
        </w:rPr>
        <w:tab/>
      </w:r>
      <w:bookmarkStart w:id="380" w:name="F32626374"/>
      <w:r w:rsidR="00BD2BAC" w:rsidRPr="0049187C">
        <w:rPr>
          <w:lang w:val="ru-RU"/>
        </w:rPr>
        <w:t>В примере</w:t>
      </w:r>
      <w:r w:rsidR="009C2081" w:rsidRPr="0049187C">
        <w:rPr>
          <w:lang w:val="ru-RU"/>
        </w:rPr>
        <w:t>, представленном</w:t>
      </w:r>
      <w:r w:rsidR="00BD2BAC" w:rsidRPr="0049187C">
        <w:rPr>
          <w:lang w:val="ru-RU"/>
        </w:rPr>
        <w:t xml:space="preserve"> в пункте</w:t>
      </w:r>
      <w:r w:rsidRPr="0049187C">
        <w:rPr>
          <w:lang w:val="ru-RU"/>
        </w:rPr>
        <w:t xml:space="preserve"> B5.7.10</w:t>
      </w:r>
      <w:r w:rsidR="009C2081" w:rsidRPr="0049187C">
        <w:rPr>
          <w:lang w:val="ru-RU"/>
        </w:rPr>
        <w:t>,</w:t>
      </w:r>
      <w:r w:rsidR="00391F75" w:rsidRPr="0049187C">
        <w:rPr>
          <w:lang w:val="ru-RU"/>
        </w:rPr>
        <w:t xml:space="preserve"> </w:t>
      </w:r>
      <w:r w:rsidR="00C025CC">
        <w:rPr>
          <w:lang w:val="ru-RU"/>
        </w:rPr>
        <w:t>имелась</w:t>
      </w:r>
      <w:r w:rsidR="009C2081" w:rsidRPr="0049187C">
        <w:rPr>
          <w:lang w:val="ru-RU"/>
        </w:rPr>
        <w:t xml:space="preserve"> обусловленн</w:t>
      </w:r>
      <w:r w:rsidR="00C025CC">
        <w:rPr>
          <w:lang w:val="ru-RU"/>
        </w:rPr>
        <w:t>ая</w:t>
      </w:r>
      <w:r w:rsidR="009C2081" w:rsidRPr="0049187C">
        <w:rPr>
          <w:lang w:val="ru-RU"/>
        </w:rPr>
        <w:t xml:space="preserve"> договором </w:t>
      </w:r>
      <w:r w:rsidR="00C025CC" w:rsidRPr="0049187C">
        <w:rPr>
          <w:lang w:val="ru-RU"/>
        </w:rPr>
        <w:t>связ</w:t>
      </w:r>
      <w:r w:rsidR="00C025CC">
        <w:rPr>
          <w:lang w:val="ru-RU"/>
        </w:rPr>
        <w:t>ь</w:t>
      </w:r>
      <w:r w:rsidR="00C025CC" w:rsidRPr="0049187C">
        <w:rPr>
          <w:lang w:val="ru-RU"/>
        </w:rPr>
        <w:t xml:space="preserve"> </w:t>
      </w:r>
      <w:r w:rsidR="009C2081" w:rsidRPr="0049187C">
        <w:rPr>
          <w:lang w:val="ru-RU"/>
        </w:rPr>
        <w:t xml:space="preserve">между </w:t>
      </w:r>
      <w:r w:rsidR="00A01671">
        <w:rPr>
          <w:lang w:val="ru-RU"/>
        </w:rPr>
        <w:t>эффектом от</w:t>
      </w:r>
      <w:r w:rsidR="009C2081" w:rsidRPr="0049187C">
        <w:rPr>
          <w:lang w:val="ru-RU"/>
        </w:rPr>
        <w:t xml:space="preserve"> изменений кредитного риска по обязательству и изменениями справедливой с</w:t>
      </w:r>
      <w:r w:rsidR="00351001">
        <w:rPr>
          <w:lang w:val="ru-RU"/>
        </w:rPr>
        <w:t>тоимости финансового актива (т. </w:t>
      </w:r>
      <w:r w:rsidR="009C2081" w:rsidRPr="0049187C">
        <w:rPr>
          <w:lang w:val="ru-RU"/>
        </w:rPr>
        <w:t xml:space="preserve">е. </w:t>
      </w:r>
      <w:r w:rsidR="00C025CC">
        <w:rPr>
          <w:lang w:val="ru-RU"/>
        </w:rPr>
        <w:t xml:space="preserve">связь, возникшая </w:t>
      </w:r>
      <w:r w:rsidR="009C2081" w:rsidRPr="0049187C">
        <w:rPr>
          <w:lang w:val="ru-RU"/>
        </w:rPr>
        <w:t xml:space="preserve">в результате наличия </w:t>
      </w:r>
      <w:r w:rsidR="003670B8">
        <w:rPr>
          <w:lang w:val="ru-RU"/>
        </w:rPr>
        <w:t xml:space="preserve">у клиента </w:t>
      </w:r>
      <w:r w:rsidR="005E2633">
        <w:rPr>
          <w:lang w:val="ru-RU"/>
        </w:rPr>
        <w:t xml:space="preserve">предусмотренного </w:t>
      </w:r>
      <w:r w:rsidR="009C2081" w:rsidRPr="0049187C">
        <w:rPr>
          <w:lang w:val="ru-RU"/>
        </w:rPr>
        <w:t>договор</w:t>
      </w:r>
      <w:r w:rsidR="005E2633">
        <w:rPr>
          <w:lang w:val="ru-RU"/>
        </w:rPr>
        <w:t>ом</w:t>
      </w:r>
      <w:r w:rsidR="009C2081" w:rsidRPr="0049187C">
        <w:rPr>
          <w:lang w:val="ru-RU"/>
        </w:rPr>
        <w:t xml:space="preserve"> права на досрочное погашение займа путем приобретения облигации по справедливой стоимости и предоставления данной облигации ипотечному банку). Однако учетное несоответствие может также возникнуть и при отсутствии обусловленной договором связи.</w:t>
      </w:r>
    </w:p>
    <w:bookmarkEnd w:id="380"/>
    <w:p w:rsidR="009C2081" w:rsidRPr="0049187C" w:rsidRDefault="001529CA">
      <w:pPr>
        <w:pStyle w:val="IASBNormalnpara"/>
        <w:rPr>
          <w:lang w:val="ru-RU"/>
        </w:rPr>
      </w:pPr>
      <w:r w:rsidRPr="0049187C">
        <w:rPr>
          <w:lang w:val="ru-RU"/>
        </w:rPr>
        <w:t>B5.7.12</w:t>
      </w:r>
      <w:r w:rsidRPr="0049187C">
        <w:rPr>
          <w:lang w:val="ru-RU"/>
        </w:rPr>
        <w:tab/>
      </w:r>
      <w:bookmarkStart w:id="381" w:name="F32626377"/>
      <w:r w:rsidR="009C2081" w:rsidRPr="0049187C">
        <w:rPr>
          <w:lang w:val="ru-RU"/>
        </w:rPr>
        <w:t xml:space="preserve">В целях применения требований пунктов 5.7.7 и 5.7.8 учетное несоответствие не </w:t>
      </w:r>
      <w:r w:rsidR="00C025CC">
        <w:rPr>
          <w:lang w:val="ru-RU"/>
        </w:rPr>
        <w:t xml:space="preserve">является </w:t>
      </w:r>
      <w:r w:rsidR="009C2081" w:rsidRPr="0049187C">
        <w:rPr>
          <w:lang w:val="ru-RU"/>
        </w:rPr>
        <w:t xml:space="preserve">лишь </w:t>
      </w:r>
      <w:r w:rsidR="00C025CC">
        <w:rPr>
          <w:lang w:val="ru-RU"/>
        </w:rPr>
        <w:t xml:space="preserve">следствием </w:t>
      </w:r>
      <w:r w:rsidR="00C025CC" w:rsidRPr="0049187C">
        <w:rPr>
          <w:lang w:val="ru-RU"/>
        </w:rPr>
        <w:t>метод</w:t>
      </w:r>
      <w:r w:rsidR="00C025CC">
        <w:rPr>
          <w:lang w:val="ru-RU"/>
        </w:rPr>
        <w:t>а</w:t>
      </w:r>
      <w:r w:rsidR="00C025CC" w:rsidRPr="0049187C">
        <w:rPr>
          <w:lang w:val="ru-RU"/>
        </w:rPr>
        <w:t xml:space="preserve"> </w:t>
      </w:r>
      <w:r w:rsidR="009C2081" w:rsidRPr="0049187C">
        <w:rPr>
          <w:lang w:val="ru-RU"/>
        </w:rPr>
        <w:t xml:space="preserve">оценки, </w:t>
      </w:r>
      <w:r w:rsidR="00C025CC" w:rsidRPr="0049187C">
        <w:rPr>
          <w:lang w:val="ru-RU"/>
        </w:rPr>
        <w:t>используем</w:t>
      </w:r>
      <w:r w:rsidR="00C025CC">
        <w:rPr>
          <w:lang w:val="ru-RU"/>
        </w:rPr>
        <w:t>ого</w:t>
      </w:r>
      <w:r w:rsidR="00C025CC" w:rsidRPr="0049187C">
        <w:rPr>
          <w:lang w:val="ru-RU"/>
        </w:rPr>
        <w:t xml:space="preserve"> </w:t>
      </w:r>
      <w:r w:rsidR="009C2081" w:rsidRPr="0049187C">
        <w:rPr>
          <w:lang w:val="ru-RU"/>
        </w:rPr>
        <w:t xml:space="preserve">организацией для определения </w:t>
      </w:r>
      <w:r w:rsidR="0088460E">
        <w:rPr>
          <w:lang w:val="ru-RU"/>
        </w:rPr>
        <w:t>эффекта от</w:t>
      </w:r>
      <w:r w:rsidR="009C2081" w:rsidRPr="0049187C">
        <w:rPr>
          <w:lang w:val="ru-RU"/>
        </w:rPr>
        <w:t xml:space="preserve"> изменений кредитного риска по обязательству. Учетное несоответствие </w:t>
      </w:r>
      <w:r w:rsidR="000E6922">
        <w:rPr>
          <w:lang w:val="ru-RU"/>
        </w:rPr>
        <w:t xml:space="preserve">окажет влияние на прибыль или убыток </w:t>
      </w:r>
      <w:r w:rsidR="009C2081" w:rsidRPr="0049187C">
        <w:rPr>
          <w:lang w:val="ru-RU"/>
        </w:rPr>
        <w:t xml:space="preserve">только в том случае, если ожидается, что </w:t>
      </w:r>
      <w:r w:rsidR="00CF14A7">
        <w:rPr>
          <w:lang w:val="ru-RU"/>
        </w:rPr>
        <w:t>эффект от</w:t>
      </w:r>
      <w:r w:rsidR="009C2081" w:rsidRPr="0049187C">
        <w:rPr>
          <w:lang w:val="ru-RU"/>
        </w:rPr>
        <w:t xml:space="preserve"> изменений кредитного риска по обязательству (согласно определению в МСФ</w:t>
      </w:r>
      <w:r w:rsidR="00CF14A7">
        <w:rPr>
          <w:lang w:val="ru-RU"/>
        </w:rPr>
        <w:t>О (IFRS) 7) будет компенсирован</w:t>
      </w:r>
      <w:r w:rsidR="009C2081" w:rsidRPr="0049187C">
        <w:rPr>
          <w:lang w:val="ru-RU"/>
        </w:rPr>
        <w:t xml:space="preserve"> изменениями справедливой стоимости другого финансового инструмента. Несоответствие, возникающее исключительно в результа</w:t>
      </w:r>
      <w:r w:rsidR="00351001">
        <w:rPr>
          <w:lang w:val="ru-RU"/>
        </w:rPr>
        <w:t>те применения метода оценки (т. </w:t>
      </w:r>
      <w:r w:rsidR="009C2081" w:rsidRPr="0049187C">
        <w:rPr>
          <w:lang w:val="ru-RU"/>
        </w:rPr>
        <w:t xml:space="preserve">е. по той причине, что организация не отделяет изменения кредитного риска по обязательству от каких-либо других изменений его справедливой стоимости), не влияет на </w:t>
      </w:r>
      <w:r w:rsidR="0082489F" w:rsidRPr="0049187C">
        <w:rPr>
          <w:lang w:val="ru-RU"/>
        </w:rPr>
        <w:t>требуемо</w:t>
      </w:r>
      <w:r w:rsidR="0082489F">
        <w:rPr>
          <w:lang w:val="ru-RU"/>
        </w:rPr>
        <w:t>е</w:t>
      </w:r>
      <w:r w:rsidR="0082489F" w:rsidRPr="0049187C">
        <w:rPr>
          <w:lang w:val="ru-RU"/>
        </w:rPr>
        <w:t xml:space="preserve"> согласно пунктам 5.7.7 и 5.7.8</w:t>
      </w:r>
      <w:r w:rsidR="0082489F">
        <w:rPr>
          <w:lang w:val="ru-RU"/>
        </w:rPr>
        <w:t xml:space="preserve"> </w:t>
      </w:r>
      <w:r w:rsidR="009C2081" w:rsidRPr="0049187C">
        <w:rPr>
          <w:lang w:val="ru-RU"/>
        </w:rPr>
        <w:t>определение</w:t>
      </w:r>
      <w:r w:rsidR="0082489F">
        <w:rPr>
          <w:lang w:val="ru-RU"/>
        </w:rPr>
        <w:t xml:space="preserve"> того, имело ли место </w:t>
      </w:r>
      <w:r w:rsidR="0082489F" w:rsidRPr="0049187C">
        <w:rPr>
          <w:lang w:val="ru-RU"/>
        </w:rPr>
        <w:t>возникновени</w:t>
      </w:r>
      <w:r w:rsidR="0082489F">
        <w:rPr>
          <w:lang w:val="ru-RU"/>
        </w:rPr>
        <w:t>е</w:t>
      </w:r>
      <w:r w:rsidR="0082489F" w:rsidRPr="0049187C">
        <w:rPr>
          <w:lang w:val="ru-RU"/>
        </w:rPr>
        <w:t xml:space="preserve"> </w:t>
      </w:r>
      <w:r w:rsidR="009C2081" w:rsidRPr="0049187C">
        <w:rPr>
          <w:lang w:val="ru-RU"/>
        </w:rPr>
        <w:t xml:space="preserve">или </w:t>
      </w:r>
      <w:r w:rsidR="0082489F" w:rsidRPr="0049187C">
        <w:rPr>
          <w:lang w:val="ru-RU"/>
        </w:rPr>
        <w:t>увеличени</w:t>
      </w:r>
      <w:r w:rsidR="0082489F">
        <w:rPr>
          <w:lang w:val="ru-RU"/>
        </w:rPr>
        <w:t>е</w:t>
      </w:r>
      <w:r w:rsidR="0082489F" w:rsidRPr="0049187C">
        <w:rPr>
          <w:lang w:val="ru-RU"/>
        </w:rPr>
        <w:t xml:space="preserve"> </w:t>
      </w:r>
      <w:r w:rsidR="009C2081" w:rsidRPr="0049187C">
        <w:rPr>
          <w:lang w:val="ru-RU"/>
        </w:rPr>
        <w:t xml:space="preserve">учетного несоответствия. Например, организация не </w:t>
      </w:r>
      <w:r w:rsidR="000E6922">
        <w:rPr>
          <w:lang w:val="ru-RU"/>
        </w:rPr>
        <w:t xml:space="preserve">имеет возможности </w:t>
      </w:r>
      <w:r w:rsidR="009C2081" w:rsidRPr="0049187C">
        <w:rPr>
          <w:lang w:val="ru-RU"/>
        </w:rPr>
        <w:t>отделить изменения кредитного риска по обязательству от изменений риска ликвидности. Если организация</w:t>
      </w:r>
      <w:r w:rsidR="000E6922">
        <w:rPr>
          <w:lang w:val="ru-RU"/>
        </w:rPr>
        <w:t xml:space="preserve"> представляет совокупный</w:t>
      </w:r>
      <w:r w:rsidR="009C2081" w:rsidRPr="0049187C">
        <w:rPr>
          <w:lang w:val="ru-RU"/>
        </w:rPr>
        <w:t xml:space="preserve"> </w:t>
      </w:r>
      <w:r w:rsidR="000E6922">
        <w:rPr>
          <w:lang w:val="ru-RU"/>
        </w:rPr>
        <w:t>эффект</w:t>
      </w:r>
      <w:r w:rsidR="009C2081" w:rsidRPr="0049187C">
        <w:rPr>
          <w:lang w:val="ru-RU"/>
        </w:rPr>
        <w:t xml:space="preserve"> обоих </w:t>
      </w:r>
      <w:r w:rsidR="000E6922">
        <w:rPr>
          <w:lang w:val="ru-RU"/>
        </w:rPr>
        <w:t xml:space="preserve">этих </w:t>
      </w:r>
      <w:r w:rsidR="009C2081" w:rsidRPr="0049187C">
        <w:rPr>
          <w:lang w:val="ru-RU"/>
        </w:rPr>
        <w:t xml:space="preserve">факторов в составе прочего совокупного дохода, несоответствие может возникнуть по причине того, что изменения риска ликвидности могли быть включены в оценку справедливой стоимости финансовых активов организации, а все изменения справедливой стоимости указанных активов были представлены в составе прибыли или убытка. Однако такое несоответствие </w:t>
      </w:r>
      <w:r w:rsidR="000003CF">
        <w:rPr>
          <w:lang w:val="ru-RU"/>
        </w:rPr>
        <w:t>порождается</w:t>
      </w:r>
      <w:r w:rsidR="000003CF" w:rsidRPr="0049187C">
        <w:rPr>
          <w:lang w:val="ru-RU"/>
        </w:rPr>
        <w:t xml:space="preserve"> </w:t>
      </w:r>
      <w:r w:rsidR="009C2081" w:rsidRPr="0049187C">
        <w:rPr>
          <w:lang w:val="ru-RU"/>
        </w:rPr>
        <w:t xml:space="preserve">неточностью оценки, а не компенсирующими отношениями, описанными в пункте B5.7.6, и, следовательно, не влияет на </w:t>
      </w:r>
      <w:r w:rsidR="000003CF" w:rsidRPr="0049187C">
        <w:rPr>
          <w:lang w:val="ru-RU"/>
        </w:rPr>
        <w:t>требуемо</w:t>
      </w:r>
      <w:r w:rsidR="000003CF">
        <w:rPr>
          <w:lang w:val="ru-RU"/>
        </w:rPr>
        <w:t>е</w:t>
      </w:r>
      <w:r w:rsidR="000003CF" w:rsidRPr="0049187C">
        <w:rPr>
          <w:lang w:val="ru-RU"/>
        </w:rPr>
        <w:t xml:space="preserve"> согласно пунктам 5.7.7 и 5.7.8</w:t>
      </w:r>
      <w:r w:rsidR="000003CF">
        <w:rPr>
          <w:lang w:val="ru-RU"/>
        </w:rPr>
        <w:t xml:space="preserve"> </w:t>
      </w:r>
      <w:r w:rsidR="009C2081" w:rsidRPr="0049187C">
        <w:rPr>
          <w:lang w:val="ru-RU"/>
        </w:rPr>
        <w:t xml:space="preserve">определение </w:t>
      </w:r>
      <w:r w:rsidR="000003CF">
        <w:rPr>
          <w:lang w:val="ru-RU"/>
        </w:rPr>
        <w:t xml:space="preserve">того, имело </w:t>
      </w:r>
      <w:r w:rsidR="00216D60">
        <w:rPr>
          <w:lang w:val="ru-RU"/>
        </w:rPr>
        <w:t>л</w:t>
      </w:r>
      <w:r w:rsidR="000003CF">
        <w:rPr>
          <w:lang w:val="ru-RU"/>
        </w:rPr>
        <w:t xml:space="preserve">и место </w:t>
      </w:r>
      <w:r w:rsidR="000003CF" w:rsidRPr="0049187C">
        <w:rPr>
          <w:lang w:val="ru-RU"/>
        </w:rPr>
        <w:t>возникновени</w:t>
      </w:r>
      <w:r w:rsidR="000003CF">
        <w:rPr>
          <w:lang w:val="ru-RU"/>
        </w:rPr>
        <w:t>е</w:t>
      </w:r>
      <w:r w:rsidR="000003CF" w:rsidRPr="0049187C">
        <w:rPr>
          <w:lang w:val="ru-RU"/>
        </w:rPr>
        <w:t xml:space="preserve"> </w:t>
      </w:r>
      <w:r w:rsidR="009C2081" w:rsidRPr="0049187C">
        <w:rPr>
          <w:lang w:val="ru-RU"/>
        </w:rPr>
        <w:t xml:space="preserve">или </w:t>
      </w:r>
      <w:r w:rsidR="000003CF" w:rsidRPr="0049187C">
        <w:rPr>
          <w:lang w:val="ru-RU"/>
        </w:rPr>
        <w:t>увеличени</w:t>
      </w:r>
      <w:r w:rsidR="000003CF">
        <w:rPr>
          <w:lang w:val="ru-RU"/>
        </w:rPr>
        <w:t>е</w:t>
      </w:r>
      <w:r w:rsidR="000003CF" w:rsidRPr="0049187C">
        <w:rPr>
          <w:lang w:val="ru-RU"/>
        </w:rPr>
        <w:t xml:space="preserve"> </w:t>
      </w:r>
      <w:r w:rsidR="009C2081" w:rsidRPr="0049187C">
        <w:rPr>
          <w:lang w:val="ru-RU"/>
        </w:rPr>
        <w:t>учетного несоответствия.</w:t>
      </w:r>
    </w:p>
    <w:p w:rsidR="001529CA" w:rsidRPr="0049187C" w:rsidRDefault="00146C0A">
      <w:pPr>
        <w:pStyle w:val="IASBSectionTitle4Ind"/>
        <w:rPr>
          <w:lang w:val="ru-RU"/>
        </w:rPr>
      </w:pPr>
      <w:bookmarkStart w:id="382" w:name="F32626381"/>
      <w:bookmarkEnd w:id="381"/>
      <w:r w:rsidRPr="0049187C">
        <w:rPr>
          <w:lang w:val="ru-RU"/>
        </w:rPr>
        <w:t>Значение термина «кредитный риск»</w:t>
      </w:r>
      <w:r w:rsidR="001529CA" w:rsidRPr="0049187C">
        <w:rPr>
          <w:lang w:val="ru-RU"/>
        </w:rPr>
        <w:t xml:space="preserve"> (</w:t>
      </w:r>
      <w:r w:rsidRPr="0049187C">
        <w:rPr>
          <w:lang w:val="ru-RU"/>
        </w:rPr>
        <w:t>пункты</w:t>
      </w:r>
      <w:r w:rsidR="001529CA" w:rsidRPr="0049187C">
        <w:rPr>
          <w:lang w:val="ru-RU"/>
        </w:rPr>
        <w:t xml:space="preserve"> 5.7.7 </w:t>
      </w:r>
      <w:r w:rsidRPr="0049187C">
        <w:rPr>
          <w:lang w:val="ru-RU"/>
        </w:rPr>
        <w:t>и</w:t>
      </w:r>
      <w:r w:rsidR="001529CA" w:rsidRPr="0049187C">
        <w:rPr>
          <w:lang w:val="ru-RU"/>
        </w:rPr>
        <w:t xml:space="preserve"> 5.7.8)</w:t>
      </w:r>
      <w:bookmarkEnd w:id="382"/>
    </w:p>
    <w:p w:rsidR="009C2081" w:rsidRPr="0049187C" w:rsidRDefault="001529CA">
      <w:pPr>
        <w:pStyle w:val="IASBNormalnpara"/>
        <w:rPr>
          <w:lang w:val="ru-RU"/>
        </w:rPr>
      </w:pPr>
      <w:r w:rsidRPr="0049187C">
        <w:rPr>
          <w:lang w:val="ru-RU"/>
        </w:rPr>
        <w:t>B5.7.13</w:t>
      </w:r>
      <w:r w:rsidRPr="0049187C">
        <w:rPr>
          <w:lang w:val="ru-RU"/>
        </w:rPr>
        <w:tab/>
      </w:r>
      <w:bookmarkStart w:id="383" w:name="F32626382"/>
      <w:r w:rsidR="009C2081" w:rsidRPr="0049187C">
        <w:rPr>
          <w:lang w:val="ru-RU"/>
        </w:rPr>
        <w:t xml:space="preserve">В соответствии с </w:t>
      </w:r>
      <w:r w:rsidR="00AE53BA" w:rsidRPr="0049187C">
        <w:rPr>
          <w:lang w:val="ru-RU"/>
        </w:rPr>
        <w:t>МСФО (IFRS) </w:t>
      </w:r>
      <w:r w:rsidRPr="0049187C">
        <w:rPr>
          <w:lang w:val="ru-RU"/>
        </w:rPr>
        <w:t xml:space="preserve">7 </w:t>
      </w:r>
      <w:r w:rsidR="00AE53BA" w:rsidRPr="0049187C">
        <w:rPr>
          <w:lang w:val="ru-RU"/>
        </w:rPr>
        <w:t xml:space="preserve">кредитный риск </w:t>
      </w:r>
      <w:r w:rsidR="00A876BE" w:rsidRPr="008872E8">
        <w:rPr>
          <w:lang w:val="ru-RU"/>
        </w:rPr>
        <w:t>–</w:t>
      </w:r>
      <w:r w:rsidR="009C2081" w:rsidRPr="0049187C">
        <w:rPr>
          <w:lang w:val="ru-RU"/>
        </w:rPr>
        <w:t xml:space="preserve"> это</w:t>
      </w:r>
      <w:r w:rsidR="00AE53BA" w:rsidRPr="0049187C">
        <w:rPr>
          <w:lang w:val="ru-RU"/>
        </w:rPr>
        <w:t xml:space="preserve"> «риск того, что </w:t>
      </w:r>
      <w:r w:rsidR="000E6922">
        <w:rPr>
          <w:lang w:val="ru-RU"/>
        </w:rPr>
        <w:t>у одной</w:t>
      </w:r>
      <w:r w:rsidR="00AE53BA" w:rsidRPr="0049187C">
        <w:rPr>
          <w:lang w:val="ru-RU"/>
        </w:rPr>
        <w:t xml:space="preserve"> из сторон по</w:t>
      </w:r>
      <w:r w:rsidR="000E6922">
        <w:rPr>
          <w:lang w:val="ru-RU"/>
        </w:rPr>
        <w:t xml:space="preserve"> финансовому инструменту возникнет финансовый убыток</w:t>
      </w:r>
      <w:r w:rsidR="00AE53BA" w:rsidRPr="0049187C">
        <w:rPr>
          <w:lang w:val="ru-RU"/>
        </w:rPr>
        <w:t xml:space="preserve"> </w:t>
      </w:r>
      <w:r w:rsidR="000E6922">
        <w:rPr>
          <w:lang w:val="ru-RU"/>
        </w:rPr>
        <w:t>вследствие</w:t>
      </w:r>
      <w:r w:rsidR="0060782D">
        <w:rPr>
          <w:lang w:val="ru-RU"/>
        </w:rPr>
        <w:t xml:space="preserve"> неисполнения </w:t>
      </w:r>
      <w:r w:rsidR="000E6922">
        <w:rPr>
          <w:lang w:val="ru-RU"/>
        </w:rPr>
        <w:t>обязанностей другой стороной</w:t>
      </w:r>
      <w:r w:rsidR="00AE53BA" w:rsidRPr="0049187C">
        <w:rPr>
          <w:lang w:val="ru-RU"/>
        </w:rPr>
        <w:t xml:space="preserve">». Требование </w:t>
      </w:r>
      <w:r w:rsidR="009C2081" w:rsidRPr="0049187C">
        <w:rPr>
          <w:lang w:val="ru-RU"/>
        </w:rPr>
        <w:t>пункта</w:t>
      </w:r>
      <w:r w:rsidRPr="0049187C">
        <w:rPr>
          <w:lang w:val="ru-RU"/>
        </w:rPr>
        <w:t xml:space="preserve"> 5.7.7(a) </w:t>
      </w:r>
      <w:r w:rsidR="001E304C">
        <w:rPr>
          <w:lang w:val="ru-RU"/>
        </w:rPr>
        <w:t>относится к</w:t>
      </w:r>
      <w:r w:rsidR="001E304C" w:rsidRPr="0049187C">
        <w:rPr>
          <w:lang w:val="ru-RU"/>
        </w:rPr>
        <w:t xml:space="preserve"> риск</w:t>
      </w:r>
      <w:r w:rsidR="001E304C">
        <w:rPr>
          <w:lang w:val="ru-RU"/>
        </w:rPr>
        <w:t>у</w:t>
      </w:r>
      <w:r w:rsidR="001E304C" w:rsidRPr="0049187C">
        <w:rPr>
          <w:lang w:val="ru-RU"/>
        </w:rPr>
        <w:t xml:space="preserve"> </w:t>
      </w:r>
      <w:r w:rsidR="009C2081" w:rsidRPr="0049187C">
        <w:rPr>
          <w:lang w:val="ru-RU"/>
        </w:rPr>
        <w:t xml:space="preserve">того, что эмитент не сможет </w:t>
      </w:r>
      <w:r w:rsidR="000E6922">
        <w:rPr>
          <w:lang w:val="ru-RU"/>
        </w:rPr>
        <w:t>произвести выплаты по данному конкретному обязательству</w:t>
      </w:r>
      <w:r w:rsidR="009C2081" w:rsidRPr="0049187C">
        <w:rPr>
          <w:lang w:val="ru-RU"/>
        </w:rPr>
        <w:t xml:space="preserve">. </w:t>
      </w:r>
      <w:r w:rsidR="000E6922">
        <w:rPr>
          <w:lang w:val="ru-RU"/>
        </w:rPr>
        <w:t>Это требование не всегда касается</w:t>
      </w:r>
      <w:r w:rsidR="009C2081" w:rsidRPr="0049187C">
        <w:rPr>
          <w:lang w:val="ru-RU"/>
        </w:rPr>
        <w:t xml:space="preserve"> кредитоспособности эмитента. Например, если ор</w:t>
      </w:r>
      <w:r w:rsidR="000E6922">
        <w:rPr>
          <w:lang w:val="ru-RU"/>
        </w:rPr>
        <w:t>ганизация выпускает обеспеченный залогом долговой инструмент и не обеспеченный</w:t>
      </w:r>
      <w:r w:rsidR="009C2081" w:rsidRPr="0049187C">
        <w:rPr>
          <w:lang w:val="ru-RU"/>
        </w:rPr>
        <w:t xml:space="preserve"> залогом </w:t>
      </w:r>
      <w:r w:rsidR="000E6922">
        <w:rPr>
          <w:lang w:val="ru-RU"/>
        </w:rPr>
        <w:t>долговой инструмент</w:t>
      </w:r>
      <w:r w:rsidR="009C2081" w:rsidRPr="0049187C">
        <w:rPr>
          <w:lang w:val="ru-RU"/>
        </w:rPr>
        <w:t xml:space="preserve">, которые </w:t>
      </w:r>
      <w:r w:rsidR="000E6922">
        <w:rPr>
          <w:lang w:val="ru-RU"/>
        </w:rPr>
        <w:t>во всех иных отношениях</w:t>
      </w:r>
      <w:r w:rsidR="009C2081" w:rsidRPr="0049187C">
        <w:rPr>
          <w:lang w:val="ru-RU"/>
        </w:rPr>
        <w:t xml:space="preserve"> являются идентичными, то кредитный риск</w:t>
      </w:r>
      <w:r w:rsidR="000E6922">
        <w:rPr>
          <w:lang w:val="ru-RU"/>
        </w:rPr>
        <w:t xml:space="preserve"> по этим двум</w:t>
      </w:r>
      <w:r w:rsidR="009C2081" w:rsidRPr="0049187C">
        <w:rPr>
          <w:lang w:val="ru-RU"/>
        </w:rPr>
        <w:t xml:space="preserve"> обязательств</w:t>
      </w:r>
      <w:r w:rsidR="0097054E">
        <w:rPr>
          <w:lang w:val="ru-RU"/>
        </w:rPr>
        <w:t xml:space="preserve">ам будет отличаться, </w:t>
      </w:r>
      <w:r w:rsidR="009C2081" w:rsidRPr="0049187C">
        <w:rPr>
          <w:lang w:val="ru-RU"/>
        </w:rPr>
        <w:t>несмотря на то, что они выпускаются одной</w:t>
      </w:r>
      <w:r w:rsidR="0097054E">
        <w:rPr>
          <w:lang w:val="ru-RU"/>
        </w:rPr>
        <w:t xml:space="preserve"> и той же</w:t>
      </w:r>
      <w:r w:rsidR="009C2081" w:rsidRPr="0049187C">
        <w:rPr>
          <w:lang w:val="ru-RU"/>
        </w:rPr>
        <w:t xml:space="preserve"> организацией. Кредитный риск по обеспеченному залогом обязательству будет меньше кредитного риска по не обеспеченному залогом обязательству. Кредитный риск по обеспеченному залогом обязательству может быть близок нулю.</w:t>
      </w:r>
    </w:p>
    <w:bookmarkEnd w:id="383"/>
    <w:p w:rsidR="001529CA" w:rsidRPr="0049187C" w:rsidRDefault="001529CA">
      <w:pPr>
        <w:pStyle w:val="IASBNormalnpara"/>
        <w:rPr>
          <w:lang w:val="ru-RU"/>
        </w:rPr>
      </w:pPr>
      <w:r w:rsidRPr="0049187C">
        <w:rPr>
          <w:lang w:val="ru-RU"/>
        </w:rPr>
        <w:t>B5.7.14</w:t>
      </w:r>
      <w:r w:rsidRPr="0049187C">
        <w:rPr>
          <w:lang w:val="ru-RU"/>
        </w:rPr>
        <w:tab/>
      </w:r>
      <w:bookmarkStart w:id="384" w:name="F32626383"/>
      <w:r w:rsidR="009C2081" w:rsidRPr="0049187C">
        <w:rPr>
          <w:lang w:val="ru-RU"/>
        </w:rPr>
        <w:t xml:space="preserve">В целях применения требования </w:t>
      </w:r>
      <w:r w:rsidR="001E304C" w:rsidRPr="0049187C">
        <w:rPr>
          <w:lang w:val="ru-RU"/>
        </w:rPr>
        <w:t>пункт</w:t>
      </w:r>
      <w:r w:rsidR="00A54F4B">
        <w:rPr>
          <w:lang w:val="ru-RU"/>
        </w:rPr>
        <w:t>а</w:t>
      </w:r>
      <w:r w:rsidR="001E304C" w:rsidRPr="0049187C">
        <w:rPr>
          <w:lang w:val="ru-RU"/>
        </w:rPr>
        <w:t xml:space="preserve"> </w:t>
      </w:r>
      <w:r w:rsidR="009C2081" w:rsidRPr="0049187C">
        <w:rPr>
          <w:lang w:val="ru-RU"/>
        </w:rPr>
        <w:t>5.7.7(a) кредитный риск отличается от</w:t>
      </w:r>
      <w:r w:rsidR="0079793D" w:rsidRPr="0049187C">
        <w:rPr>
          <w:lang w:val="ru-RU"/>
        </w:rPr>
        <w:t xml:space="preserve"> риска </w:t>
      </w:r>
      <w:r w:rsidR="00C61DCF">
        <w:rPr>
          <w:lang w:val="ru-RU"/>
        </w:rPr>
        <w:t>неудовлетворительной</w:t>
      </w:r>
      <w:r w:rsidR="000A5BB0">
        <w:rPr>
          <w:lang w:val="ru-RU"/>
        </w:rPr>
        <w:t xml:space="preserve"> доходности</w:t>
      </w:r>
      <w:r w:rsidR="0097054E">
        <w:rPr>
          <w:lang w:val="ru-RU"/>
        </w:rPr>
        <w:t xml:space="preserve"> по </w:t>
      </w:r>
      <w:r w:rsidR="00455C5B">
        <w:rPr>
          <w:lang w:val="ru-RU"/>
        </w:rPr>
        <w:t>определенному</w:t>
      </w:r>
      <w:r w:rsidR="0097054E">
        <w:rPr>
          <w:lang w:val="ru-RU"/>
        </w:rPr>
        <w:t xml:space="preserve"> активу</w:t>
      </w:r>
      <w:r w:rsidR="00C365F1" w:rsidRPr="0049187C">
        <w:rPr>
          <w:lang w:val="ru-RU"/>
        </w:rPr>
        <w:t xml:space="preserve">. </w:t>
      </w:r>
      <w:r w:rsidR="0079793D" w:rsidRPr="0049187C">
        <w:rPr>
          <w:lang w:val="ru-RU"/>
        </w:rPr>
        <w:t xml:space="preserve">Риск </w:t>
      </w:r>
      <w:r w:rsidR="00C61DCF">
        <w:rPr>
          <w:lang w:val="ru-RU"/>
        </w:rPr>
        <w:t>неудовлетворительной</w:t>
      </w:r>
      <w:r w:rsidR="000A5BB0">
        <w:rPr>
          <w:lang w:val="ru-RU"/>
        </w:rPr>
        <w:t xml:space="preserve"> </w:t>
      </w:r>
      <w:r w:rsidR="0097054E">
        <w:rPr>
          <w:lang w:val="ru-RU"/>
        </w:rPr>
        <w:t>доходности по определенному активу</w:t>
      </w:r>
      <w:r w:rsidR="00C365F1" w:rsidRPr="0049187C">
        <w:rPr>
          <w:lang w:val="ru-RU"/>
        </w:rPr>
        <w:t xml:space="preserve"> связан </w:t>
      </w:r>
      <w:r w:rsidR="0079793D" w:rsidRPr="0049187C">
        <w:rPr>
          <w:lang w:val="ru-RU"/>
        </w:rPr>
        <w:t xml:space="preserve">не </w:t>
      </w:r>
      <w:r w:rsidR="00C365F1" w:rsidRPr="0049187C">
        <w:rPr>
          <w:lang w:val="ru-RU"/>
        </w:rPr>
        <w:t xml:space="preserve">с риском того, что организация не </w:t>
      </w:r>
      <w:r w:rsidR="00165B02" w:rsidRPr="0049187C">
        <w:rPr>
          <w:lang w:val="ru-RU"/>
        </w:rPr>
        <w:t xml:space="preserve">сможет выполнить </w:t>
      </w:r>
      <w:r w:rsidR="0097054E">
        <w:rPr>
          <w:lang w:val="ru-RU"/>
        </w:rPr>
        <w:t>конкретную обязанность</w:t>
      </w:r>
      <w:r w:rsidR="00165B02" w:rsidRPr="0049187C">
        <w:rPr>
          <w:lang w:val="ru-RU"/>
        </w:rPr>
        <w:t xml:space="preserve">, а с риском того, что отдельный актив или группа активов будут иметь низкую </w:t>
      </w:r>
      <w:r w:rsidR="000A5BB0">
        <w:rPr>
          <w:lang w:val="ru-RU"/>
        </w:rPr>
        <w:t>доходность</w:t>
      </w:r>
      <w:r w:rsidR="001E304C" w:rsidRPr="0049187C">
        <w:rPr>
          <w:lang w:val="ru-RU"/>
        </w:rPr>
        <w:t xml:space="preserve"> </w:t>
      </w:r>
      <w:r w:rsidR="0097054E">
        <w:rPr>
          <w:lang w:val="ru-RU"/>
        </w:rPr>
        <w:t>(или не буде</w:t>
      </w:r>
      <w:r w:rsidR="00165B02" w:rsidRPr="0049187C">
        <w:rPr>
          <w:lang w:val="ru-RU"/>
        </w:rPr>
        <w:t xml:space="preserve">т иметь </w:t>
      </w:r>
      <w:r w:rsidR="0097054E">
        <w:rPr>
          <w:lang w:val="ru-RU"/>
        </w:rPr>
        <w:t>таковой</w:t>
      </w:r>
      <w:r w:rsidR="00165B02" w:rsidRPr="0049187C">
        <w:rPr>
          <w:lang w:val="ru-RU"/>
        </w:rPr>
        <w:t>).</w:t>
      </w:r>
      <w:r w:rsidRPr="0049187C">
        <w:rPr>
          <w:lang w:val="ru-RU"/>
        </w:rPr>
        <w:t xml:space="preserve"> </w:t>
      </w:r>
      <w:bookmarkEnd w:id="384"/>
    </w:p>
    <w:p w:rsidR="001529CA" w:rsidRPr="0049187C" w:rsidRDefault="001529CA">
      <w:pPr>
        <w:pStyle w:val="IASBNormalnpara"/>
        <w:rPr>
          <w:lang w:val="ru-RU"/>
        </w:rPr>
      </w:pPr>
      <w:r w:rsidRPr="0049187C">
        <w:rPr>
          <w:lang w:val="ru-RU"/>
        </w:rPr>
        <w:t>B5.7.15</w:t>
      </w:r>
      <w:r w:rsidRPr="0049187C">
        <w:rPr>
          <w:lang w:val="ru-RU"/>
        </w:rPr>
        <w:tab/>
      </w:r>
      <w:bookmarkStart w:id="385" w:name="F32626386"/>
      <w:r w:rsidR="00C365F1" w:rsidRPr="0049187C">
        <w:rPr>
          <w:lang w:val="ru-RU"/>
        </w:rPr>
        <w:t xml:space="preserve">Ниже </w:t>
      </w:r>
      <w:r w:rsidR="00165B02" w:rsidRPr="0049187C">
        <w:rPr>
          <w:lang w:val="ru-RU"/>
        </w:rPr>
        <w:t xml:space="preserve">приводятся примеры риска </w:t>
      </w:r>
      <w:r w:rsidR="00C61DCF">
        <w:rPr>
          <w:lang w:val="ru-RU"/>
        </w:rPr>
        <w:t>неудовлетворительной</w:t>
      </w:r>
      <w:r w:rsidR="000A5BB0">
        <w:rPr>
          <w:lang w:val="ru-RU"/>
        </w:rPr>
        <w:t xml:space="preserve"> доходности</w:t>
      </w:r>
      <w:bookmarkEnd w:id="385"/>
      <w:r w:rsidR="0097054E">
        <w:rPr>
          <w:lang w:val="ru-RU"/>
        </w:rPr>
        <w:t xml:space="preserve"> по определенному активу</w:t>
      </w:r>
      <w:r w:rsidR="00C365F1" w:rsidRPr="0049187C">
        <w:rPr>
          <w:lang w:val="ru-RU"/>
        </w:rPr>
        <w:t>:</w:t>
      </w:r>
    </w:p>
    <w:p w:rsidR="001529CA" w:rsidRPr="0049187C" w:rsidRDefault="001529CA">
      <w:pPr>
        <w:pStyle w:val="IASBNormalnparaL1"/>
        <w:rPr>
          <w:lang w:val="ru-RU"/>
        </w:rPr>
      </w:pPr>
      <w:r w:rsidRPr="0049187C">
        <w:rPr>
          <w:lang w:val="ru-RU"/>
        </w:rPr>
        <w:t>(a)</w:t>
      </w:r>
      <w:r w:rsidRPr="0049187C">
        <w:rPr>
          <w:lang w:val="ru-RU"/>
        </w:rPr>
        <w:tab/>
      </w:r>
      <w:bookmarkStart w:id="386" w:name="F32626389"/>
      <w:r w:rsidR="00351001">
        <w:rPr>
          <w:lang w:val="ru-RU"/>
        </w:rPr>
        <w:t>О</w:t>
      </w:r>
      <w:r w:rsidR="00C365F1" w:rsidRPr="0049187C">
        <w:rPr>
          <w:lang w:val="ru-RU"/>
        </w:rPr>
        <w:t xml:space="preserve">бязательство с привязкой к стоимости пая, </w:t>
      </w:r>
      <w:r w:rsidR="000A5BB0">
        <w:rPr>
          <w:lang w:val="ru-RU"/>
        </w:rPr>
        <w:t>вследствие</w:t>
      </w:r>
      <w:r w:rsidR="000A5BB0" w:rsidRPr="0049187C">
        <w:rPr>
          <w:lang w:val="ru-RU"/>
        </w:rPr>
        <w:t xml:space="preserve"> </w:t>
      </w:r>
      <w:r w:rsidR="00165B02" w:rsidRPr="0049187C">
        <w:rPr>
          <w:lang w:val="ru-RU"/>
        </w:rPr>
        <w:t xml:space="preserve">которой </w:t>
      </w:r>
      <w:r w:rsidR="000A5BB0" w:rsidRPr="0049187C">
        <w:rPr>
          <w:lang w:val="ru-RU"/>
        </w:rPr>
        <w:t>сумм</w:t>
      </w:r>
      <w:r w:rsidR="000A5BB0">
        <w:rPr>
          <w:lang w:val="ru-RU"/>
        </w:rPr>
        <w:t>а</w:t>
      </w:r>
      <w:r w:rsidR="00165B02" w:rsidRPr="0049187C">
        <w:rPr>
          <w:lang w:val="ru-RU"/>
        </w:rPr>
        <w:t xml:space="preserve">, </w:t>
      </w:r>
      <w:r w:rsidR="000A5BB0" w:rsidRPr="0049187C">
        <w:rPr>
          <w:lang w:val="ru-RU"/>
        </w:rPr>
        <w:t>подлежащ</w:t>
      </w:r>
      <w:r w:rsidR="000A5BB0">
        <w:rPr>
          <w:lang w:val="ru-RU"/>
        </w:rPr>
        <w:t>ая</w:t>
      </w:r>
      <w:r w:rsidR="000A5BB0" w:rsidRPr="0049187C">
        <w:rPr>
          <w:lang w:val="ru-RU"/>
        </w:rPr>
        <w:t xml:space="preserve"> </w:t>
      </w:r>
      <w:r w:rsidR="00165B02" w:rsidRPr="0049187C">
        <w:rPr>
          <w:lang w:val="ru-RU"/>
        </w:rPr>
        <w:t xml:space="preserve">выплате инвесторам, </w:t>
      </w:r>
      <w:r w:rsidR="000A5BB0">
        <w:rPr>
          <w:lang w:val="ru-RU"/>
        </w:rPr>
        <w:t>определяется</w:t>
      </w:r>
      <w:r w:rsidR="00165B02" w:rsidRPr="0049187C">
        <w:rPr>
          <w:lang w:val="ru-RU"/>
        </w:rPr>
        <w:t xml:space="preserve"> </w:t>
      </w:r>
      <w:r w:rsidR="0097054E">
        <w:rPr>
          <w:lang w:val="ru-RU"/>
        </w:rPr>
        <w:t>по договору</w:t>
      </w:r>
      <w:r w:rsidR="000A5BB0">
        <w:rPr>
          <w:lang w:val="ru-RU"/>
        </w:rPr>
        <w:t xml:space="preserve"> на основе доходности</w:t>
      </w:r>
      <w:r w:rsidR="00165B02" w:rsidRPr="0049187C">
        <w:rPr>
          <w:lang w:val="ru-RU"/>
        </w:rPr>
        <w:t xml:space="preserve"> указанных активов. Влияние</w:t>
      </w:r>
      <w:r w:rsidR="0097054E">
        <w:rPr>
          <w:lang w:val="ru-RU"/>
        </w:rPr>
        <w:t>, которое оказывает</w:t>
      </w:r>
      <w:r w:rsidR="00165B02" w:rsidRPr="0049187C">
        <w:rPr>
          <w:lang w:val="ru-RU"/>
        </w:rPr>
        <w:t xml:space="preserve"> </w:t>
      </w:r>
      <w:r w:rsidR="0097054E">
        <w:rPr>
          <w:lang w:val="ru-RU"/>
        </w:rPr>
        <w:t>имеющаяся</w:t>
      </w:r>
      <w:r w:rsidR="000A5BB0" w:rsidRPr="0049187C">
        <w:rPr>
          <w:lang w:val="ru-RU"/>
        </w:rPr>
        <w:t xml:space="preserve"> </w:t>
      </w:r>
      <w:r w:rsidR="0097054E">
        <w:rPr>
          <w:lang w:val="ru-RU"/>
        </w:rPr>
        <w:t>привязка</w:t>
      </w:r>
      <w:r w:rsidR="00C365F1" w:rsidRPr="0049187C">
        <w:rPr>
          <w:lang w:val="ru-RU"/>
        </w:rPr>
        <w:t xml:space="preserve"> к стоимости пая на справедливую стоимость </w:t>
      </w:r>
      <w:r w:rsidR="0097054E">
        <w:rPr>
          <w:lang w:val="ru-RU"/>
        </w:rPr>
        <w:t xml:space="preserve">данного </w:t>
      </w:r>
      <w:r w:rsidR="00C365F1" w:rsidRPr="0049187C">
        <w:rPr>
          <w:lang w:val="ru-RU"/>
        </w:rPr>
        <w:t>обязательства</w:t>
      </w:r>
      <w:r w:rsidR="0097054E">
        <w:rPr>
          <w:lang w:val="ru-RU"/>
        </w:rPr>
        <w:t>,</w:t>
      </w:r>
      <w:r w:rsidR="00C365F1" w:rsidRPr="0049187C">
        <w:rPr>
          <w:lang w:val="ru-RU"/>
        </w:rPr>
        <w:t xml:space="preserve"> </w:t>
      </w:r>
      <w:r w:rsidR="006C6D13" w:rsidRPr="0049187C">
        <w:rPr>
          <w:lang w:val="ru-RU"/>
        </w:rPr>
        <w:t xml:space="preserve">представляет собой риск </w:t>
      </w:r>
      <w:r w:rsidR="00C61DCF">
        <w:rPr>
          <w:lang w:val="ru-RU"/>
        </w:rPr>
        <w:t>неудовлетворительной</w:t>
      </w:r>
      <w:r w:rsidR="000A5BB0">
        <w:rPr>
          <w:lang w:val="ru-RU"/>
        </w:rPr>
        <w:t xml:space="preserve"> доходности</w:t>
      </w:r>
      <w:r w:rsidR="0097054E">
        <w:rPr>
          <w:lang w:val="ru-RU"/>
        </w:rPr>
        <w:t xml:space="preserve"> по определенному активу</w:t>
      </w:r>
      <w:r w:rsidR="00C365F1" w:rsidRPr="0049187C">
        <w:rPr>
          <w:lang w:val="ru-RU"/>
        </w:rPr>
        <w:t>, а не кредитны</w:t>
      </w:r>
      <w:r w:rsidR="006C6D13" w:rsidRPr="0049187C">
        <w:rPr>
          <w:lang w:val="ru-RU"/>
        </w:rPr>
        <w:t>й риск</w:t>
      </w:r>
      <w:r w:rsidRPr="0049187C">
        <w:rPr>
          <w:lang w:val="ru-RU"/>
        </w:rPr>
        <w:t>.</w:t>
      </w:r>
      <w:bookmarkEnd w:id="386"/>
    </w:p>
    <w:p w:rsidR="005E57BE" w:rsidRPr="0049187C" w:rsidRDefault="001529CA">
      <w:pPr>
        <w:pStyle w:val="IASBNormalnparaL1"/>
        <w:rPr>
          <w:lang w:val="ru-RU"/>
        </w:rPr>
      </w:pPr>
      <w:r w:rsidRPr="0049187C">
        <w:rPr>
          <w:lang w:val="ru-RU"/>
        </w:rPr>
        <w:t>(b)</w:t>
      </w:r>
      <w:r w:rsidRPr="0049187C">
        <w:rPr>
          <w:lang w:val="ru-RU"/>
        </w:rPr>
        <w:tab/>
      </w:r>
      <w:bookmarkStart w:id="387" w:name="F32626393"/>
      <w:r w:rsidR="00351001">
        <w:rPr>
          <w:lang w:val="ru-RU"/>
        </w:rPr>
        <w:t>О</w:t>
      </w:r>
      <w:r w:rsidR="00C365F1" w:rsidRPr="0049187C">
        <w:rPr>
          <w:lang w:val="ru-RU"/>
        </w:rPr>
        <w:t xml:space="preserve">бязательство, выпущенное структурированной организацией </w:t>
      </w:r>
      <w:r w:rsidR="0097054E">
        <w:rPr>
          <w:lang w:val="ru-RU"/>
        </w:rPr>
        <w:t>на следующих условиях</w:t>
      </w:r>
      <w:r w:rsidRPr="0049187C">
        <w:rPr>
          <w:lang w:val="ru-RU"/>
        </w:rPr>
        <w:t xml:space="preserve">. </w:t>
      </w:r>
      <w:r w:rsidR="00B67B41" w:rsidRPr="0049187C">
        <w:rPr>
          <w:lang w:val="ru-RU"/>
        </w:rPr>
        <w:t xml:space="preserve">Организация </w:t>
      </w:r>
      <w:r w:rsidR="00815E92" w:rsidRPr="0049187C">
        <w:rPr>
          <w:lang w:val="ru-RU"/>
        </w:rPr>
        <w:t>с юридической точки зрения является отдельным лицом</w:t>
      </w:r>
      <w:r w:rsidR="005E57BE" w:rsidRPr="0049187C">
        <w:rPr>
          <w:lang w:val="ru-RU"/>
        </w:rPr>
        <w:t>, поэтому</w:t>
      </w:r>
      <w:r w:rsidR="00B67B41" w:rsidRPr="0049187C">
        <w:rPr>
          <w:lang w:val="ru-RU"/>
        </w:rPr>
        <w:t xml:space="preserve"> активы</w:t>
      </w:r>
      <w:r w:rsidR="000A5BB0">
        <w:rPr>
          <w:lang w:val="ru-RU"/>
        </w:rPr>
        <w:t xml:space="preserve">, удерживаемые </w:t>
      </w:r>
      <w:r w:rsidR="00B67B41" w:rsidRPr="0049187C">
        <w:rPr>
          <w:lang w:val="ru-RU"/>
        </w:rPr>
        <w:t>в рамках организации</w:t>
      </w:r>
      <w:r w:rsidR="000A5BB0">
        <w:rPr>
          <w:lang w:val="ru-RU"/>
        </w:rPr>
        <w:t>,</w:t>
      </w:r>
      <w:r w:rsidR="00B67B41" w:rsidRPr="0049187C">
        <w:rPr>
          <w:lang w:val="ru-RU"/>
        </w:rPr>
        <w:t xml:space="preserve"> </w:t>
      </w:r>
      <w:r w:rsidR="005E57BE" w:rsidRPr="0049187C">
        <w:rPr>
          <w:lang w:val="ru-RU"/>
        </w:rPr>
        <w:t>предназначены</w:t>
      </w:r>
      <w:r w:rsidR="0097054E">
        <w:rPr>
          <w:lang w:val="ru-RU"/>
        </w:rPr>
        <w:t xml:space="preserve"> и могут использоваться</w:t>
      </w:r>
      <w:r w:rsidR="005E57BE" w:rsidRPr="0049187C">
        <w:rPr>
          <w:lang w:val="ru-RU"/>
        </w:rPr>
        <w:t xml:space="preserve"> исключительно для </w:t>
      </w:r>
      <w:r w:rsidR="0097054E">
        <w:rPr>
          <w:lang w:val="ru-RU"/>
        </w:rPr>
        <w:t>обслуживания интересов инвесторов</w:t>
      </w:r>
      <w:r w:rsidR="005E57BE" w:rsidRPr="0049187C">
        <w:rPr>
          <w:lang w:val="ru-RU"/>
        </w:rPr>
        <w:t>, даже в случае банкротства</w:t>
      </w:r>
      <w:r w:rsidRPr="0049187C">
        <w:rPr>
          <w:lang w:val="ru-RU"/>
        </w:rPr>
        <w:t xml:space="preserve">. </w:t>
      </w:r>
      <w:r w:rsidR="005E57BE" w:rsidRPr="0049187C">
        <w:rPr>
          <w:lang w:val="ru-RU"/>
        </w:rPr>
        <w:t xml:space="preserve">Организация не </w:t>
      </w:r>
      <w:r w:rsidR="0097054E">
        <w:rPr>
          <w:lang w:val="ru-RU"/>
        </w:rPr>
        <w:t>осуществляет никаких других сделок</w:t>
      </w:r>
      <w:r w:rsidR="00351001">
        <w:rPr>
          <w:lang w:val="ru-RU"/>
        </w:rPr>
        <w:t>,</w:t>
      </w:r>
      <w:r w:rsidR="005E57BE" w:rsidRPr="0049187C">
        <w:rPr>
          <w:lang w:val="ru-RU"/>
        </w:rPr>
        <w:t xml:space="preserve"> и активы</w:t>
      </w:r>
      <w:r w:rsidR="000A5BB0">
        <w:rPr>
          <w:lang w:val="ru-RU"/>
        </w:rPr>
        <w:t>, удерживаемые</w:t>
      </w:r>
      <w:r w:rsidR="005E57BE" w:rsidRPr="0049187C">
        <w:rPr>
          <w:lang w:val="ru-RU"/>
        </w:rPr>
        <w:t xml:space="preserve"> в рамках организации</w:t>
      </w:r>
      <w:r w:rsidR="000A5BB0">
        <w:rPr>
          <w:lang w:val="ru-RU"/>
        </w:rPr>
        <w:t>,</w:t>
      </w:r>
      <w:r w:rsidR="005E57BE" w:rsidRPr="0049187C">
        <w:rPr>
          <w:lang w:val="ru-RU"/>
        </w:rPr>
        <w:t xml:space="preserve"> не могут быть </w:t>
      </w:r>
      <w:r w:rsidR="00D122BE">
        <w:rPr>
          <w:lang w:val="ru-RU"/>
        </w:rPr>
        <w:t>переданы</w:t>
      </w:r>
      <w:r w:rsidR="00D122BE" w:rsidRPr="0049187C">
        <w:rPr>
          <w:lang w:val="ru-RU"/>
        </w:rPr>
        <w:t xml:space="preserve"> </w:t>
      </w:r>
      <w:r w:rsidR="005E57BE" w:rsidRPr="0049187C">
        <w:rPr>
          <w:lang w:val="ru-RU"/>
        </w:rPr>
        <w:t>в залог</w:t>
      </w:r>
      <w:r w:rsidRPr="0049187C">
        <w:rPr>
          <w:lang w:val="ru-RU"/>
        </w:rPr>
        <w:t xml:space="preserve">. </w:t>
      </w:r>
      <w:r w:rsidR="005E57BE" w:rsidRPr="0049187C">
        <w:rPr>
          <w:lang w:val="ru-RU"/>
        </w:rPr>
        <w:t>Суммы подлежат выплате инвесторам структурированной организации</w:t>
      </w:r>
      <w:r w:rsidR="0097054E">
        <w:rPr>
          <w:lang w:val="ru-RU"/>
        </w:rPr>
        <w:t xml:space="preserve"> только</w:t>
      </w:r>
      <w:r w:rsidR="005E57BE" w:rsidRPr="0049187C">
        <w:rPr>
          <w:lang w:val="ru-RU"/>
        </w:rPr>
        <w:t xml:space="preserve"> в том случае, если </w:t>
      </w:r>
      <w:r w:rsidR="0097054E">
        <w:rPr>
          <w:lang w:val="ru-RU"/>
        </w:rPr>
        <w:t>указанные</w:t>
      </w:r>
      <w:r w:rsidR="00D122BE">
        <w:rPr>
          <w:lang w:val="ru-RU"/>
        </w:rPr>
        <w:t xml:space="preserve"> обособленные </w:t>
      </w:r>
      <w:r w:rsidR="005E57BE" w:rsidRPr="0049187C">
        <w:rPr>
          <w:lang w:val="ru-RU"/>
        </w:rPr>
        <w:t>активы</w:t>
      </w:r>
      <w:r w:rsidR="0097054E">
        <w:rPr>
          <w:lang w:val="ru-RU"/>
        </w:rPr>
        <w:t xml:space="preserve"> будут генерировать</w:t>
      </w:r>
      <w:r w:rsidR="005E57BE" w:rsidRPr="0049187C">
        <w:rPr>
          <w:lang w:val="ru-RU"/>
        </w:rPr>
        <w:t xml:space="preserve"> денежные потоки. Таким образом, изменения справедливой стоимости</w:t>
      </w:r>
      <w:r w:rsidR="0097054E">
        <w:rPr>
          <w:lang w:val="ru-RU"/>
        </w:rPr>
        <w:t xml:space="preserve"> данного</w:t>
      </w:r>
      <w:r w:rsidR="005E57BE" w:rsidRPr="0049187C">
        <w:rPr>
          <w:lang w:val="ru-RU"/>
        </w:rPr>
        <w:t xml:space="preserve"> обязательства</w:t>
      </w:r>
      <w:r w:rsidR="0097054E">
        <w:rPr>
          <w:lang w:val="ru-RU"/>
        </w:rPr>
        <w:t xml:space="preserve"> главным образом отражают</w:t>
      </w:r>
      <w:r w:rsidR="00EE5980">
        <w:rPr>
          <w:lang w:val="ru-RU"/>
        </w:rPr>
        <w:t xml:space="preserve"> </w:t>
      </w:r>
      <w:r w:rsidR="005E57BE" w:rsidRPr="0049187C">
        <w:rPr>
          <w:lang w:val="ru-RU"/>
        </w:rPr>
        <w:t xml:space="preserve">изменения справедливой стоимости </w:t>
      </w:r>
      <w:r w:rsidR="00EE5980">
        <w:rPr>
          <w:lang w:val="ru-RU"/>
        </w:rPr>
        <w:t xml:space="preserve">указанных </w:t>
      </w:r>
      <w:r w:rsidR="005E57BE" w:rsidRPr="0049187C">
        <w:rPr>
          <w:lang w:val="ru-RU"/>
        </w:rPr>
        <w:t>активов. Влияние</w:t>
      </w:r>
      <w:r w:rsidR="00EE5980">
        <w:rPr>
          <w:lang w:val="ru-RU"/>
        </w:rPr>
        <w:t>, которое оказывает</w:t>
      </w:r>
      <w:r w:rsidR="005E57BE" w:rsidRPr="0049187C">
        <w:rPr>
          <w:lang w:val="ru-RU"/>
        </w:rPr>
        <w:t xml:space="preserve"> </w:t>
      </w:r>
      <w:r w:rsidR="00EE5980">
        <w:rPr>
          <w:lang w:val="ru-RU"/>
        </w:rPr>
        <w:t>доходность этих</w:t>
      </w:r>
      <w:r w:rsidR="00D122BE" w:rsidRPr="0049187C">
        <w:rPr>
          <w:lang w:val="ru-RU"/>
        </w:rPr>
        <w:t xml:space="preserve"> </w:t>
      </w:r>
      <w:r w:rsidR="005E57BE" w:rsidRPr="0049187C">
        <w:rPr>
          <w:lang w:val="ru-RU"/>
        </w:rPr>
        <w:t>активов на справедливую стоимость обязательства</w:t>
      </w:r>
      <w:r w:rsidR="00EE5980">
        <w:rPr>
          <w:lang w:val="ru-RU"/>
        </w:rPr>
        <w:t>,</w:t>
      </w:r>
      <w:r w:rsidR="005E57BE" w:rsidRPr="0049187C">
        <w:rPr>
          <w:lang w:val="ru-RU"/>
        </w:rPr>
        <w:t xml:space="preserve"> представляет собой риск </w:t>
      </w:r>
      <w:r w:rsidR="00C61DCF">
        <w:rPr>
          <w:lang w:val="ru-RU"/>
        </w:rPr>
        <w:t>неудовлетворительной</w:t>
      </w:r>
      <w:r w:rsidR="00D122BE">
        <w:rPr>
          <w:lang w:val="ru-RU"/>
        </w:rPr>
        <w:t xml:space="preserve"> доходности</w:t>
      </w:r>
      <w:r w:rsidR="00EE5980">
        <w:rPr>
          <w:lang w:val="ru-RU"/>
        </w:rPr>
        <w:t xml:space="preserve"> по определенному активу</w:t>
      </w:r>
      <w:r w:rsidR="005E57BE" w:rsidRPr="0049187C">
        <w:rPr>
          <w:lang w:val="ru-RU"/>
        </w:rPr>
        <w:t xml:space="preserve">, а не кредитный риск. </w:t>
      </w:r>
    </w:p>
    <w:bookmarkEnd w:id="387"/>
    <w:p w:rsidR="001529CA" w:rsidRPr="0049187C" w:rsidRDefault="007D07D3">
      <w:pPr>
        <w:pStyle w:val="IASBSectionTitle4Ind"/>
        <w:rPr>
          <w:lang w:val="ru-RU"/>
        </w:rPr>
      </w:pPr>
      <w:r>
        <w:rPr>
          <w:lang w:val="ru-RU"/>
        </w:rPr>
        <w:t>Подход к определению</w:t>
      </w:r>
      <w:r w:rsidR="005E57BE" w:rsidRPr="0049187C">
        <w:rPr>
          <w:lang w:val="ru-RU"/>
        </w:rPr>
        <w:t xml:space="preserve"> </w:t>
      </w:r>
      <w:r w:rsidR="0088460E">
        <w:rPr>
          <w:lang w:val="ru-RU"/>
        </w:rPr>
        <w:t>эффекта от</w:t>
      </w:r>
      <w:r w:rsidR="005E57BE" w:rsidRPr="0049187C">
        <w:rPr>
          <w:lang w:val="ru-RU"/>
        </w:rPr>
        <w:t xml:space="preserve"> изменений кредитного риска</w:t>
      </w:r>
    </w:p>
    <w:p w:rsidR="001529CA" w:rsidRPr="0049187C" w:rsidRDefault="001529CA">
      <w:pPr>
        <w:pStyle w:val="IASBNormalnpara"/>
        <w:rPr>
          <w:lang w:val="ru-RU"/>
        </w:rPr>
      </w:pPr>
      <w:r w:rsidRPr="0049187C">
        <w:rPr>
          <w:lang w:val="ru-RU"/>
        </w:rPr>
        <w:t>B5.7.16</w:t>
      </w:r>
      <w:r w:rsidRPr="0049187C">
        <w:rPr>
          <w:lang w:val="ru-RU"/>
        </w:rPr>
        <w:tab/>
      </w:r>
      <w:bookmarkStart w:id="388" w:name="F32626400"/>
      <w:r w:rsidR="006C6D13" w:rsidRPr="0049187C">
        <w:rPr>
          <w:lang w:val="ru-RU"/>
        </w:rPr>
        <w:t xml:space="preserve">В целях применения требования </w:t>
      </w:r>
      <w:r w:rsidR="00D122BE" w:rsidRPr="0049187C">
        <w:rPr>
          <w:lang w:val="ru-RU"/>
        </w:rPr>
        <w:t>пункт</w:t>
      </w:r>
      <w:r w:rsidR="00A54F4B">
        <w:rPr>
          <w:lang w:val="ru-RU"/>
        </w:rPr>
        <w:t>а</w:t>
      </w:r>
      <w:r w:rsidR="00D122BE" w:rsidRPr="0049187C">
        <w:rPr>
          <w:lang w:val="ru-RU"/>
        </w:rPr>
        <w:t xml:space="preserve"> </w:t>
      </w:r>
      <w:r w:rsidR="006C6D13" w:rsidRPr="0049187C">
        <w:rPr>
          <w:lang w:val="ru-RU"/>
        </w:rPr>
        <w:t xml:space="preserve">5.7.7(a) организация </w:t>
      </w:r>
      <w:r w:rsidR="00D122BE">
        <w:rPr>
          <w:lang w:val="ru-RU"/>
        </w:rPr>
        <w:t>должна определять</w:t>
      </w:r>
      <w:r w:rsidR="00D122BE" w:rsidRPr="0049187C">
        <w:rPr>
          <w:lang w:val="ru-RU"/>
        </w:rPr>
        <w:t xml:space="preserve"> </w:t>
      </w:r>
      <w:r w:rsidR="007D07D3">
        <w:rPr>
          <w:lang w:val="ru-RU"/>
        </w:rPr>
        <w:t>сумму</w:t>
      </w:r>
      <w:r w:rsidR="006C6D13" w:rsidRPr="0049187C">
        <w:rPr>
          <w:lang w:val="ru-RU"/>
        </w:rPr>
        <w:t xml:space="preserve"> изменения справедливой стоимости финансового обязательства, </w:t>
      </w:r>
      <w:r w:rsidR="007D07D3">
        <w:rPr>
          <w:lang w:val="ru-RU"/>
        </w:rPr>
        <w:t>обусловленного</w:t>
      </w:r>
      <w:r w:rsidR="006C6D13" w:rsidRPr="0049187C">
        <w:rPr>
          <w:lang w:val="ru-RU"/>
        </w:rPr>
        <w:t xml:space="preserve"> изменения</w:t>
      </w:r>
      <w:r w:rsidR="007D07D3">
        <w:rPr>
          <w:lang w:val="ru-RU"/>
        </w:rPr>
        <w:t>ми</w:t>
      </w:r>
      <w:r w:rsidR="006C6D13" w:rsidRPr="0049187C">
        <w:rPr>
          <w:lang w:val="ru-RU"/>
        </w:rPr>
        <w:t xml:space="preserve"> кредитного риска по данному обязательству, либо</w:t>
      </w:r>
      <w:r w:rsidRPr="0049187C">
        <w:rPr>
          <w:lang w:val="ru-RU"/>
        </w:rPr>
        <w:t>:</w:t>
      </w:r>
      <w:bookmarkEnd w:id="388"/>
    </w:p>
    <w:p w:rsidR="001529CA" w:rsidRPr="0049187C" w:rsidRDefault="001529CA">
      <w:pPr>
        <w:pStyle w:val="IASBNormalnparaL1"/>
        <w:rPr>
          <w:lang w:val="ru-RU"/>
        </w:rPr>
      </w:pPr>
      <w:r w:rsidRPr="0049187C">
        <w:rPr>
          <w:lang w:val="ru-RU"/>
        </w:rPr>
        <w:t>(a)</w:t>
      </w:r>
      <w:r w:rsidRPr="0049187C">
        <w:rPr>
          <w:lang w:val="ru-RU"/>
        </w:rPr>
        <w:tab/>
      </w:r>
      <w:r w:rsidR="008B521C">
        <w:rPr>
          <w:lang w:val="ru-RU"/>
        </w:rPr>
        <w:t xml:space="preserve">как </w:t>
      </w:r>
      <w:r w:rsidR="007D07D3">
        <w:rPr>
          <w:lang w:val="ru-RU"/>
        </w:rPr>
        <w:t>сумму</w:t>
      </w:r>
      <w:r w:rsidR="006C6D13" w:rsidRPr="0049187C">
        <w:rPr>
          <w:lang w:val="ru-RU"/>
        </w:rPr>
        <w:t xml:space="preserve"> изменения его справедливой стоимости, не </w:t>
      </w:r>
      <w:r w:rsidR="007D07D3">
        <w:rPr>
          <w:lang w:val="ru-RU"/>
        </w:rPr>
        <w:t>обусловленного</w:t>
      </w:r>
      <w:r w:rsidR="006C6D13" w:rsidRPr="0049187C">
        <w:rPr>
          <w:lang w:val="ru-RU"/>
        </w:rPr>
        <w:t xml:space="preserve"> изменения</w:t>
      </w:r>
      <w:r w:rsidR="007D07D3">
        <w:rPr>
          <w:lang w:val="ru-RU"/>
        </w:rPr>
        <w:t>ми</w:t>
      </w:r>
      <w:r w:rsidR="006C6D13" w:rsidRPr="0049187C">
        <w:rPr>
          <w:lang w:val="ru-RU"/>
        </w:rPr>
        <w:t xml:space="preserve"> рыночных условий, </w:t>
      </w:r>
      <w:r w:rsidR="00D122BE">
        <w:rPr>
          <w:lang w:val="ru-RU"/>
        </w:rPr>
        <w:t>приводящих</w:t>
      </w:r>
      <w:r w:rsidR="006C6D13" w:rsidRPr="0049187C">
        <w:rPr>
          <w:lang w:val="ru-RU"/>
        </w:rPr>
        <w:t xml:space="preserve"> к возникновению рыночного риска (см. пункты B5.7.17 и B5.7.18); либо </w:t>
      </w:r>
    </w:p>
    <w:p w:rsidR="001529CA" w:rsidRPr="0049187C" w:rsidRDefault="001529CA">
      <w:pPr>
        <w:pStyle w:val="IASBNormalnparaL1"/>
        <w:rPr>
          <w:lang w:val="ru-RU"/>
        </w:rPr>
      </w:pPr>
      <w:r w:rsidRPr="0049187C">
        <w:rPr>
          <w:lang w:val="ru-RU"/>
        </w:rPr>
        <w:t>(b)</w:t>
      </w:r>
      <w:r w:rsidRPr="0049187C">
        <w:rPr>
          <w:lang w:val="ru-RU"/>
        </w:rPr>
        <w:tab/>
      </w:r>
      <w:r w:rsidR="006C6D13" w:rsidRPr="0049187C">
        <w:rPr>
          <w:lang w:val="ru-RU"/>
        </w:rPr>
        <w:t xml:space="preserve">с использованием альтернативного метода, который, как считает </w:t>
      </w:r>
      <w:r w:rsidR="00815E92" w:rsidRPr="0049187C">
        <w:rPr>
          <w:lang w:val="ru-RU"/>
        </w:rPr>
        <w:t>организация</w:t>
      </w:r>
      <w:r w:rsidR="007D07D3">
        <w:rPr>
          <w:lang w:val="ru-RU"/>
        </w:rPr>
        <w:t xml:space="preserve">, </w:t>
      </w:r>
      <w:r w:rsidR="006C6D13" w:rsidRPr="0049187C">
        <w:rPr>
          <w:lang w:val="ru-RU"/>
        </w:rPr>
        <w:t>бол</w:t>
      </w:r>
      <w:r w:rsidR="008B521C">
        <w:rPr>
          <w:lang w:val="ru-RU"/>
        </w:rPr>
        <w:t xml:space="preserve">ее достоверно представляет </w:t>
      </w:r>
      <w:r w:rsidR="007D07D3">
        <w:rPr>
          <w:lang w:val="ru-RU"/>
        </w:rPr>
        <w:t>сумму</w:t>
      </w:r>
      <w:r w:rsidR="006C6D13" w:rsidRPr="0049187C">
        <w:rPr>
          <w:lang w:val="ru-RU"/>
        </w:rPr>
        <w:t xml:space="preserve"> изменения справедливой стоимости обязательства, </w:t>
      </w:r>
      <w:r w:rsidR="007D07D3">
        <w:rPr>
          <w:lang w:val="ru-RU"/>
        </w:rPr>
        <w:t>обусловленного</w:t>
      </w:r>
      <w:r w:rsidR="006C6D13" w:rsidRPr="0049187C">
        <w:rPr>
          <w:lang w:val="ru-RU"/>
        </w:rPr>
        <w:t xml:space="preserve"> изменения</w:t>
      </w:r>
      <w:r w:rsidR="007D07D3">
        <w:rPr>
          <w:lang w:val="ru-RU"/>
        </w:rPr>
        <w:t>ми</w:t>
      </w:r>
      <w:r w:rsidR="006C6D13" w:rsidRPr="0049187C">
        <w:rPr>
          <w:lang w:val="ru-RU"/>
        </w:rPr>
        <w:t xml:space="preserve"> кредитного риска</w:t>
      </w:r>
      <w:r w:rsidR="00D122BE">
        <w:rPr>
          <w:lang w:val="ru-RU"/>
        </w:rPr>
        <w:t xml:space="preserve"> по нему</w:t>
      </w:r>
      <w:r w:rsidR="006C6D13" w:rsidRPr="0049187C">
        <w:rPr>
          <w:lang w:val="ru-RU"/>
        </w:rPr>
        <w:t>.</w:t>
      </w:r>
    </w:p>
    <w:p w:rsidR="001529CA" w:rsidRPr="0049187C" w:rsidRDefault="001529CA">
      <w:pPr>
        <w:pStyle w:val="IASBNormalnpara"/>
        <w:rPr>
          <w:lang w:val="ru-RU"/>
        </w:rPr>
      </w:pPr>
      <w:r w:rsidRPr="0049187C">
        <w:rPr>
          <w:lang w:val="ru-RU"/>
        </w:rPr>
        <w:t>B5.7.17</w:t>
      </w:r>
      <w:r w:rsidRPr="0049187C">
        <w:rPr>
          <w:lang w:val="ru-RU"/>
        </w:rPr>
        <w:tab/>
      </w:r>
      <w:bookmarkStart w:id="389" w:name="F32626411"/>
      <w:r w:rsidR="006C6D13" w:rsidRPr="0049187C">
        <w:rPr>
          <w:lang w:val="ru-RU"/>
        </w:rPr>
        <w:t xml:space="preserve">Изменения рыночных условий, </w:t>
      </w:r>
      <w:r w:rsidR="00D122BE">
        <w:rPr>
          <w:lang w:val="ru-RU"/>
        </w:rPr>
        <w:t>приводящие</w:t>
      </w:r>
      <w:r w:rsidR="006C6D13" w:rsidRPr="0049187C">
        <w:rPr>
          <w:lang w:val="ru-RU"/>
        </w:rPr>
        <w:t xml:space="preserve"> к возникновению рыночного риска, включают изменения базовой процентной ставки, цены финансового инструмента другой орга</w:t>
      </w:r>
      <w:r w:rsidR="007D07D3">
        <w:rPr>
          <w:lang w:val="ru-RU"/>
        </w:rPr>
        <w:t>низации, цены на товар, обменного курса</w:t>
      </w:r>
      <w:r w:rsidR="006C6D13" w:rsidRPr="0049187C">
        <w:rPr>
          <w:lang w:val="ru-RU"/>
        </w:rPr>
        <w:t xml:space="preserve"> валют или индекса цен или ставок</w:t>
      </w:r>
      <w:r w:rsidRPr="0049187C">
        <w:rPr>
          <w:lang w:val="ru-RU"/>
        </w:rPr>
        <w:t xml:space="preserve">. </w:t>
      </w:r>
      <w:bookmarkEnd w:id="389"/>
    </w:p>
    <w:p w:rsidR="001529CA" w:rsidRPr="0049187C" w:rsidRDefault="001529CA">
      <w:pPr>
        <w:pStyle w:val="IASBNormalnpara"/>
        <w:rPr>
          <w:lang w:val="ru-RU"/>
        </w:rPr>
      </w:pPr>
      <w:r w:rsidRPr="0049187C">
        <w:rPr>
          <w:lang w:val="ru-RU"/>
        </w:rPr>
        <w:t>B5.7.18</w:t>
      </w:r>
      <w:r w:rsidRPr="0049187C">
        <w:rPr>
          <w:lang w:val="ru-RU"/>
        </w:rPr>
        <w:tab/>
      </w:r>
      <w:bookmarkStart w:id="390" w:name="F32626412"/>
      <w:r w:rsidR="00194370" w:rsidRPr="0049187C">
        <w:rPr>
          <w:lang w:val="ru-RU"/>
        </w:rPr>
        <w:t>Если единственными значи</w:t>
      </w:r>
      <w:r w:rsidR="00D122BE">
        <w:rPr>
          <w:lang w:val="ru-RU"/>
        </w:rPr>
        <w:t>тельными</w:t>
      </w:r>
      <w:r w:rsidR="00194370" w:rsidRPr="0049187C">
        <w:rPr>
          <w:lang w:val="ru-RU"/>
        </w:rPr>
        <w:t xml:space="preserve"> </w:t>
      </w:r>
      <w:r w:rsidR="00D122BE">
        <w:rPr>
          <w:lang w:val="ru-RU"/>
        </w:rPr>
        <w:t xml:space="preserve">уместными </w:t>
      </w:r>
      <w:r w:rsidR="00194370" w:rsidRPr="0049187C">
        <w:rPr>
          <w:lang w:val="ru-RU"/>
        </w:rPr>
        <w:t xml:space="preserve">изменениями рыночных условий, относящимися к данному обязательству, являются изменения наблюдаемой (базовой) процентной ставки, сумма, </w:t>
      </w:r>
      <w:r w:rsidR="007D07D3">
        <w:rPr>
          <w:lang w:val="ru-RU"/>
        </w:rPr>
        <w:t>упоминаемая</w:t>
      </w:r>
      <w:r w:rsidR="00194370" w:rsidRPr="0049187C">
        <w:rPr>
          <w:lang w:val="ru-RU"/>
        </w:rPr>
        <w:t xml:space="preserve"> в пункте B5.7.16(a), может быть оценена следующим образом</w:t>
      </w:r>
      <w:r w:rsidRPr="0049187C">
        <w:rPr>
          <w:lang w:val="ru-RU"/>
        </w:rPr>
        <w:t>:</w:t>
      </w:r>
      <w:bookmarkEnd w:id="390"/>
    </w:p>
    <w:p w:rsidR="001529CA" w:rsidRPr="0049187C" w:rsidRDefault="001529CA">
      <w:pPr>
        <w:pStyle w:val="IASBNormalnparaL1"/>
        <w:rPr>
          <w:lang w:val="ru-RU"/>
        </w:rPr>
      </w:pPr>
      <w:r w:rsidRPr="0049187C">
        <w:rPr>
          <w:lang w:val="ru-RU"/>
        </w:rPr>
        <w:t>(a)</w:t>
      </w:r>
      <w:r w:rsidRPr="0049187C">
        <w:rPr>
          <w:lang w:val="ru-RU"/>
        </w:rPr>
        <w:tab/>
      </w:r>
      <w:bookmarkStart w:id="391" w:name="F32626417"/>
      <w:r w:rsidR="00BC6AFE">
        <w:rPr>
          <w:lang w:val="ru-RU"/>
        </w:rPr>
        <w:t>с</w:t>
      </w:r>
      <w:r w:rsidR="007D07D3">
        <w:rPr>
          <w:lang w:val="ru-RU"/>
        </w:rPr>
        <w:t>начала</w:t>
      </w:r>
      <w:r w:rsidR="00194370" w:rsidRPr="0049187C">
        <w:rPr>
          <w:lang w:val="ru-RU"/>
        </w:rPr>
        <w:t xml:space="preserve"> организация </w:t>
      </w:r>
      <w:r w:rsidR="007D07D3">
        <w:rPr>
          <w:lang w:val="ru-RU"/>
        </w:rPr>
        <w:t>рассчитывает</w:t>
      </w:r>
      <w:r w:rsidR="00194370" w:rsidRPr="0049187C">
        <w:rPr>
          <w:lang w:val="ru-RU"/>
        </w:rPr>
        <w:t xml:space="preserve"> внутреннюю </w:t>
      </w:r>
      <w:r w:rsidR="007D07D3">
        <w:rPr>
          <w:lang w:val="ru-RU"/>
        </w:rPr>
        <w:t>норму доходности обязательства на начало</w:t>
      </w:r>
      <w:r w:rsidR="00194370" w:rsidRPr="0049187C">
        <w:rPr>
          <w:lang w:val="ru-RU"/>
        </w:rPr>
        <w:t xml:space="preserve"> периода с использованием справедливой стоимости </w:t>
      </w:r>
      <w:r w:rsidR="000F68CE">
        <w:rPr>
          <w:lang w:val="ru-RU"/>
        </w:rPr>
        <w:t xml:space="preserve">данного </w:t>
      </w:r>
      <w:r w:rsidR="00194370" w:rsidRPr="0049187C">
        <w:rPr>
          <w:lang w:val="ru-RU"/>
        </w:rPr>
        <w:t xml:space="preserve">обязательства и предусмотренных договором денежных потоков </w:t>
      </w:r>
      <w:r w:rsidR="00D122BE">
        <w:rPr>
          <w:lang w:val="ru-RU"/>
        </w:rPr>
        <w:t>по</w:t>
      </w:r>
      <w:r w:rsidR="00D122BE" w:rsidRPr="0049187C">
        <w:rPr>
          <w:lang w:val="ru-RU"/>
        </w:rPr>
        <w:t xml:space="preserve"> </w:t>
      </w:r>
      <w:r w:rsidR="000F68CE">
        <w:rPr>
          <w:lang w:val="ru-RU"/>
        </w:rPr>
        <w:t>этому</w:t>
      </w:r>
      <w:r w:rsidR="00194370" w:rsidRPr="0049187C">
        <w:rPr>
          <w:lang w:val="ru-RU"/>
        </w:rPr>
        <w:t xml:space="preserve"> обязательств</w:t>
      </w:r>
      <w:r w:rsidR="00D122BE">
        <w:rPr>
          <w:lang w:val="ru-RU"/>
        </w:rPr>
        <w:t>у</w:t>
      </w:r>
      <w:r w:rsidR="00194370" w:rsidRPr="0049187C">
        <w:rPr>
          <w:lang w:val="ru-RU"/>
        </w:rPr>
        <w:t xml:space="preserve"> на начало периода. </w:t>
      </w:r>
      <w:r w:rsidR="00D122BE">
        <w:rPr>
          <w:lang w:val="ru-RU"/>
        </w:rPr>
        <w:t>Из</w:t>
      </w:r>
      <w:r w:rsidR="00D122BE" w:rsidRPr="0049187C">
        <w:rPr>
          <w:lang w:val="ru-RU"/>
        </w:rPr>
        <w:t xml:space="preserve"> </w:t>
      </w:r>
      <w:r w:rsidR="000F68CE">
        <w:rPr>
          <w:lang w:val="ru-RU"/>
        </w:rPr>
        <w:t>рассчитанной нормы</w:t>
      </w:r>
      <w:r w:rsidR="00194370" w:rsidRPr="0049187C">
        <w:rPr>
          <w:lang w:val="ru-RU"/>
        </w:rPr>
        <w:t xml:space="preserve"> доходности </w:t>
      </w:r>
      <w:r w:rsidR="00D122BE">
        <w:rPr>
          <w:lang w:val="ru-RU"/>
        </w:rPr>
        <w:t>организация</w:t>
      </w:r>
      <w:r w:rsidR="00D122BE" w:rsidRPr="0049187C">
        <w:rPr>
          <w:lang w:val="ru-RU"/>
        </w:rPr>
        <w:t xml:space="preserve"> </w:t>
      </w:r>
      <w:r w:rsidR="00194370" w:rsidRPr="0049187C">
        <w:rPr>
          <w:lang w:val="ru-RU"/>
        </w:rPr>
        <w:t xml:space="preserve">вычитает наблюдаемую (базовую) процентную ставку на начало периода для того, чтобы </w:t>
      </w:r>
      <w:r w:rsidR="000F68CE">
        <w:rPr>
          <w:lang w:val="ru-RU"/>
        </w:rPr>
        <w:t>определить</w:t>
      </w:r>
      <w:r w:rsidR="00194370" w:rsidRPr="0049187C">
        <w:rPr>
          <w:lang w:val="ru-RU"/>
        </w:rPr>
        <w:t xml:space="preserve"> </w:t>
      </w:r>
      <w:r w:rsidR="00D122BE">
        <w:rPr>
          <w:lang w:val="ru-RU"/>
        </w:rPr>
        <w:t xml:space="preserve">специфичный для инструмента </w:t>
      </w:r>
      <w:r w:rsidR="00194370" w:rsidRPr="0049187C">
        <w:rPr>
          <w:lang w:val="ru-RU"/>
        </w:rPr>
        <w:t xml:space="preserve">компонент внутренней </w:t>
      </w:r>
      <w:r w:rsidR="000F68CE">
        <w:rPr>
          <w:lang w:val="ru-RU"/>
        </w:rPr>
        <w:t>нормы</w:t>
      </w:r>
      <w:r w:rsidR="00194370" w:rsidRPr="0049187C">
        <w:rPr>
          <w:lang w:val="ru-RU"/>
        </w:rPr>
        <w:t xml:space="preserve"> доходности</w:t>
      </w:r>
      <w:bookmarkEnd w:id="391"/>
      <w:r w:rsidR="00BC6AFE">
        <w:rPr>
          <w:lang w:val="ru-RU"/>
        </w:rPr>
        <w:t>;</w:t>
      </w:r>
    </w:p>
    <w:p w:rsidR="001529CA" w:rsidRPr="0049187C" w:rsidRDefault="001529CA">
      <w:pPr>
        <w:pStyle w:val="IASBNormalnparaL1"/>
        <w:rPr>
          <w:lang w:val="ru-RU"/>
        </w:rPr>
      </w:pPr>
      <w:r w:rsidRPr="0049187C">
        <w:rPr>
          <w:lang w:val="ru-RU"/>
        </w:rPr>
        <w:t>(b)</w:t>
      </w:r>
      <w:r w:rsidRPr="0049187C">
        <w:rPr>
          <w:lang w:val="ru-RU"/>
        </w:rPr>
        <w:tab/>
      </w:r>
      <w:r w:rsidR="00BC6AFE">
        <w:rPr>
          <w:lang w:val="ru-RU"/>
        </w:rPr>
        <w:t>з</w:t>
      </w:r>
      <w:r w:rsidR="00194370" w:rsidRPr="0049187C">
        <w:rPr>
          <w:lang w:val="ru-RU"/>
        </w:rPr>
        <w:t xml:space="preserve">атем </w:t>
      </w:r>
      <w:r w:rsidR="00726891" w:rsidRPr="0049187C">
        <w:rPr>
          <w:lang w:val="ru-RU"/>
        </w:rPr>
        <w:t>организация</w:t>
      </w:r>
      <w:r w:rsidR="00194370" w:rsidRPr="0049187C">
        <w:rPr>
          <w:lang w:val="ru-RU"/>
        </w:rPr>
        <w:t xml:space="preserve"> рассчитывает приведенную стоимость </w:t>
      </w:r>
      <w:r w:rsidR="00726891" w:rsidRPr="0049187C">
        <w:rPr>
          <w:lang w:val="ru-RU"/>
        </w:rPr>
        <w:t xml:space="preserve">денежных </w:t>
      </w:r>
      <w:r w:rsidR="00194370" w:rsidRPr="0049187C">
        <w:rPr>
          <w:lang w:val="ru-RU"/>
        </w:rPr>
        <w:t>потоков, связанных с данным обязательством</w:t>
      </w:r>
      <w:r w:rsidR="00726891" w:rsidRPr="0049187C">
        <w:rPr>
          <w:lang w:val="ru-RU"/>
        </w:rPr>
        <w:t>,</w:t>
      </w:r>
      <w:r w:rsidR="00194370" w:rsidRPr="0049187C">
        <w:rPr>
          <w:lang w:val="ru-RU"/>
        </w:rPr>
        <w:t xml:space="preserve"> </w:t>
      </w:r>
      <w:r w:rsidR="000F68CE">
        <w:rPr>
          <w:lang w:val="ru-RU"/>
        </w:rPr>
        <w:t>исходя из</w:t>
      </w:r>
      <w:r w:rsidR="00194370" w:rsidRPr="0049187C">
        <w:rPr>
          <w:lang w:val="ru-RU"/>
        </w:rPr>
        <w:t xml:space="preserve"> предусмотренных договором денежных потоков </w:t>
      </w:r>
      <w:r w:rsidR="004118C8">
        <w:rPr>
          <w:lang w:val="ru-RU"/>
        </w:rPr>
        <w:t>по</w:t>
      </w:r>
      <w:r w:rsidR="004118C8" w:rsidRPr="0049187C">
        <w:rPr>
          <w:lang w:val="ru-RU"/>
        </w:rPr>
        <w:t xml:space="preserve"> </w:t>
      </w:r>
      <w:r w:rsidR="00194370" w:rsidRPr="0049187C">
        <w:rPr>
          <w:lang w:val="ru-RU"/>
        </w:rPr>
        <w:t>обязательств</w:t>
      </w:r>
      <w:r w:rsidR="004118C8">
        <w:rPr>
          <w:lang w:val="ru-RU"/>
        </w:rPr>
        <w:t>у</w:t>
      </w:r>
      <w:r w:rsidR="00194370" w:rsidRPr="0049187C">
        <w:rPr>
          <w:lang w:val="ru-RU"/>
        </w:rPr>
        <w:t xml:space="preserve"> на конец периода и ставки ди</w:t>
      </w:r>
      <w:r w:rsidR="000F68CE">
        <w:rPr>
          <w:lang w:val="ru-RU"/>
        </w:rPr>
        <w:t>сконтирования, равной суммарной величине</w:t>
      </w:r>
      <w:r w:rsidR="00194370" w:rsidRPr="0049187C">
        <w:rPr>
          <w:lang w:val="ru-RU"/>
        </w:rPr>
        <w:t xml:space="preserve"> (i) наблюдаемой (базовой) процентной ставки на конец периода и (ii) </w:t>
      </w:r>
      <w:r w:rsidR="004118C8">
        <w:rPr>
          <w:lang w:val="ru-RU"/>
        </w:rPr>
        <w:t xml:space="preserve">специфичного для инструмента </w:t>
      </w:r>
      <w:r w:rsidR="00194370" w:rsidRPr="0049187C">
        <w:rPr>
          <w:lang w:val="ru-RU"/>
        </w:rPr>
        <w:t xml:space="preserve">компонента внутренней </w:t>
      </w:r>
      <w:r w:rsidR="000F68CE">
        <w:rPr>
          <w:lang w:val="ru-RU"/>
        </w:rPr>
        <w:t>нормы</w:t>
      </w:r>
      <w:r w:rsidR="00194370" w:rsidRPr="0049187C">
        <w:rPr>
          <w:lang w:val="ru-RU"/>
        </w:rPr>
        <w:t xml:space="preserve"> доходности, </w:t>
      </w:r>
      <w:r w:rsidR="000F68CE">
        <w:rPr>
          <w:lang w:val="ru-RU"/>
        </w:rPr>
        <w:t>определенного</w:t>
      </w:r>
      <w:r w:rsidR="00BC6AFE">
        <w:rPr>
          <w:lang w:val="ru-RU"/>
        </w:rPr>
        <w:t xml:space="preserve"> в подпункте (a);</w:t>
      </w:r>
    </w:p>
    <w:p w:rsidR="001529CA" w:rsidRPr="0049187C" w:rsidRDefault="001529CA">
      <w:pPr>
        <w:pStyle w:val="IASBNormalnparaL1"/>
        <w:rPr>
          <w:lang w:val="ru-RU"/>
        </w:rPr>
      </w:pPr>
      <w:r w:rsidRPr="0049187C">
        <w:rPr>
          <w:lang w:val="ru-RU"/>
        </w:rPr>
        <w:t>(c)</w:t>
      </w:r>
      <w:r w:rsidRPr="0049187C">
        <w:rPr>
          <w:lang w:val="ru-RU"/>
        </w:rPr>
        <w:tab/>
      </w:r>
      <w:r w:rsidR="00BC6AFE">
        <w:rPr>
          <w:lang w:val="ru-RU"/>
        </w:rPr>
        <w:t>р</w:t>
      </w:r>
      <w:r w:rsidR="00194370" w:rsidRPr="0049187C">
        <w:rPr>
          <w:lang w:val="ru-RU"/>
        </w:rPr>
        <w:t xml:space="preserve">азница между справедливой стоимостью обязательства на конец периода и суммой, рассчитанной в </w:t>
      </w:r>
      <w:r w:rsidR="00BC6AFE">
        <w:rPr>
          <w:lang w:val="ru-RU"/>
        </w:rPr>
        <w:t>под</w:t>
      </w:r>
      <w:r w:rsidR="00194370" w:rsidRPr="0049187C">
        <w:rPr>
          <w:lang w:val="ru-RU"/>
        </w:rPr>
        <w:t xml:space="preserve">пункте (b), представляет собой изменение справедливой стоимости, не </w:t>
      </w:r>
      <w:r w:rsidR="004846AF">
        <w:rPr>
          <w:lang w:val="ru-RU"/>
        </w:rPr>
        <w:t>обусловленное</w:t>
      </w:r>
      <w:r w:rsidR="00194370" w:rsidRPr="0049187C">
        <w:rPr>
          <w:lang w:val="ru-RU"/>
        </w:rPr>
        <w:t xml:space="preserve"> изменения</w:t>
      </w:r>
      <w:r w:rsidR="004846AF">
        <w:rPr>
          <w:lang w:val="ru-RU"/>
        </w:rPr>
        <w:t>ми</w:t>
      </w:r>
      <w:r w:rsidR="00194370" w:rsidRPr="0049187C">
        <w:rPr>
          <w:lang w:val="ru-RU"/>
        </w:rPr>
        <w:t xml:space="preserve"> наблюдаемой (базовой) процентной ставки. </w:t>
      </w:r>
      <w:r w:rsidR="004846AF">
        <w:rPr>
          <w:lang w:val="ru-RU"/>
        </w:rPr>
        <w:t>Именно эта</w:t>
      </w:r>
      <w:r w:rsidR="00194370" w:rsidRPr="0049187C">
        <w:rPr>
          <w:lang w:val="ru-RU"/>
        </w:rPr>
        <w:t xml:space="preserve"> сумма должна быть представлена в составе прочего совокупного дохода</w:t>
      </w:r>
      <w:r w:rsidR="004846AF">
        <w:rPr>
          <w:lang w:val="ru-RU"/>
        </w:rPr>
        <w:t xml:space="preserve"> в соответствии с пунктом</w:t>
      </w:r>
      <w:r w:rsidR="004846AF" w:rsidRPr="0049187C">
        <w:rPr>
          <w:lang w:val="ru-RU"/>
        </w:rPr>
        <w:t xml:space="preserve"> 5.7.7(a)</w:t>
      </w:r>
      <w:r w:rsidR="00194370" w:rsidRPr="0049187C">
        <w:rPr>
          <w:lang w:val="ru-RU"/>
        </w:rPr>
        <w:t>.</w:t>
      </w:r>
    </w:p>
    <w:p w:rsidR="001529CA" w:rsidRPr="0049187C" w:rsidRDefault="001529CA">
      <w:pPr>
        <w:pStyle w:val="IASBNormalnpara"/>
        <w:rPr>
          <w:lang w:val="ru-RU"/>
        </w:rPr>
      </w:pPr>
      <w:r w:rsidRPr="0049187C">
        <w:rPr>
          <w:lang w:val="ru-RU"/>
        </w:rPr>
        <w:t>B5.7.19</w:t>
      </w:r>
      <w:r w:rsidRPr="0049187C">
        <w:rPr>
          <w:lang w:val="ru-RU"/>
        </w:rPr>
        <w:tab/>
      </w:r>
      <w:r w:rsidR="00194370" w:rsidRPr="0049187C">
        <w:rPr>
          <w:lang w:val="ru-RU"/>
        </w:rPr>
        <w:t>В примере, представленн</w:t>
      </w:r>
      <w:r w:rsidR="009379FB">
        <w:rPr>
          <w:lang w:val="ru-RU"/>
        </w:rPr>
        <w:t>ом в пункте B5.7.18, используется</w:t>
      </w:r>
      <w:r w:rsidR="00194370" w:rsidRPr="0049187C">
        <w:rPr>
          <w:lang w:val="ru-RU"/>
        </w:rPr>
        <w:t xml:space="preserve"> допущение, что изменения справедливой стоимости, вызванные факторами, не являющимися изменениями кредитного риска по инструменту или изменениями наблюдаемых (базовых) процентных ставок, являются незначительными. Данный метод будет неприемлем в том случае, если изменения справедливой стоимости, вызв</w:t>
      </w:r>
      <w:r w:rsidR="005D5230">
        <w:rPr>
          <w:lang w:val="ru-RU"/>
        </w:rPr>
        <w:t>анные такими факторами, будут</w:t>
      </w:r>
      <w:r w:rsidR="00194370" w:rsidRPr="0049187C">
        <w:rPr>
          <w:lang w:val="ru-RU"/>
        </w:rPr>
        <w:t xml:space="preserve"> значительными. В таких случаях организация </w:t>
      </w:r>
      <w:r w:rsidR="005F1A91">
        <w:rPr>
          <w:lang w:val="ru-RU"/>
        </w:rPr>
        <w:t>должна</w:t>
      </w:r>
      <w:r w:rsidR="005F1A91" w:rsidRPr="0049187C">
        <w:rPr>
          <w:lang w:val="ru-RU"/>
        </w:rPr>
        <w:t xml:space="preserve"> </w:t>
      </w:r>
      <w:r w:rsidR="00194370" w:rsidRPr="0049187C">
        <w:rPr>
          <w:lang w:val="ru-RU"/>
        </w:rPr>
        <w:t>использовать альтернативный метод, который более достове</w:t>
      </w:r>
      <w:r w:rsidR="00CF14A7">
        <w:rPr>
          <w:lang w:val="ru-RU"/>
        </w:rPr>
        <w:t>рно оценивает эффект от</w:t>
      </w:r>
      <w:r w:rsidR="00194370" w:rsidRPr="0049187C">
        <w:rPr>
          <w:lang w:val="ru-RU"/>
        </w:rPr>
        <w:t xml:space="preserve"> изменений кредитного риска по обязательству (см. пункт B5.7.16(</w:t>
      </w:r>
      <w:r w:rsidR="00FC25A6" w:rsidRPr="0049187C">
        <w:rPr>
          <w:lang w:val="ru-RU"/>
        </w:rPr>
        <w:t>b</w:t>
      </w:r>
      <w:r w:rsidR="00194370" w:rsidRPr="0049187C">
        <w:rPr>
          <w:lang w:val="ru-RU"/>
        </w:rPr>
        <w:t xml:space="preserve">)). Например, если </w:t>
      </w:r>
      <w:r w:rsidR="005D5230">
        <w:rPr>
          <w:lang w:val="ru-RU"/>
        </w:rPr>
        <w:t xml:space="preserve">бы </w:t>
      </w:r>
      <w:r w:rsidR="00194370" w:rsidRPr="0049187C">
        <w:rPr>
          <w:lang w:val="ru-RU"/>
        </w:rPr>
        <w:t xml:space="preserve">инструмент в данном примере </w:t>
      </w:r>
      <w:r w:rsidR="005F1A91" w:rsidRPr="0049187C">
        <w:rPr>
          <w:lang w:val="ru-RU"/>
        </w:rPr>
        <w:t>содерж</w:t>
      </w:r>
      <w:r w:rsidR="005D5230">
        <w:rPr>
          <w:lang w:val="ru-RU"/>
        </w:rPr>
        <w:t xml:space="preserve">ал </w:t>
      </w:r>
      <w:r w:rsidR="00194370" w:rsidRPr="0049187C">
        <w:rPr>
          <w:lang w:val="ru-RU"/>
        </w:rPr>
        <w:t xml:space="preserve">встроенный производный инструмент, </w:t>
      </w:r>
      <w:r w:rsidR="005D5230">
        <w:rPr>
          <w:lang w:val="ru-RU"/>
        </w:rPr>
        <w:t xml:space="preserve">то </w:t>
      </w:r>
      <w:r w:rsidR="00194370" w:rsidRPr="0049187C">
        <w:rPr>
          <w:lang w:val="ru-RU"/>
        </w:rPr>
        <w:t>изменение справедливой стоимости</w:t>
      </w:r>
      <w:r w:rsidR="005D5230">
        <w:rPr>
          <w:lang w:val="ru-RU"/>
        </w:rPr>
        <w:t xml:space="preserve"> этого</w:t>
      </w:r>
      <w:r w:rsidR="00194370" w:rsidRPr="0049187C">
        <w:rPr>
          <w:lang w:val="ru-RU"/>
        </w:rPr>
        <w:t xml:space="preserve"> встроенного производного инструмента </w:t>
      </w:r>
      <w:r w:rsidR="005D5230">
        <w:rPr>
          <w:lang w:val="ru-RU"/>
        </w:rPr>
        <w:t>необходимо</w:t>
      </w:r>
      <w:r w:rsidR="005F1A91">
        <w:rPr>
          <w:lang w:val="ru-RU"/>
        </w:rPr>
        <w:t xml:space="preserve"> было бы </w:t>
      </w:r>
      <w:r w:rsidR="005D5230">
        <w:rPr>
          <w:lang w:val="ru-RU"/>
        </w:rPr>
        <w:t>исключить</w:t>
      </w:r>
      <w:r w:rsidR="00194370" w:rsidRPr="0049187C">
        <w:rPr>
          <w:lang w:val="ru-RU"/>
        </w:rPr>
        <w:t xml:space="preserve"> при определении суммы, которая </w:t>
      </w:r>
      <w:r w:rsidR="005F1A91" w:rsidRPr="0049187C">
        <w:rPr>
          <w:lang w:val="ru-RU"/>
        </w:rPr>
        <w:t>в соответствии с пунктом 5.7.7(a)</w:t>
      </w:r>
      <w:r w:rsidR="00A349DA">
        <w:rPr>
          <w:lang w:val="ru-RU"/>
        </w:rPr>
        <w:t xml:space="preserve"> </w:t>
      </w:r>
      <w:r w:rsidR="00194370" w:rsidRPr="0049187C">
        <w:rPr>
          <w:lang w:val="ru-RU"/>
        </w:rPr>
        <w:t>должна быть представлена в составе прочего совокупного дохода.</w:t>
      </w:r>
    </w:p>
    <w:p w:rsidR="001529CA" w:rsidRPr="0049187C" w:rsidRDefault="001529CA">
      <w:pPr>
        <w:pStyle w:val="IASBNormalnpara"/>
        <w:rPr>
          <w:lang w:val="ru-RU"/>
        </w:rPr>
      </w:pPr>
      <w:r w:rsidRPr="0049187C">
        <w:rPr>
          <w:lang w:val="ru-RU"/>
        </w:rPr>
        <w:t>B5.7.20</w:t>
      </w:r>
      <w:r w:rsidRPr="0049187C">
        <w:rPr>
          <w:lang w:val="ru-RU"/>
        </w:rPr>
        <w:tab/>
      </w:r>
      <w:bookmarkStart w:id="392" w:name="F32626429"/>
      <w:r w:rsidR="00194370" w:rsidRPr="0049187C">
        <w:rPr>
          <w:lang w:val="ru-RU"/>
        </w:rPr>
        <w:t xml:space="preserve">Как и </w:t>
      </w:r>
      <w:r w:rsidR="005F1A91">
        <w:rPr>
          <w:lang w:val="ru-RU"/>
        </w:rPr>
        <w:t>для всех оценок</w:t>
      </w:r>
      <w:r w:rsidR="0099714C">
        <w:rPr>
          <w:lang w:val="ru-RU"/>
        </w:rPr>
        <w:t xml:space="preserve"> </w:t>
      </w:r>
      <w:r w:rsidR="00726891" w:rsidRPr="0049187C">
        <w:rPr>
          <w:lang w:val="ru-RU"/>
        </w:rPr>
        <w:t>справедливой</w:t>
      </w:r>
      <w:r w:rsidR="00194370" w:rsidRPr="0049187C">
        <w:rPr>
          <w:lang w:val="ru-RU"/>
        </w:rPr>
        <w:t xml:space="preserve"> стоимости, </w:t>
      </w:r>
      <w:r w:rsidR="0099714C">
        <w:rPr>
          <w:lang w:val="ru-RU"/>
        </w:rPr>
        <w:t>метод оценки, применяемый организацией для</w:t>
      </w:r>
      <w:r w:rsidR="00194370" w:rsidRPr="0049187C">
        <w:rPr>
          <w:lang w:val="ru-RU"/>
        </w:rPr>
        <w:t xml:space="preserve"> определения той части изменения справедливой стоимости обязательства, которая </w:t>
      </w:r>
      <w:r w:rsidR="0099714C">
        <w:rPr>
          <w:lang w:val="ru-RU"/>
        </w:rPr>
        <w:t>обусловлена</w:t>
      </w:r>
      <w:r w:rsidR="00194370" w:rsidRPr="0049187C">
        <w:rPr>
          <w:lang w:val="ru-RU"/>
        </w:rPr>
        <w:t xml:space="preserve"> изменения</w:t>
      </w:r>
      <w:r w:rsidR="0099714C">
        <w:rPr>
          <w:lang w:val="ru-RU"/>
        </w:rPr>
        <w:t>ми</w:t>
      </w:r>
      <w:r w:rsidR="00194370" w:rsidRPr="0049187C">
        <w:rPr>
          <w:lang w:val="ru-RU"/>
        </w:rPr>
        <w:t xml:space="preserve"> кредитного риска</w:t>
      </w:r>
      <w:r w:rsidR="005F1A91">
        <w:rPr>
          <w:lang w:val="ru-RU"/>
        </w:rPr>
        <w:t xml:space="preserve"> по нему</w:t>
      </w:r>
      <w:r w:rsidR="0099714C">
        <w:rPr>
          <w:lang w:val="ru-RU"/>
        </w:rPr>
        <w:t>,</w:t>
      </w:r>
      <w:r w:rsidR="005F1A91" w:rsidRPr="005F1A91">
        <w:rPr>
          <w:lang w:val="ru-RU"/>
        </w:rPr>
        <w:t xml:space="preserve"> </w:t>
      </w:r>
      <w:r w:rsidR="0099714C">
        <w:rPr>
          <w:lang w:val="ru-RU"/>
        </w:rPr>
        <w:t>должен</w:t>
      </w:r>
      <w:r w:rsidR="00194370" w:rsidRPr="0049187C">
        <w:rPr>
          <w:lang w:val="ru-RU"/>
        </w:rPr>
        <w:t xml:space="preserve"> </w:t>
      </w:r>
      <w:r w:rsidR="000307A3">
        <w:rPr>
          <w:lang w:val="ru-RU"/>
        </w:rPr>
        <w:t xml:space="preserve">в </w:t>
      </w:r>
      <w:r w:rsidR="00194370" w:rsidRPr="0049187C">
        <w:rPr>
          <w:lang w:val="ru-RU"/>
        </w:rPr>
        <w:t>максимально</w:t>
      </w:r>
      <w:r w:rsidR="000307A3">
        <w:rPr>
          <w:lang w:val="ru-RU"/>
        </w:rPr>
        <w:t>й степени</w:t>
      </w:r>
      <w:r w:rsidR="0099714C">
        <w:rPr>
          <w:lang w:val="ru-RU"/>
        </w:rPr>
        <w:t xml:space="preserve"> использовать</w:t>
      </w:r>
      <w:r w:rsidR="00194370" w:rsidRPr="0049187C">
        <w:rPr>
          <w:lang w:val="ru-RU"/>
        </w:rPr>
        <w:t xml:space="preserve"> </w:t>
      </w:r>
      <w:r w:rsidR="005F1A91">
        <w:rPr>
          <w:lang w:val="ru-RU"/>
        </w:rPr>
        <w:t xml:space="preserve">уместные </w:t>
      </w:r>
      <w:r w:rsidR="00194370" w:rsidRPr="0049187C">
        <w:rPr>
          <w:lang w:val="ru-RU"/>
        </w:rPr>
        <w:t xml:space="preserve">наблюдаемые данные и </w:t>
      </w:r>
      <w:r w:rsidR="000307A3">
        <w:rPr>
          <w:lang w:val="ru-RU"/>
        </w:rPr>
        <w:t xml:space="preserve">в </w:t>
      </w:r>
      <w:r w:rsidR="00194370" w:rsidRPr="0049187C">
        <w:rPr>
          <w:lang w:val="ru-RU"/>
        </w:rPr>
        <w:t>минимально</w:t>
      </w:r>
      <w:r w:rsidR="000307A3">
        <w:rPr>
          <w:lang w:val="ru-RU"/>
        </w:rPr>
        <w:t>й</w:t>
      </w:r>
      <w:r w:rsidR="00194370" w:rsidRPr="0049187C">
        <w:rPr>
          <w:lang w:val="ru-RU"/>
        </w:rPr>
        <w:t xml:space="preserve"> </w:t>
      </w:r>
      <w:r w:rsidR="00A876BE" w:rsidRPr="008872E8">
        <w:rPr>
          <w:lang w:val="ru-RU"/>
        </w:rPr>
        <w:t>–</w:t>
      </w:r>
      <w:r w:rsidR="000307A3">
        <w:rPr>
          <w:lang w:val="ru-RU"/>
        </w:rPr>
        <w:t xml:space="preserve"> </w:t>
      </w:r>
      <w:r w:rsidR="00194370" w:rsidRPr="0049187C">
        <w:rPr>
          <w:lang w:val="ru-RU"/>
        </w:rPr>
        <w:t xml:space="preserve">ненаблюдаемые данные. </w:t>
      </w:r>
      <w:bookmarkEnd w:id="392"/>
    </w:p>
    <w:p w:rsidR="001529CA" w:rsidRPr="0049187C" w:rsidRDefault="00C25F1D">
      <w:pPr>
        <w:pStyle w:val="IASBSectionTitle1NonInd"/>
        <w:rPr>
          <w:lang w:val="ru-RU"/>
        </w:rPr>
      </w:pPr>
      <w:bookmarkStart w:id="393" w:name="F27188054"/>
      <w:r>
        <w:rPr>
          <w:lang w:val="ru-RU"/>
        </w:rPr>
        <w:t>Учет хеджирования (Г</w:t>
      </w:r>
      <w:r w:rsidR="003A0237" w:rsidRPr="0049187C">
        <w:rPr>
          <w:lang w:val="ru-RU"/>
        </w:rPr>
        <w:t>лава 6)</w:t>
      </w:r>
      <w:bookmarkEnd w:id="393"/>
    </w:p>
    <w:p w:rsidR="001529CA" w:rsidRPr="0049187C" w:rsidRDefault="00C25F1D">
      <w:pPr>
        <w:pStyle w:val="IASBSectionTitle2Ind"/>
        <w:rPr>
          <w:lang w:val="ru-RU"/>
        </w:rPr>
      </w:pPr>
      <w:r>
        <w:rPr>
          <w:lang w:val="ru-RU"/>
        </w:rPr>
        <w:t>Инструменты хеджирования (Р</w:t>
      </w:r>
      <w:r w:rsidR="003A0237" w:rsidRPr="0049187C">
        <w:rPr>
          <w:lang w:val="ru-RU"/>
        </w:rPr>
        <w:t>аздел 6.2)</w:t>
      </w:r>
    </w:p>
    <w:p w:rsidR="001529CA" w:rsidRPr="0049187C" w:rsidRDefault="00ED576E">
      <w:pPr>
        <w:pStyle w:val="IASBSectionTitle3Ind"/>
        <w:rPr>
          <w:lang w:val="ru-RU"/>
        </w:rPr>
      </w:pPr>
      <w:bookmarkStart w:id="394" w:name="F27188058"/>
      <w:r>
        <w:rPr>
          <w:lang w:val="ru-RU"/>
        </w:rPr>
        <w:t>Квалифицируемые инструменты</w:t>
      </w:r>
      <w:r w:rsidR="003A0237" w:rsidRPr="0049187C">
        <w:rPr>
          <w:lang w:val="ru-RU"/>
        </w:rPr>
        <w:t xml:space="preserve"> хеджирования</w:t>
      </w:r>
      <w:bookmarkEnd w:id="394"/>
    </w:p>
    <w:p w:rsidR="00ED576E" w:rsidRPr="00453F25" w:rsidRDefault="001529CA" w:rsidP="00ED576E">
      <w:pPr>
        <w:pStyle w:val="IASBNormalnpara"/>
        <w:rPr>
          <w:lang w:val="ru-RU"/>
        </w:rPr>
      </w:pPr>
      <w:r w:rsidRPr="0049187C">
        <w:rPr>
          <w:lang w:val="ru-RU"/>
        </w:rPr>
        <w:t>B6.2.1</w:t>
      </w:r>
      <w:r w:rsidRPr="0049187C">
        <w:rPr>
          <w:lang w:val="ru-RU"/>
        </w:rPr>
        <w:tab/>
      </w:r>
      <w:bookmarkStart w:id="395" w:name="F27188061"/>
      <w:bookmarkStart w:id="396" w:name="F27188059"/>
      <w:r w:rsidR="00ED576E" w:rsidRPr="00453F25">
        <w:rPr>
          <w:lang w:val="ru-RU"/>
        </w:rPr>
        <w:t>Производные инструменты, встроенные в гибридные договоры, однако не учитываемые отдельно, не могут определяться по усмотрению организации в качестве отдельных инструментов хеджирования.</w:t>
      </w:r>
      <w:bookmarkEnd w:id="396"/>
    </w:p>
    <w:p w:rsidR="00ED576E" w:rsidRPr="00453F25" w:rsidRDefault="00ED576E" w:rsidP="00ED576E">
      <w:pPr>
        <w:pStyle w:val="IASBNormalnpara"/>
        <w:rPr>
          <w:lang w:val="ru-RU"/>
        </w:rPr>
      </w:pPr>
      <w:r w:rsidRPr="00453F25">
        <w:t>B</w:t>
      </w:r>
      <w:r w:rsidRPr="00453F25">
        <w:rPr>
          <w:lang w:val="ru-RU"/>
        </w:rPr>
        <w:t>6.2.2</w:t>
      </w:r>
      <w:r w:rsidRPr="00453F25">
        <w:rPr>
          <w:lang w:val="ru-RU"/>
        </w:rPr>
        <w:tab/>
      </w:r>
      <w:bookmarkStart w:id="397" w:name="F27188060"/>
      <w:r w:rsidRPr="00453F25">
        <w:rPr>
          <w:lang w:val="ru-RU"/>
        </w:rPr>
        <w:t>Собственные долевые инструменты организации не являются финансовыми активами или финансовыми обязательствами данной организации и вследствие этого не могут определяться по усмотрению организации в качестве инструментов хеджирования.</w:t>
      </w:r>
      <w:bookmarkEnd w:id="397"/>
    </w:p>
    <w:p w:rsidR="001529CA" w:rsidRPr="0049187C" w:rsidRDefault="00ED576E" w:rsidP="00ED576E">
      <w:pPr>
        <w:pStyle w:val="IASBNormalnpara"/>
        <w:rPr>
          <w:lang w:val="ru-RU"/>
        </w:rPr>
      </w:pPr>
      <w:r w:rsidRPr="00453F25">
        <w:t>B</w:t>
      </w:r>
      <w:r w:rsidRPr="00453F25">
        <w:rPr>
          <w:lang w:val="ru-RU"/>
        </w:rPr>
        <w:t>6.2.3</w:t>
      </w:r>
      <w:r w:rsidRPr="00453F25">
        <w:rPr>
          <w:lang w:val="ru-RU"/>
        </w:rPr>
        <w:tab/>
        <w:t>Применительно к отношениям хеджирования валютного риска компонент непроизводного финансового инструмента, отражающий подверженность валютному риску, определяется в соответствии с МСФО (</w:t>
      </w:r>
      <w:r w:rsidRPr="00453F25">
        <w:t>IAS</w:t>
      </w:r>
      <w:r w:rsidRPr="00453F25">
        <w:rPr>
          <w:lang w:val="ru-RU"/>
        </w:rPr>
        <w:t>) 21</w:t>
      </w:r>
      <w:r w:rsidR="003A0237" w:rsidRPr="0049187C">
        <w:rPr>
          <w:lang w:val="ru-RU"/>
        </w:rPr>
        <w:t>.</w:t>
      </w:r>
      <w:bookmarkEnd w:id="395"/>
    </w:p>
    <w:p w:rsidR="001529CA" w:rsidRPr="0049187C" w:rsidRDefault="003A0237">
      <w:pPr>
        <w:pStyle w:val="IASBSectionTitle4Ind"/>
        <w:rPr>
          <w:lang w:val="ru-RU"/>
        </w:rPr>
      </w:pPr>
      <w:r w:rsidRPr="0049187C">
        <w:rPr>
          <w:lang w:val="ru-RU"/>
        </w:rPr>
        <w:t>Выпущенные опционы</w:t>
      </w:r>
    </w:p>
    <w:p w:rsidR="001529CA" w:rsidRPr="0049187C" w:rsidRDefault="001529CA">
      <w:pPr>
        <w:pStyle w:val="IASBNormalnpara"/>
        <w:rPr>
          <w:lang w:val="ru-RU"/>
        </w:rPr>
      </w:pPr>
      <w:r w:rsidRPr="0049187C">
        <w:rPr>
          <w:lang w:val="ru-RU"/>
        </w:rPr>
        <w:t>B6.2.4</w:t>
      </w:r>
      <w:r w:rsidRPr="0049187C">
        <w:rPr>
          <w:lang w:val="ru-RU"/>
        </w:rPr>
        <w:tab/>
      </w:r>
      <w:bookmarkStart w:id="398" w:name="SL32626701"/>
      <w:bookmarkStart w:id="399" w:name="F27188064"/>
      <w:r w:rsidR="00ED576E" w:rsidRPr="00453F25">
        <w:rPr>
          <w:lang w:val="ru-RU"/>
        </w:rPr>
        <w:t>Настоящий стандарт не предусматривает ограничений в отношении обстоятельств, в которых производный инструмент, оцениваемый по справедливой стоимости через прибыль или убыток, может определяться по усмотрению организации в качестве инструмента хеджирования, за исключением некоторых выпущенных опционов. Выпущенный опцион не разрешается определять по усмотрению организации в качестве инструмента хеджирования, кроме случаев, когда организация определяет его по собственному усмотрению как инструмент, компенсирующий риски по приобретенному опциону, включая опцион, встроенный в другой финансовый инструмент (например, выпущенный опцион колл, используемый для хеджирования обязательства, предусматривающего право эмитента на досрочное погашение)</w:t>
      </w:r>
      <w:r w:rsidR="003A0237" w:rsidRPr="0049187C">
        <w:rPr>
          <w:lang w:val="ru-RU"/>
        </w:rPr>
        <w:t xml:space="preserve">. </w:t>
      </w:r>
      <w:bookmarkEnd w:id="398"/>
      <w:bookmarkEnd w:id="399"/>
    </w:p>
    <w:p w:rsidR="001529CA" w:rsidRPr="0049187C" w:rsidRDefault="003A0237">
      <w:pPr>
        <w:pStyle w:val="IASBSectionTitle3Ind"/>
        <w:rPr>
          <w:lang w:val="ru-RU"/>
        </w:rPr>
      </w:pPr>
      <w:bookmarkStart w:id="400" w:name="F27188066"/>
      <w:r w:rsidRPr="0049187C">
        <w:rPr>
          <w:lang w:val="ru-RU"/>
        </w:rPr>
        <w:t>О</w:t>
      </w:r>
      <w:r w:rsidR="00ED576E">
        <w:rPr>
          <w:lang w:val="ru-RU"/>
        </w:rPr>
        <w:t>пределение</w:t>
      </w:r>
      <w:r w:rsidRPr="0049187C">
        <w:rPr>
          <w:lang w:val="ru-RU"/>
        </w:rPr>
        <w:t xml:space="preserve"> инструментов хеджирования</w:t>
      </w:r>
      <w:bookmarkEnd w:id="400"/>
      <w:r w:rsidR="00ED576E">
        <w:rPr>
          <w:lang w:val="ru-RU"/>
        </w:rPr>
        <w:t xml:space="preserve"> по усмотрению организации</w:t>
      </w:r>
    </w:p>
    <w:p w:rsidR="00ED576E" w:rsidRPr="00453F25" w:rsidRDefault="001529CA" w:rsidP="00ED576E">
      <w:pPr>
        <w:pStyle w:val="IASBNormalnpara"/>
        <w:rPr>
          <w:lang w:val="ru-RU"/>
        </w:rPr>
      </w:pPr>
      <w:r w:rsidRPr="0049187C">
        <w:rPr>
          <w:lang w:val="ru-RU"/>
        </w:rPr>
        <w:t>B6.2.5</w:t>
      </w:r>
      <w:r w:rsidRPr="0049187C">
        <w:rPr>
          <w:lang w:val="ru-RU"/>
        </w:rPr>
        <w:tab/>
      </w:r>
      <w:bookmarkStart w:id="401" w:name="F27188068"/>
      <w:bookmarkStart w:id="402" w:name="F27188067"/>
      <w:r w:rsidR="00ED576E" w:rsidRPr="00453F25">
        <w:rPr>
          <w:lang w:val="ru-RU"/>
        </w:rPr>
        <w:t>Применительно к отношениям хеджирования, отличным от хеджирования валютного риска, определение непроизводного финансового актива или непроизводного финансового обязательства, оцениваемого по справедливой стоимости через прибыль или убыток, по усмотрению организации в качестве инструмента хеджирования возможно только в том случае, если в качестве такового определяется целиком весь этот непроизводный финансовый инструмент либо его пропорциональная доля.</w:t>
      </w:r>
      <w:bookmarkEnd w:id="402"/>
    </w:p>
    <w:p w:rsidR="001529CA" w:rsidRPr="0049187C" w:rsidRDefault="00ED576E" w:rsidP="00ED576E">
      <w:pPr>
        <w:pStyle w:val="IASBNormalnpara"/>
        <w:rPr>
          <w:lang w:val="ru-RU"/>
        </w:rPr>
      </w:pPr>
      <w:r w:rsidRPr="00453F25">
        <w:t>B</w:t>
      </w:r>
      <w:r w:rsidRPr="00453F25">
        <w:rPr>
          <w:lang w:val="ru-RU"/>
        </w:rPr>
        <w:t>6.2.6</w:t>
      </w:r>
      <w:r w:rsidRPr="00453F25">
        <w:rPr>
          <w:lang w:val="ru-RU"/>
        </w:rPr>
        <w:tab/>
        <w:t>Один инструмент хеджирования может быть определен по усмотрению организации в качестве инструмента хеджирования более чем одного вида рисков при условии четкого определения данного инструмента хеджирования и четкого определения позиций по различным рискам в качестве объектов хеджирования. Указанные объекты хеджирования могут относиться к разным отношениям хеджирования</w:t>
      </w:r>
      <w:r w:rsidR="003A0237" w:rsidRPr="0049187C">
        <w:rPr>
          <w:lang w:val="ru-RU"/>
        </w:rPr>
        <w:t>.</w:t>
      </w:r>
      <w:bookmarkEnd w:id="401"/>
    </w:p>
    <w:p w:rsidR="001529CA" w:rsidRPr="0049187C" w:rsidRDefault="00C25F1D">
      <w:pPr>
        <w:pStyle w:val="IASBSectionTitle2Ind"/>
        <w:rPr>
          <w:lang w:val="ru-RU"/>
        </w:rPr>
      </w:pPr>
      <w:bookmarkStart w:id="403" w:name="F27188070"/>
      <w:r>
        <w:rPr>
          <w:lang w:val="ru-RU"/>
        </w:rPr>
        <w:t>Объекты хеджирования (Р</w:t>
      </w:r>
      <w:r w:rsidR="003A0237" w:rsidRPr="0049187C">
        <w:rPr>
          <w:lang w:val="ru-RU"/>
        </w:rPr>
        <w:t>аздел 6.3)</w:t>
      </w:r>
      <w:bookmarkEnd w:id="403"/>
    </w:p>
    <w:p w:rsidR="001529CA" w:rsidRPr="0049187C" w:rsidRDefault="00ED576E">
      <w:pPr>
        <w:pStyle w:val="IASBSectionTitle3Ind"/>
        <w:rPr>
          <w:lang w:val="ru-RU"/>
        </w:rPr>
      </w:pPr>
      <w:bookmarkStart w:id="404" w:name="F27188072"/>
      <w:r>
        <w:rPr>
          <w:lang w:val="ru-RU"/>
        </w:rPr>
        <w:t>Квалифицируемые объекты</w:t>
      </w:r>
      <w:r w:rsidR="003A0237" w:rsidRPr="0049187C">
        <w:rPr>
          <w:lang w:val="ru-RU"/>
        </w:rPr>
        <w:t xml:space="preserve"> хеджирования</w:t>
      </w:r>
      <w:bookmarkEnd w:id="404"/>
    </w:p>
    <w:p w:rsidR="004A55C3" w:rsidRPr="00453F25" w:rsidRDefault="001529CA" w:rsidP="004A55C3">
      <w:pPr>
        <w:pStyle w:val="IASBNormalnpara"/>
        <w:rPr>
          <w:lang w:val="ru-RU"/>
        </w:rPr>
      </w:pPr>
      <w:r w:rsidRPr="0049187C">
        <w:rPr>
          <w:lang w:val="ru-RU"/>
        </w:rPr>
        <w:t>B6.3.1</w:t>
      </w:r>
      <w:r w:rsidRPr="0049187C">
        <w:rPr>
          <w:lang w:val="ru-RU"/>
        </w:rPr>
        <w:tab/>
      </w:r>
      <w:bookmarkStart w:id="405" w:name="F27188088"/>
      <w:bookmarkStart w:id="406" w:name="F27188073"/>
      <w:r w:rsidR="004A55C3" w:rsidRPr="00453F25">
        <w:rPr>
          <w:lang w:val="ru-RU"/>
        </w:rPr>
        <w:t>Твердое договорное обязательство приобрести бизнес в сделке по объединению бизнес</w:t>
      </w:r>
      <w:r w:rsidR="00A35DF0">
        <w:rPr>
          <w:lang w:val="ru-RU"/>
        </w:rPr>
        <w:t>ов</w:t>
      </w:r>
      <w:r w:rsidR="004A55C3" w:rsidRPr="00453F25">
        <w:rPr>
          <w:lang w:val="ru-RU"/>
        </w:rPr>
        <w:t xml:space="preserve"> не может быть объектом хеджирования, за исключением валютного риска, поскольку прочие хеджируемые риски не могут быть конкретно идентифицированы и оценены. Эти прочие риски представляют собой бизнес-риски общего характера.</w:t>
      </w:r>
      <w:bookmarkEnd w:id="406"/>
    </w:p>
    <w:p w:rsidR="004A55C3" w:rsidRPr="00453F25" w:rsidRDefault="004A55C3" w:rsidP="004A55C3">
      <w:pPr>
        <w:pStyle w:val="IASBNormalnpara"/>
        <w:rPr>
          <w:lang w:val="ru-RU"/>
        </w:rPr>
      </w:pPr>
      <w:r w:rsidRPr="00453F25">
        <w:t>B</w:t>
      </w:r>
      <w:r w:rsidRPr="00453F25">
        <w:rPr>
          <w:lang w:val="ru-RU"/>
        </w:rPr>
        <w:t>6.3.2</w:t>
      </w:r>
      <w:r w:rsidRPr="00453F25">
        <w:rPr>
          <w:lang w:val="ru-RU"/>
        </w:rPr>
        <w:tab/>
      </w:r>
      <w:bookmarkStart w:id="407" w:name="F27188074"/>
      <w:r w:rsidRPr="00453F25">
        <w:rPr>
          <w:lang w:val="ru-RU"/>
        </w:rPr>
        <w:t>Инвестиция, учитываемая</w:t>
      </w:r>
      <w:r w:rsidR="000C75F2">
        <w:rPr>
          <w:lang w:val="ru-RU"/>
        </w:rPr>
        <w:t xml:space="preserve"> с </w:t>
      </w:r>
      <w:r w:rsidR="00455C5B">
        <w:rPr>
          <w:lang w:val="ru-RU"/>
        </w:rPr>
        <w:t>использованием</w:t>
      </w:r>
      <w:r w:rsidRPr="00453F25">
        <w:rPr>
          <w:lang w:val="ru-RU"/>
        </w:rPr>
        <w:t xml:space="preserve"> </w:t>
      </w:r>
      <w:r w:rsidR="000C75F2">
        <w:rPr>
          <w:lang w:val="ru-RU"/>
        </w:rPr>
        <w:t>метода</w:t>
      </w:r>
      <w:r w:rsidRPr="00453F25">
        <w:rPr>
          <w:lang w:val="ru-RU"/>
        </w:rPr>
        <w:t xml:space="preserve"> долевого участия, не может быть объектом хеджирования в отношениях хеджирования справедливой стоимости. Это обусловлено тем, что метод долевого участия предусматривает признание в составе прибыли или убытка доли инвестора в прибыли или убытке объекта инвестиций, а не изменений справедливой стоимости соответствующей инвестиции. По аналогичной причине инвестиция в консолидируемую дочернюю организацию не может быть объектом хеджирования в отношениях хеджирования справедливой стоимости. Это обусловлено тем, что при консолидации организация признает в составе прибыли или убытка прибыль или убыток дочерней организации, а не изменения справедливой стоимости соответствующей инвестиции. Хеджирование чистой инвестиции в иностранное подразделение представляет собой иной случай, так как это хеджирование подверженности валютному риску, а не хеджирование справедливой стоимости против риска изменения стоимости соответствующей инвестиции.</w:t>
      </w:r>
      <w:bookmarkEnd w:id="407"/>
    </w:p>
    <w:p w:rsidR="004A55C3" w:rsidRPr="00453F25" w:rsidRDefault="004A55C3" w:rsidP="004A55C3">
      <w:pPr>
        <w:pStyle w:val="IASBNormalnpara"/>
        <w:rPr>
          <w:lang w:val="ru-RU"/>
        </w:rPr>
      </w:pPr>
      <w:r w:rsidRPr="00453F25">
        <w:t>B</w:t>
      </w:r>
      <w:r w:rsidRPr="00453F25">
        <w:rPr>
          <w:lang w:val="ru-RU"/>
        </w:rPr>
        <w:t>6.3.3</w:t>
      </w:r>
      <w:r w:rsidRPr="00453F25">
        <w:rPr>
          <w:lang w:val="ru-RU"/>
        </w:rPr>
        <w:tab/>
      </w:r>
      <w:bookmarkStart w:id="408" w:name="F27188075"/>
      <w:r w:rsidRPr="00453F25">
        <w:rPr>
          <w:lang w:val="ru-RU"/>
        </w:rPr>
        <w:t>Пункт 6.3.4 разрешает орг</w:t>
      </w:r>
      <w:r w:rsidR="00057361">
        <w:rPr>
          <w:lang w:val="ru-RU"/>
        </w:rPr>
        <w:t>анизации по собственному</w:t>
      </w:r>
      <w:r w:rsidRPr="00453F25">
        <w:rPr>
          <w:lang w:val="ru-RU"/>
        </w:rPr>
        <w:t xml:space="preserve"> усмотрению определять в качестве объекта хеджирования совокупную позицию, представляющую собой комбинацию, состоящую из позиции, подверженной риску, и производного инструмента. Когда организация по </w:t>
      </w:r>
      <w:r w:rsidR="00057361">
        <w:rPr>
          <w:lang w:val="ru-RU"/>
        </w:rPr>
        <w:t>собственному</w:t>
      </w:r>
      <w:r w:rsidRPr="00453F25">
        <w:rPr>
          <w:lang w:val="ru-RU"/>
        </w:rPr>
        <w:t xml:space="preserve"> усмотрению определяет подобный объект хеджирования, она оценивает, создает ли совокупная позиция, объединяющая подверженную риску позицию и производный инструмент, другую агрегированную позицию, подверженную риску, управление которой осуществляется как единой позицией, подверженной определенному риску (или рискам). В этом случае организация может по собственному усмотрению определить объект хеджирования на основе совокупной позиции, подверженной риску. Например:</w:t>
      </w:r>
      <w:bookmarkEnd w:id="408"/>
    </w:p>
    <w:p w:rsidR="004A55C3" w:rsidRPr="00453F25" w:rsidRDefault="004A55C3" w:rsidP="004A55C3">
      <w:pPr>
        <w:pStyle w:val="IASBNormalnparaL1"/>
        <w:rPr>
          <w:lang w:val="ru-RU"/>
        </w:rPr>
      </w:pPr>
      <w:r w:rsidRPr="00453F25">
        <w:rPr>
          <w:lang w:val="ru-RU"/>
        </w:rPr>
        <w:t>(</w:t>
      </w:r>
      <w:r w:rsidRPr="00453F25">
        <w:t>a</w:t>
      </w:r>
      <w:r w:rsidRPr="00453F25">
        <w:rPr>
          <w:lang w:val="ru-RU"/>
        </w:rPr>
        <w:t>)</w:t>
      </w:r>
      <w:r w:rsidRPr="00453F25">
        <w:rPr>
          <w:lang w:val="ru-RU"/>
        </w:rPr>
        <w:tab/>
      </w:r>
      <w:bookmarkStart w:id="409" w:name="F27188078"/>
      <w:r w:rsidRPr="00453F25">
        <w:rPr>
          <w:lang w:val="ru-RU"/>
        </w:rPr>
        <w:t>Организация может хеджировать определенное количество будущих закупок кофе, прогнозируемых с высокой вероятностью через 15 месяцев, против риска изменения цены (выраженной в долларах США), используя для этого 15-месячный фьючерсный договор на кофе. Прогнозируемые с высокой вероятностью операции по закупкам кофе в комбинации с фьючерсным договором на кофе можно рассматривать для целей управления рисками как единую подверженную валютному риску позицию с 15-месячным сроком и фиксиров</w:t>
      </w:r>
      <w:r w:rsidR="0016570C">
        <w:rPr>
          <w:lang w:val="ru-RU"/>
        </w:rPr>
        <w:t>анной суммой в долларах США (т. </w:t>
      </w:r>
      <w:r w:rsidRPr="00453F25">
        <w:rPr>
          <w:lang w:val="ru-RU"/>
        </w:rPr>
        <w:t>е. аналогично любой фиксированной сумме денежных средств в долларах США, подлежащей выплате через 15 месяцев).</w:t>
      </w:r>
      <w:bookmarkEnd w:id="409"/>
    </w:p>
    <w:p w:rsidR="004A55C3" w:rsidRPr="00453F25" w:rsidRDefault="004A55C3" w:rsidP="004A55C3">
      <w:pPr>
        <w:pStyle w:val="IASBNormalnparaL1"/>
        <w:tabs>
          <w:tab w:val="left" w:pos="5130"/>
        </w:tabs>
        <w:rPr>
          <w:lang w:val="ru-RU"/>
        </w:rPr>
      </w:pPr>
      <w:r w:rsidRPr="00453F25">
        <w:rPr>
          <w:lang w:val="ru-RU"/>
        </w:rPr>
        <w:t>(</w:t>
      </w:r>
      <w:r w:rsidRPr="00453F25">
        <w:t>b</w:t>
      </w:r>
      <w:r w:rsidRPr="00453F25">
        <w:rPr>
          <w:lang w:val="ru-RU"/>
        </w:rPr>
        <w:t>)</w:t>
      </w:r>
      <w:r w:rsidRPr="00453F25">
        <w:rPr>
          <w:lang w:val="ru-RU"/>
        </w:rPr>
        <w:tab/>
      </w:r>
      <w:bookmarkStart w:id="410" w:name="F27188080"/>
      <w:r w:rsidRPr="00453F25">
        <w:rPr>
          <w:lang w:val="ru-RU"/>
        </w:rPr>
        <w:t>Организация может хеджировать валютный риск на весь срок действия 10-летнего долгового инструмента в иностранной валюте с фиксированной процентной ставкой. Однако организации требуется позиция, выраженная в ее функциональной валюте, имеющая фиксированную ставку, только на короткий или средний срок (например, на два года), и позиция, выраженная в ее функциональной валюте, имеющая плавающую ставку, на оставшийся срок до погашения указанного инструмента. На дату окончания каждого двухгодичного интервала (</w:t>
      </w:r>
      <w:r w:rsidR="00730672">
        <w:rPr>
          <w:lang w:val="ru-RU"/>
        </w:rPr>
        <w:t>т. е.</w:t>
      </w:r>
      <w:r w:rsidRPr="00453F25">
        <w:rPr>
          <w:lang w:val="ru-RU"/>
        </w:rPr>
        <w:t xml:space="preserve"> на двухгодичной скользящей основе) организация фиксирует позицию по процентному риску на следующие два года (если уровень процентной ставки таков, что организация считает необходимым зафиксировать процентные ставки). В подобной ситуации организация может заключить 10-летний валютно-процентный своп, предполагающий обмен фиксированной процентной ставки на плавающую, который позволит заменить задолженность в иностранной валюте с фиксированной процентной ставкой на финансовый инструмент в функциональной валюте, подверженный риску изменения плавающей процентной ставки. В дополнение к нему заключается двухгодичный проце</w:t>
      </w:r>
      <w:r w:rsidR="003877EE">
        <w:rPr>
          <w:lang w:val="ru-RU"/>
        </w:rPr>
        <w:t>нтный своп, который позволяет</w:t>
      </w:r>
      <w:r w:rsidR="003877EE" w:rsidRPr="003877EE">
        <w:rPr>
          <w:lang w:val="ru-RU"/>
        </w:rPr>
        <w:t xml:space="preserve"> – </w:t>
      </w:r>
      <w:r w:rsidRPr="00453F25">
        <w:rPr>
          <w:lang w:val="ru-RU"/>
        </w:rPr>
        <w:t xml:space="preserve">на базе функциональной валюты – заменить задолженность с плавающей процентной ставкой на задолженность с фиксированной процентной ставкой. По существу, долговой инструмент в иностранной валюте с фиксированной процентной ставкой в совокупности с 10-летним валютно-процентным свопом, предполагающим обмен фиксированной процентной ставки на плавающую, может для целей управления рисками рассматриваться как 10-летний финансовый инструмент в функциональной валюте, подверженный риску изменения плавающей процентной ставки. </w:t>
      </w:r>
      <w:bookmarkEnd w:id="410"/>
    </w:p>
    <w:p w:rsidR="004A55C3" w:rsidRPr="00453F25" w:rsidRDefault="004A55C3" w:rsidP="004A55C3">
      <w:pPr>
        <w:pStyle w:val="IASBNormalnpara"/>
        <w:rPr>
          <w:lang w:val="ru-RU"/>
        </w:rPr>
      </w:pPr>
      <w:r w:rsidRPr="00453F25">
        <w:t>B</w:t>
      </w:r>
      <w:r w:rsidRPr="00453F25">
        <w:rPr>
          <w:lang w:val="ru-RU"/>
        </w:rPr>
        <w:t>6.3.4</w:t>
      </w:r>
      <w:r w:rsidRPr="00453F25">
        <w:rPr>
          <w:lang w:val="ru-RU"/>
        </w:rPr>
        <w:tab/>
      </w:r>
      <w:bookmarkStart w:id="411" w:name="F27188081"/>
      <w:r w:rsidRPr="00453F25">
        <w:rPr>
          <w:lang w:val="ru-RU"/>
        </w:rPr>
        <w:t>Когда организация по собственному усмотрению определяет объект хеджирования на основе совокупной позиции по риску, она рассматривает комбинированный эффект объектов, составляющих указанную совокупную позицию, для целей оценки эффективности хеджирования и определения величины неэффективности хеджирования. Однако объекты, составляющие данную совокупную позицию, продолжают учитываться отдельно. Это означает, например, что:</w:t>
      </w:r>
      <w:bookmarkEnd w:id="411"/>
    </w:p>
    <w:p w:rsidR="004A55C3" w:rsidRPr="00453F25" w:rsidRDefault="004A55C3" w:rsidP="004A55C3">
      <w:pPr>
        <w:pStyle w:val="IASBNormalnparaL1"/>
        <w:rPr>
          <w:lang w:val="ru-RU"/>
        </w:rPr>
      </w:pPr>
      <w:r w:rsidRPr="00453F25">
        <w:rPr>
          <w:lang w:val="ru-RU"/>
        </w:rPr>
        <w:t>(</w:t>
      </w:r>
      <w:r w:rsidRPr="00453F25">
        <w:t>a</w:t>
      </w:r>
      <w:r w:rsidRPr="00453F25">
        <w:rPr>
          <w:lang w:val="ru-RU"/>
        </w:rPr>
        <w:t>)</w:t>
      </w:r>
      <w:r w:rsidRPr="00453F25">
        <w:rPr>
          <w:lang w:val="ru-RU"/>
        </w:rPr>
        <w:tab/>
      </w:r>
      <w:bookmarkStart w:id="412" w:name="F27188084"/>
      <w:r w:rsidRPr="00453F25">
        <w:rPr>
          <w:lang w:val="ru-RU"/>
        </w:rPr>
        <w:t>производные инструменты, являющиеся частью совокупной позиции по риску, признаются как отдельные активы или обязательства, оцениваемые по справедливой стоимости; и</w:t>
      </w:r>
      <w:bookmarkEnd w:id="412"/>
    </w:p>
    <w:p w:rsidR="004A55C3" w:rsidRPr="00453F25" w:rsidRDefault="004A55C3" w:rsidP="004A55C3">
      <w:pPr>
        <w:pStyle w:val="IASBNormalnparaL1"/>
        <w:rPr>
          <w:lang w:val="ru-RU"/>
        </w:rPr>
      </w:pPr>
      <w:r w:rsidRPr="00453F25">
        <w:rPr>
          <w:lang w:val="ru-RU"/>
        </w:rPr>
        <w:t>(</w:t>
      </w:r>
      <w:r w:rsidRPr="00453F25">
        <w:t>b</w:t>
      </w:r>
      <w:r w:rsidRPr="00453F25">
        <w:rPr>
          <w:lang w:val="ru-RU"/>
        </w:rPr>
        <w:t>)</w:t>
      </w:r>
      <w:r w:rsidRPr="00453F25">
        <w:rPr>
          <w:lang w:val="ru-RU"/>
        </w:rPr>
        <w:tab/>
      </w:r>
      <w:bookmarkStart w:id="413" w:name="F27188086"/>
      <w:r w:rsidRPr="00453F25">
        <w:rPr>
          <w:lang w:val="ru-RU"/>
        </w:rPr>
        <w:t>если по усмотрению организации определяются отношения хеджирования между объектами, которые составляют указанную совокупную позицию по риску, то дол</w:t>
      </w:r>
      <w:r w:rsidR="00A34BF4">
        <w:rPr>
          <w:lang w:val="ru-RU"/>
        </w:rPr>
        <w:t>жно быть обеспечено соответ</w:t>
      </w:r>
      <w:r w:rsidRPr="00453F25">
        <w:rPr>
          <w:lang w:val="ru-RU"/>
        </w:rPr>
        <w:t>ствие между тем, как производный инструмент включается в состав совокупной позиции, и тем, как данный производный инструмент определяется по усмотрению организации в качестве инструмента хеджирования на уровне совокупной позиции. Например, если организация исключает форвардный элемент производного инструмента при его определении в качестве инструмента хеджирования применительно к отношениям хеджирования между объектами, которые составляют совокупную позицию по риску, она должна также исключить форвардный элемент при включении данного производного инструмента в качестве объекта хеджирования в состав указанной совокупной позиции. В противном случае производный инструмент должен включаться в совокупную позицию либо целиком, либо в пропорциональной доле.</w:t>
      </w:r>
      <w:bookmarkEnd w:id="413"/>
    </w:p>
    <w:p w:rsidR="004A55C3" w:rsidRPr="00453F25" w:rsidRDefault="004A55C3" w:rsidP="004A55C3">
      <w:pPr>
        <w:pStyle w:val="IASBNormalnpara"/>
        <w:rPr>
          <w:lang w:val="ru-RU"/>
        </w:rPr>
      </w:pPr>
      <w:r w:rsidRPr="00453F25">
        <w:t>B</w:t>
      </w:r>
      <w:r w:rsidRPr="00453F25">
        <w:rPr>
          <w:lang w:val="ru-RU"/>
        </w:rPr>
        <w:t>6.3.5</w:t>
      </w:r>
      <w:r w:rsidRPr="00453F25">
        <w:rPr>
          <w:lang w:val="ru-RU"/>
        </w:rPr>
        <w:tab/>
      </w:r>
      <w:bookmarkStart w:id="414" w:name="F27188087"/>
      <w:r w:rsidRPr="00453F25">
        <w:rPr>
          <w:lang w:val="ru-RU"/>
        </w:rPr>
        <w:t>В пункте 6.3.6 указывается, что в консолидированной финансовой отчетности валютный риск по прогнозируемой с высокой вероят</w:t>
      </w:r>
      <w:r w:rsidR="003877EE">
        <w:rPr>
          <w:lang w:val="ru-RU"/>
        </w:rPr>
        <w:t>ностью внутригрупповой операции</w:t>
      </w:r>
      <w:r w:rsidRPr="00453F25">
        <w:rPr>
          <w:lang w:val="ru-RU"/>
        </w:rPr>
        <w:t xml:space="preserve"> может квалифицироваться как объект хеджирования в отношениях хеджирования денежных потоков при условии, что данная операция выражена в валюте, отличной от функциональной валюты организации, осуществляющей данную операцию, и что валютный риск окажет влияние на консолидированную прибыль или убыток. Для этих целей организация может представлять собой материнскую организацию, дочернюю</w:t>
      </w:r>
      <w:r w:rsidR="007633F4">
        <w:rPr>
          <w:lang w:val="ru-RU"/>
        </w:rPr>
        <w:t xml:space="preserve"> организацию, ассоциированную</w:t>
      </w:r>
      <w:r w:rsidR="00334A09">
        <w:rPr>
          <w:lang w:val="ru-RU"/>
        </w:rPr>
        <w:t xml:space="preserve"> организацию, совместное предпринимательство</w:t>
      </w:r>
      <w:r w:rsidRPr="00453F25">
        <w:rPr>
          <w:lang w:val="ru-RU"/>
        </w:rPr>
        <w:t xml:space="preserve"> или филиал. Если валютный риск по прогнозируемой внутригрупповой операции не оказывает влияния на консолидированный показатель прибыли или убытка, то данная внутригрупповая операция не может квалифицироваться как объект хеджирования. Обычно к этим операциям относятся выплаты роялти, процентов или вознаграждений за управление, осуществляемых между членами одной группы, кроме случаев, когда имеется связанная операция с третьей стороной. Однако в случаях, когда валютный риск по прогнозируемой внутригрупповой операции будет оказывать влияние на консолидированный показатель прибыли или убытка, данная внутригрупповая операция может квалифицироваться как объект хеджирования. В качестве примера можно привести прогнозируемые операции продажи или приобретения запасов, осуществляемые между членами одной группы, если имеет место последующая продажа данных запасов стороне, не входящей в сос</w:t>
      </w:r>
      <w:r w:rsidR="00334A09">
        <w:rPr>
          <w:lang w:val="ru-RU"/>
        </w:rPr>
        <w:t>тав группы. Аналогично</w:t>
      </w:r>
      <w:r w:rsidRPr="00453F25">
        <w:rPr>
          <w:lang w:val="ru-RU"/>
        </w:rPr>
        <w:t xml:space="preserve"> прогнозируемая внутригрупповая операция по продаже основных средств той организацией группы, которая </w:t>
      </w:r>
      <w:r w:rsidR="00A34BF4" w:rsidRPr="00453F25">
        <w:rPr>
          <w:lang w:val="ru-RU"/>
        </w:rPr>
        <w:t>изготовила их</w:t>
      </w:r>
      <w:r w:rsidRPr="00453F25">
        <w:rPr>
          <w:lang w:val="ru-RU"/>
        </w:rPr>
        <w:t>, другой организации той же группы, которая будет использовать данные основные средства в своей деятельности, может оказать влияние на консолидированный показатель прибыли или убытка. Это может произойти, например, по той причине, что основные средства будут амортизироваться приобретающей организацией, а сумма, первоначально признанная в отношении данных основных средств, может измениться, если прогнозируемая внутригрупповая операция выражена в валюте, отличной от функциональной валюты приобретающей организации.</w:t>
      </w:r>
      <w:bookmarkEnd w:id="414"/>
    </w:p>
    <w:p w:rsidR="001529CA" w:rsidRPr="0049187C" w:rsidRDefault="004A55C3" w:rsidP="004A55C3">
      <w:pPr>
        <w:pStyle w:val="IASBNormalnpara"/>
        <w:rPr>
          <w:lang w:val="ru-RU"/>
        </w:rPr>
      </w:pPr>
      <w:r w:rsidRPr="00453F25">
        <w:t>B</w:t>
      </w:r>
      <w:r w:rsidRPr="00453F25">
        <w:rPr>
          <w:lang w:val="ru-RU"/>
        </w:rPr>
        <w:t>6.3.6</w:t>
      </w:r>
      <w:r w:rsidRPr="00453F25">
        <w:rPr>
          <w:lang w:val="ru-RU"/>
        </w:rPr>
        <w:tab/>
        <w:t>Если хеджирование прогнозируемой внутригрупповой операции отвечает критериям применения учета хеджирования, то величина прибыли или убытка признается в составе прочего совокупного дохода и исключается из него в соответствии с пунктом 6.5.11. Соответствующим периодом или периодами, в течение которых валютный риск по хеджируемой операции оказывает влияние на прибыль или убыток, является тот или те, когда данный риск оказывает влияние на консолидированный показатель прибыли или убытка</w:t>
      </w:r>
      <w:r w:rsidR="00C45D37" w:rsidRPr="0049187C">
        <w:rPr>
          <w:lang w:val="ru-RU"/>
        </w:rPr>
        <w:t>.</w:t>
      </w:r>
      <w:bookmarkEnd w:id="405"/>
    </w:p>
    <w:p w:rsidR="001529CA" w:rsidRPr="0049187C" w:rsidRDefault="00C45D37">
      <w:pPr>
        <w:pStyle w:val="IASBSectionTitle3Ind"/>
        <w:rPr>
          <w:lang w:val="ru-RU"/>
        </w:rPr>
      </w:pPr>
      <w:bookmarkStart w:id="415" w:name="F27188091"/>
      <w:r w:rsidRPr="0049187C">
        <w:rPr>
          <w:lang w:val="ru-RU"/>
        </w:rPr>
        <w:t>О</w:t>
      </w:r>
      <w:r w:rsidR="004A55C3">
        <w:rPr>
          <w:lang w:val="ru-RU"/>
        </w:rPr>
        <w:t>пределение</w:t>
      </w:r>
      <w:r w:rsidRPr="0049187C">
        <w:rPr>
          <w:lang w:val="ru-RU"/>
        </w:rPr>
        <w:t xml:space="preserve"> объектов хеджирования</w:t>
      </w:r>
      <w:bookmarkEnd w:id="415"/>
      <w:r w:rsidR="004A55C3">
        <w:rPr>
          <w:lang w:val="ru-RU"/>
        </w:rPr>
        <w:t xml:space="preserve"> по усмотрению организации</w:t>
      </w:r>
    </w:p>
    <w:p w:rsidR="001529CA" w:rsidRPr="0049187C" w:rsidRDefault="001529CA">
      <w:pPr>
        <w:pStyle w:val="IASBNormalnpara"/>
        <w:rPr>
          <w:lang w:val="ru-RU"/>
        </w:rPr>
      </w:pPr>
      <w:r w:rsidRPr="0049187C">
        <w:rPr>
          <w:lang w:val="ru-RU"/>
        </w:rPr>
        <w:t>B6.3.7</w:t>
      </w:r>
      <w:r w:rsidRPr="0049187C">
        <w:rPr>
          <w:lang w:val="ru-RU"/>
        </w:rPr>
        <w:tab/>
      </w:r>
      <w:bookmarkStart w:id="416" w:name="SL32626728"/>
      <w:r w:rsidR="004A55C3" w:rsidRPr="00453F25">
        <w:rPr>
          <w:lang w:val="ru-RU"/>
        </w:rPr>
        <w:t xml:space="preserve">Компонент представляет собой объект хеджирования, меньший, чем весь объект в целом. Следовательно, компонент отражает только некоторые из рисков, которым </w:t>
      </w:r>
      <w:r w:rsidR="00A34BF4" w:rsidRPr="00453F25">
        <w:rPr>
          <w:lang w:val="ru-RU"/>
        </w:rPr>
        <w:t>подвержен тот</w:t>
      </w:r>
      <w:r w:rsidR="004A55C3" w:rsidRPr="00453F25">
        <w:rPr>
          <w:lang w:val="ru-RU"/>
        </w:rPr>
        <w:t xml:space="preserve"> объект, частью которого он является, либо отражает эти риски лишь в некоторой степени (например, когда в качестве объекта хеджирования определяется по усмотрению организации пропорциональная доля объекта)</w:t>
      </w:r>
      <w:r w:rsidR="00C45D37" w:rsidRPr="0049187C">
        <w:rPr>
          <w:lang w:val="ru-RU"/>
        </w:rPr>
        <w:t>.</w:t>
      </w:r>
      <w:r w:rsidRPr="0049187C">
        <w:rPr>
          <w:lang w:val="ru-RU"/>
        </w:rPr>
        <w:t xml:space="preserve"> </w:t>
      </w:r>
      <w:bookmarkEnd w:id="416"/>
    </w:p>
    <w:p w:rsidR="001529CA" w:rsidRPr="0049187C" w:rsidRDefault="004A55C3">
      <w:pPr>
        <w:pStyle w:val="IASBSectionTitle4Ind"/>
        <w:rPr>
          <w:lang w:val="ru-RU"/>
        </w:rPr>
      </w:pPr>
      <w:bookmarkStart w:id="417" w:name="F27188094"/>
      <w:r>
        <w:rPr>
          <w:lang w:val="ru-RU"/>
        </w:rPr>
        <w:t>Рисковые к</w:t>
      </w:r>
      <w:r w:rsidR="00C45D37" w:rsidRPr="0049187C">
        <w:rPr>
          <w:lang w:val="ru-RU"/>
        </w:rPr>
        <w:t>омпоненты</w:t>
      </w:r>
      <w:bookmarkEnd w:id="417"/>
    </w:p>
    <w:p w:rsidR="002D1543" w:rsidRPr="00453F25" w:rsidRDefault="001529CA" w:rsidP="002D1543">
      <w:pPr>
        <w:pStyle w:val="IASBNormalnpara"/>
        <w:rPr>
          <w:lang w:val="ru-RU"/>
        </w:rPr>
      </w:pPr>
      <w:r w:rsidRPr="0049187C">
        <w:rPr>
          <w:lang w:val="ru-RU"/>
        </w:rPr>
        <w:t>B6.3.8</w:t>
      </w:r>
      <w:r w:rsidRPr="0049187C">
        <w:rPr>
          <w:lang w:val="ru-RU"/>
        </w:rPr>
        <w:tab/>
      </w:r>
      <w:bookmarkStart w:id="418" w:name="SL32626766"/>
      <w:bookmarkStart w:id="419" w:name="F27188095"/>
      <w:r w:rsidR="002D1543" w:rsidRPr="00453F25">
        <w:rPr>
          <w:lang w:val="ru-RU"/>
        </w:rPr>
        <w:t>Чтобы рисковый компонент можно было по собственному усмотрению определить в качестве объекта хеджирования, он должен представлять собой отдельно идентифицируемый компонент финансового или нефинансового объекта, а изменения денежных потоков или справедливой стоимости данного объекта, вызванные изменениями данного рискового компонента, должны поддаваться надежной оценке.</w:t>
      </w:r>
      <w:bookmarkEnd w:id="419"/>
    </w:p>
    <w:p w:rsidR="002D1543" w:rsidRPr="00453F25" w:rsidRDefault="002D1543" w:rsidP="002D1543">
      <w:pPr>
        <w:pStyle w:val="IASBNormalnpara"/>
        <w:rPr>
          <w:lang w:val="ru-RU"/>
        </w:rPr>
      </w:pPr>
      <w:r w:rsidRPr="00453F25">
        <w:t>B</w:t>
      </w:r>
      <w:r w:rsidRPr="00453F25">
        <w:rPr>
          <w:lang w:val="ru-RU"/>
        </w:rPr>
        <w:t>6.3.9</w:t>
      </w:r>
      <w:r w:rsidRPr="00453F25">
        <w:rPr>
          <w:lang w:val="ru-RU"/>
        </w:rPr>
        <w:tab/>
      </w:r>
      <w:bookmarkStart w:id="420" w:name="F27188096"/>
      <w:r w:rsidRPr="00453F25">
        <w:rPr>
          <w:lang w:val="ru-RU"/>
        </w:rPr>
        <w:t xml:space="preserve">При идентификации того, какие рисковые компоненты отвечают критериям для определения их по </w:t>
      </w:r>
      <w:r w:rsidR="00A34BF4" w:rsidRPr="00453F25">
        <w:rPr>
          <w:lang w:val="ru-RU"/>
        </w:rPr>
        <w:t>усмотрению</w:t>
      </w:r>
      <w:r w:rsidRPr="00453F25">
        <w:rPr>
          <w:lang w:val="ru-RU"/>
        </w:rPr>
        <w:t xml:space="preserve"> организации в качестве объекта хеджирования, организация оценивает такие компоненты в контексте конкретной структуры того рынка, к которому относится данный риск или риски и на котором осуществляется хеджирование. Такое решение требует оценки соответствующих фактов и обстоятельств, которые могут отличаться в зависимости от риска и рынка. </w:t>
      </w:r>
      <w:bookmarkEnd w:id="420"/>
    </w:p>
    <w:p w:rsidR="002D1543" w:rsidRPr="00453F25" w:rsidRDefault="002D1543" w:rsidP="002D1543">
      <w:pPr>
        <w:pStyle w:val="IASBNormalnpara"/>
        <w:rPr>
          <w:lang w:val="ru-RU"/>
        </w:rPr>
      </w:pPr>
      <w:r w:rsidRPr="00453F25">
        <w:t>B</w:t>
      </w:r>
      <w:r w:rsidRPr="00453F25">
        <w:rPr>
          <w:lang w:val="ru-RU"/>
        </w:rPr>
        <w:t>6.3.10</w:t>
      </w:r>
      <w:r w:rsidRPr="00453F25">
        <w:rPr>
          <w:lang w:val="ru-RU"/>
        </w:rPr>
        <w:tab/>
      </w:r>
      <w:bookmarkStart w:id="421" w:name="F27188097"/>
      <w:r w:rsidRPr="00453F25">
        <w:rPr>
          <w:lang w:val="ru-RU"/>
        </w:rPr>
        <w:t>При определении рисковых компонентов по собственному усмотрению в качестве объектов хеджирования организация принимает во внимание то, указаны ли эти рисковые компоненты в договоре в явной форме (рисковые компоненты, определенные в договоре), или они неявным образом заложены в справедливой стоимости или денежных потоках того объекта, частью которого они являются (рисковые компоненты, не определенные договором). Рисковые компоненты, не определенные договором, могут относиться к объектам, которые не представляют собой договор (например, прогнозируемые операции), или к договорам, в которых такой компонент не указывается в явной форме (например, твердое договорное обязательство, которое предусматривает только единую цену, а не ценовую формулу, в которой используются различные базовые переменные). Например:</w:t>
      </w:r>
      <w:bookmarkEnd w:id="421"/>
    </w:p>
    <w:p w:rsidR="002D1543" w:rsidRPr="00453F25" w:rsidRDefault="002D1543" w:rsidP="002D1543">
      <w:pPr>
        <w:pStyle w:val="IASBNormalnparaL1"/>
        <w:rPr>
          <w:lang w:val="ru-RU"/>
        </w:rPr>
      </w:pPr>
      <w:r w:rsidRPr="00453F25">
        <w:rPr>
          <w:lang w:val="ru-RU"/>
        </w:rPr>
        <w:t>(</w:t>
      </w:r>
      <w:r w:rsidRPr="00453F25">
        <w:t>a</w:t>
      </w:r>
      <w:r w:rsidRPr="00453F25">
        <w:rPr>
          <w:lang w:val="ru-RU"/>
        </w:rPr>
        <w:t>)</w:t>
      </w:r>
      <w:r w:rsidRPr="00453F25">
        <w:rPr>
          <w:lang w:val="ru-RU"/>
        </w:rPr>
        <w:tab/>
      </w:r>
      <w:bookmarkStart w:id="422" w:name="F27188100"/>
      <w:r w:rsidRPr="00453F25">
        <w:rPr>
          <w:lang w:val="ru-RU"/>
        </w:rPr>
        <w:t>У Организации А имеется долгосрочный договор на поставку природного газа, цена которого устанавливается на основании определенной в договоре формулы, содержащей ссылки на цены товаров и прочих факторов (например, цены дизельного топлива, мазута и прочие компоненты, такие как расходы на транспортировку). Организация А хеджирует компонент данного договора на поставку, относящийся к дизельному топливу, используя для этого форвардный договор на дизельное топливо. Поскольку компонент «дизельное топливо» в явной форме предусмотрен условиями договора на поставку, он представляет собой рисковый компонент, определенный договором. Соответственно, вследствие наличия ценовой формулы Организация А заключает, что подверженность риску изменения цены дизельного топлива поддается отдельной идентификации. В то же время, существует рынок для форвардных договоров на дизельное топливо. Поэтому Организация А заключает, что подверженность риску изменения цены дизельного топлива поддается надежной оценке. Как следствие, подверженность риску изменения цены дизельного топлива в рамках договора на поставку представляет собой рисковый компонент, который организация может по собственному усмотрению определить в качестве объекта хеджирования.</w:t>
      </w:r>
      <w:bookmarkEnd w:id="422"/>
    </w:p>
    <w:p w:rsidR="002D1543" w:rsidRPr="00453F25" w:rsidRDefault="002D1543" w:rsidP="002D1543">
      <w:pPr>
        <w:pStyle w:val="IASBNormalnparaL1"/>
        <w:rPr>
          <w:lang w:val="ru-RU"/>
        </w:rPr>
      </w:pPr>
      <w:r w:rsidRPr="00453F25">
        <w:rPr>
          <w:lang w:val="ru-RU"/>
        </w:rPr>
        <w:t>(</w:t>
      </w:r>
      <w:r w:rsidRPr="00453F25">
        <w:t>b</w:t>
      </w:r>
      <w:r w:rsidRPr="00453F25">
        <w:rPr>
          <w:lang w:val="ru-RU"/>
        </w:rPr>
        <w:t>)</w:t>
      </w:r>
      <w:r w:rsidRPr="00453F25">
        <w:rPr>
          <w:lang w:val="ru-RU"/>
        </w:rPr>
        <w:tab/>
      </w:r>
      <w:bookmarkStart w:id="423" w:name="F27188102"/>
      <w:r w:rsidRPr="00453F25">
        <w:rPr>
          <w:lang w:val="ru-RU"/>
        </w:rPr>
        <w:t>Организация B хеджирует свои будущие операции по закупке кофе, основываясь на прогнозах собственного производства. Часть прогнозируемого объема закупок начинает хеджироваться за 15 месяцев до поставки. Организация B с течением времени увеличивает хеджируемый объем (по мере приближения даты поставки). Для управления риском изменения цены на кофе Организация B использует два разных типа договоров:</w:t>
      </w:r>
      <w:bookmarkEnd w:id="423"/>
    </w:p>
    <w:p w:rsidR="002D1543" w:rsidRPr="00453F25" w:rsidRDefault="002D1543" w:rsidP="002D1543">
      <w:pPr>
        <w:pStyle w:val="IASBNormalnparaL2"/>
        <w:rPr>
          <w:lang w:val="ru-RU"/>
        </w:rPr>
      </w:pPr>
      <w:r w:rsidRPr="00453F25">
        <w:rPr>
          <w:lang w:val="ru-RU"/>
        </w:rPr>
        <w:t>(</w:t>
      </w:r>
      <w:r w:rsidRPr="00453F25">
        <w:t>i</w:t>
      </w:r>
      <w:r w:rsidRPr="00453F25">
        <w:rPr>
          <w:lang w:val="ru-RU"/>
        </w:rPr>
        <w:t>)</w:t>
      </w:r>
      <w:r w:rsidRPr="00453F25">
        <w:rPr>
          <w:lang w:val="ru-RU"/>
        </w:rPr>
        <w:tab/>
      </w:r>
      <w:bookmarkStart w:id="424" w:name="F27188105"/>
      <w:r w:rsidRPr="00453F25">
        <w:rPr>
          <w:lang w:val="ru-RU"/>
        </w:rPr>
        <w:t>торгуемые на бирже фьючерсные договоры на кофе; и</w:t>
      </w:r>
      <w:bookmarkEnd w:id="424"/>
    </w:p>
    <w:p w:rsidR="002D1543" w:rsidRPr="00453F25" w:rsidRDefault="002D1543" w:rsidP="002D1543">
      <w:pPr>
        <w:pStyle w:val="IASBNormalnparaL2"/>
        <w:rPr>
          <w:lang w:val="ru-RU"/>
        </w:rPr>
      </w:pPr>
      <w:r w:rsidRPr="00453F25">
        <w:rPr>
          <w:lang w:val="ru-RU"/>
        </w:rPr>
        <w:t>(</w:t>
      </w:r>
      <w:r w:rsidRPr="00453F25">
        <w:t>ii</w:t>
      </w:r>
      <w:r w:rsidRPr="00453F25">
        <w:rPr>
          <w:lang w:val="ru-RU"/>
        </w:rPr>
        <w:t>)</w:t>
      </w:r>
      <w:r w:rsidRPr="00453F25">
        <w:rPr>
          <w:lang w:val="ru-RU"/>
        </w:rPr>
        <w:tab/>
      </w:r>
      <w:bookmarkStart w:id="425" w:name="F27188107"/>
      <w:r w:rsidRPr="00453F25">
        <w:rPr>
          <w:lang w:val="ru-RU"/>
        </w:rPr>
        <w:t xml:space="preserve">договоры на поставку кофе сорта Арабика из Колумбии, доставляемого на определенный производственный объект. По условиям этих договоров цена за тонну кофе определяется с использованием ценовой формулы, которая основана на цене торгуемых на бирже фьючерсных договоров на кофе, плюс фиксированная ценовая разница, плюс переменная величина платы за логистические услуги. Договор на поставку </w:t>
      </w:r>
      <w:r w:rsidR="009E70E7">
        <w:rPr>
          <w:lang w:val="ru-RU"/>
        </w:rPr>
        <w:t>кофе представляет собой договор к</w:t>
      </w:r>
      <w:r w:rsidRPr="00453F25">
        <w:rPr>
          <w:lang w:val="ru-RU"/>
        </w:rPr>
        <w:t xml:space="preserve"> исполнению, по которому кофе будет физически поставлен Организации </w:t>
      </w:r>
      <w:bookmarkEnd w:id="425"/>
      <w:r w:rsidR="00A34BF4" w:rsidRPr="00453F25">
        <w:rPr>
          <w:lang w:val="ru-RU"/>
        </w:rPr>
        <w:t>B.</w:t>
      </w:r>
    </w:p>
    <w:p w:rsidR="002D1543" w:rsidRPr="00453F25" w:rsidRDefault="002D1543" w:rsidP="002D1543">
      <w:pPr>
        <w:pStyle w:val="IASBNormalnparaL1P"/>
        <w:rPr>
          <w:lang w:val="ru-RU"/>
        </w:rPr>
      </w:pPr>
      <w:bookmarkStart w:id="426" w:name="F27188108"/>
      <w:r w:rsidRPr="00453F25">
        <w:rPr>
          <w:lang w:val="ru-RU"/>
        </w:rPr>
        <w:t>В отношении поставок, которые относятся к урожаю текущего года, заключение договоров на поставку кофе позволяет Организации B зафиксировать разницу в ценах на кофе фактически приобретенного качества (сорт Арабика из Колумбии) и кофе с базовыми качественными характеристиками, который лежит в основе торгуемого на бирже фьючерсного договора. Однако в отношении поставок, которые относятся к урожаю следующего года, договоры на поставку кофе пока отсутствуют, вследствие чего ценовая разница не может быть зафиксирована. Организация B использует торгуемые на бирже фьючерсные договоры на кофе для того, чтобы хеджировать свой риск изменения цен на кофе по компоненту «базовое качество» применительно к поставкам, относящимся к урожаю как текущего, так и следующего годов. Организация B определяет, что она подвержена трем различным рискам: риску изменения цен на кофе, отражающему базовое качество, риску изменения цен на кофе, отражающему разницу (спрэд) между ценой на кофе базового качества и ценой на кофе определенного сорта Арабика из Колумбии, который она фактически получает, а также риску, связанному с переменными логистическими затратами. Прим</w:t>
      </w:r>
      <w:r w:rsidR="00A34BF4">
        <w:rPr>
          <w:lang w:val="ru-RU"/>
        </w:rPr>
        <w:t>енительно к поставкам, относящим</w:t>
      </w:r>
      <w:r w:rsidRPr="00453F25">
        <w:rPr>
          <w:lang w:val="ru-RU"/>
        </w:rPr>
        <w:t>ся к урожаю текущего года, после того, как Организация B заключила договор на поставку кофе, риск изменения цен на кофе, отражающий базовое качество, становится рисковым компонентом, определенным в договоре, поскольку ценовая формула предусматривает индексацию до цены торгуемых на бирже фьючерсных договоров на кофе. Организация B приходит к выводу, что этот рисковый компонент является отдельно идентифицируемым и поддается надежной оценке. Применительно к поставкам, относящимся к урожаю следующего года, Организация B еще не заключила никаких договоров на поставку кофе (</w:t>
      </w:r>
      <w:r w:rsidR="00730672">
        <w:rPr>
          <w:lang w:val="ru-RU"/>
        </w:rPr>
        <w:t>т. е.</w:t>
      </w:r>
      <w:r w:rsidRPr="00453F25">
        <w:rPr>
          <w:lang w:val="ru-RU"/>
        </w:rPr>
        <w:t xml:space="preserve"> эти поставки являются прогнозируемыми операциями). Следовательно, риск изменения цен на кофе, отражающий базовое качество, представляет собой рисковый компонент, не определенный договором. Анализируя структуру рынка, Организация B принимает в расчет процесс ценообразования для фактических объемов кофе, которые в конечном итоге ей поставляются. Соответственно, исходя из результатов проведенного анализа структуры рынка, Организация B заключает, что прогнозируемые операции также сопряжены с риском изменения цен на кофе, отражающим базовое качество, как рисковый компонент, который является отдельно идентифицируемым и поддается надежной оценке, хотя он и не определен договором. Следовательно, Организация B может по </w:t>
      </w:r>
      <w:r w:rsidR="00A34BF4" w:rsidRPr="00453F25">
        <w:rPr>
          <w:lang w:val="ru-RU"/>
        </w:rPr>
        <w:t>собственному</w:t>
      </w:r>
      <w:r w:rsidRPr="00453F25">
        <w:rPr>
          <w:lang w:val="ru-RU"/>
        </w:rPr>
        <w:t xml:space="preserve"> усмотрению определить отношения хеджирования на основе рисковых компонентов (в отношении риска изменения цен на кофе, отражающего базовое качество) как для договоров на поставку кофе, так и для прогнозируемых операций.</w:t>
      </w:r>
      <w:bookmarkEnd w:id="426"/>
    </w:p>
    <w:p w:rsidR="002D1543" w:rsidRPr="00453F25" w:rsidRDefault="002D1543" w:rsidP="002D1543">
      <w:pPr>
        <w:pStyle w:val="IASBNormalnparaL1"/>
        <w:rPr>
          <w:lang w:val="ru-RU"/>
        </w:rPr>
      </w:pPr>
      <w:r w:rsidRPr="00453F25">
        <w:rPr>
          <w:lang w:val="ru-RU"/>
        </w:rPr>
        <w:t>(</w:t>
      </w:r>
      <w:r w:rsidRPr="00453F25">
        <w:t>c</w:t>
      </w:r>
      <w:r w:rsidRPr="00453F25">
        <w:rPr>
          <w:lang w:val="ru-RU"/>
        </w:rPr>
        <w:t>)</w:t>
      </w:r>
      <w:r w:rsidRPr="00453F25">
        <w:rPr>
          <w:lang w:val="ru-RU"/>
        </w:rPr>
        <w:tab/>
      </w:r>
      <w:bookmarkStart w:id="427" w:name="F27188110"/>
      <w:r w:rsidRPr="00453F25">
        <w:rPr>
          <w:lang w:val="ru-RU"/>
        </w:rPr>
        <w:t>Организация С хеджирует часть своих будущих закупок авиационного топлива на основе прогноза его потребления максимум за 24 месяца до даты поставки и увеличивает хеджируемый объем с течением времени. Организация С хеджирует данную позицию, подверженную риску, используя различные типы договоров в зависимости от срока, на который осуществляется хеджирование и от которого зависит рыночная ликвидность соответствующих производных инструментов. Для относ</w:t>
      </w:r>
      <w:r w:rsidR="004114F4">
        <w:rPr>
          <w:lang w:val="ru-RU"/>
        </w:rPr>
        <w:t>ительно продолжительных временны</w:t>
      </w:r>
      <w:r w:rsidRPr="00453F25">
        <w:rPr>
          <w:lang w:val="ru-RU"/>
        </w:rPr>
        <w:t>х промежутков (от 12 до 24 месяцев) Организация С использует договоры на сырую нефть, поскольку только по ним уровень рыночной ликвидности является достаточным. Для временных промежутков от 6 до 12 месяцев Организация С использует производные инструменты на газойль, поскольку они являются в достаточной мере ликвидными. Для временных промежутков менее 6 месяцев Организация С использует договоры на авиационное топливо. Организация С анализирует структуру рынка нефти и нефтепродуктов и оценивает значимые факты и обстоятельства следующим образом:</w:t>
      </w:r>
      <w:bookmarkEnd w:id="427"/>
    </w:p>
    <w:p w:rsidR="002D1543" w:rsidRPr="00453F25" w:rsidRDefault="002D1543" w:rsidP="002D1543">
      <w:pPr>
        <w:pStyle w:val="IASBNormalnparaL1"/>
        <w:ind w:left="2347" w:hanging="785"/>
        <w:rPr>
          <w:lang w:val="ru-RU"/>
        </w:rPr>
      </w:pPr>
      <w:r w:rsidRPr="00453F25">
        <w:rPr>
          <w:lang w:val="ru-RU"/>
        </w:rPr>
        <w:t>(</w:t>
      </w:r>
      <w:r w:rsidRPr="00453F25">
        <w:t>i</w:t>
      </w:r>
      <w:r w:rsidRPr="00453F25">
        <w:rPr>
          <w:lang w:val="ru-RU"/>
        </w:rPr>
        <w:t>)</w:t>
      </w:r>
      <w:bookmarkStart w:id="428" w:name="F27188113"/>
      <w:r w:rsidRPr="00453F25">
        <w:rPr>
          <w:lang w:val="ru-RU"/>
        </w:rPr>
        <w:tab/>
        <w:t xml:space="preserve">Организация С осуществляет свою деятельность в географическом регионе, в котором сырая нефть сорта Брент принята в качестве стандартной базы для сравнения. Сырая нефть является базовым видом сырья, цена которого влияет на цену различных продуктов нефтепереработки, поскольку сырая нефть является исходным материалом для их производства. Газойль принят в качестве базового показателя для нефтепродуктов, цена которого является индикатором для цен на нефтяные дистилляты в более широком смысле. Это также отражено в типах производных финансовых инструментов, используемых применительно к рынкам сырой нефти и продуктов ее переработки </w:t>
      </w:r>
      <w:bookmarkStart w:id="429" w:name="F27188116"/>
      <w:r w:rsidRPr="00453F25">
        <w:rPr>
          <w:lang w:val="ru-RU"/>
        </w:rPr>
        <w:t>в той экономической среде, в которой Организация С осуществляет свою деятельность, а именно:</w:t>
      </w:r>
    </w:p>
    <w:p w:rsidR="002D1543" w:rsidRPr="00453F25" w:rsidRDefault="002D1543" w:rsidP="002D1543">
      <w:pPr>
        <w:pStyle w:val="IASBNormalnparaL1"/>
        <w:ind w:left="3129"/>
        <w:rPr>
          <w:lang w:val="ru-RU"/>
        </w:rPr>
      </w:pPr>
      <w:r w:rsidRPr="00453F25">
        <w:rPr>
          <w:lang w:val="ru-RU"/>
        </w:rPr>
        <w:t>•</w:t>
      </w:r>
      <w:r w:rsidRPr="00453F25">
        <w:rPr>
          <w:lang w:val="ru-RU"/>
        </w:rPr>
        <w:tab/>
        <w:t>фьючерсный договор на стандартную сырую нефть, в качестве которой принята сырая нефть сорта Брент;</w:t>
      </w:r>
      <w:bookmarkEnd w:id="429"/>
    </w:p>
    <w:p w:rsidR="002D1543" w:rsidRPr="00453F25" w:rsidRDefault="002D1543" w:rsidP="002D1543">
      <w:pPr>
        <w:pStyle w:val="IASBNormalnparaL3"/>
        <w:rPr>
          <w:lang w:val="ru-RU"/>
        </w:rPr>
      </w:pPr>
      <w:r w:rsidRPr="00453F25">
        <w:rPr>
          <w:lang w:val="ru-RU"/>
        </w:rPr>
        <w:t>•</w:t>
      </w:r>
      <w:r w:rsidRPr="00453F25">
        <w:rPr>
          <w:lang w:val="ru-RU"/>
        </w:rPr>
        <w:tab/>
      </w:r>
      <w:bookmarkStart w:id="430" w:name="F27188118"/>
      <w:r w:rsidRPr="00453F25">
        <w:rPr>
          <w:lang w:val="ru-RU"/>
        </w:rPr>
        <w:t xml:space="preserve">фьючерсный договор на стандартный газойль, который используется в качестве ценового </w:t>
      </w:r>
      <w:r w:rsidR="00A34BF4" w:rsidRPr="00453F25">
        <w:rPr>
          <w:lang w:val="ru-RU"/>
        </w:rPr>
        <w:t>ориентира</w:t>
      </w:r>
      <w:r w:rsidRPr="00453F25">
        <w:rPr>
          <w:lang w:val="ru-RU"/>
        </w:rPr>
        <w:t xml:space="preserve"> при определении цен на дистилляты </w:t>
      </w:r>
      <w:r w:rsidR="00A876BE" w:rsidRPr="008872E8">
        <w:rPr>
          <w:lang w:val="ru-RU"/>
        </w:rPr>
        <w:t>–</w:t>
      </w:r>
      <w:r w:rsidRPr="00453F25">
        <w:rPr>
          <w:lang w:val="ru-RU"/>
        </w:rPr>
        <w:t xml:space="preserve"> например, производные инструменты на спрэд авиационного топлива покрывают разницу между ценами на авиационное топливо и ценами на этот стандартный газойль; и</w:t>
      </w:r>
      <w:bookmarkEnd w:id="430"/>
    </w:p>
    <w:p w:rsidR="002D1543" w:rsidRPr="00453F25" w:rsidRDefault="002D1543" w:rsidP="002D1543">
      <w:pPr>
        <w:pStyle w:val="IASBNormalnparaL3"/>
        <w:rPr>
          <w:lang w:val="ru-RU"/>
        </w:rPr>
      </w:pPr>
      <w:r w:rsidRPr="00453F25">
        <w:rPr>
          <w:lang w:val="ru-RU"/>
        </w:rPr>
        <w:t>•</w:t>
      </w:r>
      <w:r w:rsidRPr="00453F25">
        <w:rPr>
          <w:lang w:val="ru-RU"/>
        </w:rPr>
        <w:tab/>
      </w:r>
      <w:bookmarkStart w:id="431" w:name="F27188120"/>
      <w:r w:rsidRPr="00453F25">
        <w:rPr>
          <w:lang w:val="ru-RU"/>
        </w:rPr>
        <w:t>производный инструмент на крек-спрэд относительно стандартного газойля (</w:t>
      </w:r>
      <w:r w:rsidR="00730672">
        <w:rPr>
          <w:lang w:val="ru-RU"/>
        </w:rPr>
        <w:t>т. е.</w:t>
      </w:r>
      <w:r w:rsidRPr="00453F25">
        <w:rPr>
          <w:lang w:val="ru-RU"/>
        </w:rPr>
        <w:t xml:space="preserve"> производный инструмент в отношении ценовой разницы между </w:t>
      </w:r>
      <w:r w:rsidR="00A34BF4" w:rsidRPr="00453F25">
        <w:rPr>
          <w:lang w:val="ru-RU"/>
        </w:rPr>
        <w:t>сырой</w:t>
      </w:r>
      <w:r w:rsidRPr="00453F25">
        <w:rPr>
          <w:lang w:val="ru-RU"/>
        </w:rPr>
        <w:t xml:space="preserve"> нефтью и газойлем </w:t>
      </w:r>
      <w:r w:rsidR="00A876BE" w:rsidRPr="008872E8">
        <w:rPr>
          <w:lang w:val="ru-RU"/>
        </w:rPr>
        <w:t>–</w:t>
      </w:r>
      <w:r w:rsidRPr="00453F25">
        <w:rPr>
          <w:lang w:val="ru-RU"/>
        </w:rPr>
        <w:t xml:space="preserve"> маржа за нефтепереработку), индексируемый к цене сырой нефти сорта Брент.</w:t>
      </w:r>
      <w:bookmarkEnd w:id="431"/>
    </w:p>
    <w:bookmarkEnd w:id="428"/>
    <w:p w:rsidR="002D1543" w:rsidRPr="00453F25" w:rsidRDefault="002D1543" w:rsidP="002D1543">
      <w:pPr>
        <w:pStyle w:val="IASBNormalnparaL2"/>
        <w:rPr>
          <w:lang w:val="ru-RU"/>
        </w:rPr>
      </w:pPr>
      <w:r w:rsidRPr="00453F25">
        <w:rPr>
          <w:lang w:val="ru-RU"/>
        </w:rPr>
        <w:t>(</w:t>
      </w:r>
      <w:r w:rsidRPr="00453F25">
        <w:t>ii</w:t>
      </w:r>
      <w:r w:rsidRPr="00453F25">
        <w:rPr>
          <w:lang w:val="ru-RU"/>
        </w:rPr>
        <w:t>)</w:t>
      </w:r>
      <w:r w:rsidRPr="00453F25">
        <w:rPr>
          <w:lang w:val="ru-RU"/>
        </w:rPr>
        <w:tab/>
      </w:r>
      <w:bookmarkStart w:id="432" w:name="F27188122"/>
      <w:r w:rsidRPr="00453F25">
        <w:rPr>
          <w:lang w:val="ru-RU"/>
        </w:rPr>
        <w:t>Определение цены на продукты нефтепереработки не зависит от того, какая именно сырая нефть перерабатывается на каком-либо определенном нефтеперерабатывающем заводе, поскольку данные продукты нефтепереработки (такие как газойль или авиационное топливо) являются стандартизированными продуктами.</w:t>
      </w:r>
      <w:bookmarkEnd w:id="432"/>
    </w:p>
    <w:p w:rsidR="002D1543" w:rsidRPr="00453F25" w:rsidRDefault="002D1543" w:rsidP="00C14EF7">
      <w:pPr>
        <w:pStyle w:val="IASBNormalnparaL1P"/>
        <w:rPr>
          <w:lang w:val="ru-RU"/>
        </w:rPr>
      </w:pPr>
      <w:bookmarkStart w:id="433" w:name="F27188123"/>
      <w:r w:rsidRPr="00453F25">
        <w:rPr>
          <w:lang w:val="ru-RU"/>
        </w:rPr>
        <w:t>Соответственно, Организация С заключает, что риск изменения цен, связанный с приобретением ею авиационного топлива, включает в себя компонент, связанный с риском изменения цен на сырую нефть, который определяется ценой на сырую нефть сорта Брент, и компонент, связанный с риском изменения цен на газойль, несмотря на то, что ни сырая нефть, ни газойль не указаны в условиях какого-либо договора. Организация С заключает, что эти два рисковых компонента являются отдельно идентифицируемыми и поддают</w:t>
      </w:r>
      <w:r w:rsidR="00783AB6">
        <w:rPr>
          <w:lang w:val="ru-RU"/>
        </w:rPr>
        <w:t>ся надежной оценке, несмотря на</w:t>
      </w:r>
      <w:r w:rsidRPr="00453F25">
        <w:rPr>
          <w:lang w:val="ru-RU"/>
        </w:rPr>
        <w:t xml:space="preserve"> то, что они не определены договором. Следовательно, Организация С может по собственному усмотрению определить отношения хеджирования для прогнозируемых закупок топлива для реактивных двигателей на основе рисковых компонентов (по компоненту сырой нефти или по компоненту газойля). Этот анализ также означает, что если, например, Организация С использует производные инструменты на сырую нефть сорта </w:t>
      </w:r>
      <w:r w:rsidRPr="00453F25">
        <w:t>West</w:t>
      </w:r>
      <w:r w:rsidRPr="00453F25">
        <w:rPr>
          <w:lang w:val="ru-RU"/>
        </w:rPr>
        <w:t xml:space="preserve"> </w:t>
      </w:r>
      <w:r w:rsidRPr="00453F25">
        <w:t>Texas</w:t>
      </w:r>
      <w:r w:rsidRPr="00453F25">
        <w:rPr>
          <w:lang w:val="ru-RU"/>
        </w:rPr>
        <w:t xml:space="preserve"> </w:t>
      </w:r>
      <w:r w:rsidRPr="00453F25">
        <w:t>Intermediate</w:t>
      </w:r>
      <w:r w:rsidRPr="00453F25">
        <w:rPr>
          <w:lang w:val="ru-RU"/>
        </w:rPr>
        <w:t xml:space="preserve"> (</w:t>
      </w:r>
      <w:r w:rsidRPr="00453F25">
        <w:t>WTI</w:t>
      </w:r>
      <w:r w:rsidRPr="00453F25">
        <w:rPr>
          <w:lang w:val="ru-RU"/>
        </w:rPr>
        <w:t xml:space="preserve">), то изменения ценовой разницы между сырой нефтью сорта Брент и сырой нефтью сорта </w:t>
      </w:r>
      <w:r w:rsidRPr="00453F25">
        <w:t>WTI</w:t>
      </w:r>
      <w:r w:rsidRPr="00453F25">
        <w:rPr>
          <w:lang w:val="ru-RU"/>
        </w:rPr>
        <w:t xml:space="preserve"> приведут к неэффективности хеджирования.</w:t>
      </w:r>
      <w:bookmarkEnd w:id="433"/>
    </w:p>
    <w:p w:rsidR="002D1543" w:rsidRPr="00453F25" w:rsidRDefault="002D1543" w:rsidP="002D1543">
      <w:pPr>
        <w:pStyle w:val="IASBNormalnparaL1"/>
        <w:rPr>
          <w:lang w:val="ru-RU"/>
        </w:rPr>
      </w:pPr>
      <w:r w:rsidRPr="00453F25">
        <w:rPr>
          <w:lang w:val="ru-RU"/>
        </w:rPr>
        <w:t>(</w:t>
      </w:r>
      <w:r w:rsidRPr="00453F25">
        <w:t>d</w:t>
      </w:r>
      <w:r w:rsidRPr="00453F25">
        <w:rPr>
          <w:lang w:val="ru-RU"/>
        </w:rPr>
        <w:t>)</w:t>
      </w:r>
      <w:r w:rsidRPr="00453F25">
        <w:rPr>
          <w:lang w:val="ru-RU"/>
        </w:rPr>
        <w:tab/>
      </w:r>
      <w:bookmarkStart w:id="434" w:name="F27188125"/>
      <w:r w:rsidRPr="00453F25">
        <w:rPr>
          <w:lang w:val="ru-RU"/>
        </w:rPr>
        <w:t xml:space="preserve">Организация </w:t>
      </w:r>
      <w:r w:rsidRPr="00453F25">
        <w:t>D</w:t>
      </w:r>
      <w:r w:rsidRPr="00453F25">
        <w:rPr>
          <w:lang w:val="ru-RU"/>
        </w:rPr>
        <w:t xml:space="preserve"> имеет долговой инструмент с фиксированной процентной ставкой. Этот инструмент выпускается в экономической среде, где рынок характеризуется большим разнообразием схожих долговых инструментов, сравниваемых между собой на основе спрэда с базовой ставкой (например, ставкой </w:t>
      </w:r>
      <w:r w:rsidRPr="00453F25">
        <w:t>LIBOR</w:t>
      </w:r>
      <w:r w:rsidRPr="00453F25">
        <w:rPr>
          <w:lang w:val="ru-RU"/>
        </w:rPr>
        <w:t xml:space="preserve">), и где инструменты с плавающей процентной ставкой обычно индексируются до этой базовой ставки. Для управления процентным риском обычно используются процентные свопы на основе указанной базовой ставки вне зависимости от спрэда долговых инструментов относительно этой базовой ставки. Цена долговых инструментов с фиксированной процентной ставкой меняется в прямом соответствии с изменениями базовой ставки в момент их возникновения. Организация </w:t>
      </w:r>
      <w:r w:rsidRPr="00453F25">
        <w:t>D</w:t>
      </w:r>
      <w:r w:rsidRPr="00453F25">
        <w:rPr>
          <w:lang w:val="ru-RU"/>
        </w:rPr>
        <w:t xml:space="preserve"> приходит к выводу, что данная базовая ставка представляет собой компонент, который возможно отдельно идентифицировать и надежно оценить. Следовательно, для этого долгового инструмента с фи</w:t>
      </w:r>
      <w:r w:rsidR="00783AB6">
        <w:rPr>
          <w:lang w:val="ru-RU"/>
        </w:rPr>
        <w:t>ксированной процентной ставкой О</w:t>
      </w:r>
      <w:r w:rsidRPr="00453F25">
        <w:rPr>
          <w:lang w:val="ru-RU"/>
        </w:rPr>
        <w:t xml:space="preserve">рганизация </w:t>
      </w:r>
      <w:r w:rsidRPr="00453F25">
        <w:t>D</w:t>
      </w:r>
      <w:r w:rsidRPr="00453F25">
        <w:rPr>
          <w:lang w:val="ru-RU"/>
        </w:rPr>
        <w:t xml:space="preserve"> может по собственному усмотрению определить отношения хеджирования на основе рискового компонента, связанного с риском изменения базовой процентной ставки.</w:t>
      </w:r>
      <w:bookmarkEnd w:id="434"/>
    </w:p>
    <w:p w:rsidR="002D1543" w:rsidRPr="00453F25" w:rsidRDefault="002D1543" w:rsidP="002D1543">
      <w:pPr>
        <w:pStyle w:val="IASBNormalnpara"/>
        <w:rPr>
          <w:lang w:val="ru-RU"/>
        </w:rPr>
      </w:pPr>
      <w:r w:rsidRPr="00453F25">
        <w:t>B</w:t>
      </w:r>
      <w:r w:rsidRPr="00453F25">
        <w:rPr>
          <w:lang w:val="ru-RU"/>
        </w:rPr>
        <w:t>6.3.11</w:t>
      </w:r>
      <w:r w:rsidRPr="00453F25">
        <w:rPr>
          <w:lang w:val="ru-RU"/>
        </w:rPr>
        <w:tab/>
      </w:r>
      <w:bookmarkStart w:id="435" w:name="F27188126"/>
      <w:r w:rsidRPr="00453F25">
        <w:rPr>
          <w:lang w:val="ru-RU"/>
        </w:rPr>
        <w:t>Когда рисковый компонент определяется по усмотрению организации в качестве объекта хеджирования, к нему предъявляются все требования в части учета хеджирования, так же, как и к другим объектам хеджирования, не представляющим собой рисковые компоненты. Например, применяются квалификационные критерии, включая требование о том, чтобы отношения хеджирования были эффективными, а неэффективность хеджирования подлежала оценке и признанию.</w:t>
      </w:r>
      <w:bookmarkEnd w:id="435"/>
    </w:p>
    <w:p w:rsidR="002D1543" w:rsidRPr="00453F25" w:rsidRDefault="002D1543" w:rsidP="002D1543">
      <w:pPr>
        <w:pStyle w:val="IASBNormalnpara"/>
        <w:rPr>
          <w:lang w:val="ru-RU"/>
        </w:rPr>
      </w:pPr>
      <w:r w:rsidRPr="00453F25">
        <w:t>B</w:t>
      </w:r>
      <w:r w:rsidRPr="00453F25">
        <w:rPr>
          <w:lang w:val="ru-RU"/>
        </w:rPr>
        <w:t>6.3.12</w:t>
      </w:r>
      <w:r w:rsidRPr="00453F25">
        <w:rPr>
          <w:lang w:val="ru-RU"/>
        </w:rPr>
        <w:tab/>
      </w:r>
      <w:bookmarkStart w:id="436" w:name="F27188127"/>
      <w:r w:rsidRPr="00453F25">
        <w:rPr>
          <w:lang w:val="ru-RU"/>
        </w:rPr>
        <w:t>Организация также может по собственному усмотрению определить в качестве объекта хеджирования изменения денежных потоков или справедливой стоимости объекта хеджирования только выше или ниже некоторой установленной цены или иной переменной («односторонний риск»). Односторонний риск, связанный с объектом хеджирования, отражает внутренняя стоимость приобретенного опциона, являющегося инструментом хеджирования (при допущении, что он имеет те же основные параметры, что и риск, определенный организацией для хеджирования), но не временнáя стоимость этого опциона. Например, организация может по собственному усмотрению определить в качестве объекта хеджирования риск изменения будущих денежных потоков в связи с повышением цены прогнозируемой операции по приобретению товаров. В подобной ситуации организация по собственному усмотрению определяет в качестве объекта хеджирования только те денежные убытки, которые являются следствием увеличения указанной цены сверх определенного уровня. Хеджируемый риск не включает в себя временнýю стоимость приобретенного опциона, поскольку временнáя стоимость не является компонентом прогнозируемой операции, который оказывает влияние на прибыль или убыток.</w:t>
      </w:r>
      <w:bookmarkEnd w:id="436"/>
    </w:p>
    <w:p w:rsidR="002D1543" w:rsidRPr="00453F25" w:rsidRDefault="002D1543" w:rsidP="002D1543">
      <w:pPr>
        <w:pStyle w:val="IASBNormalnpara"/>
        <w:rPr>
          <w:lang w:val="ru-RU"/>
        </w:rPr>
      </w:pPr>
      <w:r w:rsidRPr="00453F25">
        <w:t>B</w:t>
      </w:r>
      <w:r w:rsidRPr="00453F25">
        <w:rPr>
          <w:lang w:val="ru-RU"/>
        </w:rPr>
        <w:t>6.3.13</w:t>
      </w:r>
      <w:r w:rsidRPr="00453F25">
        <w:rPr>
          <w:lang w:val="ru-RU"/>
        </w:rPr>
        <w:tab/>
      </w:r>
      <w:bookmarkStart w:id="437" w:name="F27188128"/>
      <w:r w:rsidRPr="00453F25">
        <w:rPr>
          <w:lang w:val="ru-RU"/>
        </w:rPr>
        <w:t xml:space="preserve">Существует опровержимое допущение, согласно которому в случаях, когда риск инфляции не определен договором, он не является отдельно идентифицируемым и не поддается надежной оценке, и вследствие этого не может быть определен по усмотрению организации в </w:t>
      </w:r>
      <w:r w:rsidR="00A34BF4" w:rsidRPr="00453F25">
        <w:rPr>
          <w:lang w:val="ru-RU"/>
        </w:rPr>
        <w:t>качестве рискового</w:t>
      </w:r>
      <w:r w:rsidRPr="00453F25">
        <w:rPr>
          <w:lang w:val="ru-RU"/>
        </w:rPr>
        <w:t xml:space="preserve"> компонента финансового инструмента. Однако в ограниченном числе </w:t>
      </w:r>
      <w:r w:rsidR="00A34BF4" w:rsidRPr="00453F25">
        <w:rPr>
          <w:lang w:val="ru-RU"/>
        </w:rPr>
        <w:t>случаев</w:t>
      </w:r>
      <w:r w:rsidRPr="00453F25">
        <w:rPr>
          <w:lang w:val="ru-RU"/>
        </w:rPr>
        <w:t xml:space="preserve"> возможно выявить рисковый компонент, связанный с риском инфляции, поддающийся отдельной </w:t>
      </w:r>
      <w:r w:rsidR="00A34BF4" w:rsidRPr="00453F25">
        <w:rPr>
          <w:lang w:val="ru-RU"/>
        </w:rPr>
        <w:t>идентификации</w:t>
      </w:r>
      <w:r w:rsidRPr="00453F25">
        <w:rPr>
          <w:lang w:val="ru-RU"/>
        </w:rPr>
        <w:t xml:space="preserve"> и надежной оценке вследствие особенных обстоятельств инфляционной среды и соответствующего рынка долговых инструментов.</w:t>
      </w:r>
      <w:bookmarkEnd w:id="437"/>
    </w:p>
    <w:p w:rsidR="002D1543" w:rsidRPr="00453F25" w:rsidRDefault="002D1543" w:rsidP="002D1543">
      <w:pPr>
        <w:pStyle w:val="IASBNormalnpara"/>
        <w:rPr>
          <w:lang w:val="ru-RU"/>
        </w:rPr>
      </w:pPr>
      <w:r w:rsidRPr="00453F25">
        <w:t>B</w:t>
      </w:r>
      <w:r w:rsidRPr="00453F25">
        <w:rPr>
          <w:lang w:val="ru-RU"/>
        </w:rPr>
        <w:t>6.3.14</w:t>
      </w:r>
      <w:r w:rsidRPr="00453F25">
        <w:rPr>
          <w:lang w:val="ru-RU"/>
        </w:rPr>
        <w:tab/>
      </w:r>
      <w:bookmarkStart w:id="438" w:name="F27188129"/>
      <w:r w:rsidRPr="00453F25">
        <w:rPr>
          <w:lang w:val="ru-RU"/>
        </w:rPr>
        <w:t>Например, экономическая среда, в которой организация выпускает долговой инструмент, предусматривает такой объем и временнýю структуру облигаций, привязанных к уровню инфляции, что соответствующий рынок является достаточно ликвидным, чтобы можно было построить временнýю структуру реальных процентных ставок, основанную на бескупонных облигациях. Это означает, что для соответствующей валюты инфляция является значимым фактором, который отдельно рассматривается рынками долговых инструментов. В этих обстоятельствах компонент, связанный с риском инфляции, может быть установлен путем дисконтирования денежных потоков по хеджируемому долговому инструменту с использованием временнóй структуры реальных процентных ставок, основанной на бескупонных облигациях (</w:t>
      </w:r>
      <w:r w:rsidR="00730672">
        <w:rPr>
          <w:lang w:val="ru-RU"/>
        </w:rPr>
        <w:t>т. е.</w:t>
      </w:r>
      <w:r w:rsidRPr="00453F25">
        <w:rPr>
          <w:lang w:val="ru-RU"/>
        </w:rPr>
        <w:t xml:space="preserve"> аналогично тому, как можно определить компонент, связанный с безрисковой (номинальной) процентной ставкой). И наоборот, во многих случаях компонент, связанный с риском инфляции, не поддается отдельной идентификации и надежной оценке. Например, организация выпускает долговой инструмент только с номинальной процентной ставкой в условиях, где рынок облигаций, привязанных к уровню инфляции, является недостаточно ликвидным для того, чтобы можно было построить временнýю структуру реальных процентных ставок, основанную на бескупонных облигациях. В этом случае анализ структуры рынка, а также фактов и обстоятельств не позволяет организации заключить, что инфляция является значимым фактором, который отдельно рассматривается участниками рынка долевых инструментов. Следовательно, организация не может опровергнуть допущение о том, что риск инфляции, не определенный договором, не является отдельно идентифицируемым и не поддается надежной оценке. Как следствие, компонент, связанный с риском инфляции, нельзя будет определить по усмотрению организации в качестве объекта хеджирования. Такой подход применяется вне зависимости от того, какой именно инструмент хеджирования риска инфляции на самом деле был использован организацией. </w:t>
      </w:r>
      <w:bookmarkEnd w:id="438"/>
      <w:r w:rsidRPr="00453F25">
        <w:rPr>
          <w:lang w:val="ru-RU"/>
        </w:rPr>
        <w:t>В частности, организация не может просто перенести на долговой инструмент с номинальной процентной ставкой те сроки и условия, которые присущи фактическому инструменту хеджирования риска инфляции.</w:t>
      </w:r>
    </w:p>
    <w:p w:rsidR="001529CA" w:rsidRPr="0049187C" w:rsidRDefault="002D1543" w:rsidP="002D1543">
      <w:pPr>
        <w:pStyle w:val="IASBNormalnpara"/>
        <w:rPr>
          <w:lang w:val="ru-RU"/>
        </w:rPr>
      </w:pPr>
      <w:r w:rsidRPr="00453F25">
        <w:t>B</w:t>
      </w:r>
      <w:r w:rsidRPr="00453F25">
        <w:rPr>
          <w:lang w:val="ru-RU"/>
        </w:rPr>
        <w:t>6.3.15</w:t>
      </w:r>
      <w:r w:rsidRPr="00453F25">
        <w:rPr>
          <w:lang w:val="ru-RU"/>
        </w:rPr>
        <w:tab/>
        <w:t>Определенный договором инфляционный рисковый компонент денежных потоков по признанной облигации, привязанной к уровню инфляции (при допущении, что не требуется отдельно учитывать встроенный производный инструмент), является отдельно идентифицируемым и поддается надежной оценке, при условии, что этот инфляционный рисковый компонент не оказывает влияния на прочие денежные потоки по данному инструменту</w:t>
      </w:r>
      <w:r w:rsidR="001529CA" w:rsidRPr="0049187C">
        <w:rPr>
          <w:lang w:val="ru-RU"/>
        </w:rPr>
        <w:t>.</w:t>
      </w:r>
      <w:bookmarkEnd w:id="418"/>
    </w:p>
    <w:p w:rsidR="001529CA" w:rsidRPr="0049187C" w:rsidRDefault="002253B7">
      <w:pPr>
        <w:pStyle w:val="IASBSectionTitle4Ind"/>
        <w:rPr>
          <w:lang w:val="ru-RU"/>
        </w:rPr>
      </w:pPr>
      <w:bookmarkStart w:id="439" w:name="F27188132"/>
      <w:r w:rsidRPr="0049187C">
        <w:rPr>
          <w:lang w:val="ru-RU"/>
        </w:rPr>
        <w:t>Компоненты номинальной стоимости</w:t>
      </w:r>
      <w:bookmarkEnd w:id="439"/>
    </w:p>
    <w:p w:rsidR="002D1543" w:rsidRPr="00453F25" w:rsidRDefault="001529CA" w:rsidP="002D1543">
      <w:pPr>
        <w:pStyle w:val="IASBNormalnpara"/>
        <w:rPr>
          <w:lang w:val="ru-RU"/>
        </w:rPr>
      </w:pPr>
      <w:r w:rsidRPr="0049187C">
        <w:rPr>
          <w:lang w:val="ru-RU"/>
        </w:rPr>
        <w:t>B6.3.16</w:t>
      </w:r>
      <w:r w:rsidRPr="0049187C">
        <w:rPr>
          <w:lang w:val="ru-RU"/>
        </w:rPr>
        <w:tab/>
      </w:r>
      <w:bookmarkStart w:id="440" w:name="F27188160"/>
      <w:bookmarkStart w:id="441" w:name="F27188133"/>
      <w:r w:rsidR="00A34BF4" w:rsidRPr="00453F25">
        <w:rPr>
          <w:lang w:val="ru-RU"/>
        </w:rPr>
        <w:t>Существует</w:t>
      </w:r>
      <w:r w:rsidR="002D1543" w:rsidRPr="00453F25">
        <w:rPr>
          <w:lang w:val="ru-RU"/>
        </w:rPr>
        <w:t xml:space="preserve"> два типа компонентов номинальной стоимости, которые могут по усмотрению организации определяться в качестве объекта хеджирования в отношениях хеджирования: компонент, представляющий собой пропорциональную долю целого объекта, и компонент-слой. В зависимости от типа компонента учет будет разным. Определяя по собственному усмотрению компонент для целей бухгалтерского учета, организация должна действовать сообразно своей цели управления рисками.</w:t>
      </w:r>
      <w:bookmarkEnd w:id="441"/>
    </w:p>
    <w:p w:rsidR="002D1543" w:rsidRPr="00453F25" w:rsidRDefault="002D1543" w:rsidP="002D1543">
      <w:pPr>
        <w:pStyle w:val="IASBNormalnpara"/>
        <w:rPr>
          <w:lang w:val="ru-RU"/>
        </w:rPr>
      </w:pPr>
      <w:r w:rsidRPr="00453F25">
        <w:t>B</w:t>
      </w:r>
      <w:r w:rsidRPr="00453F25">
        <w:rPr>
          <w:lang w:val="ru-RU"/>
        </w:rPr>
        <w:t>6.3.17</w:t>
      </w:r>
      <w:r w:rsidRPr="00453F25">
        <w:rPr>
          <w:lang w:val="ru-RU"/>
        </w:rPr>
        <w:tab/>
      </w:r>
      <w:bookmarkStart w:id="442" w:name="F27188134"/>
      <w:r w:rsidRPr="00453F25">
        <w:rPr>
          <w:lang w:val="ru-RU"/>
        </w:rPr>
        <w:t>Примером компонента, представляющего собой пропорциональную долю, является 50 процентов от величины денежных потоков, предусмотренных договором займа.</w:t>
      </w:r>
      <w:bookmarkEnd w:id="442"/>
    </w:p>
    <w:p w:rsidR="002D1543" w:rsidRPr="00453F25" w:rsidRDefault="002D1543" w:rsidP="002D1543">
      <w:pPr>
        <w:pStyle w:val="IASBNormalnpara"/>
        <w:rPr>
          <w:lang w:val="ru-RU"/>
        </w:rPr>
      </w:pPr>
      <w:r w:rsidRPr="00453F25">
        <w:t>B</w:t>
      </w:r>
      <w:r w:rsidRPr="00453F25">
        <w:rPr>
          <w:lang w:val="ru-RU"/>
        </w:rPr>
        <w:t>6.3.18</w:t>
      </w:r>
      <w:r w:rsidRPr="00453F25">
        <w:rPr>
          <w:lang w:val="ru-RU"/>
        </w:rPr>
        <w:tab/>
      </w:r>
      <w:bookmarkStart w:id="443" w:name="F27188135"/>
      <w:r w:rsidRPr="00453F25">
        <w:rPr>
          <w:lang w:val="ru-RU"/>
        </w:rPr>
        <w:t>Компонент-слой может быть выбран из заданной, но открытой совокупности объектов, или из заданной номинальной стоимости. Примеры компонентов-слоев включают следующие:</w:t>
      </w:r>
      <w:bookmarkEnd w:id="443"/>
    </w:p>
    <w:p w:rsidR="002D1543" w:rsidRPr="00453F25" w:rsidRDefault="002D1543" w:rsidP="002D1543">
      <w:pPr>
        <w:pStyle w:val="IASBNormalnparaL1"/>
        <w:rPr>
          <w:lang w:val="ru-RU"/>
        </w:rPr>
      </w:pPr>
      <w:r w:rsidRPr="00453F25">
        <w:rPr>
          <w:lang w:val="ru-RU"/>
        </w:rPr>
        <w:t>(</w:t>
      </w:r>
      <w:r w:rsidRPr="00453F25">
        <w:t>a</w:t>
      </w:r>
      <w:r w:rsidRPr="00453F25">
        <w:rPr>
          <w:lang w:val="ru-RU"/>
        </w:rPr>
        <w:t>)</w:t>
      </w:r>
      <w:r w:rsidRPr="00453F25">
        <w:rPr>
          <w:lang w:val="ru-RU"/>
        </w:rPr>
        <w:tab/>
      </w:r>
      <w:bookmarkStart w:id="444" w:name="F27188138"/>
      <w:r w:rsidRPr="00453F25">
        <w:rPr>
          <w:lang w:val="ru-RU"/>
        </w:rPr>
        <w:t>час</w:t>
      </w:r>
      <w:r w:rsidR="00D85425">
        <w:rPr>
          <w:lang w:val="ru-RU"/>
        </w:rPr>
        <w:t>ть денежного объема операции, например</w:t>
      </w:r>
      <w:r w:rsidRPr="00453F25">
        <w:rPr>
          <w:lang w:val="ru-RU"/>
        </w:rPr>
        <w:t>, следующие 10 денежных единиц потока денежных средств от продаж, выраженных в инос</w:t>
      </w:r>
      <w:r w:rsidR="00C0188D">
        <w:rPr>
          <w:lang w:val="ru-RU"/>
        </w:rPr>
        <w:t>транной валюте, после первых 20</w:t>
      </w:r>
      <w:r w:rsidR="00C0188D">
        <w:t> </w:t>
      </w:r>
      <w:r w:rsidRPr="00453F25">
        <w:rPr>
          <w:lang w:val="ru-RU"/>
        </w:rPr>
        <w:t>денежных единиц в иностранной валюте в марте 201Х г</w:t>
      </w:r>
      <w:r w:rsidR="00CE0707">
        <w:rPr>
          <w:lang w:val="ru-RU"/>
        </w:rPr>
        <w:t>ода</w:t>
      </w:r>
      <w:r w:rsidRPr="00453F25">
        <w:rPr>
          <w:rStyle w:val="a3"/>
        </w:rPr>
        <w:footnoteReference w:id="5"/>
      </w:r>
      <w:r w:rsidRPr="00453F25">
        <w:rPr>
          <w:lang w:val="ru-RU"/>
        </w:rPr>
        <w:t>;</w:t>
      </w:r>
      <w:r w:rsidRPr="00453F25" w:rsidDel="004F25BC">
        <w:rPr>
          <w:rStyle w:val="a3"/>
          <w:lang w:val="ru-RU"/>
        </w:rPr>
        <w:t xml:space="preserve"> </w:t>
      </w:r>
      <w:bookmarkEnd w:id="444"/>
    </w:p>
    <w:p w:rsidR="002D1543" w:rsidRPr="00453F25" w:rsidRDefault="002D1543" w:rsidP="002D1543">
      <w:pPr>
        <w:pStyle w:val="IASBNormalnparaL1"/>
        <w:rPr>
          <w:lang w:val="ru-RU"/>
        </w:rPr>
      </w:pPr>
      <w:r w:rsidRPr="00453F25">
        <w:rPr>
          <w:lang w:val="ru-RU"/>
        </w:rPr>
        <w:t>(</w:t>
      </w:r>
      <w:r w:rsidRPr="00453F25">
        <w:t>b</w:t>
      </w:r>
      <w:r w:rsidRPr="00453F25">
        <w:rPr>
          <w:lang w:val="ru-RU"/>
        </w:rPr>
        <w:t>)</w:t>
      </w:r>
      <w:r w:rsidRPr="00453F25">
        <w:rPr>
          <w:lang w:val="ru-RU"/>
        </w:rPr>
        <w:tab/>
      </w:r>
      <w:bookmarkStart w:id="445" w:name="F27188140"/>
      <w:r w:rsidRPr="00453F25">
        <w:rPr>
          <w:lang w:val="ru-RU"/>
        </w:rPr>
        <w:t xml:space="preserve">часть физического объема, например, последние 5 млн. кубических метров из остатка запасов природного газа в газохранилище </w:t>
      </w:r>
      <w:r w:rsidRPr="00453F25">
        <w:t>XYZ</w:t>
      </w:r>
      <w:r w:rsidRPr="00453F25">
        <w:rPr>
          <w:lang w:val="ru-RU"/>
        </w:rPr>
        <w:t>;</w:t>
      </w:r>
      <w:bookmarkEnd w:id="445"/>
    </w:p>
    <w:p w:rsidR="002D1543" w:rsidRPr="00453F25" w:rsidRDefault="002D1543" w:rsidP="002D1543">
      <w:pPr>
        <w:pStyle w:val="IASBNormalnparaL1"/>
        <w:rPr>
          <w:lang w:val="ru-RU"/>
        </w:rPr>
      </w:pPr>
      <w:r w:rsidRPr="00453F25">
        <w:rPr>
          <w:lang w:val="ru-RU"/>
        </w:rPr>
        <w:t>(</w:t>
      </w:r>
      <w:r w:rsidRPr="00453F25">
        <w:t>c</w:t>
      </w:r>
      <w:r w:rsidRPr="00453F25">
        <w:rPr>
          <w:lang w:val="ru-RU"/>
        </w:rPr>
        <w:t>)</w:t>
      </w:r>
      <w:r w:rsidRPr="00453F25">
        <w:rPr>
          <w:lang w:val="ru-RU"/>
        </w:rPr>
        <w:tab/>
      </w:r>
      <w:bookmarkStart w:id="446" w:name="F27188143"/>
      <w:r w:rsidRPr="00453F25">
        <w:rPr>
          <w:lang w:val="ru-RU"/>
        </w:rPr>
        <w:t>часть физического или иного объема операции, например, первые 100 баррелей нефти из закупок июня 20Х1 года или первые 100 Мвт</w:t>
      </w:r>
      <w:r w:rsidR="00C0188D" w:rsidRPr="00C0188D">
        <w:rPr>
          <w:lang w:val="ru-RU"/>
        </w:rPr>
        <w:t>-</w:t>
      </w:r>
      <w:r w:rsidRPr="00453F25">
        <w:rPr>
          <w:lang w:val="ru-RU"/>
        </w:rPr>
        <w:t>ч электроэнергии из продаж июня 20Х1 года; либо</w:t>
      </w:r>
      <w:bookmarkEnd w:id="446"/>
    </w:p>
    <w:p w:rsidR="002D1543" w:rsidRPr="00453F25" w:rsidRDefault="002D1543" w:rsidP="002D1543">
      <w:pPr>
        <w:pStyle w:val="IASBNormalnparaL1"/>
        <w:rPr>
          <w:lang w:val="ru-RU"/>
        </w:rPr>
      </w:pPr>
      <w:r w:rsidRPr="00453F25">
        <w:rPr>
          <w:lang w:val="ru-RU"/>
        </w:rPr>
        <w:t>(</w:t>
      </w:r>
      <w:r w:rsidRPr="00453F25">
        <w:t>d</w:t>
      </w:r>
      <w:r w:rsidRPr="00453F25">
        <w:rPr>
          <w:lang w:val="ru-RU"/>
        </w:rPr>
        <w:t>)</w:t>
      </w:r>
      <w:r w:rsidRPr="00453F25">
        <w:rPr>
          <w:lang w:val="ru-RU"/>
        </w:rPr>
        <w:tab/>
      </w:r>
      <w:bookmarkStart w:id="447" w:name="F27188145"/>
      <w:r w:rsidRPr="00453F25">
        <w:rPr>
          <w:lang w:val="ru-RU"/>
        </w:rPr>
        <w:t xml:space="preserve">«слой» номинальной стоимости объекта хеджирования, например: последние 80 млн. </w:t>
      </w:r>
      <w:r w:rsidR="00730672">
        <w:rPr>
          <w:lang w:val="ru-RU"/>
        </w:rPr>
        <w:t>д. е.</w:t>
      </w:r>
      <w:r w:rsidRPr="00453F25">
        <w:rPr>
          <w:lang w:val="ru-RU"/>
        </w:rPr>
        <w:t xml:space="preserve"> из общей суммы твердого договорного обязательства, составляющей 100 млн. </w:t>
      </w:r>
      <w:r w:rsidR="00730672">
        <w:rPr>
          <w:lang w:val="ru-RU"/>
        </w:rPr>
        <w:t>д. е.</w:t>
      </w:r>
      <w:r w:rsidRPr="00453F25">
        <w:rPr>
          <w:lang w:val="ru-RU"/>
        </w:rPr>
        <w:t xml:space="preserve">, последние 20 млн. </w:t>
      </w:r>
      <w:r w:rsidR="00730672">
        <w:rPr>
          <w:lang w:val="ru-RU"/>
        </w:rPr>
        <w:t>д. е.</w:t>
      </w:r>
      <w:r w:rsidRPr="00453F25">
        <w:rPr>
          <w:lang w:val="ru-RU"/>
        </w:rPr>
        <w:t xml:space="preserve"> из 100 млн. </w:t>
      </w:r>
      <w:r w:rsidR="00730672">
        <w:rPr>
          <w:lang w:val="ru-RU"/>
        </w:rPr>
        <w:t>д. е.</w:t>
      </w:r>
      <w:r w:rsidRPr="00453F25">
        <w:rPr>
          <w:lang w:val="ru-RU"/>
        </w:rPr>
        <w:t xml:space="preserve"> стоимости облигации с фиксированной процентной ставкой, или первые 30 млн. </w:t>
      </w:r>
      <w:r w:rsidR="00730672">
        <w:rPr>
          <w:lang w:val="ru-RU"/>
        </w:rPr>
        <w:t>д. е.</w:t>
      </w:r>
      <w:r w:rsidRPr="00453F25">
        <w:rPr>
          <w:lang w:val="ru-RU"/>
        </w:rPr>
        <w:t xml:space="preserve"> из общей суммы в 100 млн. </w:t>
      </w:r>
      <w:r w:rsidR="00730672">
        <w:rPr>
          <w:lang w:val="ru-RU"/>
        </w:rPr>
        <w:t>д. е.</w:t>
      </w:r>
      <w:r w:rsidRPr="00453F25">
        <w:rPr>
          <w:lang w:val="ru-RU"/>
        </w:rPr>
        <w:t xml:space="preserve"> долгового инструмента с фиксированной процентной ставкой, который может быть досрочно погашен по справедливой стоимости (заданная номинальная стоимость составляет 100 млн. </w:t>
      </w:r>
      <w:r w:rsidR="00730672">
        <w:rPr>
          <w:lang w:val="ru-RU"/>
        </w:rPr>
        <w:t>д. е.</w:t>
      </w:r>
      <w:r w:rsidRPr="00453F25">
        <w:rPr>
          <w:lang w:val="ru-RU"/>
        </w:rPr>
        <w:t>).</w:t>
      </w:r>
      <w:bookmarkEnd w:id="447"/>
    </w:p>
    <w:p w:rsidR="002D1543" w:rsidRPr="00453F25" w:rsidRDefault="002D1543" w:rsidP="002D1543">
      <w:pPr>
        <w:pStyle w:val="IASBNormalnpara"/>
        <w:rPr>
          <w:lang w:val="ru-RU"/>
        </w:rPr>
      </w:pPr>
      <w:r w:rsidRPr="00453F25">
        <w:t>B</w:t>
      </w:r>
      <w:r w:rsidRPr="00453F25">
        <w:rPr>
          <w:lang w:val="ru-RU"/>
        </w:rPr>
        <w:t>6.3.19</w:t>
      </w:r>
      <w:r w:rsidRPr="00453F25">
        <w:rPr>
          <w:lang w:val="ru-RU"/>
        </w:rPr>
        <w:tab/>
      </w:r>
      <w:bookmarkStart w:id="448" w:name="F27188146"/>
      <w:r w:rsidRPr="00453F25">
        <w:rPr>
          <w:lang w:val="ru-RU"/>
        </w:rPr>
        <w:t>Если какой-либо компонент-слой определяется по усмотрению организации в качестве объекта хеджирования в отношениях хеджирования справедливой стоимости, то организация должна выделить его из состава заданной номинальной стоимости. С целью соблюдения требований к квалифицируемым отношениям хеджирования справедливой стоимости организация должна переоценивать объект хеджирования с учетом изменений справедливой стоимости (</w:t>
      </w:r>
      <w:r w:rsidR="00394340">
        <w:rPr>
          <w:lang w:val="ru-RU"/>
        </w:rPr>
        <w:t>т. </w:t>
      </w:r>
      <w:r w:rsidR="00730672">
        <w:rPr>
          <w:lang w:val="ru-RU"/>
        </w:rPr>
        <w:t>е.</w:t>
      </w:r>
      <w:r w:rsidRPr="00453F25">
        <w:rPr>
          <w:lang w:val="ru-RU"/>
        </w:rPr>
        <w:t xml:space="preserve"> переоценивать его с учетом изменений справедливой стоимости, обусловленных хеджируемым риском). Хеджирующая корректировка справедливой стоимости должна быть признана в составе прибыли или убытка не позднее, чем будет прекращено признание объекта хеджирования. Следовательно, необходимо отследить тот объект, к которому относится эта хеджирующая корректировка справедливой стоимости. Применительно к компоненту-слою в рамках хеджирования справедливой стоимости это требование означает, что организация должна отследить ту номинальную стоимость, из состава которой вычленяется данный компонент. Например, в пункте В6.3.18(</w:t>
      </w:r>
      <w:r w:rsidRPr="00453F25">
        <w:t>d</w:t>
      </w:r>
      <w:r w:rsidRPr="00453F25">
        <w:rPr>
          <w:lang w:val="ru-RU"/>
        </w:rPr>
        <w:t xml:space="preserve">) необходимо отследить совокупную заданную номинальную стоимость в размере 100 млн. </w:t>
      </w:r>
      <w:r w:rsidR="00730672">
        <w:rPr>
          <w:lang w:val="ru-RU"/>
        </w:rPr>
        <w:t>д. е.</w:t>
      </w:r>
      <w:r w:rsidRPr="00453F25">
        <w:rPr>
          <w:lang w:val="ru-RU"/>
        </w:rPr>
        <w:t xml:space="preserve">, чтобы отследить последние 20 млн. </w:t>
      </w:r>
      <w:r w:rsidR="00730672">
        <w:rPr>
          <w:lang w:val="ru-RU"/>
        </w:rPr>
        <w:t>д. е.</w:t>
      </w:r>
      <w:r w:rsidRPr="00453F25">
        <w:rPr>
          <w:lang w:val="ru-RU"/>
        </w:rPr>
        <w:t xml:space="preserve"> или первые 30 млн. </w:t>
      </w:r>
      <w:bookmarkEnd w:id="448"/>
      <w:r w:rsidR="00730672">
        <w:rPr>
          <w:lang w:val="ru-RU"/>
        </w:rPr>
        <w:t>д. е.</w:t>
      </w:r>
      <w:r w:rsidRPr="00453F25">
        <w:rPr>
          <w:lang w:val="ru-RU"/>
        </w:rPr>
        <w:t xml:space="preserve"> из нее.</w:t>
      </w:r>
    </w:p>
    <w:p w:rsidR="002D1543" w:rsidRPr="00453F25" w:rsidRDefault="002D1543" w:rsidP="002D1543">
      <w:pPr>
        <w:pStyle w:val="IASBNormalnpara"/>
        <w:rPr>
          <w:lang w:val="ru-RU"/>
        </w:rPr>
      </w:pPr>
      <w:r w:rsidRPr="00453F25">
        <w:t>B</w:t>
      </w:r>
      <w:r w:rsidRPr="00453F25">
        <w:rPr>
          <w:lang w:val="ru-RU"/>
        </w:rPr>
        <w:t>6.3.20</w:t>
      </w:r>
      <w:r w:rsidRPr="00453F25">
        <w:rPr>
          <w:lang w:val="ru-RU"/>
        </w:rPr>
        <w:tab/>
      </w:r>
      <w:bookmarkStart w:id="449" w:name="F27188147"/>
      <w:r w:rsidRPr="00453F25">
        <w:rPr>
          <w:lang w:val="ru-RU"/>
        </w:rPr>
        <w:t>Компонент-слой, который включает в себя опцион на досрочное погашение, не может быть по усмотрению организации определен в качестве объекта хеджирования в отношениях хеджирования справедливой стоимости, если справедливая стоимость опциона на досрочное погашение подвержена влиянию изменений хеджируемого риска, кроме случаев, когда определяемый слой рассматривается с учетом соответствующего опциона на досрочное погашение при определении изменения справедливой стоимости данного объекта хеджирования.</w:t>
      </w:r>
      <w:bookmarkEnd w:id="449"/>
    </w:p>
    <w:p w:rsidR="002D1543" w:rsidRPr="00453F25" w:rsidRDefault="002D1543" w:rsidP="002D1543">
      <w:pPr>
        <w:pStyle w:val="IASBSectionTitle4Ind"/>
        <w:rPr>
          <w:lang w:val="ru-RU"/>
        </w:rPr>
      </w:pPr>
      <w:bookmarkStart w:id="450" w:name="F27188149"/>
      <w:r w:rsidRPr="00453F25">
        <w:rPr>
          <w:lang w:val="ru-RU"/>
        </w:rPr>
        <w:t xml:space="preserve">Взаимосвязь между компонентами и общей величиной денежных потоков по </w:t>
      </w:r>
      <w:bookmarkEnd w:id="450"/>
      <w:r w:rsidRPr="00453F25">
        <w:rPr>
          <w:lang w:val="ru-RU"/>
        </w:rPr>
        <w:t>объекту</w:t>
      </w:r>
    </w:p>
    <w:p w:rsidR="002D1543" w:rsidRPr="00453F25" w:rsidRDefault="002D1543" w:rsidP="002D1543">
      <w:pPr>
        <w:pStyle w:val="IASBNormalnpara"/>
        <w:rPr>
          <w:lang w:val="ru-RU"/>
        </w:rPr>
      </w:pPr>
      <w:r w:rsidRPr="00453F25">
        <w:t>B</w:t>
      </w:r>
      <w:r w:rsidRPr="00453F25">
        <w:rPr>
          <w:lang w:val="ru-RU"/>
        </w:rPr>
        <w:t>6.3.21</w:t>
      </w:r>
      <w:r w:rsidRPr="00453F25">
        <w:rPr>
          <w:lang w:val="ru-RU"/>
        </w:rPr>
        <w:tab/>
      </w:r>
      <w:bookmarkStart w:id="451" w:name="F27188150"/>
      <w:r w:rsidRPr="00453F25">
        <w:rPr>
          <w:lang w:val="ru-RU"/>
        </w:rPr>
        <w:t xml:space="preserve">Если компонент денежных потоков по финансовому или нефинансовому объекту определяется по усмотрению организации в качестве объекта хеджирования, то размер данного компонента должен быть меньше общей величины денежных потоков по объекту в целом или равен этой величине. Однако в качестве объекта хеджирования могут определяться по усмотрению организации все денежные потоки по объекту в целом и хеджироваться в отношении только одного конкретного риска (например, в отношении только тех изменений, которые вызваны изменениями ставки </w:t>
      </w:r>
      <w:r w:rsidRPr="00453F25">
        <w:t>LIBOR</w:t>
      </w:r>
      <w:r w:rsidR="00A73D9D">
        <w:rPr>
          <w:lang w:val="ru-RU"/>
        </w:rPr>
        <w:t xml:space="preserve"> или цены </w:t>
      </w:r>
      <w:r w:rsidRPr="00453F25">
        <w:rPr>
          <w:lang w:val="ru-RU"/>
        </w:rPr>
        <w:t>товара, принятой за сравнительную базу).</w:t>
      </w:r>
      <w:bookmarkEnd w:id="451"/>
    </w:p>
    <w:p w:rsidR="002D1543" w:rsidRPr="00453F25" w:rsidRDefault="002D1543" w:rsidP="002D1543">
      <w:pPr>
        <w:pStyle w:val="IASBNormalnpara"/>
        <w:rPr>
          <w:lang w:val="ru-RU"/>
        </w:rPr>
      </w:pPr>
      <w:r w:rsidRPr="00453F25">
        <w:t>B</w:t>
      </w:r>
      <w:r w:rsidRPr="00453F25">
        <w:rPr>
          <w:lang w:val="ru-RU"/>
        </w:rPr>
        <w:t>6.3.22</w:t>
      </w:r>
      <w:r w:rsidRPr="00453F25">
        <w:rPr>
          <w:lang w:val="ru-RU"/>
        </w:rPr>
        <w:tab/>
      </w:r>
      <w:bookmarkStart w:id="452" w:name="F27188151"/>
      <w:r w:rsidRPr="00453F25">
        <w:rPr>
          <w:lang w:val="ru-RU"/>
        </w:rPr>
        <w:t xml:space="preserve">Например, в случае финансового обязательства, эффективная процентная ставка по которому ниже ставки </w:t>
      </w:r>
      <w:r w:rsidRPr="00453F25">
        <w:t>LIBOR</w:t>
      </w:r>
      <w:r w:rsidRPr="00453F25">
        <w:rPr>
          <w:lang w:val="ru-RU"/>
        </w:rPr>
        <w:t>, организация не может по собственному усмотрению определять в качестве объекта хеджирования:</w:t>
      </w:r>
      <w:bookmarkEnd w:id="452"/>
    </w:p>
    <w:p w:rsidR="002D1543" w:rsidRPr="00453F25" w:rsidRDefault="002D1543" w:rsidP="002D1543">
      <w:pPr>
        <w:pStyle w:val="IASBNormalnparaL1"/>
        <w:rPr>
          <w:lang w:val="ru-RU"/>
        </w:rPr>
      </w:pPr>
      <w:r w:rsidRPr="00453F25">
        <w:rPr>
          <w:lang w:val="ru-RU"/>
        </w:rPr>
        <w:t>(</w:t>
      </w:r>
      <w:r w:rsidRPr="00453F25">
        <w:t>a</w:t>
      </w:r>
      <w:r w:rsidRPr="00453F25">
        <w:rPr>
          <w:lang w:val="ru-RU"/>
        </w:rPr>
        <w:t>)</w:t>
      </w:r>
      <w:r w:rsidRPr="00453F25">
        <w:rPr>
          <w:lang w:val="ru-RU"/>
        </w:rPr>
        <w:tab/>
      </w:r>
      <w:bookmarkStart w:id="453" w:name="F27188154"/>
      <w:r w:rsidRPr="00453F25">
        <w:rPr>
          <w:lang w:val="ru-RU"/>
        </w:rPr>
        <w:t xml:space="preserve">компонент данного обязательства, равный процентным выплатам, рассчитанным по ставке </w:t>
      </w:r>
      <w:r w:rsidRPr="00453F25">
        <w:t>LIBOR</w:t>
      </w:r>
      <w:r w:rsidRPr="00453F25">
        <w:rPr>
          <w:lang w:val="ru-RU"/>
        </w:rPr>
        <w:t xml:space="preserve"> (плюс основная сумма долга в случае хеджирования справедливой стоимости); и</w:t>
      </w:r>
      <w:bookmarkEnd w:id="453"/>
    </w:p>
    <w:p w:rsidR="002D1543" w:rsidRPr="00453F25" w:rsidRDefault="002D1543" w:rsidP="002D1543">
      <w:pPr>
        <w:pStyle w:val="IASBNormalnparaL1"/>
        <w:rPr>
          <w:lang w:val="ru-RU"/>
        </w:rPr>
      </w:pPr>
      <w:r w:rsidRPr="00453F25">
        <w:rPr>
          <w:lang w:val="ru-RU"/>
        </w:rPr>
        <w:t>(</w:t>
      </w:r>
      <w:r w:rsidRPr="00453F25">
        <w:t>b</w:t>
      </w:r>
      <w:r w:rsidRPr="00453F25">
        <w:rPr>
          <w:lang w:val="ru-RU"/>
        </w:rPr>
        <w:t>)</w:t>
      </w:r>
      <w:r w:rsidRPr="00453F25">
        <w:rPr>
          <w:lang w:val="ru-RU"/>
        </w:rPr>
        <w:tab/>
      </w:r>
      <w:bookmarkStart w:id="454" w:name="F27188156"/>
      <w:r w:rsidRPr="00453F25">
        <w:rPr>
          <w:lang w:val="ru-RU"/>
        </w:rPr>
        <w:t>отрицательную величину остаточного компонента.</w:t>
      </w:r>
      <w:bookmarkEnd w:id="454"/>
    </w:p>
    <w:p w:rsidR="002D1543" w:rsidRPr="00453F25" w:rsidRDefault="002D1543" w:rsidP="002D1543">
      <w:pPr>
        <w:pStyle w:val="IASBNormalnpara"/>
        <w:rPr>
          <w:lang w:val="ru-RU"/>
        </w:rPr>
      </w:pPr>
      <w:r w:rsidRPr="00453F25">
        <w:t>B</w:t>
      </w:r>
      <w:r w:rsidRPr="00453F25">
        <w:rPr>
          <w:lang w:val="ru-RU"/>
        </w:rPr>
        <w:t>6.3.23</w:t>
      </w:r>
      <w:r w:rsidRPr="00453F25">
        <w:rPr>
          <w:lang w:val="ru-RU"/>
        </w:rPr>
        <w:tab/>
      </w:r>
      <w:bookmarkStart w:id="455" w:name="F27188157"/>
      <w:r w:rsidRPr="00453F25">
        <w:rPr>
          <w:lang w:val="ru-RU"/>
        </w:rPr>
        <w:t xml:space="preserve">Однако в случае финансового обязательства с фиксированной процентной ставкой, эффективная процентная ставка по которому (например) на 100 базисных пунктов ниже ставки </w:t>
      </w:r>
      <w:r w:rsidRPr="00453F25">
        <w:t>LIBOR</w:t>
      </w:r>
      <w:r w:rsidRPr="00453F25">
        <w:rPr>
          <w:lang w:val="ru-RU"/>
        </w:rPr>
        <w:t>, организация может по собственному усмотрению определить в качестве объекта хеджирования изменение стоимости всего этого обязательства (</w:t>
      </w:r>
      <w:r w:rsidR="00730672">
        <w:rPr>
          <w:lang w:val="ru-RU"/>
        </w:rPr>
        <w:t>т. е.</w:t>
      </w:r>
      <w:r w:rsidRPr="00453F25">
        <w:rPr>
          <w:lang w:val="ru-RU"/>
        </w:rPr>
        <w:t xml:space="preserve"> основной суммы долга и процентов по ставке </w:t>
      </w:r>
      <w:r w:rsidRPr="00453F25">
        <w:t>LIBOR</w:t>
      </w:r>
      <w:r w:rsidRPr="00453F25">
        <w:rPr>
          <w:lang w:val="ru-RU"/>
        </w:rPr>
        <w:t xml:space="preserve"> минус 100 базисных пунктов), обусловленное изменениями ставки </w:t>
      </w:r>
      <w:r w:rsidRPr="00453F25">
        <w:t>LIBOR</w:t>
      </w:r>
      <w:r w:rsidRPr="00453F25">
        <w:rPr>
          <w:lang w:val="ru-RU"/>
        </w:rPr>
        <w:t>. Если финансовый инструмент с фиксированной процентной ставкой хеджируется спустя некоторое время после его возникновения, и процентные ставки за этот промежуток времени изменились, то организация может по собственному усмотрению определить в качестве объекта хеджирования рисковый компонент, равный базовой процентной ставке, которая превышает договорную процентную ставку, по которой производятся выплаты по данному объекту. Организация может это сделать при условии, что базовая ставка будет ниже эффективной процентной ставки, рассчитанной исходя из допущения, что организация приобрела данный инструмент в тот день, когда она по собственному усмотрению определила соответствующий объект хеджирования. Например, допустим, что у организации появляется финансовый актив номиналом 100 </w:t>
      </w:r>
      <w:r w:rsidR="00730672">
        <w:rPr>
          <w:lang w:val="ru-RU"/>
        </w:rPr>
        <w:t>д. е.</w:t>
      </w:r>
      <w:r w:rsidRPr="00453F25">
        <w:rPr>
          <w:lang w:val="ru-RU"/>
        </w:rPr>
        <w:t xml:space="preserve"> с фиксированной ставкой, по которому эффективная пр</w:t>
      </w:r>
      <w:r>
        <w:rPr>
          <w:lang w:val="ru-RU"/>
        </w:rPr>
        <w:t>оцентная ставка составляет 6</w:t>
      </w:r>
      <w:r w:rsidRPr="00453F25">
        <w:rPr>
          <w:lang w:val="ru-RU"/>
        </w:rPr>
        <w:t xml:space="preserve"> процентов, в то время, когда ставка </w:t>
      </w:r>
      <w:r w:rsidRPr="00453F25">
        <w:t>LIBOR</w:t>
      </w:r>
      <w:r>
        <w:rPr>
          <w:lang w:val="ru-RU"/>
        </w:rPr>
        <w:t xml:space="preserve"> равна 4</w:t>
      </w:r>
      <w:r w:rsidRPr="00453F25">
        <w:rPr>
          <w:lang w:val="ru-RU"/>
        </w:rPr>
        <w:t xml:space="preserve"> процентам. Организация начинает хеджировать данный актив некоторое время спустя, когда ставка </w:t>
      </w:r>
      <w:r w:rsidRPr="00453F25">
        <w:t>LIBOR</w:t>
      </w:r>
      <w:r>
        <w:rPr>
          <w:lang w:val="ru-RU"/>
        </w:rPr>
        <w:t xml:space="preserve"> увеличилась до 8</w:t>
      </w:r>
      <w:r w:rsidRPr="00453F25">
        <w:rPr>
          <w:lang w:val="ru-RU"/>
        </w:rPr>
        <w:t xml:space="preserve"> процентов, а справедливая стоимость актива снизилась до 90 </w:t>
      </w:r>
      <w:r w:rsidR="00730672">
        <w:rPr>
          <w:lang w:val="ru-RU"/>
        </w:rPr>
        <w:t>д. е.</w:t>
      </w:r>
      <w:r w:rsidRPr="00453F25">
        <w:rPr>
          <w:lang w:val="ru-RU"/>
        </w:rPr>
        <w:t xml:space="preserve"> Организация рассчитала, что если бы она приобрела этот актив в тот день, когда она по собственному усмотрению определила в качестве объекта хеджирования соответствующий риск изменения процентной ставки </w:t>
      </w:r>
      <w:r w:rsidRPr="00453F25">
        <w:t>LIBOR</w:t>
      </w:r>
      <w:r w:rsidRPr="00453F25">
        <w:rPr>
          <w:lang w:val="ru-RU"/>
        </w:rPr>
        <w:t xml:space="preserve">, то эффективная доходность по данному активу, определенная исходя из его справедливой стоимости в 90 </w:t>
      </w:r>
      <w:r w:rsidR="00730672">
        <w:rPr>
          <w:lang w:val="ru-RU"/>
        </w:rPr>
        <w:t>д. е.</w:t>
      </w:r>
      <w:r w:rsidRPr="00453F25">
        <w:rPr>
          <w:lang w:val="ru-RU"/>
        </w:rPr>
        <w:t xml:space="preserve"> на тот момент, составила бы 9,5 процентов. Поскольку ставка </w:t>
      </w:r>
      <w:r w:rsidRPr="00453F25">
        <w:t>LIBOR</w:t>
      </w:r>
      <w:r w:rsidRPr="00453F25">
        <w:rPr>
          <w:lang w:val="ru-RU"/>
        </w:rPr>
        <w:t xml:space="preserve"> ниже указанной эффективной доходности, организация может по собственному усмотрению определить в качестве объекта хеджирования компонент, соответствующий восьмипроцентной ставке </w:t>
      </w:r>
      <w:r w:rsidRPr="00453F25">
        <w:t>LIBOR</w:t>
      </w:r>
      <w:r w:rsidRPr="00453F25">
        <w:rPr>
          <w:lang w:val="ru-RU"/>
        </w:rPr>
        <w:t>, который состоит частично из предусмотренных договором процентных выплат и частично из величины, представляющей собой разность между текущей справедливой стоимостью (</w:t>
      </w:r>
      <w:r w:rsidR="00730672">
        <w:rPr>
          <w:lang w:val="ru-RU"/>
        </w:rPr>
        <w:t>т. е.</w:t>
      </w:r>
      <w:r w:rsidRPr="00453F25">
        <w:rPr>
          <w:lang w:val="ru-RU"/>
        </w:rPr>
        <w:t xml:space="preserve"> 90 д. е.) и суммой, подлежащей выплате при наступлении срока погашения (</w:t>
      </w:r>
      <w:r w:rsidR="00730672">
        <w:rPr>
          <w:lang w:val="ru-RU"/>
        </w:rPr>
        <w:t>т. е.</w:t>
      </w:r>
      <w:r w:rsidRPr="00453F25">
        <w:rPr>
          <w:lang w:val="ru-RU"/>
        </w:rPr>
        <w:t xml:space="preserve"> 100 д. е.).</w:t>
      </w:r>
      <w:bookmarkEnd w:id="455"/>
    </w:p>
    <w:p w:rsidR="002D1543" w:rsidRPr="00453F25" w:rsidRDefault="002D1543" w:rsidP="002D1543">
      <w:pPr>
        <w:pStyle w:val="IASBNormalnpara"/>
        <w:rPr>
          <w:lang w:val="ru-RU"/>
        </w:rPr>
      </w:pPr>
      <w:r w:rsidRPr="00453F25">
        <w:t>B</w:t>
      </w:r>
      <w:r w:rsidRPr="00453F25">
        <w:rPr>
          <w:lang w:val="ru-RU"/>
        </w:rPr>
        <w:t>6.3.24</w:t>
      </w:r>
      <w:r w:rsidRPr="00453F25">
        <w:rPr>
          <w:lang w:val="ru-RU"/>
        </w:rPr>
        <w:tab/>
      </w:r>
      <w:bookmarkStart w:id="456" w:name="F27188158"/>
      <w:r w:rsidRPr="00453F25">
        <w:rPr>
          <w:lang w:val="ru-RU"/>
        </w:rPr>
        <w:t xml:space="preserve">Если по финансовому обязательству с переменной процентной ставкой начисляются проценты в размере (например) трехмесячной ставки </w:t>
      </w:r>
      <w:r w:rsidRPr="00453F25">
        <w:t>LIBOR</w:t>
      </w:r>
      <w:r w:rsidRPr="00453F25">
        <w:rPr>
          <w:lang w:val="ru-RU"/>
        </w:rPr>
        <w:t xml:space="preserve"> минус 20 базисных пунктов (при этом предусмотрен «флор» </w:t>
      </w:r>
      <w:r w:rsidR="00A876BE" w:rsidRPr="008872E8">
        <w:rPr>
          <w:lang w:val="ru-RU"/>
        </w:rPr>
        <w:t>–</w:t>
      </w:r>
      <w:r w:rsidRPr="00453F25">
        <w:rPr>
          <w:lang w:val="ru-RU"/>
        </w:rPr>
        <w:t xml:space="preserve"> ноль базисных пунктов), то организация может по собственному усмотрению определить в качестве объекта хеджирования изменение денежных потоков по данному обязательству целиком (</w:t>
      </w:r>
      <w:r w:rsidR="00730672">
        <w:rPr>
          <w:lang w:val="ru-RU"/>
        </w:rPr>
        <w:t>т. е.</w:t>
      </w:r>
      <w:r w:rsidRPr="00453F25">
        <w:rPr>
          <w:lang w:val="ru-RU"/>
        </w:rPr>
        <w:t xml:space="preserve"> выплат по трехмесячной ставке </w:t>
      </w:r>
      <w:r w:rsidRPr="00453F25">
        <w:t>LIBOR</w:t>
      </w:r>
      <w:r w:rsidRPr="00453F25">
        <w:rPr>
          <w:lang w:val="ru-RU"/>
        </w:rPr>
        <w:t xml:space="preserve"> минус 20 базисных пунктов </w:t>
      </w:r>
      <w:r w:rsidR="00A876BE" w:rsidRPr="008872E8">
        <w:rPr>
          <w:lang w:val="ru-RU"/>
        </w:rPr>
        <w:t>–</w:t>
      </w:r>
      <w:r w:rsidRPr="00453F25">
        <w:rPr>
          <w:lang w:val="ru-RU"/>
        </w:rPr>
        <w:t xml:space="preserve"> включая «флор»), обусловленное изменениями ставки </w:t>
      </w:r>
      <w:r w:rsidRPr="00453F25">
        <w:t>LIBOR</w:t>
      </w:r>
      <w:r w:rsidRPr="00453F25">
        <w:rPr>
          <w:lang w:val="ru-RU"/>
        </w:rPr>
        <w:t xml:space="preserve">. Следовательно, если кривая форвардных ставок трехмесячного </w:t>
      </w:r>
      <w:r w:rsidRPr="00453F25">
        <w:t>LIBOR</w:t>
      </w:r>
      <w:r w:rsidRPr="00453F25">
        <w:rPr>
          <w:lang w:val="ru-RU"/>
        </w:rPr>
        <w:t xml:space="preserve"> за оставшийся срок действия данного обязательства не покажет спад ниже 20 базисных пунктов, то денежные потоки по объекту хеджирования будут меняться точно так же, как и по обязательству, предусматривающему выплаты процентов по трехмесячной ставке </w:t>
      </w:r>
      <w:r w:rsidRPr="00453F25">
        <w:t>LIBOR</w:t>
      </w:r>
      <w:r w:rsidRPr="00453F25">
        <w:rPr>
          <w:lang w:val="ru-RU"/>
        </w:rPr>
        <w:t xml:space="preserve"> с нулевым или положительным спрэдом. Однако если кривая форвардных ставок трехмесячного </w:t>
      </w:r>
      <w:r w:rsidRPr="00453F25">
        <w:t>LIBOR</w:t>
      </w:r>
      <w:r w:rsidRPr="00453F25">
        <w:rPr>
          <w:lang w:val="ru-RU"/>
        </w:rPr>
        <w:t xml:space="preserve"> за оставшийся срок действия данного обязательства (или его части) покажет спад ниже 20 базисных пунктов, то изменчивость денежных потоков по объекту хеджирования будет меньше по сравнению с обязательством, предусматривающим выплаты процентов по трехмесячной ставке </w:t>
      </w:r>
      <w:r w:rsidRPr="00453F25">
        <w:t>LIBOR</w:t>
      </w:r>
      <w:r w:rsidRPr="00453F25">
        <w:rPr>
          <w:lang w:val="ru-RU"/>
        </w:rPr>
        <w:t xml:space="preserve"> с нулевым или положительным спрэдом.</w:t>
      </w:r>
      <w:bookmarkEnd w:id="456"/>
    </w:p>
    <w:p w:rsidR="001529CA" w:rsidRPr="0049187C" w:rsidRDefault="002D1543" w:rsidP="002D1543">
      <w:pPr>
        <w:pStyle w:val="IASBNormalnpara"/>
        <w:rPr>
          <w:lang w:val="ru-RU"/>
        </w:rPr>
      </w:pPr>
      <w:r w:rsidRPr="00453F25">
        <w:t>B</w:t>
      </w:r>
      <w:r w:rsidRPr="00453F25">
        <w:rPr>
          <w:lang w:val="ru-RU"/>
        </w:rPr>
        <w:t>6.3.25</w:t>
      </w:r>
      <w:r w:rsidRPr="00453F25">
        <w:rPr>
          <w:lang w:val="ru-RU"/>
        </w:rPr>
        <w:tab/>
        <w:t xml:space="preserve">Аналогичным примером нефинансового объекта является сырая нефть определенного вида из конкретного нефтяного месторождения, цена которой отличается от цены, установленной на сырую нефть соответствующего базового сорта. Если организация продает такую сырую нефть по договору, предусматривающему ценовую формулу, согласно которой цена одного барреля рассчитывается исходя из цены на базовую сырую нефть минус 10 </w:t>
      </w:r>
      <w:r w:rsidR="00730672">
        <w:rPr>
          <w:lang w:val="ru-RU"/>
        </w:rPr>
        <w:t>д. е.</w:t>
      </w:r>
      <w:r w:rsidRPr="00453F25">
        <w:rPr>
          <w:lang w:val="ru-RU"/>
        </w:rPr>
        <w:t>, но не ниже 15 </w:t>
      </w:r>
      <w:r w:rsidR="00730672">
        <w:rPr>
          <w:lang w:val="ru-RU"/>
        </w:rPr>
        <w:t>д. е.</w:t>
      </w:r>
      <w:r w:rsidRPr="00453F25">
        <w:rPr>
          <w:lang w:val="ru-RU"/>
        </w:rPr>
        <w:t xml:space="preserve"> («флор»), то организация может по собственному усмотрению определить в качестве объекта хеджирования всю величину изменения денежных потоков по данному договору продажи, обусловленного изменением цены на сырую нефть базового сорта. Однако организация не вправе по собственному усмотрению определять в качестве объекта хеджирования компонент, равный общей величине изменения цены на сырую нефть базового сорта. Следовательно, пока форвардная цена (на каждую поставку) не будет держаться на уровне не ниже 25 </w:t>
      </w:r>
      <w:r w:rsidR="00730672">
        <w:rPr>
          <w:lang w:val="ru-RU"/>
        </w:rPr>
        <w:t>д. е.</w:t>
      </w:r>
      <w:r w:rsidRPr="00453F25">
        <w:rPr>
          <w:lang w:val="ru-RU"/>
        </w:rPr>
        <w:t>, денежные потоки по объекту хеджирования буду</w:t>
      </w:r>
      <w:r w:rsidR="00AA3600">
        <w:rPr>
          <w:lang w:val="ru-RU"/>
        </w:rPr>
        <w:t>т</w:t>
      </w:r>
      <w:r w:rsidRPr="00453F25">
        <w:rPr>
          <w:lang w:val="ru-RU"/>
        </w:rPr>
        <w:t xml:space="preserve"> меняться точно так же, как денежные потоки от продажи сырой нефти по цене, установленной на сырую нефть базового сорта (или с положительным спрэдом). Однако если форвардная цена какой-либо из поставок станет ниже 25 </w:t>
      </w:r>
      <w:r w:rsidR="00730672">
        <w:rPr>
          <w:lang w:val="ru-RU"/>
        </w:rPr>
        <w:t>д. е.</w:t>
      </w:r>
      <w:r w:rsidRPr="00453F25">
        <w:rPr>
          <w:lang w:val="ru-RU"/>
        </w:rPr>
        <w:t>, то изменчивость денежных потоков по объекту хеджирования будет меньше по сравнению с продажей сырой нефти по цене, установленной для сырой нефти базового сорта (или с положительным спрэдом)</w:t>
      </w:r>
      <w:r w:rsidR="00B6625D" w:rsidRPr="0049187C">
        <w:rPr>
          <w:lang w:val="ru-RU"/>
        </w:rPr>
        <w:t>.</w:t>
      </w:r>
      <w:bookmarkEnd w:id="440"/>
    </w:p>
    <w:p w:rsidR="001529CA" w:rsidRPr="0049187C" w:rsidRDefault="00B6625D">
      <w:pPr>
        <w:pStyle w:val="IASBSectionTitle2Ind"/>
        <w:rPr>
          <w:lang w:val="ru-RU"/>
        </w:rPr>
      </w:pPr>
      <w:bookmarkStart w:id="457" w:name="F27188162"/>
      <w:r w:rsidRPr="0049187C">
        <w:rPr>
          <w:lang w:val="ru-RU"/>
        </w:rPr>
        <w:t>К</w:t>
      </w:r>
      <w:r w:rsidR="002D1543">
        <w:rPr>
          <w:lang w:val="ru-RU"/>
        </w:rPr>
        <w:t>валификационные к</w:t>
      </w:r>
      <w:r w:rsidRPr="0049187C">
        <w:rPr>
          <w:lang w:val="ru-RU"/>
        </w:rPr>
        <w:t>ритерии, определяющие возможность применения учета хеджирован</w:t>
      </w:r>
      <w:r w:rsidR="00C25F1D">
        <w:rPr>
          <w:lang w:val="ru-RU"/>
        </w:rPr>
        <w:t>ия (Р</w:t>
      </w:r>
      <w:r w:rsidRPr="0049187C">
        <w:rPr>
          <w:lang w:val="ru-RU"/>
        </w:rPr>
        <w:t>аздел 6.4)</w:t>
      </w:r>
      <w:bookmarkEnd w:id="457"/>
    </w:p>
    <w:p w:rsidR="001529CA" w:rsidRPr="0049187C" w:rsidRDefault="00B6625D">
      <w:pPr>
        <w:pStyle w:val="IASBSectionTitle3Ind"/>
        <w:rPr>
          <w:lang w:val="ru-RU"/>
        </w:rPr>
      </w:pPr>
      <w:bookmarkStart w:id="458" w:name="F27188166"/>
      <w:r w:rsidRPr="0049187C">
        <w:rPr>
          <w:lang w:val="ru-RU"/>
        </w:rPr>
        <w:t>Эффективность хеджирования</w:t>
      </w:r>
      <w:bookmarkEnd w:id="458"/>
    </w:p>
    <w:p w:rsidR="002D1543" w:rsidRPr="00453F25" w:rsidRDefault="001529CA" w:rsidP="002D1543">
      <w:pPr>
        <w:pStyle w:val="IASBNormalnpara"/>
        <w:rPr>
          <w:lang w:val="ru-RU"/>
        </w:rPr>
      </w:pPr>
      <w:r w:rsidRPr="0049187C">
        <w:rPr>
          <w:lang w:val="ru-RU"/>
        </w:rPr>
        <w:t>B6.4.1</w:t>
      </w:r>
      <w:r w:rsidRPr="0049187C">
        <w:rPr>
          <w:lang w:val="ru-RU"/>
        </w:rPr>
        <w:tab/>
      </w:r>
      <w:bookmarkStart w:id="459" w:name="SL32626801"/>
      <w:bookmarkStart w:id="460" w:name="F27188167"/>
      <w:r w:rsidR="002D1543" w:rsidRPr="00453F25">
        <w:rPr>
          <w:lang w:val="ru-RU"/>
        </w:rPr>
        <w:t xml:space="preserve">Эффективность хеджирования </w:t>
      </w:r>
      <w:r w:rsidR="00A876BE" w:rsidRPr="008872E8">
        <w:rPr>
          <w:lang w:val="ru-RU"/>
        </w:rPr>
        <w:t>–</w:t>
      </w:r>
      <w:r w:rsidR="002D1543" w:rsidRPr="00453F25">
        <w:rPr>
          <w:lang w:val="ru-RU"/>
        </w:rPr>
        <w:t xml:space="preserve"> это степень, в которой изменения справедливой стоимости или денежных потоков инструмента хеджирования компенсируют изменения справедливой стоимости или денежных потоков объекта хеджирования (например, когда объектом хеджирования является рисковый компонент, соответствующим изменением справедливой стоимости или денежных потоков инструмента является изменение, обусловленное этим хеджируемым риском). Неэффективность хеджирования </w:t>
      </w:r>
      <w:r w:rsidR="00A876BE" w:rsidRPr="008872E8">
        <w:rPr>
          <w:lang w:val="ru-RU"/>
        </w:rPr>
        <w:t>–</w:t>
      </w:r>
      <w:r w:rsidR="002D1543" w:rsidRPr="00453F25">
        <w:rPr>
          <w:lang w:val="ru-RU"/>
        </w:rPr>
        <w:t xml:space="preserve"> это степень, в которой изменения справедливой стоимости или денежных потоков инструмента хеджирования превышают либо оказываются меньше соответствующих изменений по объекту хеджирования.</w:t>
      </w:r>
      <w:bookmarkEnd w:id="460"/>
    </w:p>
    <w:p w:rsidR="002D1543" w:rsidRPr="00453F25" w:rsidRDefault="002D1543" w:rsidP="002D1543">
      <w:pPr>
        <w:pStyle w:val="IASBNormalnpara"/>
        <w:rPr>
          <w:lang w:val="ru-RU"/>
        </w:rPr>
      </w:pPr>
      <w:r w:rsidRPr="00453F25">
        <w:t>B</w:t>
      </w:r>
      <w:r w:rsidRPr="00453F25">
        <w:rPr>
          <w:lang w:val="ru-RU"/>
        </w:rPr>
        <w:t>6.4.2</w:t>
      </w:r>
      <w:r w:rsidRPr="00453F25">
        <w:rPr>
          <w:lang w:val="ru-RU"/>
        </w:rPr>
        <w:tab/>
      </w:r>
      <w:bookmarkStart w:id="461" w:name="F27188168"/>
      <w:r w:rsidRPr="00453F25">
        <w:rPr>
          <w:lang w:val="ru-RU"/>
        </w:rPr>
        <w:t xml:space="preserve">На дату определения по собственному усмотрению отношений хеджирования, </w:t>
      </w:r>
      <w:r w:rsidR="00A34BF4" w:rsidRPr="00453F25">
        <w:rPr>
          <w:lang w:val="ru-RU"/>
        </w:rPr>
        <w:t>а впоследствии</w:t>
      </w:r>
      <w:r w:rsidRPr="00453F25">
        <w:rPr>
          <w:lang w:val="ru-RU"/>
        </w:rPr>
        <w:t xml:space="preserve"> – на постоянной основе, организация должна анализировать источники неэффективности хеджирования, которые, как ожидается, будут оказывать влияние на данные отношения хеджирования в течение срока их существования. Этот анализ (включая корректировки в соответствии с пунктом В6.5.21, связанные с ребалансировкой отношений хеджирования) является для организации основой, на которой она оценивает </w:t>
      </w:r>
      <w:r w:rsidR="00A34BF4" w:rsidRPr="00453F25">
        <w:rPr>
          <w:lang w:val="ru-RU"/>
        </w:rPr>
        <w:t>выполнение</w:t>
      </w:r>
      <w:r w:rsidRPr="00453F25">
        <w:rPr>
          <w:lang w:val="ru-RU"/>
        </w:rPr>
        <w:t xml:space="preserve"> требований к эффективности хеджирования.</w:t>
      </w:r>
      <w:bookmarkEnd w:id="461"/>
    </w:p>
    <w:p w:rsidR="001529CA" w:rsidRPr="0049187C" w:rsidRDefault="002D1543" w:rsidP="002D1543">
      <w:pPr>
        <w:pStyle w:val="IASBNormalnpara"/>
        <w:rPr>
          <w:lang w:val="ru-RU"/>
        </w:rPr>
      </w:pPr>
      <w:r w:rsidRPr="00453F25">
        <w:t>B</w:t>
      </w:r>
      <w:r w:rsidRPr="00453F25">
        <w:rPr>
          <w:lang w:val="ru-RU"/>
        </w:rPr>
        <w:t>6.4.3</w:t>
      </w:r>
      <w:r w:rsidRPr="00453F25">
        <w:rPr>
          <w:lang w:val="ru-RU"/>
        </w:rPr>
        <w:tab/>
        <w:t>Во избежание сомнений, последствия замены первоначального контрагента клиринговым контрагентом и осуществления соответствующих изменений, как предусматривается пунктом 6.5.6, должны быть отражены в оценке инструмента хеджирования и, как следствие, при оценке эффективности хеджирования и определении величины эффективности хеджирования</w:t>
      </w:r>
      <w:r w:rsidR="001529CA" w:rsidRPr="0049187C">
        <w:rPr>
          <w:lang w:val="ru-RU"/>
        </w:rPr>
        <w:t>.</w:t>
      </w:r>
      <w:bookmarkEnd w:id="459"/>
    </w:p>
    <w:p w:rsidR="001529CA" w:rsidRPr="0049187C" w:rsidRDefault="00726106">
      <w:pPr>
        <w:pStyle w:val="IASBSectionTitle3Ind"/>
        <w:rPr>
          <w:lang w:val="ru-RU"/>
        </w:rPr>
      </w:pPr>
      <w:r w:rsidRPr="0049187C">
        <w:rPr>
          <w:lang w:val="ru-RU"/>
        </w:rPr>
        <w:t>Э</w:t>
      </w:r>
      <w:r w:rsidR="002D1543">
        <w:rPr>
          <w:lang w:val="ru-RU"/>
        </w:rPr>
        <w:t>кономическая взаимосвязь</w:t>
      </w:r>
      <w:r w:rsidRPr="0049187C">
        <w:rPr>
          <w:lang w:val="ru-RU"/>
        </w:rPr>
        <w:t xml:space="preserve"> между объектом хеджирования и инструментом хеджирования</w:t>
      </w:r>
    </w:p>
    <w:p w:rsidR="002D1543" w:rsidRPr="00453F25" w:rsidRDefault="001529CA" w:rsidP="002D1543">
      <w:pPr>
        <w:pStyle w:val="IASBNormalnpara"/>
        <w:rPr>
          <w:lang w:val="ru-RU"/>
        </w:rPr>
      </w:pPr>
      <w:r w:rsidRPr="0049187C">
        <w:rPr>
          <w:lang w:val="ru-RU"/>
        </w:rPr>
        <w:t>B6.4.4</w:t>
      </w:r>
      <w:r w:rsidRPr="0049187C">
        <w:rPr>
          <w:lang w:val="ru-RU"/>
        </w:rPr>
        <w:tab/>
      </w:r>
      <w:bookmarkStart w:id="462" w:name="F27188172"/>
      <w:r w:rsidR="002D1543" w:rsidRPr="00453F25">
        <w:rPr>
          <w:lang w:val="ru-RU"/>
        </w:rPr>
        <w:t xml:space="preserve">Требование об обязательном существовании экономической взаимосвязи означает, что инструмент хеджирования и объект хеджирования имеют стоимость, которая изменяется, как правило, в противоположных направлениях, вследствие подверженности одному и тому же риску, который и является хеджируемым риском. Таким образом, следует ожидать, что стоимость инструмента хеджирования и стоимость объекта хеджирования будут последовательно изменяться вследствие изменений одной и той же базовой переменной или нескольких базовых переменных, экономически связанных таким образом, что они реагируют схожим образом на риск, который является объектом хеджирования (например, цены на сырую нефть сорта Брент и сорта </w:t>
      </w:r>
      <w:r w:rsidR="002D1543" w:rsidRPr="00453F25">
        <w:t>WTI</w:t>
      </w:r>
      <w:r w:rsidR="002D1543" w:rsidRPr="00453F25">
        <w:rPr>
          <w:lang w:val="ru-RU"/>
        </w:rPr>
        <w:t>).</w:t>
      </w:r>
      <w:bookmarkEnd w:id="462"/>
    </w:p>
    <w:p w:rsidR="002D1543" w:rsidRPr="00453F25" w:rsidRDefault="002D1543" w:rsidP="002D1543">
      <w:pPr>
        <w:pStyle w:val="IASBNormalnpara"/>
        <w:rPr>
          <w:lang w:val="ru-RU"/>
        </w:rPr>
      </w:pPr>
      <w:r w:rsidRPr="00453F25">
        <w:t>B</w:t>
      </w:r>
      <w:r w:rsidRPr="00453F25">
        <w:rPr>
          <w:lang w:val="ru-RU"/>
        </w:rPr>
        <w:t>6.4.5</w:t>
      </w:r>
      <w:r w:rsidRPr="00453F25">
        <w:rPr>
          <w:lang w:val="ru-RU"/>
        </w:rPr>
        <w:tab/>
      </w:r>
      <w:bookmarkStart w:id="463" w:name="F27188173"/>
      <w:r w:rsidRPr="00453F25">
        <w:rPr>
          <w:lang w:val="ru-RU"/>
        </w:rPr>
        <w:t>Если базовые переменные не совпадают, но экономически связаны между собой, то могут иметь место ситуации, когда стоимость инструмента хеджирования и стоимость объекта хеджирования изменяются в одном направлении, например, вследствие того, что изменяется ценовой дифференциал между указанными двумя базовыми переменными, тогда как сами эти базовые переменные изменяются незначительно. В такой ситуации требование о наличии экономической взаимосвязи между инструментом хеджирования и объектом хеджирования может, тем не менее, выполняться, если по-прежнему ожидается, что в случае изменения базовых переменных изменение стоимости инструмента хеджирования и стоимости объекта хеджирования, как правило, будет разнонаправленным.</w:t>
      </w:r>
      <w:bookmarkEnd w:id="463"/>
    </w:p>
    <w:p w:rsidR="001529CA" w:rsidRPr="0049187C" w:rsidRDefault="002D1543" w:rsidP="002D1543">
      <w:pPr>
        <w:pStyle w:val="IASBNormalnpara"/>
        <w:rPr>
          <w:lang w:val="ru-RU"/>
        </w:rPr>
      </w:pPr>
      <w:r w:rsidRPr="00453F25">
        <w:t>B</w:t>
      </w:r>
      <w:r w:rsidRPr="00453F25">
        <w:rPr>
          <w:lang w:val="ru-RU"/>
        </w:rPr>
        <w:t>6.4.6</w:t>
      </w:r>
      <w:r w:rsidRPr="00453F25">
        <w:rPr>
          <w:lang w:val="ru-RU"/>
        </w:rPr>
        <w:tab/>
        <w:t>При оценке наличия экономической взаимосвязи также анализируется возможное поведение соответствующих отношений хеджирования в течение срока их существования, чтобы выяснить, можно ли ожидать, что они будут соответствовать цели управления рисками. Наличие статистической корреляции между двумя переменными само по себе не является основанием для вывода о наличии экономической взаимосвязи между ними</w:t>
      </w:r>
      <w:r w:rsidR="00726106" w:rsidRPr="0049187C">
        <w:rPr>
          <w:lang w:val="ru-RU"/>
        </w:rPr>
        <w:t>.</w:t>
      </w:r>
    </w:p>
    <w:p w:rsidR="001529CA" w:rsidRPr="0049187C" w:rsidRDefault="00726106">
      <w:pPr>
        <w:pStyle w:val="IASBSectionTitle3Ind"/>
        <w:rPr>
          <w:lang w:val="ru-RU"/>
        </w:rPr>
      </w:pPr>
      <w:bookmarkStart w:id="464" w:name="F27188177"/>
      <w:r w:rsidRPr="0049187C">
        <w:rPr>
          <w:lang w:val="ru-RU"/>
        </w:rPr>
        <w:t>Влияние кредитного риска</w:t>
      </w:r>
      <w:bookmarkEnd w:id="464"/>
    </w:p>
    <w:p w:rsidR="002D1543" w:rsidRPr="00453F25" w:rsidRDefault="001529CA" w:rsidP="002D1543">
      <w:pPr>
        <w:pStyle w:val="IASBNormalnpara"/>
        <w:rPr>
          <w:lang w:val="ru-RU"/>
        </w:rPr>
      </w:pPr>
      <w:r w:rsidRPr="0049187C">
        <w:rPr>
          <w:lang w:val="ru-RU"/>
        </w:rPr>
        <w:t>B6.4.7</w:t>
      </w:r>
      <w:r w:rsidRPr="0049187C">
        <w:rPr>
          <w:lang w:val="ru-RU"/>
        </w:rPr>
        <w:tab/>
      </w:r>
      <w:bookmarkStart w:id="465" w:name="F27188179"/>
      <w:bookmarkStart w:id="466" w:name="F27188178"/>
      <w:r w:rsidR="002D1543" w:rsidRPr="00453F25">
        <w:rPr>
          <w:lang w:val="ru-RU"/>
        </w:rPr>
        <w:t>Поскольку модель учета хеджирования основывается на общем понятии взаимной компенсации прибылей и убытков по инструменту хеджирования и объекту хеджирования, эффективность хеджирования определяется не только экономической взаимосвязью между этими двумя объектами (</w:t>
      </w:r>
      <w:r w:rsidR="00730672">
        <w:rPr>
          <w:lang w:val="ru-RU"/>
        </w:rPr>
        <w:t>т. е.</w:t>
      </w:r>
      <w:r w:rsidR="002D1543" w:rsidRPr="00453F25">
        <w:rPr>
          <w:lang w:val="ru-RU"/>
        </w:rPr>
        <w:t xml:space="preserve"> изменениями их базовых переменных), но также и влиянием, оказываемым кредитным риском на стоимость как инструмента хеджирования, так и объекта хеджирования. Влияние кредитного риска означает, что даже если между инструментом хеджирования и объектом хеджирования существует экономическая взаимосвязь, уровень взаимной компенсации может стать неустойчивым. Такой результат может возникнуть вследствие настолько значительного изменения кредитного риска по инструменту хеджирования либо по объекту хеджирования, что кредитный риск оказывает доминирующее влияние на изменения стоимости, обусловленные экономической взаимосвязью (</w:t>
      </w:r>
      <w:r w:rsidR="00730672">
        <w:rPr>
          <w:lang w:val="ru-RU"/>
        </w:rPr>
        <w:t>т. е.</w:t>
      </w:r>
      <w:r w:rsidR="002D1543" w:rsidRPr="00453F25">
        <w:rPr>
          <w:lang w:val="ru-RU"/>
        </w:rPr>
        <w:t xml:space="preserve"> влияние изменений базовых переменных). Масштаб изменения считается настолько значительным, что фактор кредитного риска становится доминирующим, когда возникший вследствие кредитного риска убыток (или прибыль) превосходит влияние, оказываемое изменениями базовых переменных на стоимость инструмента хеджирования или стоимость объекта хеджирования, даже если эти изменения были значительными. И наоборот, если в течение определенного периода базовые переменные практически не изменяются, тот факт, что даже незначительные колебания стоимости инструмента хеджирования или стоимости объекта хеджирования, связанные с кредитным риском, могут в большей степени влиять на стоимость, чем изменения базовых переменных, не приводит к возникновению доминирования.</w:t>
      </w:r>
      <w:bookmarkEnd w:id="466"/>
    </w:p>
    <w:p w:rsidR="001529CA" w:rsidRPr="0049187C" w:rsidRDefault="002D1543" w:rsidP="002D1543">
      <w:pPr>
        <w:pStyle w:val="IASBNormalnpara"/>
        <w:rPr>
          <w:lang w:val="ru-RU"/>
        </w:rPr>
      </w:pPr>
      <w:r w:rsidRPr="00453F25">
        <w:t>B</w:t>
      </w:r>
      <w:r w:rsidRPr="00453F25">
        <w:rPr>
          <w:lang w:val="ru-RU"/>
        </w:rPr>
        <w:t>6.4.8</w:t>
      </w:r>
      <w:r w:rsidRPr="00453F25">
        <w:rPr>
          <w:lang w:val="ru-RU"/>
        </w:rPr>
        <w:tab/>
        <w:t>Примером ситуации, в которой кредитный риск является доминирующим фактором в отношениях хеджирования, является хеджирование организацией позиции, подверженной риску изменения ц</w:t>
      </w:r>
      <w:r w:rsidR="00A73D9D">
        <w:rPr>
          <w:lang w:val="ru-RU"/>
        </w:rPr>
        <w:t xml:space="preserve">ены на </w:t>
      </w:r>
      <w:r w:rsidRPr="00453F25">
        <w:rPr>
          <w:lang w:val="ru-RU"/>
        </w:rPr>
        <w:t>товар, с помощью необеспеченного производного инструмента. Если кредитоспособность контрагента по данному производному инструменту значительно снизится, то влияние, оказанное изменением кредитоспособности контрагента на справедливую стоимость инструмента хеджирования, может перевесить влияние, оказываемое на</w:t>
      </w:r>
      <w:r w:rsidR="00A73D9D">
        <w:rPr>
          <w:lang w:val="ru-RU"/>
        </w:rPr>
        <w:t xml:space="preserve"> нее изменениями цены </w:t>
      </w:r>
      <w:r w:rsidRPr="00453F25">
        <w:rPr>
          <w:lang w:val="ru-RU"/>
        </w:rPr>
        <w:t>товара, тогда как изменения стоимости объекта хеджирования в основном зависят от изменений цены товара</w:t>
      </w:r>
      <w:r w:rsidR="00726106" w:rsidRPr="0049187C">
        <w:rPr>
          <w:lang w:val="ru-RU"/>
        </w:rPr>
        <w:t>.</w:t>
      </w:r>
      <w:bookmarkEnd w:id="465"/>
    </w:p>
    <w:p w:rsidR="001529CA" w:rsidRPr="0049187C" w:rsidRDefault="00726106">
      <w:pPr>
        <w:pStyle w:val="IASBSectionTitle3Ind"/>
        <w:rPr>
          <w:lang w:val="ru-RU"/>
        </w:rPr>
      </w:pPr>
      <w:bookmarkStart w:id="467" w:name="F27188181"/>
      <w:r w:rsidRPr="0049187C">
        <w:rPr>
          <w:lang w:val="ru-RU"/>
        </w:rPr>
        <w:t>Коэффициент хеджирования</w:t>
      </w:r>
      <w:bookmarkEnd w:id="467"/>
    </w:p>
    <w:p w:rsidR="002D1543" w:rsidRPr="00453F25" w:rsidRDefault="001529CA" w:rsidP="002D1543">
      <w:pPr>
        <w:pStyle w:val="IASBNormalnpara"/>
        <w:rPr>
          <w:lang w:val="ru-RU"/>
        </w:rPr>
      </w:pPr>
      <w:r w:rsidRPr="0049187C">
        <w:rPr>
          <w:lang w:val="ru-RU"/>
        </w:rPr>
        <w:t>B6.4.9</w:t>
      </w:r>
      <w:r w:rsidRPr="0049187C">
        <w:rPr>
          <w:lang w:val="ru-RU"/>
        </w:rPr>
        <w:tab/>
      </w:r>
      <w:bookmarkStart w:id="468" w:name="F27188200"/>
      <w:bookmarkStart w:id="469" w:name="F27188182"/>
      <w:r w:rsidR="002D1543" w:rsidRPr="00453F25">
        <w:rPr>
          <w:lang w:val="ru-RU"/>
        </w:rPr>
        <w:t>В соответствии с требованиями к эффективности хеджирования коэффициент хеджирования в отношениях хеджирования должен соответствовать коэффициенту, который отражает соотношение между количественным объемом объекта хеджирования, фактически хеджируемым организацией, и количественным объемом инструмента хеджирования, фактически используемым организацией для хеджирования указанного количественного объема объекта хеджирования. Следовательно, если организация хеджирует менее чем 100 процентов позиции по риску, например, 85 процентов, то, определяя по собственному усмотрению отношения хеджирования, она должна использовать коэффициент хеджирования, соответствующий соотношению между 85 процентами позиции по риску и тем количественным объемом инструмента хеджирования, который организация фактически использует для хеджирования этих 85 процентов. Аналогичным образом, если, например, организация хеджирует позицию по риску с помощью 40 единиц финансового инструмента по номинальной стоимости, то при определении по собственному усмотрению отношений хеджирования она должна использовать коэффициент хеджирования, соответствующий соотношению между указанным количественным объемом в 40 единиц (</w:t>
      </w:r>
      <w:r w:rsidR="00730672">
        <w:rPr>
          <w:lang w:val="ru-RU"/>
        </w:rPr>
        <w:t>т. е.</w:t>
      </w:r>
      <w:r w:rsidR="002D1543" w:rsidRPr="00453F25">
        <w:rPr>
          <w:lang w:val="ru-RU"/>
        </w:rPr>
        <w:t xml:space="preserve"> организация не должна использовать коэффициент хеджирования, рассчитанный исходя из большего количества единиц, которыми она может располагать в совокупности, или исходя из меньшего количества единиц) и количественным объемом объекта хеджирования, фактически хеджируемым организацией посредством данных 40 единиц.</w:t>
      </w:r>
      <w:bookmarkEnd w:id="469"/>
    </w:p>
    <w:p w:rsidR="002D1543" w:rsidRPr="00453F25" w:rsidRDefault="002D1543" w:rsidP="002D1543">
      <w:pPr>
        <w:pStyle w:val="IASBNormalnpara"/>
        <w:rPr>
          <w:lang w:val="ru-RU"/>
        </w:rPr>
      </w:pPr>
      <w:r w:rsidRPr="00453F25">
        <w:t>B</w:t>
      </w:r>
      <w:r w:rsidRPr="00453F25">
        <w:rPr>
          <w:lang w:val="ru-RU"/>
        </w:rPr>
        <w:t>6.4.10</w:t>
      </w:r>
      <w:r w:rsidRPr="00453F25">
        <w:rPr>
          <w:lang w:val="ru-RU"/>
        </w:rPr>
        <w:tab/>
      </w:r>
      <w:bookmarkStart w:id="470" w:name="F27188183"/>
      <w:r w:rsidRPr="00453F25">
        <w:rPr>
          <w:lang w:val="ru-RU"/>
        </w:rPr>
        <w:t xml:space="preserve">Однако определяя по собственному усмотрению отношения хеджирования с использованием того же коэффициента хеджирования, который рассчитан исходя из фактически используемых ею количественных объемов объекта хеджирования и инструмента хеджирования, организация не должна принимать в расчет весовой дисбаланс между объектом хеджирования и инструментом хеджирования, который в свою очередь привел бы к неэффективности хеджирования (независимо от того, признается она или нет), возможным следствием которой является отражение в отчетности результата, не соответствующего цели учета хеджирования. Следовательно, для целей определения по </w:t>
      </w:r>
      <w:r w:rsidR="00057361">
        <w:rPr>
          <w:lang w:val="ru-RU"/>
        </w:rPr>
        <w:t>собственному</w:t>
      </w:r>
      <w:r w:rsidRPr="00453F25">
        <w:rPr>
          <w:lang w:val="ru-RU"/>
        </w:rPr>
        <w:t xml:space="preserve"> усмотрению отношений хеджирования организация должна скорректировать коэффициент хеджирования, рассчитанный исходя из фактически используемых ею количественных объемов объекта хеджирования и инструмента хеджирования, если это необходимо для устранения такого дисбаланса.</w:t>
      </w:r>
      <w:bookmarkEnd w:id="470"/>
    </w:p>
    <w:p w:rsidR="002D1543" w:rsidRPr="00453F25" w:rsidRDefault="002D1543" w:rsidP="002D1543">
      <w:pPr>
        <w:pStyle w:val="IASBNormalnpara"/>
        <w:rPr>
          <w:lang w:val="ru-RU"/>
        </w:rPr>
      </w:pPr>
      <w:r w:rsidRPr="00453F25">
        <w:t>B</w:t>
      </w:r>
      <w:r w:rsidRPr="00453F25">
        <w:rPr>
          <w:lang w:val="ru-RU"/>
        </w:rPr>
        <w:t>6.4.11</w:t>
      </w:r>
      <w:r w:rsidRPr="00453F25">
        <w:rPr>
          <w:lang w:val="ru-RU"/>
        </w:rPr>
        <w:tab/>
      </w:r>
      <w:bookmarkStart w:id="471" w:name="F27188184"/>
      <w:r w:rsidRPr="00453F25">
        <w:rPr>
          <w:lang w:val="ru-RU"/>
        </w:rPr>
        <w:t xml:space="preserve">При решении вопроса о том, имеет ли место несоответствие результата, подлежащего отражению в отчетности, цели учета хеджирования, </w:t>
      </w:r>
      <w:bookmarkEnd w:id="471"/>
      <w:r w:rsidRPr="00453F25">
        <w:rPr>
          <w:lang w:val="ru-RU"/>
        </w:rPr>
        <w:t xml:space="preserve">уместно </w:t>
      </w:r>
      <w:r w:rsidR="00A34BF4" w:rsidRPr="00453F25">
        <w:rPr>
          <w:lang w:val="ru-RU"/>
        </w:rPr>
        <w:t>проанализировать</w:t>
      </w:r>
      <w:r w:rsidRPr="00453F25">
        <w:rPr>
          <w:lang w:val="ru-RU"/>
        </w:rPr>
        <w:t xml:space="preserve">, например, такие аспекты: </w:t>
      </w:r>
    </w:p>
    <w:p w:rsidR="002D1543" w:rsidRPr="00453F25" w:rsidRDefault="002D1543" w:rsidP="002D1543">
      <w:pPr>
        <w:pStyle w:val="IASBNormalnparaL1"/>
        <w:rPr>
          <w:lang w:val="ru-RU"/>
        </w:rPr>
      </w:pPr>
      <w:r w:rsidRPr="00453F25">
        <w:rPr>
          <w:lang w:val="ru-RU"/>
        </w:rPr>
        <w:t>(</w:t>
      </w:r>
      <w:r w:rsidRPr="00453F25">
        <w:t>a</w:t>
      </w:r>
      <w:r w:rsidRPr="00453F25">
        <w:rPr>
          <w:lang w:val="ru-RU"/>
        </w:rPr>
        <w:t>)</w:t>
      </w:r>
      <w:r w:rsidRPr="00453F25">
        <w:rPr>
          <w:lang w:val="ru-RU"/>
        </w:rPr>
        <w:tab/>
      </w:r>
      <w:bookmarkStart w:id="472" w:name="F27188198"/>
      <w:r w:rsidRPr="00453F25">
        <w:rPr>
          <w:lang w:val="ru-RU"/>
        </w:rPr>
        <w:t>какую задачу призван решить устанавливаемый организацией коэффициент хеджирования: избежать признания неэффективности хеджирования применительно к хеджированию денежных потоков или получить возможность произвести корректировку справедливой стоимости большего числа объектов хеджирования с целью расширения использования учета по справедливой стоимости, не имея при этом компенсирующих изменений справедливой стоимости инструмента хеджирования; и</w:t>
      </w:r>
      <w:bookmarkEnd w:id="472"/>
    </w:p>
    <w:p w:rsidR="001529CA" w:rsidRPr="0049187C" w:rsidRDefault="002D1543" w:rsidP="002D1543">
      <w:pPr>
        <w:pStyle w:val="IASBNormalnpara"/>
        <w:ind w:left="1560"/>
        <w:rPr>
          <w:lang w:val="ru-RU"/>
        </w:rPr>
      </w:pPr>
      <w:r w:rsidRPr="00453F25">
        <w:rPr>
          <w:lang w:val="ru-RU"/>
        </w:rPr>
        <w:t>(</w:t>
      </w:r>
      <w:r w:rsidRPr="002D1543">
        <w:rPr>
          <w:lang w:val="ru-RU"/>
        </w:rPr>
        <w:t>b</w:t>
      </w:r>
      <w:r w:rsidRPr="00453F25">
        <w:rPr>
          <w:lang w:val="ru-RU"/>
        </w:rPr>
        <w:t>)</w:t>
      </w:r>
      <w:r w:rsidRPr="00453F25">
        <w:rPr>
          <w:lang w:val="ru-RU"/>
        </w:rPr>
        <w:tab/>
        <w:t>имеются ли коммерческие основания для использования конкретных весовых объемов объекта хеджирования и инструмента хеджирования, даже если это приводит к неэффективности хеджирования. Например, организация заключает договор и по собственному усмотрению определяет его в качестве инструмента хеджирования в количественном объеме, не соответствующем количественному объему, который обеспечил бы наилучшее хеджирование объекта хеджирования из-за того, что стандартный объем сделки на эти инструменты хеджирования не позволяет организации заключить сделку в точности на требуемый количественный объем инструмента хеджирования («проблема стандартного объема сделки»). В качестве примера можно привести организацию, хеджирующую закупки 100 тонн кофе посредством стандартных фьючерсных договоров на кофе, где каждый договор предусматривает поставку 37 500 фунтов кофе. Организация может только использовать либо пять, либо шесть договоров (что составляет 85,0 и 102,1 тонны, соответственно) для хеджирования закупок в объеме 100 тонн. В этом случае организация по собственному усмотрению определяет отношения хеджирования, используя коэффициент хеджирования, который рассчитывается исходя из фактически используемого ею количества фьючерсных договоров на кофе, поскольку неэффективность хеджирования, связанная с несовпадением весовых объемов объекта хеджирования и инструмента хеджирования, не привела бы к отражению в отчетности такого результата, который не соответствовал бы цели учета хеджирования</w:t>
      </w:r>
      <w:r w:rsidR="00726106" w:rsidRPr="0049187C">
        <w:rPr>
          <w:lang w:val="ru-RU"/>
        </w:rPr>
        <w:t>.</w:t>
      </w:r>
      <w:bookmarkEnd w:id="468"/>
    </w:p>
    <w:p w:rsidR="001529CA" w:rsidRPr="0049187C" w:rsidRDefault="002D1543">
      <w:pPr>
        <w:pStyle w:val="IASBSectionTitle3Ind"/>
        <w:rPr>
          <w:lang w:val="ru-RU"/>
        </w:rPr>
      </w:pPr>
      <w:bookmarkStart w:id="473" w:name="F27188202"/>
      <w:r>
        <w:rPr>
          <w:lang w:val="ru-RU"/>
        </w:rPr>
        <w:t>С какой регулярностью следует оценивать выполнение</w:t>
      </w:r>
      <w:r w:rsidR="00726106" w:rsidRPr="0049187C">
        <w:rPr>
          <w:lang w:val="ru-RU"/>
        </w:rPr>
        <w:t xml:space="preserve"> требований к эффективности хеджирования</w:t>
      </w:r>
      <w:bookmarkEnd w:id="473"/>
    </w:p>
    <w:p w:rsidR="001529CA" w:rsidRPr="0049187C" w:rsidRDefault="001529CA">
      <w:pPr>
        <w:pStyle w:val="IASBNormalnpara"/>
        <w:rPr>
          <w:lang w:val="ru-RU"/>
        </w:rPr>
      </w:pPr>
      <w:r w:rsidRPr="0049187C">
        <w:rPr>
          <w:lang w:val="ru-RU"/>
        </w:rPr>
        <w:t>B6.4.12</w:t>
      </w:r>
      <w:r w:rsidRPr="0049187C">
        <w:rPr>
          <w:lang w:val="ru-RU"/>
        </w:rPr>
        <w:tab/>
      </w:r>
      <w:bookmarkStart w:id="474" w:name="SL32626823"/>
      <w:r w:rsidR="002D1543" w:rsidRPr="00453F25">
        <w:rPr>
          <w:lang w:val="ru-RU"/>
        </w:rPr>
        <w:t xml:space="preserve">Организация должна оценить в начале отношений хеджирования и впоследствии оценивать на постоянной основе, отвечают ли отношения хеджирования требованиям к эффективности хеджирования. Как минимум, организация должна производить такую оценку по состоянию на каждую отчетную дату либо вследствие значительного изменения обстоятельств, повлиявшего на </w:t>
      </w:r>
      <w:r w:rsidR="00A34BF4" w:rsidRPr="00453F25">
        <w:rPr>
          <w:lang w:val="ru-RU"/>
        </w:rPr>
        <w:t>выполнение</w:t>
      </w:r>
      <w:r w:rsidR="002D1543" w:rsidRPr="00453F25">
        <w:rPr>
          <w:lang w:val="ru-RU"/>
        </w:rPr>
        <w:t xml:space="preserve"> требований в части эффективности хеджирования, в зависимости от того, какое из этих событий произойдет раньше. Данная оценка связана с ожиданиями относительно эффективности хеджирования и поэтому является только перспективной</w:t>
      </w:r>
      <w:r w:rsidR="00726106" w:rsidRPr="0049187C">
        <w:rPr>
          <w:lang w:val="ru-RU"/>
        </w:rPr>
        <w:t>.</w:t>
      </w:r>
      <w:r w:rsidRPr="0049187C">
        <w:rPr>
          <w:lang w:val="ru-RU"/>
        </w:rPr>
        <w:t xml:space="preserve"> </w:t>
      </w:r>
      <w:bookmarkEnd w:id="474"/>
    </w:p>
    <w:p w:rsidR="001529CA" w:rsidRPr="0049187C" w:rsidRDefault="00726106">
      <w:pPr>
        <w:pStyle w:val="IASBSectionTitle3Ind"/>
        <w:rPr>
          <w:lang w:val="ru-RU"/>
        </w:rPr>
      </w:pPr>
      <w:bookmarkStart w:id="475" w:name="F27188205"/>
      <w:r w:rsidRPr="0049187C">
        <w:rPr>
          <w:lang w:val="ru-RU"/>
        </w:rPr>
        <w:t>Методы оценки выполнения требований к эффективности хеджирования</w:t>
      </w:r>
      <w:bookmarkEnd w:id="475"/>
    </w:p>
    <w:p w:rsidR="002D1543" w:rsidRPr="00453F25" w:rsidRDefault="001529CA" w:rsidP="002D1543">
      <w:pPr>
        <w:pStyle w:val="IASBNormalnpara"/>
        <w:rPr>
          <w:lang w:val="ru-RU"/>
        </w:rPr>
      </w:pPr>
      <w:r w:rsidRPr="0049187C">
        <w:rPr>
          <w:lang w:val="ru-RU"/>
        </w:rPr>
        <w:t>B6.4.13</w:t>
      </w:r>
      <w:r w:rsidRPr="0049187C">
        <w:rPr>
          <w:lang w:val="ru-RU"/>
        </w:rPr>
        <w:tab/>
      </w:r>
      <w:bookmarkStart w:id="476" w:name="F27188222"/>
      <w:bookmarkStart w:id="477" w:name="F27188206"/>
      <w:r w:rsidR="002D1543" w:rsidRPr="00453F25">
        <w:rPr>
          <w:lang w:val="ru-RU"/>
        </w:rPr>
        <w:t>В настоящем стандарте не устанавливается метод, который позволяет оценить, отвечают ли отношения хеджирования требованиям в части эффективности хеджирования. Однако организация должна использовать такой метод, который выявляет уместные характеристики отношений хеджирования, включая источники неэффективности хеджирования. В зависимости от этих факторов применяемый метод может представлять собой качественную или количественную оценку.</w:t>
      </w:r>
      <w:bookmarkEnd w:id="477"/>
    </w:p>
    <w:p w:rsidR="002D1543" w:rsidRPr="00453F25" w:rsidRDefault="002D1543" w:rsidP="002D1543">
      <w:pPr>
        <w:pStyle w:val="IASBNormalnpara"/>
        <w:rPr>
          <w:lang w:val="ru-RU"/>
        </w:rPr>
      </w:pPr>
      <w:r w:rsidRPr="00453F25">
        <w:t>B</w:t>
      </w:r>
      <w:r w:rsidRPr="00453F25">
        <w:rPr>
          <w:lang w:val="ru-RU"/>
        </w:rPr>
        <w:t>6.4.14</w:t>
      </w:r>
      <w:r w:rsidRPr="00453F25">
        <w:rPr>
          <w:lang w:val="ru-RU"/>
        </w:rPr>
        <w:tab/>
      </w:r>
      <w:bookmarkStart w:id="478" w:name="F27188217"/>
      <w:r w:rsidRPr="00453F25">
        <w:rPr>
          <w:lang w:val="ru-RU"/>
        </w:rPr>
        <w:t>Например, если ключевые параметры (такие как номинальная стоимость, срок погашения и базовая переменная) инструмента хеджирования и объекта хеджирования совпадают или близки друг другу, организация может на основе качественной оценки указанных ключевых параметров заключить, что инструмент хеджирования и объект хеджирования имеют стоимости, которые будут изменяться, как правило, в противоположных направлениях вследствие одного и того же риска, и, следовательно, что между данными объектом и инструментом хеджирования существует экономическая взаимосвязь (см. пункты В6.4.4–</w:t>
      </w:r>
      <w:r w:rsidRPr="00453F25">
        <w:t>B</w:t>
      </w:r>
      <w:r w:rsidRPr="00453F25">
        <w:rPr>
          <w:lang w:val="ru-RU"/>
        </w:rPr>
        <w:t>6.4.6).</w:t>
      </w:r>
      <w:bookmarkEnd w:id="478"/>
    </w:p>
    <w:p w:rsidR="002D1543" w:rsidRPr="00453F25" w:rsidRDefault="002D1543" w:rsidP="002D1543">
      <w:pPr>
        <w:pStyle w:val="IASBNormalnpara"/>
        <w:rPr>
          <w:lang w:val="ru-RU"/>
        </w:rPr>
      </w:pPr>
      <w:r w:rsidRPr="00453F25">
        <w:t>B</w:t>
      </w:r>
      <w:r w:rsidRPr="00453F25">
        <w:rPr>
          <w:lang w:val="ru-RU"/>
        </w:rPr>
        <w:t>6.4.15</w:t>
      </w:r>
      <w:r w:rsidRPr="00453F25">
        <w:rPr>
          <w:lang w:val="ru-RU"/>
        </w:rPr>
        <w:tab/>
      </w:r>
      <w:bookmarkStart w:id="479" w:name="F27188218"/>
      <w:r w:rsidRPr="00453F25">
        <w:rPr>
          <w:lang w:val="ru-RU"/>
        </w:rPr>
        <w:t>Тот факт, что в момент определения производного инструмента по усмотрению организации в качестве инструмента хеджирования он находится «в деньгах» или «вне денег», сам по себе не означает, что оценка, основанная на качественных параметрах, неуместна. То, может ли неэффективность хеджирования, возникающая вследствие данного факта, иметь такой масштаб, что оценка, основанная на качественных параметрах, не сможет ее адекватно идентифицировать, зависит от обстоятельств.</w:t>
      </w:r>
      <w:bookmarkEnd w:id="479"/>
    </w:p>
    <w:p w:rsidR="002D1543" w:rsidRPr="00453F25" w:rsidRDefault="002D1543" w:rsidP="002D1543">
      <w:pPr>
        <w:pStyle w:val="IASBNormalnpara"/>
        <w:rPr>
          <w:lang w:val="ru-RU"/>
        </w:rPr>
      </w:pPr>
      <w:r w:rsidRPr="00453F25">
        <w:t>B</w:t>
      </w:r>
      <w:r w:rsidRPr="00453F25">
        <w:rPr>
          <w:lang w:val="ru-RU"/>
        </w:rPr>
        <w:t>6.4.16</w:t>
      </w:r>
      <w:r w:rsidRPr="00453F25">
        <w:rPr>
          <w:lang w:val="ru-RU"/>
        </w:rPr>
        <w:tab/>
      </w:r>
      <w:bookmarkStart w:id="480" w:name="F27188219"/>
      <w:r w:rsidRPr="00453F25">
        <w:rPr>
          <w:lang w:val="ru-RU"/>
        </w:rPr>
        <w:t xml:space="preserve">И, наоборот, если ключевые параметры инструмента хеджирования и объекта хеджирования не находятся в тесном сближении, то имеет место повышенный уровень неопределенности относительно степени взаимной компенсации. Следовательно, эффективность хеджирования в течение срока существования отношений хеджирования предсказать сложнее. В подобной ситуации сделать вывод о наличии или отсутствии экономической взаимосвязи между объектом хеджирования и инструментом хеджирования организация сможет лишь на основе количественной оценки (см. пункты </w:t>
      </w:r>
      <w:r w:rsidRPr="00453F25">
        <w:t>B</w:t>
      </w:r>
      <w:r w:rsidRPr="00453F25">
        <w:rPr>
          <w:lang w:val="ru-RU"/>
        </w:rPr>
        <w:t>6.4.4–</w:t>
      </w:r>
      <w:r w:rsidRPr="00453F25">
        <w:t>B</w:t>
      </w:r>
      <w:r w:rsidRPr="00453F25">
        <w:rPr>
          <w:lang w:val="ru-RU"/>
        </w:rPr>
        <w:t xml:space="preserve">6.4.6). В некоторых ситуациях количественная оценка также может потребоваться для того, чтобы оценить, отвечает ли коэффициент хеджирования, используемый для определения по усмотрению организации отношений хеджирования, требованиям в части эффективности хеджирования (см. пункты </w:t>
      </w:r>
      <w:r w:rsidRPr="00453F25">
        <w:t>B</w:t>
      </w:r>
      <w:r w:rsidRPr="00453F25">
        <w:rPr>
          <w:lang w:val="ru-RU"/>
        </w:rPr>
        <w:t>6.4.9–</w:t>
      </w:r>
      <w:r w:rsidRPr="00453F25">
        <w:t>B</w:t>
      </w:r>
      <w:r w:rsidRPr="00453F25">
        <w:rPr>
          <w:lang w:val="ru-RU"/>
        </w:rPr>
        <w:t>6.4.11). Организация может использовать один и тот же либо разные методы для этих двух отличающихся целей.</w:t>
      </w:r>
      <w:bookmarkEnd w:id="480"/>
    </w:p>
    <w:p w:rsidR="002D1543" w:rsidRPr="00453F25" w:rsidRDefault="002D1543" w:rsidP="002D1543">
      <w:pPr>
        <w:pStyle w:val="IASBNormalnpara"/>
        <w:rPr>
          <w:lang w:val="ru-RU"/>
        </w:rPr>
      </w:pPr>
      <w:r w:rsidRPr="00453F25">
        <w:t>B</w:t>
      </w:r>
      <w:r w:rsidRPr="00453F25">
        <w:rPr>
          <w:lang w:val="ru-RU"/>
        </w:rPr>
        <w:t>6.4.17</w:t>
      </w:r>
      <w:r w:rsidRPr="00453F25">
        <w:rPr>
          <w:lang w:val="ru-RU"/>
        </w:rPr>
        <w:tab/>
      </w:r>
      <w:bookmarkStart w:id="481" w:name="F27188220"/>
      <w:r w:rsidRPr="00453F25">
        <w:rPr>
          <w:lang w:val="ru-RU"/>
        </w:rPr>
        <w:t>Если имеют место изменения в обстоятельствах, которые оказывают влияние на эффективность хеджирования, то организации, возможно, придется изменить метод, с помощью которого она оценивает соответствие отношений хеджирования требованиям к эффективности хеджирования, чтобы удостовериться, что он по-прежнему отражает значимые характеристики отношений хеджирования, включая источники неэффективности хеджирования.</w:t>
      </w:r>
      <w:bookmarkEnd w:id="481"/>
    </w:p>
    <w:p w:rsidR="002D1543" w:rsidRPr="00453F25" w:rsidRDefault="002D1543" w:rsidP="002D1543">
      <w:pPr>
        <w:pStyle w:val="IASBNormalnpara"/>
        <w:rPr>
          <w:lang w:val="ru-RU"/>
        </w:rPr>
      </w:pPr>
      <w:r w:rsidRPr="00453F25">
        <w:t>B</w:t>
      </w:r>
      <w:r w:rsidRPr="00453F25">
        <w:rPr>
          <w:lang w:val="ru-RU"/>
        </w:rPr>
        <w:t>6.4.18</w:t>
      </w:r>
      <w:r w:rsidRPr="00453F25">
        <w:rPr>
          <w:lang w:val="ru-RU"/>
        </w:rPr>
        <w:tab/>
      </w:r>
      <w:bookmarkStart w:id="482" w:name="F27188221"/>
      <w:r w:rsidRPr="00453F25">
        <w:rPr>
          <w:lang w:val="ru-RU"/>
        </w:rPr>
        <w:t>Управление рисками, осуществляемое организацией, представляет собой основной источник информации для оценки того, отвечают ли отношения хеджирования требованиям к эффективности хеджирования. Это означает, что управленческая информация (или анализ), используемая для целей принятия решений, может быть использована как основа для того, чтобы оценить, отвечают ли отношения хеджирования требованиям к эффективности хеджирования.</w:t>
      </w:r>
      <w:bookmarkEnd w:id="482"/>
    </w:p>
    <w:p w:rsidR="001529CA" w:rsidRPr="0049187C" w:rsidRDefault="002D1543" w:rsidP="002D1543">
      <w:pPr>
        <w:pStyle w:val="IASBNormalnpara"/>
        <w:rPr>
          <w:lang w:val="ru-RU"/>
        </w:rPr>
      </w:pPr>
      <w:r w:rsidRPr="00453F25">
        <w:t>B</w:t>
      </w:r>
      <w:r w:rsidRPr="00453F25">
        <w:rPr>
          <w:lang w:val="ru-RU"/>
        </w:rPr>
        <w:t>6.4.19</w:t>
      </w:r>
      <w:r w:rsidRPr="00453F25">
        <w:rPr>
          <w:lang w:val="ru-RU"/>
        </w:rPr>
        <w:tab/>
        <w:t>Документация касательно отношений хеджирования, оформл</w:t>
      </w:r>
      <w:r>
        <w:rPr>
          <w:lang w:val="ru-RU"/>
        </w:rPr>
        <w:t>яемая</w:t>
      </w:r>
      <w:r w:rsidRPr="00453F25">
        <w:rPr>
          <w:lang w:val="ru-RU"/>
        </w:rPr>
        <w:t xml:space="preserve"> организацией, должна содержать описание того, как организация будет оценивать выполнение требований к эффективности хеджирования, включая описание используемого для этого мето</w:t>
      </w:r>
      <w:r>
        <w:rPr>
          <w:lang w:val="ru-RU"/>
        </w:rPr>
        <w:t>да или методов. Документация ка</w:t>
      </w:r>
      <w:r w:rsidRPr="00453F25">
        <w:rPr>
          <w:lang w:val="ru-RU"/>
        </w:rPr>
        <w:t>сательно отношений хеджирования подлежит обновлению в случае изменений этих методов (см. пункт В6.4.17)</w:t>
      </w:r>
      <w:r w:rsidR="00726106" w:rsidRPr="0049187C">
        <w:rPr>
          <w:lang w:val="ru-RU"/>
        </w:rPr>
        <w:t>.</w:t>
      </w:r>
      <w:bookmarkEnd w:id="476"/>
    </w:p>
    <w:p w:rsidR="001529CA" w:rsidRPr="0049187C" w:rsidRDefault="00726106">
      <w:pPr>
        <w:pStyle w:val="IASBSectionTitle2Ind"/>
        <w:rPr>
          <w:lang w:val="ru-RU"/>
        </w:rPr>
      </w:pPr>
      <w:bookmarkStart w:id="483" w:name="F27188224"/>
      <w:r w:rsidRPr="0049187C">
        <w:rPr>
          <w:lang w:val="ru-RU"/>
        </w:rPr>
        <w:t xml:space="preserve">Учет отношений хеджирования, отвечающих </w:t>
      </w:r>
      <w:r w:rsidR="002D1543">
        <w:rPr>
          <w:lang w:val="ru-RU"/>
        </w:rPr>
        <w:t xml:space="preserve">квалификационным </w:t>
      </w:r>
      <w:r w:rsidR="00C25F1D">
        <w:rPr>
          <w:lang w:val="ru-RU"/>
        </w:rPr>
        <w:t>критериям (Р</w:t>
      </w:r>
      <w:r w:rsidRPr="0049187C">
        <w:rPr>
          <w:lang w:val="ru-RU"/>
        </w:rPr>
        <w:t>аздел 6.5)</w:t>
      </w:r>
      <w:bookmarkEnd w:id="483"/>
    </w:p>
    <w:p w:rsidR="002D1543" w:rsidRPr="00453F25" w:rsidRDefault="001529CA" w:rsidP="002D1543">
      <w:pPr>
        <w:pStyle w:val="IASBNormalnpara"/>
        <w:rPr>
          <w:lang w:val="ru-RU"/>
        </w:rPr>
      </w:pPr>
      <w:r w:rsidRPr="0049187C">
        <w:rPr>
          <w:lang w:val="ru-RU"/>
        </w:rPr>
        <w:t>B6.5.1</w:t>
      </w:r>
      <w:r w:rsidRPr="0049187C">
        <w:rPr>
          <w:lang w:val="ru-RU"/>
        </w:rPr>
        <w:tab/>
      </w:r>
      <w:bookmarkStart w:id="484" w:name="F27188287"/>
      <w:bookmarkStart w:id="485" w:name="F27188225"/>
      <w:r w:rsidR="002D1543" w:rsidRPr="00453F25">
        <w:rPr>
          <w:lang w:val="ru-RU"/>
        </w:rPr>
        <w:t>Примером хеджирования справедливой стоимости является хеджирование риска изменения справедливой стоимости долгового инструмента с фиксированной процентной ставкой в связи с изменениями процентных ставок. Хеджирование такого рода может осуществляться эмитентом либо держателем такого инструмента.</w:t>
      </w:r>
      <w:bookmarkEnd w:id="485"/>
    </w:p>
    <w:p w:rsidR="002D1543" w:rsidRPr="00453F25" w:rsidRDefault="002D1543" w:rsidP="002D1543">
      <w:pPr>
        <w:pStyle w:val="IASBNormalnpara"/>
        <w:rPr>
          <w:lang w:val="ru-RU"/>
        </w:rPr>
      </w:pPr>
      <w:r w:rsidRPr="00453F25">
        <w:t>B</w:t>
      </w:r>
      <w:r w:rsidRPr="00453F25">
        <w:rPr>
          <w:lang w:val="ru-RU"/>
        </w:rPr>
        <w:t>6.5.2</w:t>
      </w:r>
      <w:r w:rsidRPr="00453F25">
        <w:rPr>
          <w:lang w:val="ru-RU"/>
        </w:rPr>
        <w:tab/>
      </w:r>
      <w:bookmarkStart w:id="486" w:name="F27188226"/>
      <w:r w:rsidRPr="00453F25">
        <w:rPr>
          <w:lang w:val="ru-RU"/>
        </w:rPr>
        <w:t>Целью хеджирования денежных потоков является отсрочка признания прибыли или убытка по инструменту хеджирования до того периода или периодов, когда ожидаемые денежные потоки, являющиеся объектом хеджирования, окажут влияние на прибыль или убыток за период. Примером хеджирования денежных потоков является использование свопа с целью превращения долгового инструмента с плавающей процентной ставкой (независимо от того, оценивается ли он по амортизированной или по справедливой стоимости) в долговой инструмент с фиксированной процентной ставкой (</w:t>
      </w:r>
      <w:r w:rsidR="00730672">
        <w:rPr>
          <w:lang w:val="ru-RU"/>
        </w:rPr>
        <w:t>т. е.</w:t>
      </w:r>
      <w:r w:rsidRPr="00453F25">
        <w:rPr>
          <w:lang w:val="ru-RU"/>
        </w:rPr>
        <w:t xml:space="preserve"> хеджирование будущей операции, в которой будущие денежные потоки, являющиеся объектом хеджирования, представляют собой будущие процентные платежи). С другой стороны, прогнозируемое приобретение долевого инструмента, который после покупки будет учитываться как переоцениваемый по справедливой стоимости через прибыль или убыток, является примером объекта, который не может быть объектом хеджирования в рамках хеджирования денежных потоков, поскольку прибыль или убыток по инструменту хеджирования, признание которых было бы отложено, нельзя было бы надлежащим образом реклассифицировать в состав прибыли или убытка за период в течение того периода, в котором достигалась бы взаимная компенсация. По той же причине прогнозируемое приобретение долевого инструмента, который после покупки будет учитываться по справедливой стоимости, изменения которой будут отражаться в составе прочего совокупного дохода, также не может быть объектом хеджирования в рамках хеджирования денежных потоков.</w:t>
      </w:r>
      <w:bookmarkEnd w:id="486"/>
    </w:p>
    <w:p w:rsidR="001529CA" w:rsidRPr="0049187C" w:rsidRDefault="002D1543" w:rsidP="002D1543">
      <w:pPr>
        <w:pStyle w:val="IASBNormalnpara"/>
        <w:rPr>
          <w:lang w:val="ru-RU"/>
        </w:rPr>
      </w:pPr>
      <w:r w:rsidRPr="00453F25">
        <w:t>B</w:t>
      </w:r>
      <w:r w:rsidRPr="00453F25">
        <w:rPr>
          <w:lang w:val="ru-RU"/>
        </w:rPr>
        <w:t>6.5.3</w:t>
      </w:r>
      <w:r w:rsidRPr="00453F25">
        <w:rPr>
          <w:lang w:val="ru-RU"/>
        </w:rPr>
        <w:tab/>
        <w:t>Хеджирование твердого договорного обязательства (например, хеджирование изменения цены топлива, относящейся к непризнанному договорному обязательству электроэнергетической компании по будущему приобретению топлива по фиксированной цене) представляет собой хеджирование риска изменения справедливой стоимости. Соответственно, такое хеджирование представляет собой хеджирование справедливой стоимости. Однако в соответствии с пунктом 6.5.4 хеджирование валютного риска, которому подвержено твердое договорное обязательство, может в качестве альтернативы учитываться в порядке, предусмотренном для учета хеджирования денежных потоков</w:t>
      </w:r>
      <w:r w:rsidR="00726106" w:rsidRPr="0049187C">
        <w:rPr>
          <w:lang w:val="ru-RU"/>
        </w:rPr>
        <w:t>.</w:t>
      </w:r>
      <w:bookmarkEnd w:id="484"/>
    </w:p>
    <w:p w:rsidR="001529CA" w:rsidRPr="0049187C" w:rsidRDefault="00726106">
      <w:pPr>
        <w:pStyle w:val="IASBSectionTitle3Ind"/>
        <w:rPr>
          <w:lang w:val="ru-RU"/>
        </w:rPr>
      </w:pPr>
      <w:bookmarkStart w:id="487" w:name="F27188289"/>
      <w:r w:rsidRPr="0049187C">
        <w:rPr>
          <w:lang w:val="ru-RU"/>
        </w:rPr>
        <w:t>Оценка неэффективности хеджирования</w:t>
      </w:r>
      <w:bookmarkEnd w:id="487"/>
    </w:p>
    <w:p w:rsidR="002D1543" w:rsidRPr="00453F25" w:rsidRDefault="001529CA" w:rsidP="002D1543">
      <w:pPr>
        <w:pStyle w:val="IASBNormalnpara"/>
        <w:rPr>
          <w:lang w:val="ru-RU"/>
        </w:rPr>
      </w:pPr>
      <w:r w:rsidRPr="0049187C">
        <w:rPr>
          <w:lang w:val="ru-RU"/>
        </w:rPr>
        <w:t>B6.5.4</w:t>
      </w:r>
      <w:r w:rsidRPr="0049187C">
        <w:rPr>
          <w:lang w:val="ru-RU"/>
        </w:rPr>
        <w:tab/>
      </w:r>
      <w:bookmarkStart w:id="488" w:name="F27188292"/>
      <w:bookmarkStart w:id="489" w:name="F27188290"/>
      <w:r w:rsidR="002D1543" w:rsidRPr="00453F25">
        <w:rPr>
          <w:lang w:val="ru-RU"/>
        </w:rPr>
        <w:t>При оценке неэффективности хеджирования организация должна принимать во внимание временнýю стоимость денег. Соответственно, организация определяет стоимость объекта хеджирования на основе приведенной стоимости, вследствие чего изменение стоимости объекта хеджирования также отражает эффект изменения стоимости денег с течением времени.</w:t>
      </w:r>
      <w:bookmarkEnd w:id="489"/>
    </w:p>
    <w:p w:rsidR="002D1543" w:rsidRPr="00453F25" w:rsidRDefault="002D1543" w:rsidP="002D1543">
      <w:pPr>
        <w:pStyle w:val="IASBNormalnpara"/>
        <w:rPr>
          <w:lang w:val="ru-RU"/>
        </w:rPr>
      </w:pPr>
      <w:r w:rsidRPr="00453F25">
        <w:t>B</w:t>
      </w:r>
      <w:r w:rsidRPr="00453F25">
        <w:rPr>
          <w:lang w:val="ru-RU"/>
        </w:rPr>
        <w:t>6.5.5</w:t>
      </w:r>
      <w:r w:rsidRPr="00453F25">
        <w:rPr>
          <w:lang w:val="ru-RU"/>
        </w:rPr>
        <w:tab/>
      </w:r>
      <w:bookmarkStart w:id="490" w:name="F27188291"/>
      <w:r w:rsidRPr="00453F25">
        <w:rPr>
          <w:lang w:val="ru-RU"/>
        </w:rPr>
        <w:t>Чтобы рассчитать величину изменения стоимости объекта хеджирования для целей оценки неэффективности хеджирования, организация может использовать производный инструмент, параметры которого совпадали бы с ключевыми параметрами объекта хеджирования (обычно такой инструмент называется «гипотетическим производным инструментом»), и который, например, в рамках хеджирования прогнозируемой операции, был бы откалиброван</w:t>
      </w:r>
      <w:r w:rsidRPr="00453F25" w:rsidDel="00C0459F">
        <w:rPr>
          <w:lang w:val="ru-RU"/>
        </w:rPr>
        <w:t xml:space="preserve"> </w:t>
      </w:r>
      <w:r w:rsidRPr="00453F25">
        <w:rPr>
          <w:lang w:val="ru-RU"/>
        </w:rPr>
        <w:t>по хеджируемому уровню цены (или ставки). Например, если бы хеджировался двусторонний риск изменения текущего рыночного уровня, то гипотетический производный инструмент представлял бы собой гипотетический форвардный договор, который организация в момент определения по собственному усмотрению отношений хеджирования калибрует до нулевой стоимости. Если бы, например, хеджировался односторонний риск, то гипотетическим производным инструментом была бы внутренняя стоимость гипотетического опциона, который на момент определения по усмотрению организации отношений хеджирования имел бы цену исполнения, совпадающую с текущей рыночной ценой, в случае, если бы цена хеджировалась на ее текущем рыночном уровне, или был бы «вне денег», если бы цена хеджировалась на уровне выше (или, в случае хеджирования длинной позиции, ниже) текущего рыночного уровня. Использование гипотетического производного инструмента – это один из возможных способов расчета величины изменения стоимости объекта хеджирования. Гипотетический производный инструмент в точности копирует объект хеджирования и поэтому приводит к тому же результату, как если бы величина данного изменения стоимости была определена с использованием другого подхода. Соответственно, использование «гипотетического производного инструмента» представляет собой не самостоятельный метод, а математический прием, который может использоваться только для расчета стоимости объекта хеджирования. Поэтому «гипотетический производный инструмент» не может использоваться для включения в стоимость объекта хеджирования тех характеристик, которые присутствуют только в инструменте хеджирования (но не в объекте хеджирования). Примером может служить долговой инструмент, выраженный в иностранной валюте (вне зависимости от того, является ли процентная ставка по нему фиксированной или переменной). Когда для расчета величины изменения стоимости такого долгового инструмента или приведенной стоимости общего изменения денежных потоков по нему используется гипотетический производный инструмент, данный гипотетический производный инструмент не может включать надбавку за обмен разных валют, несмотря на то, что реальные производные инструменты, по условиям которых производится валютный обмен, могут предусматривать таку</w:t>
      </w:r>
      <w:r>
        <w:rPr>
          <w:lang w:val="ru-RU"/>
        </w:rPr>
        <w:t>ю</w:t>
      </w:r>
      <w:r w:rsidRPr="00453F25">
        <w:rPr>
          <w:lang w:val="ru-RU"/>
        </w:rPr>
        <w:t xml:space="preserve"> надбавку (например, валютно-процентные свопы).</w:t>
      </w:r>
      <w:bookmarkEnd w:id="490"/>
    </w:p>
    <w:p w:rsidR="001529CA" w:rsidRPr="0049187C" w:rsidRDefault="002D1543" w:rsidP="002D1543">
      <w:pPr>
        <w:pStyle w:val="IASBNormalnpara"/>
        <w:rPr>
          <w:lang w:val="ru-RU"/>
        </w:rPr>
      </w:pPr>
      <w:r w:rsidRPr="00453F25">
        <w:t>B</w:t>
      </w:r>
      <w:r w:rsidRPr="00453F25">
        <w:rPr>
          <w:lang w:val="ru-RU"/>
        </w:rPr>
        <w:t>6.5.6</w:t>
      </w:r>
      <w:r w:rsidRPr="00453F25">
        <w:rPr>
          <w:lang w:val="ru-RU"/>
        </w:rPr>
        <w:tab/>
        <w:t>Величина изменения стоимости объекта хеджирования, определенная с использованием гипотетического производного инструмента, также может использоваться для того, чтобы оценить, отвечают ли отношения хеджирования требованиям в части эффективности хеджирования</w:t>
      </w:r>
      <w:r w:rsidR="00726106" w:rsidRPr="0049187C">
        <w:rPr>
          <w:lang w:val="ru-RU"/>
        </w:rPr>
        <w:t>.</w:t>
      </w:r>
      <w:bookmarkEnd w:id="488"/>
    </w:p>
    <w:p w:rsidR="001529CA" w:rsidRPr="0049187C" w:rsidRDefault="002D1543">
      <w:pPr>
        <w:pStyle w:val="IASBSectionTitle3Ind"/>
        <w:rPr>
          <w:lang w:val="ru-RU"/>
        </w:rPr>
      </w:pPr>
      <w:r>
        <w:rPr>
          <w:lang w:val="ru-RU"/>
        </w:rPr>
        <w:t>Ребалансировка отношений хеджирования и изменение</w:t>
      </w:r>
      <w:r w:rsidR="00190215" w:rsidRPr="0049187C">
        <w:rPr>
          <w:lang w:val="ru-RU"/>
        </w:rPr>
        <w:t xml:space="preserve"> коэффициента хеджирования</w:t>
      </w:r>
    </w:p>
    <w:p w:rsidR="009D262F" w:rsidRPr="00453F25" w:rsidRDefault="001529CA" w:rsidP="009D262F">
      <w:pPr>
        <w:pStyle w:val="IASBNormalnpara"/>
        <w:rPr>
          <w:lang w:val="ru-RU"/>
        </w:rPr>
      </w:pPr>
      <w:r w:rsidRPr="0049187C">
        <w:rPr>
          <w:lang w:val="ru-RU"/>
        </w:rPr>
        <w:t>B6.5.7</w:t>
      </w:r>
      <w:r w:rsidRPr="0049187C">
        <w:rPr>
          <w:lang w:val="ru-RU"/>
        </w:rPr>
        <w:tab/>
      </w:r>
      <w:bookmarkStart w:id="491" w:name="F27188384"/>
      <w:bookmarkStart w:id="492" w:name="F27188295"/>
      <w:r w:rsidR="009D262F" w:rsidRPr="00453F25">
        <w:rPr>
          <w:lang w:val="ru-RU"/>
        </w:rPr>
        <w:t>Под ребалансировкой подразумевается изменение определенных по усмотрению организации количественных объемов инструмента хеджирования или объекта хеджирования по уже существующим отношениям хеджирования, с целью поддержания коэффициента хеджирования на уровне, отвечающем требованиям к эффективности хеджирования. Изменения, вносимые в определенный по усмотрению организации количественный объем объекта хеджирования или инструмента хеджирования с иной целью, не являются ребалансировкой для целей настоящего стандарта.</w:t>
      </w:r>
      <w:bookmarkEnd w:id="492"/>
    </w:p>
    <w:p w:rsidR="009D262F" w:rsidRPr="00453F25" w:rsidRDefault="009D262F" w:rsidP="009D262F">
      <w:pPr>
        <w:pStyle w:val="IASBNormalnpara"/>
        <w:rPr>
          <w:lang w:val="ru-RU"/>
        </w:rPr>
      </w:pPr>
      <w:r w:rsidRPr="00453F25">
        <w:t>B</w:t>
      </w:r>
      <w:r w:rsidRPr="00453F25">
        <w:rPr>
          <w:lang w:val="ru-RU"/>
        </w:rPr>
        <w:t>6.5.8</w:t>
      </w:r>
      <w:r w:rsidRPr="00453F25">
        <w:rPr>
          <w:lang w:val="ru-RU"/>
        </w:rPr>
        <w:tab/>
      </w:r>
      <w:bookmarkStart w:id="493" w:name="F27188296"/>
      <w:r w:rsidRPr="00453F25">
        <w:rPr>
          <w:lang w:val="ru-RU"/>
        </w:rPr>
        <w:t xml:space="preserve">Ребалансировка учитывается как продолжение отношений хеджирования в соответствии с пунктами </w:t>
      </w:r>
      <w:r w:rsidRPr="00453F25">
        <w:t>B</w:t>
      </w:r>
      <w:r w:rsidRPr="00453F25">
        <w:rPr>
          <w:lang w:val="ru-RU"/>
        </w:rPr>
        <w:t>6.5.9–</w:t>
      </w:r>
      <w:r w:rsidRPr="00453F25">
        <w:t>B</w:t>
      </w:r>
      <w:r w:rsidRPr="00453F25">
        <w:rPr>
          <w:lang w:val="ru-RU"/>
        </w:rPr>
        <w:t>6.5.21. При проведении ребалансировки неэффективность отношений хеджирования определяется и признается непосредственно перед корректировкой отношений хеджирования.</w:t>
      </w:r>
      <w:bookmarkEnd w:id="493"/>
    </w:p>
    <w:p w:rsidR="009D262F" w:rsidRPr="00453F25" w:rsidRDefault="009D262F" w:rsidP="009D262F">
      <w:pPr>
        <w:pStyle w:val="IASBNormalnpara"/>
        <w:rPr>
          <w:lang w:val="ru-RU"/>
        </w:rPr>
      </w:pPr>
      <w:r w:rsidRPr="00453F25">
        <w:t>B</w:t>
      </w:r>
      <w:r w:rsidRPr="00453F25">
        <w:rPr>
          <w:lang w:val="ru-RU"/>
        </w:rPr>
        <w:t>6.5.9</w:t>
      </w:r>
      <w:r w:rsidRPr="00453F25">
        <w:rPr>
          <w:lang w:val="ru-RU"/>
        </w:rPr>
        <w:tab/>
      </w:r>
      <w:bookmarkStart w:id="494" w:name="F27188297"/>
      <w:r w:rsidRPr="00453F25">
        <w:rPr>
          <w:lang w:val="ru-RU"/>
        </w:rPr>
        <w:t xml:space="preserve">Корректировка коэффициента хеджирования позволяет организации отреагировать на те изменения в отношениях между инструментом хеджирования и объектом хеджирования, которые возникают в связи с соответствующими базовыми переменными или переменными риска. Например, отношения хеджирования, в рамках которых инструмент хеджирования и объект хеджирования имеют различные, но связанные между собой базовые переменные, изменяются в ответ на изменение взаимосвязи между этими двумя </w:t>
      </w:r>
      <w:r w:rsidR="00A34BF4" w:rsidRPr="00453F25">
        <w:rPr>
          <w:lang w:val="ru-RU"/>
        </w:rPr>
        <w:t>базовыми</w:t>
      </w:r>
      <w:r w:rsidRPr="00453F25">
        <w:rPr>
          <w:lang w:val="ru-RU"/>
        </w:rPr>
        <w:t xml:space="preserve"> переменными (например, разные, но связанные между собой базовые индексы, ставки или цены). Соответственно, ребалансировка позволяет продолжить отношения хеджирования в ситуациях, когда отношения между инструментом хеджирования и объектом хеджирования изменяются таким образом, что это изменение может быть компенсировано корректировкой коэффициента хеджирования.</w:t>
      </w:r>
      <w:bookmarkEnd w:id="494"/>
    </w:p>
    <w:p w:rsidR="009D262F" w:rsidRPr="00453F25" w:rsidRDefault="009D262F" w:rsidP="009D262F">
      <w:pPr>
        <w:pStyle w:val="IASBNormalnpara"/>
        <w:rPr>
          <w:lang w:val="ru-RU"/>
        </w:rPr>
      </w:pPr>
      <w:r w:rsidRPr="00453F25">
        <w:t>B</w:t>
      </w:r>
      <w:r w:rsidRPr="00453F25">
        <w:rPr>
          <w:lang w:val="ru-RU"/>
        </w:rPr>
        <w:t>6.5.10</w:t>
      </w:r>
      <w:r w:rsidRPr="00453F25">
        <w:rPr>
          <w:lang w:val="ru-RU"/>
        </w:rPr>
        <w:tab/>
      </w:r>
      <w:bookmarkStart w:id="495" w:name="F27188298"/>
      <w:r w:rsidRPr="00453F25">
        <w:rPr>
          <w:lang w:val="ru-RU"/>
        </w:rPr>
        <w:t xml:space="preserve">Например, организация хеджирует валютный риск по иностранной валюте А с помощью валютного производного инструмента, в </w:t>
      </w:r>
      <w:r w:rsidR="00A34BF4" w:rsidRPr="00453F25">
        <w:rPr>
          <w:lang w:val="ru-RU"/>
        </w:rPr>
        <w:t>котором базовой</w:t>
      </w:r>
      <w:r w:rsidRPr="00453F25">
        <w:rPr>
          <w:lang w:val="ru-RU"/>
        </w:rPr>
        <w:t xml:space="preserve"> является иностранная валюта В, и при этом обменный курс между иностранными валютами А и B искусственно </w:t>
      </w:r>
      <w:r w:rsidR="00A34BF4" w:rsidRPr="00453F25">
        <w:rPr>
          <w:lang w:val="ru-RU"/>
        </w:rPr>
        <w:t>поддерживается</w:t>
      </w:r>
      <w:r w:rsidRPr="00453F25">
        <w:rPr>
          <w:lang w:val="ru-RU"/>
        </w:rPr>
        <w:t xml:space="preserve"> (</w:t>
      </w:r>
      <w:r w:rsidR="00730672">
        <w:rPr>
          <w:lang w:val="ru-RU"/>
        </w:rPr>
        <w:t>т. е.</w:t>
      </w:r>
      <w:r w:rsidRPr="00453F25">
        <w:rPr>
          <w:lang w:val="ru-RU"/>
        </w:rPr>
        <w:t xml:space="preserve"> курс их обмена поддерживается в рамках определенного диапазона или на определенном уровне, установленном центральным банком или иным уполномоченным органом). Если бы обменный курс между иностранной валютой А и иностранной валютой B изменился (</w:t>
      </w:r>
      <w:r w:rsidR="00730672">
        <w:rPr>
          <w:lang w:val="ru-RU"/>
        </w:rPr>
        <w:t>т. е.</w:t>
      </w:r>
      <w:r w:rsidRPr="00453F25">
        <w:rPr>
          <w:lang w:val="ru-RU"/>
        </w:rPr>
        <w:t xml:space="preserve"> был бы установлен новый диапазон или новый курс), то ребалансировка соответствующих отношений хеджирования с учетом этого нового обменного курса позволила бы добиться того, чтобы в новых обстоятельствах рассматриваемые отношения хеджирования по-прежнему отвечали требованиям, касающимся эффективности хеджирования в части коэффициента хеджирования. Напротив, если бы имел место дефолт по валютному производному инструменту, то изменение коэффициента хеджирования не смогло бы обеспечить того, чтобы рассматриваемые отношения хеджирования продолжали соответствовать указанному требованию в части эффективности хеджирования. Следовательно, ребалансировка не способствует продолжению отношений хеджирования в случаях, когда взаимосвязь между инструментом хеджирования и объектом хеджирования изменяется таким образом, что это изменение не может быть компенсировано корректировкой коэффициента хеджирования.</w:t>
      </w:r>
      <w:bookmarkEnd w:id="495"/>
    </w:p>
    <w:p w:rsidR="009D262F" w:rsidRPr="00453F25" w:rsidRDefault="009D262F" w:rsidP="009D262F">
      <w:pPr>
        <w:pStyle w:val="IASBNormalnpara"/>
        <w:rPr>
          <w:lang w:val="ru-RU"/>
        </w:rPr>
      </w:pPr>
      <w:r w:rsidRPr="00453F25">
        <w:t>B</w:t>
      </w:r>
      <w:r w:rsidRPr="00453F25">
        <w:rPr>
          <w:lang w:val="ru-RU"/>
        </w:rPr>
        <w:t>6.5.11</w:t>
      </w:r>
      <w:r w:rsidRPr="00453F25">
        <w:rPr>
          <w:lang w:val="ru-RU"/>
        </w:rPr>
        <w:tab/>
      </w:r>
      <w:bookmarkStart w:id="496" w:name="F27188299"/>
      <w:r w:rsidRPr="00453F25">
        <w:rPr>
          <w:lang w:val="ru-RU"/>
        </w:rPr>
        <w:t>Не каждое изменение той степени, в которой изменения справедливой стоимости инструмента хеджирования компенсируются изменениями справедливой стоимости объекта хеджирования или денежных потоков по нему, представляет собой изменение взаимосвязи между инструментом хеджирования и объектом хеджирования. Организация анализирует те источники неэффективности хеджирования, которые, по ее ожиданиям, моги бы повлиять на отношения хеджирования в течение срока их существования, и оценивает, представляют ли собой изменения в степени взаимной компенсации:</w:t>
      </w:r>
      <w:bookmarkEnd w:id="496"/>
    </w:p>
    <w:p w:rsidR="009D262F" w:rsidRPr="00453F25" w:rsidRDefault="009D262F" w:rsidP="009D262F">
      <w:pPr>
        <w:pStyle w:val="IASBNormalnparaL1"/>
        <w:rPr>
          <w:lang w:val="ru-RU"/>
        </w:rPr>
      </w:pPr>
      <w:r w:rsidRPr="00453F25">
        <w:rPr>
          <w:lang w:val="ru-RU"/>
        </w:rPr>
        <w:t>(</w:t>
      </w:r>
      <w:r w:rsidRPr="00453F25">
        <w:t>a</w:t>
      </w:r>
      <w:r w:rsidRPr="00453F25">
        <w:rPr>
          <w:lang w:val="ru-RU"/>
        </w:rPr>
        <w:t>)</w:t>
      </w:r>
      <w:r w:rsidRPr="00453F25">
        <w:rPr>
          <w:lang w:val="ru-RU"/>
        </w:rPr>
        <w:tab/>
      </w:r>
      <w:bookmarkStart w:id="497" w:name="F27188302"/>
      <w:r w:rsidRPr="00453F25">
        <w:rPr>
          <w:lang w:val="ru-RU"/>
        </w:rPr>
        <w:t>колебания вокруг коэффициента хеджирования, который остается ак</w:t>
      </w:r>
      <w:r>
        <w:rPr>
          <w:lang w:val="ru-RU"/>
        </w:rPr>
        <w:t>т</w:t>
      </w:r>
      <w:r w:rsidRPr="00453F25">
        <w:rPr>
          <w:lang w:val="ru-RU"/>
        </w:rPr>
        <w:t>уальным (</w:t>
      </w:r>
      <w:r w:rsidR="00730672">
        <w:rPr>
          <w:lang w:val="ru-RU"/>
        </w:rPr>
        <w:t>т. е.</w:t>
      </w:r>
      <w:r w:rsidRPr="00453F25">
        <w:rPr>
          <w:lang w:val="ru-RU"/>
        </w:rPr>
        <w:t xml:space="preserve"> продолжает надлежащим образом отражать взаимосвязь между инструментом хеджирования и объектом хеджирования); или</w:t>
      </w:r>
      <w:bookmarkEnd w:id="497"/>
    </w:p>
    <w:p w:rsidR="009D262F" w:rsidRPr="00453F25" w:rsidRDefault="009D262F" w:rsidP="009D262F">
      <w:pPr>
        <w:pStyle w:val="IASBNormalnparaL1"/>
        <w:rPr>
          <w:lang w:val="ru-RU"/>
        </w:rPr>
      </w:pPr>
      <w:r w:rsidRPr="00453F25">
        <w:rPr>
          <w:lang w:val="ru-RU"/>
        </w:rPr>
        <w:t>(</w:t>
      </w:r>
      <w:r w:rsidRPr="00453F25">
        <w:t>b</w:t>
      </w:r>
      <w:r w:rsidRPr="00453F25">
        <w:rPr>
          <w:lang w:val="ru-RU"/>
        </w:rPr>
        <w:t>)</w:t>
      </w:r>
      <w:r w:rsidRPr="00453F25">
        <w:rPr>
          <w:lang w:val="ru-RU"/>
        </w:rPr>
        <w:tab/>
      </w:r>
      <w:bookmarkStart w:id="498" w:name="F27188304"/>
      <w:r w:rsidR="001D1E2F">
        <w:rPr>
          <w:lang w:val="ru-RU"/>
        </w:rPr>
        <w:t>признак</w:t>
      </w:r>
      <w:r w:rsidRPr="00453F25">
        <w:rPr>
          <w:lang w:val="ru-RU"/>
        </w:rPr>
        <w:t xml:space="preserve"> того, что коэффициент хеджирования более не отражает надлежащим образом взаимосвязь</w:t>
      </w:r>
      <w:r w:rsidRPr="00453F25">
        <w:rPr>
          <w:sz w:val="16"/>
          <w:szCs w:val="16"/>
          <w:lang w:val="ru-RU"/>
        </w:rPr>
        <w:t xml:space="preserve"> </w:t>
      </w:r>
      <w:r w:rsidRPr="00453F25">
        <w:rPr>
          <w:lang w:val="ru-RU"/>
        </w:rPr>
        <w:t>между инструментом хеджирования и объектом хеджирования.</w:t>
      </w:r>
      <w:bookmarkEnd w:id="498"/>
    </w:p>
    <w:p w:rsidR="009D262F" w:rsidRPr="00453F25" w:rsidRDefault="009D262F" w:rsidP="00885841">
      <w:pPr>
        <w:pStyle w:val="IASBNormalnparaP"/>
        <w:rPr>
          <w:lang w:val="ru-RU"/>
        </w:rPr>
      </w:pPr>
      <w:bookmarkStart w:id="499" w:name="F27188305"/>
      <w:r w:rsidRPr="00453F25">
        <w:rPr>
          <w:lang w:val="ru-RU"/>
        </w:rPr>
        <w:t xml:space="preserve">Организация производит данную оценку с учетом требования, касающегося эффективности хеджирования в части коэффициента хеджирования, </w:t>
      </w:r>
      <w:r w:rsidR="00730672">
        <w:rPr>
          <w:lang w:val="ru-RU"/>
        </w:rPr>
        <w:t>т. е.</w:t>
      </w:r>
      <w:r w:rsidRPr="00453F25">
        <w:rPr>
          <w:lang w:val="ru-RU"/>
        </w:rPr>
        <w:t xml:space="preserve"> чтобы удостовериться, что рассматриваемые отношения хеджирования не отражают весовой дисбаланс между объектом хеджирования и инструментом хеджирования, который привел бы к неэффективности хеджирования (независимо от того, признается она или нет), возможным следствием которой является отражение в</w:t>
      </w:r>
      <w:r w:rsidR="00BD7BF1">
        <w:rPr>
          <w:lang w:val="ru-RU"/>
        </w:rPr>
        <w:t xml:space="preserve"> отчетности результата, </w:t>
      </w:r>
      <w:r w:rsidRPr="00453F25">
        <w:rPr>
          <w:lang w:val="ru-RU"/>
        </w:rPr>
        <w:t>не соответствующего цели учета хеджирования. Следовательно, данный анализ требует применения суждения.</w:t>
      </w:r>
      <w:bookmarkEnd w:id="499"/>
    </w:p>
    <w:p w:rsidR="009D262F" w:rsidRPr="00453F25" w:rsidRDefault="009D262F" w:rsidP="009D262F">
      <w:pPr>
        <w:pStyle w:val="IASBNormalnpara"/>
        <w:rPr>
          <w:lang w:val="ru-RU"/>
        </w:rPr>
      </w:pPr>
      <w:r w:rsidRPr="00453F25">
        <w:t>B</w:t>
      </w:r>
      <w:r w:rsidRPr="00453F25">
        <w:rPr>
          <w:lang w:val="ru-RU"/>
        </w:rPr>
        <w:t>6.5.12</w:t>
      </w:r>
      <w:r w:rsidRPr="00453F25">
        <w:rPr>
          <w:lang w:val="ru-RU"/>
        </w:rPr>
        <w:tab/>
      </w:r>
      <w:bookmarkStart w:id="500" w:name="F27188306"/>
      <w:r w:rsidRPr="00453F25">
        <w:rPr>
          <w:lang w:val="ru-RU"/>
        </w:rPr>
        <w:t xml:space="preserve">Колебания вокруг неизменного коэффициента хеджирования (и, следовательно, возникающая в этой связи неэффективность хеджирования) нельзя уменьшить посредством корректировки коэффициента хеджирования при каждом отдельном изменении. Следовательно, в таких обстоятельствах изменение степени взаимной компенсации является вопросом оценки и признания неэффективности хеджирования, но не требует ребалансировки. </w:t>
      </w:r>
      <w:bookmarkEnd w:id="500"/>
    </w:p>
    <w:p w:rsidR="009D262F" w:rsidRPr="00453F25" w:rsidRDefault="009D262F" w:rsidP="009D262F">
      <w:pPr>
        <w:pStyle w:val="IASBNormalnpara"/>
        <w:rPr>
          <w:lang w:val="ru-RU"/>
        </w:rPr>
      </w:pPr>
      <w:r w:rsidRPr="00453F25">
        <w:t>B</w:t>
      </w:r>
      <w:r w:rsidRPr="00453F25">
        <w:rPr>
          <w:lang w:val="ru-RU"/>
        </w:rPr>
        <w:t>6.5.13</w:t>
      </w:r>
      <w:r w:rsidRPr="00453F25">
        <w:rPr>
          <w:lang w:val="ru-RU"/>
        </w:rPr>
        <w:tab/>
      </w:r>
      <w:bookmarkStart w:id="501" w:name="F27188317"/>
      <w:r w:rsidRPr="00453F25">
        <w:rPr>
          <w:lang w:val="ru-RU"/>
        </w:rPr>
        <w:t xml:space="preserve">Напротив, если изменения степени взаимной компенсации указывают на то, что имеют место колебания вокруг коэффициента хеджирования, который отличается от коэффициента хеджирования, используемого в настоящее время для рассматриваемых отношений хеджирования, или на то, что наметилась тенденция отхода от данного коэффициента хеджирования, то неэффективность хеджирования можно уменьшить посредством корректировки коэффициента хеджирования, тогда как в случае сохранения действующего коэффициента хеджирования неэффективность хеджирования будет только увеличиваться. Поэтому в подобных обстоятельствах организация должна оценить, отражают ли отношения хеджирования весовой дисбаланс между объектом хеджирования и инструментом хеджирования, который привел бы к неэффективности хеджирования (независимо от того, признается она или нет), возможным следствием которой является отражение в отчетности результата, не соответствующего цели учета хеджирования. Если коэффициент хеджирования корректируется, это также влияет на оценку и признание неэффективности хеджирования, поскольку при проведении ребалансировки организация должна, </w:t>
      </w:r>
      <w:r w:rsidR="00A34BF4">
        <w:rPr>
          <w:lang w:val="ru-RU"/>
        </w:rPr>
        <w:t>в соответствии с пунктом</w:t>
      </w:r>
      <w:r w:rsidRPr="00453F25">
        <w:rPr>
          <w:lang w:val="ru-RU"/>
        </w:rPr>
        <w:t xml:space="preserve"> В6.5.8, определить и признать неэффективность отношений хеджирования непосредственно перед корректировкой этих отношений хеджирования.</w:t>
      </w:r>
      <w:bookmarkEnd w:id="501"/>
    </w:p>
    <w:p w:rsidR="009D262F" w:rsidRPr="00453F25" w:rsidRDefault="009D262F" w:rsidP="009D262F">
      <w:pPr>
        <w:pStyle w:val="IASBNormalnpara"/>
        <w:rPr>
          <w:lang w:val="ru-RU"/>
        </w:rPr>
      </w:pPr>
      <w:r w:rsidRPr="00453F25">
        <w:t>B</w:t>
      </w:r>
      <w:r w:rsidRPr="00453F25">
        <w:rPr>
          <w:lang w:val="ru-RU"/>
        </w:rPr>
        <w:t>6.5.14</w:t>
      </w:r>
      <w:r w:rsidRPr="00453F25">
        <w:rPr>
          <w:lang w:val="ru-RU"/>
        </w:rPr>
        <w:tab/>
      </w:r>
      <w:bookmarkStart w:id="502" w:name="F27188318"/>
      <w:r w:rsidRPr="00453F25">
        <w:rPr>
          <w:lang w:val="ru-RU"/>
        </w:rPr>
        <w:t>Ребалансировка означает, что после начала отношений хеджирования организация корректирует – для целей учета хеджирования – количественные объемы инструмента хеджирования или объекта хеджирования в ответ на изменение обстоятельств, которое сказывается на коэффициенте хеджирования, установленном для данных отношений хеджирования. Обычно эта корректировка должна отражать корректировки фактически используемого количественного объема инструмента хеджирования и объекта хеджирования. Однако организация должна скорректировать коэффициент хеджирования, рассчитываемый на основе количественных объемов объекта хеджирования или инструмента хеджирования, которые она фактически использует, если:</w:t>
      </w:r>
      <w:bookmarkEnd w:id="502"/>
    </w:p>
    <w:p w:rsidR="009D262F" w:rsidRPr="00453F25" w:rsidRDefault="009D262F" w:rsidP="009D262F">
      <w:pPr>
        <w:pStyle w:val="IASBNormalnparaL1"/>
        <w:rPr>
          <w:lang w:val="ru-RU"/>
        </w:rPr>
      </w:pPr>
      <w:r w:rsidRPr="00453F25">
        <w:rPr>
          <w:lang w:val="ru-RU"/>
        </w:rPr>
        <w:t>(</w:t>
      </w:r>
      <w:r w:rsidRPr="00453F25">
        <w:t>a</w:t>
      </w:r>
      <w:r w:rsidRPr="00453F25">
        <w:rPr>
          <w:lang w:val="ru-RU"/>
        </w:rPr>
        <w:t>)</w:t>
      </w:r>
      <w:r w:rsidRPr="00453F25">
        <w:rPr>
          <w:lang w:val="ru-RU"/>
        </w:rPr>
        <w:tab/>
      </w:r>
      <w:bookmarkStart w:id="503" w:name="F27188321"/>
      <w:r w:rsidRPr="00453F25">
        <w:rPr>
          <w:lang w:val="ru-RU"/>
        </w:rPr>
        <w:t>коэффициент хеджирования, рассчитанный после внесения изменений в фактически используемые ею количественные объемы инструмента хеджирования или объекта хеджирования, будет отражать дисбаланс, который привел бы к неэффективности хеджирования, возможным следствием которой является отражение в отчетности результата, не соответствующего цели учета хеджирования;</w:t>
      </w:r>
      <w:bookmarkEnd w:id="503"/>
    </w:p>
    <w:p w:rsidR="009D262F" w:rsidRPr="00453F25" w:rsidRDefault="009D262F" w:rsidP="009D262F">
      <w:pPr>
        <w:pStyle w:val="IASBNormalnparaL1"/>
        <w:rPr>
          <w:lang w:val="ru-RU"/>
        </w:rPr>
      </w:pPr>
      <w:r w:rsidRPr="00453F25">
        <w:rPr>
          <w:lang w:val="ru-RU"/>
        </w:rPr>
        <w:t>(</w:t>
      </w:r>
      <w:r w:rsidRPr="00453F25">
        <w:t>b</w:t>
      </w:r>
      <w:r w:rsidRPr="00453F25">
        <w:rPr>
          <w:lang w:val="ru-RU"/>
        </w:rPr>
        <w:t>)</w:t>
      </w:r>
      <w:r w:rsidRPr="00453F25">
        <w:rPr>
          <w:lang w:val="ru-RU"/>
        </w:rPr>
        <w:tab/>
      </w:r>
      <w:bookmarkStart w:id="504" w:name="F27188323"/>
      <w:r w:rsidRPr="00453F25">
        <w:rPr>
          <w:lang w:val="ru-RU"/>
        </w:rPr>
        <w:t>организация сохранит фактически используемые количественные объемы инструмента хеджирования и объекта хеджирования, и полученный в результате коэффициент хеджирования будет, в новых обстоятельствах, отражать дисбаланс, который привел бы к неэффективности хеджирования, возможным следствием которой является отражение в отчетности результата, не соответствующего цели учета хеджирования (</w:t>
      </w:r>
      <w:r w:rsidR="00730672">
        <w:rPr>
          <w:lang w:val="ru-RU"/>
        </w:rPr>
        <w:t>т. е.</w:t>
      </w:r>
      <w:r w:rsidRPr="00453F25">
        <w:rPr>
          <w:lang w:val="ru-RU"/>
        </w:rPr>
        <w:t xml:space="preserve"> организация не должна создавать дисбаланс, вызванный тем, что она не осуществила корректировку коэффициента хеджирования).</w:t>
      </w:r>
      <w:bookmarkEnd w:id="504"/>
    </w:p>
    <w:p w:rsidR="009D262F" w:rsidRPr="00453F25" w:rsidRDefault="009D262F" w:rsidP="009D262F">
      <w:pPr>
        <w:pStyle w:val="IASBNormalnpara"/>
        <w:rPr>
          <w:lang w:val="ru-RU"/>
        </w:rPr>
      </w:pPr>
      <w:r w:rsidRPr="00453F25">
        <w:t>B</w:t>
      </w:r>
      <w:r w:rsidRPr="00453F25">
        <w:rPr>
          <w:lang w:val="ru-RU"/>
        </w:rPr>
        <w:t>6.5.15</w:t>
      </w:r>
      <w:r w:rsidRPr="00453F25">
        <w:rPr>
          <w:lang w:val="ru-RU"/>
        </w:rPr>
        <w:tab/>
      </w:r>
      <w:bookmarkStart w:id="505" w:name="F27188324"/>
      <w:r w:rsidRPr="00453F25">
        <w:rPr>
          <w:lang w:val="ru-RU"/>
        </w:rPr>
        <w:t>Ребалансировка не применяется, если изменилась цель управления рисками, преследуемая данными отношениями хеджирования. Вместо этого следует прекратить учитывать данные отношения хеджирования в порядке, предусмотренном для учета хеджирования (при этом организация может по собственному усмотрению определить новые отношения хеджирования с включением инструмента хеджирования либо объекта хеджирования из прежних отношений хеджирования, как это описывается в пункте В6.5.28).</w:t>
      </w:r>
      <w:bookmarkEnd w:id="505"/>
    </w:p>
    <w:p w:rsidR="009D262F" w:rsidRPr="00453F25" w:rsidRDefault="009D262F" w:rsidP="009D262F">
      <w:pPr>
        <w:pStyle w:val="IASBNormalnpara"/>
        <w:rPr>
          <w:lang w:val="ru-RU"/>
        </w:rPr>
      </w:pPr>
      <w:r w:rsidRPr="00453F25">
        <w:t>B</w:t>
      </w:r>
      <w:r w:rsidRPr="00453F25">
        <w:rPr>
          <w:lang w:val="ru-RU"/>
        </w:rPr>
        <w:t>6.5.16</w:t>
      </w:r>
      <w:r w:rsidRPr="00453F25">
        <w:rPr>
          <w:lang w:val="ru-RU"/>
        </w:rPr>
        <w:tab/>
      </w:r>
      <w:bookmarkStart w:id="506" w:name="F27188325"/>
      <w:r w:rsidRPr="00453F25">
        <w:rPr>
          <w:lang w:val="ru-RU"/>
        </w:rPr>
        <w:t>Если производится ребалансировка отношений хеджирования, то корректировка коэффициента хеджирования может быть выполнена различными способами:</w:t>
      </w:r>
      <w:bookmarkEnd w:id="506"/>
    </w:p>
    <w:p w:rsidR="009D262F" w:rsidRPr="00453F25" w:rsidRDefault="009D262F" w:rsidP="009D262F">
      <w:pPr>
        <w:pStyle w:val="IASBNormalnparaL1"/>
        <w:rPr>
          <w:lang w:val="ru-RU"/>
        </w:rPr>
      </w:pPr>
      <w:r w:rsidRPr="00453F25">
        <w:rPr>
          <w:lang w:val="ru-RU"/>
        </w:rPr>
        <w:t>(</w:t>
      </w:r>
      <w:r w:rsidRPr="00453F25">
        <w:t>a</w:t>
      </w:r>
      <w:r w:rsidRPr="00453F25">
        <w:rPr>
          <w:lang w:val="ru-RU"/>
        </w:rPr>
        <w:t>)</w:t>
      </w:r>
      <w:r w:rsidRPr="00453F25">
        <w:rPr>
          <w:lang w:val="ru-RU"/>
        </w:rPr>
        <w:tab/>
      </w:r>
      <w:bookmarkStart w:id="507" w:name="F27188359"/>
      <w:r w:rsidRPr="00453F25">
        <w:rPr>
          <w:lang w:val="ru-RU"/>
        </w:rPr>
        <w:t>может быть увеличен удельный вес объекта хеджирования (что одновременно снижает удельный вес инструмента хеджирования) посредством:</w:t>
      </w:r>
      <w:bookmarkEnd w:id="507"/>
    </w:p>
    <w:p w:rsidR="009D262F" w:rsidRPr="00453F25" w:rsidRDefault="009D262F" w:rsidP="009D262F">
      <w:pPr>
        <w:pStyle w:val="IASBNormalnparaL2"/>
        <w:rPr>
          <w:lang w:val="ru-RU"/>
        </w:rPr>
      </w:pPr>
      <w:r w:rsidRPr="00453F25">
        <w:rPr>
          <w:lang w:val="ru-RU"/>
        </w:rPr>
        <w:t>(</w:t>
      </w:r>
      <w:r w:rsidRPr="00453F25">
        <w:t>i</w:t>
      </w:r>
      <w:r w:rsidRPr="00453F25">
        <w:rPr>
          <w:lang w:val="ru-RU"/>
        </w:rPr>
        <w:t>)</w:t>
      </w:r>
      <w:r w:rsidRPr="00453F25">
        <w:rPr>
          <w:lang w:val="ru-RU"/>
        </w:rPr>
        <w:tab/>
      </w:r>
      <w:bookmarkStart w:id="508" w:name="F27188362"/>
      <w:r w:rsidRPr="00453F25">
        <w:rPr>
          <w:lang w:val="ru-RU"/>
        </w:rPr>
        <w:t>увеличения объема объекта хеджирования; или</w:t>
      </w:r>
      <w:bookmarkEnd w:id="508"/>
    </w:p>
    <w:p w:rsidR="009D262F" w:rsidRPr="00453F25" w:rsidRDefault="009D262F" w:rsidP="009D262F">
      <w:pPr>
        <w:pStyle w:val="IASBNormalnparaL2"/>
        <w:rPr>
          <w:lang w:val="ru-RU"/>
        </w:rPr>
      </w:pPr>
      <w:r w:rsidRPr="00453F25">
        <w:rPr>
          <w:lang w:val="ru-RU"/>
        </w:rPr>
        <w:t>(</w:t>
      </w:r>
      <w:r w:rsidRPr="00453F25">
        <w:t>ii</w:t>
      </w:r>
      <w:r w:rsidRPr="00453F25">
        <w:rPr>
          <w:lang w:val="ru-RU"/>
        </w:rPr>
        <w:t>)</w:t>
      </w:r>
      <w:r w:rsidRPr="00453F25">
        <w:rPr>
          <w:lang w:val="ru-RU"/>
        </w:rPr>
        <w:tab/>
      </w:r>
      <w:bookmarkStart w:id="509" w:name="F27188364"/>
      <w:r w:rsidRPr="00453F25">
        <w:rPr>
          <w:lang w:val="ru-RU"/>
        </w:rPr>
        <w:t>уменьшения объема</w:t>
      </w:r>
      <w:r w:rsidRPr="00453F25">
        <w:rPr>
          <w:sz w:val="16"/>
          <w:szCs w:val="16"/>
          <w:lang w:val="ru-RU"/>
        </w:rPr>
        <w:t xml:space="preserve"> </w:t>
      </w:r>
      <w:r w:rsidRPr="00453F25">
        <w:rPr>
          <w:lang w:val="ru-RU"/>
        </w:rPr>
        <w:t>инструмента хеджирования.</w:t>
      </w:r>
      <w:bookmarkEnd w:id="509"/>
    </w:p>
    <w:p w:rsidR="009D262F" w:rsidRPr="00453F25" w:rsidRDefault="009D262F" w:rsidP="009D262F">
      <w:pPr>
        <w:pStyle w:val="IASBNormalnparaL1"/>
        <w:rPr>
          <w:lang w:val="ru-RU"/>
        </w:rPr>
      </w:pPr>
      <w:r w:rsidRPr="00453F25">
        <w:rPr>
          <w:lang w:val="ru-RU"/>
        </w:rPr>
        <w:t>(</w:t>
      </w:r>
      <w:r w:rsidRPr="00453F25">
        <w:t>b</w:t>
      </w:r>
      <w:r w:rsidRPr="00453F25">
        <w:rPr>
          <w:lang w:val="ru-RU"/>
        </w:rPr>
        <w:t>)</w:t>
      </w:r>
      <w:r w:rsidRPr="00453F25">
        <w:rPr>
          <w:lang w:val="ru-RU"/>
        </w:rPr>
        <w:tab/>
      </w:r>
      <w:bookmarkStart w:id="510" w:name="F27188366"/>
      <w:r w:rsidRPr="00453F25">
        <w:rPr>
          <w:lang w:val="ru-RU"/>
        </w:rPr>
        <w:t>может быть увеличен удельный вес инструмента хеджирования (что одновременно снижает удельный вес объекта хеджирования)</w:t>
      </w:r>
      <w:r w:rsidRPr="00453F25">
        <w:rPr>
          <w:sz w:val="16"/>
          <w:szCs w:val="16"/>
          <w:lang w:val="ru-RU"/>
        </w:rPr>
        <w:t xml:space="preserve"> </w:t>
      </w:r>
      <w:r w:rsidRPr="00453F25">
        <w:rPr>
          <w:lang w:val="ru-RU"/>
        </w:rPr>
        <w:t>посредством:</w:t>
      </w:r>
      <w:bookmarkEnd w:id="510"/>
    </w:p>
    <w:p w:rsidR="009D262F" w:rsidRPr="00453F25" w:rsidRDefault="009D262F" w:rsidP="009D262F">
      <w:pPr>
        <w:pStyle w:val="IASBNormalnparaL2"/>
        <w:rPr>
          <w:lang w:val="ru-RU"/>
        </w:rPr>
      </w:pPr>
      <w:r w:rsidRPr="00453F25">
        <w:rPr>
          <w:lang w:val="ru-RU"/>
        </w:rPr>
        <w:t>(</w:t>
      </w:r>
      <w:r w:rsidRPr="00453F25">
        <w:t>i</w:t>
      </w:r>
      <w:r w:rsidRPr="00453F25">
        <w:rPr>
          <w:lang w:val="ru-RU"/>
        </w:rPr>
        <w:t>)</w:t>
      </w:r>
      <w:r w:rsidRPr="00453F25">
        <w:rPr>
          <w:lang w:val="ru-RU"/>
        </w:rPr>
        <w:tab/>
      </w:r>
      <w:bookmarkStart w:id="511" w:name="F27188369"/>
      <w:r w:rsidRPr="00453F25">
        <w:rPr>
          <w:lang w:val="ru-RU"/>
        </w:rPr>
        <w:t>увеличения объема инструмента хеджирования; или</w:t>
      </w:r>
      <w:bookmarkEnd w:id="511"/>
    </w:p>
    <w:p w:rsidR="009D262F" w:rsidRPr="00453F25" w:rsidRDefault="009D262F" w:rsidP="009D262F">
      <w:pPr>
        <w:pStyle w:val="IASBNormalnparaL2"/>
        <w:rPr>
          <w:lang w:val="ru-RU"/>
        </w:rPr>
      </w:pPr>
      <w:r w:rsidRPr="00453F25">
        <w:rPr>
          <w:lang w:val="ru-RU"/>
        </w:rPr>
        <w:t>(ii)</w:t>
      </w:r>
      <w:r w:rsidRPr="00453F25">
        <w:rPr>
          <w:lang w:val="ru-RU"/>
        </w:rPr>
        <w:tab/>
      </w:r>
      <w:bookmarkStart w:id="512" w:name="F27188371"/>
      <w:r w:rsidRPr="00453F25">
        <w:rPr>
          <w:lang w:val="ru-RU"/>
        </w:rPr>
        <w:t>уменьшения объема объекта хеджирования.</w:t>
      </w:r>
      <w:bookmarkEnd w:id="512"/>
    </w:p>
    <w:p w:rsidR="009D262F" w:rsidRPr="00453F25" w:rsidRDefault="009D262F" w:rsidP="009D262F">
      <w:pPr>
        <w:pStyle w:val="IASBNormalnparaP"/>
        <w:rPr>
          <w:lang w:val="ru-RU"/>
        </w:rPr>
      </w:pPr>
      <w:bookmarkStart w:id="513" w:name="F27188372"/>
      <w:r w:rsidRPr="00453F25">
        <w:rPr>
          <w:lang w:val="ru-RU"/>
        </w:rPr>
        <w:t xml:space="preserve">Под изменением объема понимается изменение количественных объемов, включенных в отношения хеджирования. Соответственно, уменьшение объема не обязательно означает, что объекты или операции перестают существовать или что их возникновение более не ожидается, </w:t>
      </w:r>
      <w:r w:rsidR="00A34BF4" w:rsidRPr="00453F25">
        <w:rPr>
          <w:lang w:val="ru-RU"/>
        </w:rPr>
        <w:t>но что</w:t>
      </w:r>
      <w:r w:rsidRPr="00453F25">
        <w:rPr>
          <w:lang w:val="ru-RU"/>
        </w:rPr>
        <w:t xml:space="preserve"> они более не являются частью отношений хеджирования. Например, уменьшение объема инструмента хеджирования может привести к тому, что организация сохранит производный инструмент, но при этом инструментом хеджирования в соответствующих отношениях хеджирования может остаться только часть его. Такая ситуация может иметь место в случае, если ребалансировку </w:t>
      </w:r>
      <w:r w:rsidR="00A34BF4" w:rsidRPr="00453F25">
        <w:rPr>
          <w:lang w:val="ru-RU"/>
        </w:rPr>
        <w:t>возможно</w:t>
      </w:r>
      <w:r w:rsidRPr="00453F25">
        <w:rPr>
          <w:lang w:val="ru-RU"/>
        </w:rPr>
        <w:t xml:space="preserve"> осуществить только посредством уменьшения объема инструмента хеджирования, включенного в отношения хеджирования, но при этом организация сохранит и тот объем, в котором более нет необходимости. В этом случае та часть производного инструмента, которая не включена в отношения хеджирования, будет учитываться по справедливой стоимости через прибыль или убыток (если только она не была по усмотрению организации определена в качестве инструмента хеджирования для включения в другие</w:t>
      </w:r>
      <w:r w:rsidRPr="00453F25">
        <w:rPr>
          <w:sz w:val="16"/>
          <w:szCs w:val="16"/>
          <w:lang w:val="ru-RU"/>
        </w:rPr>
        <w:t xml:space="preserve"> </w:t>
      </w:r>
      <w:r w:rsidRPr="00453F25">
        <w:rPr>
          <w:lang w:val="ru-RU"/>
        </w:rPr>
        <w:t>отношения хеджирования).</w:t>
      </w:r>
      <w:bookmarkEnd w:id="513"/>
    </w:p>
    <w:p w:rsidR="009D262F" w:rsidRPr="00453F25" w:rsidRDefault="009D262F" w:rsidP="009D262F">
      <w:pPr>
        <w:pStyle w:val="IASBNormalnpara"/>
        <w:rPr>
          <w:lang w:val="ru-RU"/>
        </w:rPr>
      </w:pPr>
      <w:r w:rsidRPr="00453F25">
        <w:t>B</w:t>
      </w:r>
      <w:r w:rsidRPr="00453F25">
        <w:rPr>
          <w:lang w:val="ru-RU"/>
        </w:rPr>
        <w:t>6.5.17</w:t>
      </w:r>
      <w:r w:rsidRPr="00453F25">
        <w:rPr>
          <w:lang w:val="ru-RU"/>
        </w:rPr>
        <w:tab/>
      </w:r>
      <w:bookmarkStart w:id="514" w:name="F27188373"/>
      <w:r w:rsidRPr="00453F25">
        <w:rPr>
          <w:lang w:val="ru-RU"/>
        </w:rPr>
        <w:t>Корректировка коэффициента хеджирования посредством увеличения объема объекта хеджирования не влияет на то, каким образом производится оценка изменений справедливой стоимости инструмента хеджирования. Оценка изменений стоимости объекта хеджирования, относящаяся к ранее определенному по усмотрению организации объему, также остается без изменений. Однако с даты ребалансировки в состав изменений стоимости объекта хеджирования также включается изменение стоимости дополнительного объема объекта хеджирования. Эти изменения оцениваются, начиная с даты ребалансировки и относительно этой даты, а не даты, на которую организация по собственному усмотрению определила отношения хеджирования. Например, если организация первоначальн</w:t>
      </w:r>
      <w:r w:rsidR="00A73D9D">
        <w:rPr>
          <w:lang w:val="ru-RU"/>
        </w:rPr>
        <w:t>о хеджировала 100 тонн</w:t>
      </w:r>
      <w:r w:rsidRPr="00453F25">
        <w:rPr>
          <w:lang w:val="ru-RU"/>
        </w:rPr>
        <w:t xml:space="preserve"> товара по форвардной цене в 80 </w:t>
      </w:r>
      <w:r w:rsidR="00730672">
        <w:rPr>
          <w:lang w:val="ru-RU"/>
        </w:rPr>
        <w:t>д. е.</w:t>
      </w:r>
      <w:r w:rsidRPr="00453F25">
        <w:rPr>
          <w:lang w:val="ru-RU"/>
        </w:rPr>
        <w:t xml:space="preserve"> (форвардная цена по состоянию на дату начала отношений хеджирования), а затем увеличила этот объем на 10 тонн в момент ребалансировки, когда форвардная цена составляла 90 </w:t>
      </w:r>
      <w:r w:rsidR="00730672">
        <w:rPr>
          <w:lang w:val="ru-RU"/>
        </w:rPr>
        <w:t>д. е.</w:t>
      </w:r>
      <w:r w:rsidRPr="00453F25">
        <w:rPr>
          <w:lang w:val="ru-RU"/>
        </w:rPr>
        <w:t xml:space="preserve">, то объект хеджирования после проведения ребалансировки будет состоять из двух слоев: 100 тонн, хеджируемых по цене 80 </w:t>
      </w:r>
      <w:r w:rsidR="00730672">
        <w:rPr>
          <w:lang w:val="ru-RU"/>
        </w:rPr>
        <w:t>д. е.</w:t>
      </w:r>
      <w:r w:rsidRPr="00453F25">
        <w:rPr>
          <w:lang w:val="ru-RU"/>
        </w:rPr>
        <w:t xml:space="preserve">, и 10 тонн, хеджируемых по цене 90 </w:t>
      </w:r>
      <w:bookmarkEnd w:id="514"/>
      <w:r w:rsidR="00730672">
        <w:rPr>
          <w:lang w:val="ru-RU"/>
        </w:rPr>
        <w:t>д. е.</w:t>
      </w:r>
    </w:p>
    <w:p w:rsidR="009D262F" w:rsidRPr="00453F25" w:rsidRDefault="009D262F" w:rsidP="009D262F">
      <w:pPr>
        <w:pStyle w:val="IASBNormalnpara"/>
        <w:rPr>
          <w:lang w:val="ru-RU"/>
        </w:rPr>
      </w:pPr>
      <w:r w:rsidRPr="00453F25">
        <w:t>B</w:t>
      </w:r>
      <w:r w:rsidRPr="00453F25">
        <w:rPr>
          <w:lang w:val="ru-RU"/>
        </w:rPr>
        <w:t>6.5.18</w:t>
      </w:r>
      <w:r w:rsidRPr="00453F25">
        <w:rPr>
          <w:lang w:val="ru-RU"/>
        </w:rPr>
        <w:tab/>
      </w:r>
      <w:bookmarkStart w:id="515" w:name="F27188374"/>
      <w:r w:rsidRPr="00453F25">
        <w:rPr>
          <w:lang w:val="ru-RU"/>
        </w:rPr>
        <w:t>Корректировка коэффициента хеджирования посредством уменьшения объема инструмента хеджирования не влияет на то, каким образом производится оценка изменения справедливой стоимости объекта хеджирования. Оценка изменений справедливой стоимости инструмента хеджирования, относящаяся к объему, который по-прежнему включен в отношения хеджирования, также остается без изменений. Однако с даты ребалансировки тот объем, на который уменьшился инструмент хеджирования, более не является частью отношений хеджирования. Например, если организация первоначально хеджировал</w:t>
      </w:r>
      <w:r w:rsidR="00A73D9D">
        <w:rPr>
          <w:lang w:val="ru-RU"/>
        </w:rPr>
        <w:t xml:space="preserve">а риск изменения цены </w:t>
      </w:r>
      <w:r w:rsidRPr="00453F25">
        <w:rPr>
          <w:lang w:val="ru-RU"/>
        </w:rPr>
        <w:t>товара, используя в качестве инструмента хеджирования производный инструмент на объем, составляющий 100 тонн, и в момент ребалансировки она снижает этот объем на 10 тонн, то в качестве инструмента хеджирования останется номинальная величина, соответствующая объему в 90 тонн (в пункте В6.5.16 рассматриваются последствия для того объема производного инструмента (</w:t>
      </w:r>
      <w:r w:rsidR="00730672">
        <w:rPr>
          <w:lang w:val="ru-RU"/>
        </w:rPr>
        <w:t>т. е.</w:t>
      </w:r>
      <w:r w:rsidRPr="00453F25">
        <w:rPr>
          <w:lang w:val="ru-RU"/>
        </w:rPr>
        <w:t xml:space="preserve"> 10 тонн), который более не является частью отношений хеджирования).</w:t>
      </w:r>
      <w:bookmarkEnd w:id="515"/>
    </w:p>
    <w:p w:rsidR="009D262F" w:rsidRPr="00453F25" w:rsidRDefault="009D262F" w:rsidP="009D262F">
      <w:pPr>
        <w:pStyle w:val="IASBNormalnpara"/>
        <w:rPr>
          <w:lang w:val="ru-RU"/>
        </w:rPr>
      </w:pPr>
      <w:r w:rsidRPr="00453F25">
        <w:t>B</w:t>
      </w:r>
      <w:r w:rsidRPr="00453F25">
        <w:rPr>
          <w:lang w:val="ru-RU"/>
        </w:rPr>
        <w:t>6.5.19</w:t>
      </w:r>
      <w:r w:rsidRPr="00453F25">
        <w:rPr>
          <w:lang w:val="ru-RU"/>
        </w:rPr>
        <w:tab/>
      </w:r>
      <w:bookmarkStart w:id="516" w:name="F27188382"/>
      <w:r w:rsidRPr="00453F25">
        <w:rPr>
          <w:lang w:val="ru-RU"/>
        </w:rPr>
        <w:t>Корректировка коэффициента хеджирования посредством увеличения объема инструмента хеджирования не влияет на то, каким образом производится оценка изменений стоимости объекта хеджирования. Оценка изменений справедливой стоимости инструмента хеджирования, относящаяся к ранее определенному по усмотрению организации объему, также остается без изменений. Однако с даты ребалансировки в состав изменений справедливой стоимости инструмента хеджирования также включаются изменения стоимости дополнительного объема инструмента хеджирования. Эти изменения оцениваются, начиная с даты ребалансировки и относительно этой даты, а не даты, на которую организация по собственному усмотрению определила отношения хеджирования. Например, если организация первоначально хеджировал</w:t>
      </w:r>
      <w:r w:rsidR="00A73D9D">
        <w:rPr>
          <w:lang w:val="ru-RU"/>
        </w:rPr>
        <w:t xml:space="preserve">а риск изменения цены </w:t>
      </w:r>
      <w:r w:rsidRPr="00453F25">
        <w:rPr>
          <w:lang w:val="ru-RU"/>
        </w:rPr>
        <w:t>товара, используя в качестве инструмента хеджирования производный инструмент на объем, составляющий 100 тонн, а затем добавила к этому объему еще 10 тонн в момент ребалансировки, то инструмент хеджирования после ребалансировки будет представлен производным инструментом на общий объем в 110 тонн. Изменение справедливой стоимости инструмента хеджирования представляет собой общее изменение справедливой стоимости всех производных инструментов, покрывающих собой общий объем в 110 тонн. Поскольку эти производные инструменты были заключены в разные моменты времени (учитывая в том числе возможность включения по усмотрению организации производных инструм</w:t>
      </w:r>
      <w:r w:rsidR="00C577C1">
        <w:rPr>
          <w:lang w:val="ru-RU"/>
        </w:rPr>
        <w:t>ентов в отношения хеджирования с момента</w:t>
      </w:r>
      <w:r w:rsidRPr="00453F25">
        <w:rPr>
          <w:lang w:val="ru-RU"/>
        </w:rPr>
        <w:t xml:space="preserve"> первоначального признания этих инструментов), они могут (и, вероятно, будут) иметь разные ключевые параметры, такие как форвардные ставки.</w:t>
      </w:r>
      <w:bookmarkEnd w:id="516"/>
    </w:p>
    <w:p w:rsidR="009D262F" w:rsidRPr="00453F25" w:rsidRDefault="009D262F" w:rsidP="009D262F">
      <w:pPr>
        <w:pStyle w:val="IASBNormalnpara"/>
        <w:rPr>
          <w:lang w:val="ru-RU"/>
        </w:rPr>
      </w:pPr>
      <w:r w:rsidRPr="00453F25">
        <w:t>B</w:t>
      </w:r>
      <w:r w:rsidRPr="00453F25">
        <w:rPr>
          <w:lang w:val="ru-RU"/>
        </w:rPr>
        <w:t>6.5.20</w:t>
      </w:r>
      <w:r w:rsidRPr="00453F25">
        <w:rPr>
          <w:lang w:val="ru-RU"/>
        </w:rPr>
        <w:tab/>
      </w:r>
      <w:bookmarkStart w:id="517" w:name="F27188383"/>
      <w:r w:rsidRPr="00453F25">
        <w:rPr>
          <w:lang w:val="ru-RU"/>
        </w:rPr>
        <w:t>Корректировка коэффициента хеджирования посредством уменьшения объема объекта хеджирования не влияет на то, каким образом производится оценка изменений справедливой стоимости инструмента хеджирования. Оценка изменений стоимости объекта хеджирования, относящаяся к тому объему, который продолжает быть включенным в отношения хеджирования, также остается без изменений. Однако с даты ребалансировки тот объем, на который уменьшается объект хеджирования, перестает быть частью отношений хеджирования. Например, если организация первоначально хеджировала</w:t>
      </w:r>
      <w:r w:rsidR="00A73D9D">
        <w:rPr>
          <w:lang w:val="ru-RU"/>
        </w:rPr>
        <w:t xml:space="preserve"> </w:t>
      </w:r>
      <w:r w:rsidRPr="00453F25">
        <w:rPr>
          <w:lang w:val="ru-RU"/>
        </w:rPr>
        <w:t xml:space="preserve">товар в объеме, составляющем 100 тонн, по форвардной цене в 80 </w:t>
      </w:r>
      <w:r w:rsidR="00730672">
        <w:rPr>
          <w:lang w:val="ru-RU"/>
        </w:rPr>
        <w:t>д. е.</w:t>
      </w:r>
      <w:r w:rsidRPr="00453F25">
        <w:rPr>
          <w:lang w:val="ru-RU"/>
        </w:rPr>
        <w:t xml:space="preserve">, а затем уменьшила этот объем на 10 тонн в момент ребалансировки, то объектом хеджирования после ребалансировки будет объем в размере 90 тонн, хеджируемый по 80 </w:t>
      </w:r>
      <w:r w:rsidR="00730672">
        <w:rPr>
          <w:lang w:val="ru-RU"/>
        </w:rPr>
        <w:t>д. е.</w:t>
      </w:r>
      <w:r w:rsidR="008B49B0">
        <w:rPr>
          <w:lang w:val="ru-RU"/>
        </w:rPr>
        <w:t xml:space="preserve"> Те 10 </w:t>
      </w:r>
      <w:r w:rsidRPr="00453F25">
        <w:rPr>
          <w:lang w:val="ru-RU"/>
        </w:rPr>
        <w:t>тонн объекта хеджирования, которые более не являются частью отношений хеджирования, будут учитываться в соответствии с требованиями, предусмотренными для отражения прекращения учета хеджирования (см. пункты В6.5.6–В6.5.7 и В6.5.22–</w:t>
      </w:r>
      <w:r w:rsidRPr="00453F25">
        <w:t>B</w:t>
      </w:r>
      <w:r w:rsidRPr="00453F25">
        <w:rPr>
          <w:lang w:val="ru-RU"/>
        </w:rPr>
        <w:t>6.5.28).</w:t>
      </w:r>
      <w:bookmarkEnd w:id="517"/>
    </w:p>
    <w:p w:rsidR="001529CA" w:rsidRPr="0049187C" w:rsidRDefault="009D262F" w:rsidP="009D262F">
      <w:pPr>
        <w:pStyle w:val="IASBNormalnpara"/>
        <w:rPr>
          <w:lang w:val="ru-RU"/>
        </w:rPr>
      </w:pPr>
      <w:r w:rsidRPr="00453F25">
        <w:t>B</w:t>
      </w:r>
      <w:r w:rsidRPr="00453F25">
        <w:rPr>
          <w:lang w:val="ru-RU"/>
        </w:rPr>
        <w:t>6.5.21</w:t>
      </w:r>
      <w:r w:rsidRPr="00453F25">
        <w:rPr>
          <w:lang w:val="ru-RU"/>
        </w:rPr>
        <w:tab/>
        <w:t>При ребалансировке отношений хеджирования организация должна обновить анализ источников неэффективности хеджирования, которые, как ожидается, окажут влияние на отношения хеджирования в течение его (оставшегося) срока существования (см. пункт В6.4.12). Документация, касающаяся данных отношений хеджирования, должна быть соответствующим образом обновлена</w:t>
      </w:r>
      <w:r w:rsidR="00CC6DCD" w:rsidRPr="0049187C">
        <w:rPr>
          <w:lang w:val="ru-RU"/>
        </w:rPr>
        <w:t>.</w:t>
      </w:r>
      <w:bookmarkEnd w:id="491"/>
    </w:p>
    <w:p w:rsidR="001529CA" w:rsidRPr="0049187C" w:rsidRDefault="00CC6DCD">
      <w:pPr>
        <w:pStyle w:val="IASBSectionTitle3Ind"/>
        <w:rPr>
          <w:lang w:val="ru-RU"/>
        </w:rPr>
      </w:pPr>
      <w:bookmarkStart w:id="518" w:name="F27188386"/>
      <w:r w:rsidRPr="0049187C">
        <w:rPr>
          <w:lang w:val="ru-RU"/>
        </w:rPr>
        <w:t>Прекращение учета хеджирования</w:t>
      </w:r>
      <w:bookmarkEnd w:id="518"/>
    </w:p>
    <w:p w:rsidR="009D262F" w:rsidRPr="00453F25" w:rsidRDefault="001529CA" w:rsidP="009D262F">
      <w:pPr>
        <w:pStyle w:val="IASBNormalnpara"/>
        <w:rPr>
          <w:lang w:val="ru-RU"/>
        </w:rPr>
      </w:pPr>
      <w:r w:rsidRPr="0049187C">
        <w:rPr>
          <w:lang w:val="ru-RU"/>
        </w:rPr>
        <w:t>B6.5.22</w:t>
      </w:r>
      <w:r w:rsidRPr="0049187C">
        <w:rPr>
          <w:lang w:val="ru-RU"/>
        </w:rPr>
        <w:tab/>
      </w:r>
      <w:bookmarkStart w:id="519" w:name="SL32626929"/>
      <w:bookmarkStart w:id="520" w:name="F27188387"/>
      <w:r w:rsidR="009D262F" w:rsidRPr="00453F25">
        <w:rPr>
          <w:lang w:val="ru-RU"/>
        </w:rPr>
        <w:t>Учет хеджирования прекращает применяться перспективно с той даты, на которую перестают выполняться соответствующие квалификационные критерии.</w:t>
      </w:r>
      <w:bookmarkEnd w:id="520"/>
    </w:p>
    <w:p w:rsidR="009D262F" w:rsidRPr="00453F25" w:rsidRDefault="009D262F" w:rsidP="009D262F">
      <w:pPr>
        <w:pStyle w:val="IASBNormalnpara"/>
        <w:rPr>
          <w:lang w:val="ru-RU"/>
        </w:rPr>
      </w:pPr>
      <w:r w:rsidRPr="00453F25">
        <w:t>B</w:t>
      </w:r>
      <w:r w:rsidRPr="00453F25">
        <w:rPr>
          <w:lang w:val="ru-RU"/>
        </w:rPr>
        <w:t>6.5.23</w:t>
      </w:r>
      <w:r w:rsidRPr="00453F25">
        <w:rPr>
          <w:lang w:val="ru-RU"/>
        </w:rPr>
        <w:tab/>
      </w:r>
      <w:bookmarkStart w:id="521" w:name="F27188388"/>
      <w:r w:rsidRPr="00453F25">
        <w:rPr>
          <w:lang w:val="ru-RU"/>
        </w:rPr>
        <w:t>Организация не должна отменять и таким образом прекращать отношения хеджирования, которые:</w:t>
      </w:r>
      <w:bookmarkEnd w:id="521"/>
    </w:p>
    <w:p w:rsidR="009D262F" w:rsidRPr="00453F25" w:rsidRDefault="009D262F" w:rsidP="009D262F">
      <w:pPr>
        <w:pStyle w:val="IASBNormalnparaL1"/>
        <w:rPr>
          <w:lang w:val="ru-RU"/>
        </w:rPr>
      </w:pPr>
      <w:r w:rsidRPr="00453F25">
        <w:rPr>
          <w:lang w:val="ru-RU"/>
        </w:rPr>
        <w:t>(</w:t>
      </w:r>
      <w:r w:rsidRPr="00453F25">
        <w:t>a</w:t>
      </w:r>
      <w:r w:rsidRPr="00453F25">
        <w:rPr>
          <w:lang w:val="ru-RU"/>
        </w:rPr>
        <w:t>)</w:t>
      </w:r>
      <w:r w:rsidRPr="00453F25">
        <w:rPr>
          <w:lang w:val="ru-RU"/>
        </w:rPr>
        <w:tab/>
      </w:r>
      <w:bookmarkStart w:id="522" w:name="F27188391"/>
      <w:r w:rsidRPr="00453F25">
        <w:rPr>
          <w:lang w:val="ru-RU"/>
        </w:rPr>
        <w:t>по-прежнему отвечают цели управления рисками, исходя из которой они были определены как отвечающие квалификационным критериям для применения учета хеджирования (</w:t>
      </w:r>
      <w:r w:rsidR="00730672">
        <w:rPr>
          <w:lang w:val="ru-RU"/>
        </w:rPr>
        <w:t>т. е.</w:t>
      </w:r>
      <w:r w:rsidRPr="00453F25">
        <w:rPr>
          <w:lang w:val="ru-RU"/>
        </w:rPr>
        <w:t xml:space="preserve"> организация по-прежнему преследует данную цель управления рисками); и</w:t>
      </w:r>
      <w:bookmarkEnd w:id="522"/>
    </w:p>
    <w:p w:rsidR="009D262F" w:rsidRPr="00453F25" w:rsidRDefault="009D262F" w:rsidP="009D262F">
      <w:pPr>
        <w:pStyle w:val="IASBNormalnparaL1"/>
        <w:rPr>
          <w:lang w:val="ru-RU"/>
        </w:rPr>
      </w:pPr>
      <w:r w:rsidRPr="00453F25">
        <w:rPr>
          <w:lang w:val="ru-RU"/>
        </w:rPr>
        <w:t>(</w:t>
      </w:r>
      <w:r w:rsidRPr="00453F25">
        <w:t>b</w:t>
      </w:r>
      <w:r w:rsidRPr="00453F25">
        <w:rPr>
          <w:lang w:val="ru-RU"/>
        </w:rPr>
        <w:t>)</w:t>
      </w:r>
      <w:r w:rsidRPr="00453F25">
        <w:rPr>
          <w:lang w:val="ru-RU"/>
        </w:rPr>
        <w:tab/>
      </w:r>
      <w:bookmarkStart w:id="523" w:name="F27188543"/>
      <w:r w:rsidRPr="00453F25">
        <w:rPr>
          <w:lang w:val="ru-RU"/>
        </w:rPr>
        <w:t>продолжают отвечать всем прочим квалификационным критериям (с учетом ребалансировки данных отношений хеджирования, если применимо).</w:t>
      </w:r>
      <w:bookmarkEnd w:id="523"/>
    </w:p>
    <w:p w:rsidR="009D262F" w:rsidRPr="00453F25" w:rsidRDefault="009D262F" w:rsidP="009D262F">
      <w:pPr>
        <w:pStyle w:val="IASBNormalnpara"/>
        <w:rPr>
          <w:lang w:val="ru-RU"/>
        </w:rPr>
      </w:pPr>
      <w:r w:rsidRPr="00453F25">
        <w:t>B</w:t>
      </w:r>
      <w:r w:rsidRPr="00453F25">
        <w:rPr>
          <w:lang w:val="ru-RU"/>
        </w:rPr>
        <w:t>6.5.24</w:t>
      </w:r>
      <w:r w:rsidRPr="00453F25">
        <w:rPr>
          <w:lang w:val="ru-RU"/>
        </w:rPr>
        <w:tab/>
      </w:r>
      <w:bookmarkStart w:id="524" w:name="F27188544"/>
      <w:r w:rsidRPr="00453F25">
        <w:rPr>
          <w:lang w:val="ru-RU"/>
        </w:rPr>
        <w:t>Для целей настоящего стандарта стратегия организации по управлению рисками рассматривается отдельно от ее целей управления рисками. Стратегия управления рисками устанавливается на самом высоком уровне, на котором организация определяет, как она управляет имеющимся у нее риском. В стратегиях управления рисками, как правило, идентифицируются те риски, которым подвержена организация, и описываются меры, принимаемые организацией в связи с ними. Стратегия управления рисками обычно устанавливается на более длительное время и может предусматривать определенную гибкость относительно ответных действий в случае изменений обстоятельств в течение срока действия данной стратегии (например, различные уровни процентных ставок или цен на товары, при которых меняется объем хеджирования). Как правило, такая стратегия формулируется в генеральном документе, содержание которого распределяется по нижестоящим уровням организации через документы, уста</w:t>
      </w:r>
      <w:r w:rsidR="00A34BF4">
        <w:rPr>
          <w:lang w:val="ru-RU"/>
        </w:rPr>
        <w:t>на</w:t>
      </w:r>
      <w:r w:rsidRPr="00453F25">
        <w:rPr>
          <w:lang w:val="ru-RU"/>
        </w:rPr>
        <w:t>вливающие политику и содержащие более конкретные указания. Напротив, цель управления рисками применительно к отношениям хеджирования устанавливается на уровне конкретных отдельно взятых отношений хеджирования. Она касается того, каким образом конкретный инструмент хеджирования, определенный по усмотрению организации, используется для хеджирования конкретной позиции по риску, определенной по усмотрению организации в качестве объекта хеджирования. Соответственно, стратегия управления рисками может включать множество различных отношений хеджирования, в которых цели управления рисками связаны с реализацией этой общей стратегии управления рисками. Например:</w:t>
      </w:r>
      <w:bookmarkEnd w:id="524"/>
    </w:p>
    <w:p w:rsidR="009D262F" w:rsidRPr="00453F25" w:rsidRDefault="009D262F" w:rsidP="009D262F">
      <w:pPr>
        <w:pStyle w:val="IASBNormalnparaL1"/>
        <w:rPr>
          <w:lang w:val="ru-RU"/>
        </w:rPr>
      </w:pPr>
      <w:r w:rsidRPr="00453F25">
        <w:rPr>
          <w:lang w:val="ru-RU"/>
        </w:rPr>
        <w:t>(</w:t>
      </w:r>
      <w:r w:rsidRPr="00453F25">
        <w:t>a</w:t>
      </w:r>
      <w:r w:rsidRPr="00453F25">
        <w:rPr>
          <w:lang w:val="ru-RU"/>
        </w:rPr>
        <w:t>)</w:t>
      </w:r>
      <w:r w:rsidRPr="00453F25">
        <w:rPr>
          <w:lang w:val="ru-RU"/>
        </w:rPr>
        <w:tab/>
      </w:r>
      <w:bookmarkStart w:id="525" w:name="F27188547"/>
      <w:r w:rsidRPr="00453F25">
        <w:rPr>
          <w:lang w:val="ru-RU"/>
        </w:rPr>
        <w:t>Стратегия организации по управлению процентным риском в отношении заемного финансирования предусматривает использование в рамках всей организации установленных диапазонов, определяющих структуру привлеченного финансирования с переменными и фиксированными процентными ставками. Стратегия заключается в том, чтобы доля долговых инструментов с фиксированными процентными ставками не превышала диапазон от 20 до 40 процентов. Время от времени организация принимает решение о способе реализации этой стратегии (</w:t>
      </w:r>
      <w:r w:rsidR="00730672">
        <w:rPr>
          <w:lang w:val="ru-RU"/>
        </w:rPr>
        <w:t>т. е.</w:t>
      </w:r>
      <w:r w:rsidRPr="00453F25">
        <w:rPr>
          <w:lang w:val="ru-RU"/>
        </w:rPr>
        <w:t xml:space="preserve"> какой именно уровень заимствований с фиксированными процентными ставками следует установить в преде</w:t>
      </w:r>
      <w:r w:rsidR="006D0F61">
        <w:rPr>
          <w:lang w:val="ru-RU"/>
        </w:rPr>
        <w:t>лах установленного диапазона 20</w:t>
      </w:r>
      <w:r w:rsidR="006D0F61">
        <w:rPr>
          <w:b/>
          <w:lang w:val="ru-RU"/>
        </w:rPr>
        <w:t>–</w:t>
      </w:r>
      <w:r w:rsidRPr="00453F25">
        <w:rPr>
          <w:lang w:val="ru-RU"/>
        </w:rPr>
        <w:t>40 процентов), в зависимости от уровня процентных ставок. Если процентные ставки низки, то организация использует больше долговых инструментов с фиксированной процентной ставкой, чем когда процентные ставки высоки. Задолженность организации представлена долговым инструментом в размере 100 </w:t>
      </w:r>
      <w:r w:rsidR="00730672">
        <w:rPr>
          <w:lang w:val="ru-RU"/>
        </w:rPr>
        <w:t>д. е.</w:t>
      </w:r>
      <w:r w:rsidRPr="00453F25">
        <w:rPr>
          <w:lang w:val="ru-RU"/>
        </w:rPr>
        <w:t xml:space="preserve"> с переменной процентной ставкой, из которых 30 </w:t>
      </w:r>
      <w:r w:rsidR="00730672">
        <w:rPr>
          <w:lang w:val="ru-RU"/>
        </w:rPr>
        <w:t>д. е.</w:t>
      </w:r>
      <w:r w:rsidRPr="00453F25">
        <w:rPr>
          <w:lang w:val="ru-RU"/>
        </w:rPr>
        <w:t xml:space="preserve"> переведены с помощью свопа в позицию с фиксированной процентной ставкой. Организация решает воспользоваться низкими процентными ставками, чтобы привлечь дополнительны</w:t>
      </w:r>
      <w:r w:rsidR="008B49B0">
        <w:rPr>
          <w:lang w:val="ru-RU"/>
        </w:rPr>
        <w:t>е заемные средства в размере 50 </w:t>
      </w:r>
      <w:r w:rsidR="00730672">
        <w:rPr>
          <w:lang w:val="ru-RU"/>
        </w:rPr>
        <w:t>д. е.</w:t>
      </w:r>
      <w:r w:rsidRPr="00453F25">
        <w:rPr>
          <w:lang w:val="ru-RU"/>
        </w:rPr>
        <w:t xml:space="preserve"> для финансирования крупной инвестиции, выпустив с этой целью облигацию с фиксированной ставкой. С учетом низкого уровня процентных ставок организация принимает решение повысить долю заимствований с фиксированными процентными ставками до уровня 40 процентов от всей суммы задолженности, снизив на 20 </w:t>
      </w:r>
      <w:r w:rsidR="00730672">
        <w:rPr>
          <w:lang w:val="ru-RU"/>
        </w:rPr>
        <w:t>д. е.</w:t>
      </w:r>
      <w:r w:rsidRPr="00453F25">
        <w:rPr>
          <w:lang w:val="ru-RU"/>
        </w:rPr>
        <w:t xml:space="preserve"> ранее определенный ею уровень хеджирования позиции с переменной ставкой, что в итоге дает позицию в размере 60 </w:t>
      </w:r>
      <w:r w:rsidR="00730672">
        <w:rPr>
          <w:lang w:val="ru-RU"/>
        </w:rPr>
        <w:t>д. е.</w:t>
      </w:r>
      <w:r w:rsidRPr="00453F25">
        <w:rPr>
          <w:lang w:val="ru-RU"/>
        </w:rPr>
        <w:t xml:space="preserve"> с фиксированной ставкой. В данной ситуации сама по себе стратегия управления рисками остается неизменной. Используемый же организацией способ реализации данной стратегии, напротив, изменился, и это означает, что, применительно к ранее хеджировавшейся позиции в размере 20 </w:t>
      </w:r>
      <w:r w:rsidR="00730672">
        <w:rPr>
          <w:lang w:val="ru-RU"/>
        </w:rPr>
        <w:t>д. е.</w:t>
      </w:r>
      <w:r w:rsidRPr="00453F25">
        <w:rPr>
          <w:lang w:val="ru-RU"/>
        </w:rPr>
        <w:t xml:space="preserve"> с переменной ставкой соответственно изменилась цель управления рисками (</w:t>
      </w:r>
      <w:r w:rsidR="00730672">
        <w:rPr>
          <w:lang w:val="ru-RU"/>
        </w:rPr>
        <w:t>т. е.</w:t>
      </w:r>
      <w:r w:rsidRPr="00453F25">
        <w:rPr>
          <w:lang w:val="ru-RU"/>
        </w:rPr>
        <w:t xml:space="preserve"> изменение имеет место на уровне конкретных отношений хеджирования). Следовательно, в данной ситуации следует прекратить учет хеджирования применительно к 20 </w:t>
      </w:r>
      <w:r w:rsidR="00730672">
        <w:rPr>
          <w:lang w:val="ru-RU"/>
        </w:rPr>
        <w:t>д. е.</w:t>
      </w:r>
      <w:r w:rsidRPr="00453F25">
        <w:rPr>
          <w:lang w:val="ru-RU"/>
        </w:rPr>
        <w:t xml:space="preserve"> ранее хеджировавшейся позиции с переменной ставкой. Это может потребовать уменьшения позиции по свопу на 20 </w:t>
      </w:r>
      <w:r w:rsidR="00730672">
        <w:rPr>
          <w:lang w:val="ru-RU"/>
        </w:rPr>
        <w:t>д. е.</w:t>
      </w:r>
      <w:r w:rsidRPr="00453F25">
        <w:rPr>
          <w:lang w:val="ru-RU"/>
        </w:rPr>
        <w:t xml:space="preserve"> номинальной стоимости, однако, в зависимости от обстоятельств, организация может сохранить данный объем свопа и, например, использовать его для хеджирования другой позиции по риску, либо он может стать частью торгового портфеля. С другой стороны, если бы организация вместо этого перевела посредством свопа часть своей новой задолженности с фиксированными ставками в задолженность с переменными ставками, то она должна была бы продолжить учет хеджирования в отношении ранее хеджируемой позиции с переменной ставкой.</w:t>
      </w:r>
      <w:bookmarkEnd w:id="525"/>
    </w:p>
    <w:p w:rsidR="009D262F" w:rsidRPr="00453F25" w:rsidRDefault="009D262F" w:rsidP="009D262F">
      <w:pPr>
        <w:pStyle w:val="IASBNormalnparaL1"/>
        <w:rPr>
          <w:lang w:val="ru-RU"/>
        </w:rPr>
      </w:pPr>
      <w:r w:rsidRPr="00453F25">
        <w:rPr>
          <w:lang w:val="ru-RU"/>
        </w:rPr>
        <w:t>(</w:t>
      </w:r>
      <w:r w:rsidRPr="00453F25">
        <w:t>b</w:t>
      </w:r>
      <w:r w:rsidRPr="00453F25">
        <w:rPr>
          <w:lang w:val="ru-RU"/>
        </w:rPr>
        <w:t>)</w:t>
      </w:r>
      <w:r w:rsidRPr="00453F25">
        <w:rPr>
          <w:lang w:val="ru-RU"/>
        </w:rPr>
        <w:tab/>
      </w:r>
      <w:bookmarkStart w:id="526" w:name="F27188551"/>
      <w:r w:rsidRPr="00453F25">
        <w:rPr>
          <w:lang w:val="ru-RU"/>
        </w:rPr>
        <w:t>Подверженность рискам может возникать в отношении позиций, которые часто изменяются, например, процентный риск по открытому портфелю долговых инструментов. Добавление новых долговых инструментов и прекращение признания долговых инструментов постоянно изменяют данную позицию по риску (</w:t>
      </w:r>
      <w:r w:rsidR="00730672">
        <w:rPr>
          <w:lang w:val="ru-RU"/>
        </w:rPr>
        <w:t>т. е.</w:t>
      </w:r>
      <w:r w:rsidRPr="00453F25">
        <w:rPr>
          <w:lang w:val="ru-RU"/>
        </w:rPr>
        <w:t xml:space="preserve"> эта ситуация отличается от обычного постепенного уменьшения позиции по мере наступления срока погашения). Это динамический процесс, в рамках которого как позиция, так и инструменты хеджирования, используемые для управления риском по этой позиции, недолго остаются теми же. Соответственно, организация, имеющая подобную позицию, регулярно корректирует инструменты хеджирования, используемые для управления процентным риском, по мере изменения указанной позиции. Например, организация по собственному усмотрению определяет долговые инструменты, до наступления срока погашения которых остается 24 месяца, в качестве объекта хеджирования относительно процентного риска на тот же срок в 24 месяца. Такая же процедура применяется и к другим интервалам времени</w:t>
      </w:r>
      <w:r w:rsidRPr="00453F25">
        <w:rPr>
          <w:sz w:val="16"/>
          <w:szCs w:val="16"/>
          <w:lang w:val="ru-RU"/>
        </w:rPr>
        <w:t xml:space="preserve"> </w:t>
      </w:r>
      <w:r w:rsidRPr="00453F25">
        <w:rPr>
          <w:lang w:val="ru-RU"/>
        </w:rPr>
        <w:t>или срокам погашения. Через некоторый короткий промежуток времени организация прекращает все, или некоторые отношения хеджирования, либо какую-то часть этих отношений хеджирования, ранее определенных ею по собственному усмотрению на срок, соответствующий срокам погашения, и определяет по собственному усмотрению новые отношения хеджирования на срок, соответствующий срокам погашения, исходя из размера позиций и существующих на тот момент инструментов хеджирования. Прекращение применения учета хеджирования в данной ситуации отражает то обстоятельство, что указанные отношения хеджирования устанавливаются таким образом, что организация рассматривает новый инструмент хеджирования и новый объект хеджирования вместо того инструмента хеджирования и того объекта хеджирования, которые раньше были определены в качестве таковых по ее собственному усмотрению. Стратегия управления рисками остается той же, однако уже нет действующей цели управления рисками применительно к этим ранее определенным отношениям хеджирования, которые более не существуют как таковые. В подобной ситуации прекращение учета хеджирования применяется в той мере, в которой изменилась цель управления рисками. Это зависит от той ситуации, в которой находится организация, и может, например, оказать влияние на все или только некоторые отношения хеджирования по какому-либо сроку погашения, или затронуть лишь часть отношений хеджирования.</w:t>
      </w:r>
      <w:bookmarkEnd w:id="526"/>
    </w:p>
    <w:p w:rsidR="009D262F" w:rsidRPr="00453F25" w:rsidRDefault="009D262F" w:rsidP="009D262F">
      <w:pPr>
        <w:pStyle w:val="IASBNormalnparaL1"/>
        <w:rPr>
          <w:lang w:val="ru-RU"/>
        </w:rPr>
      </w:pPr>
      <w:r w:rsidRPr="00453F25">
        <w:rPr>
          <w:lang w:val="ru-RU"/>
        </w:rPr>
        <w:t>(</w:t>
      </w:r>
      <w:r w:rsidRPr="00453F25">
        <w:t>c</w:t>
      </w:r>
      <w:r w:rsidRPr="00453F25">
        <w:rPr>
          <w:lang w:val="ru-RU"/>
        </w:rPr>
        <w:t>)</w:t>
      </w:r>
      <w:r w:rsidRPr="00453F25">
        <w:rPr>
          <w:lang w:val="ru-RU"/>
        </w:rPr>
        <w:tab/>
      </w:r>
      <w:bookmarkStart w:id="527" w:name="F27188573"/>
      <w:r w:rsidRPr="00453F25">
        <w:rPr>
          <w:lang w:val="ru-RU"/>
        </w:rPr>
        <w:t>Организация имеет стратегию управления рисками, в рамках которой она осуществляет управление валютным риском по прогнозируемым продажам и дебиторской задолженности, возникающей вследствие этих продаж. Согласно данной стратегии, организация управляет валютным риском как отдельными отношениями хеджирования лишь до момента признания дебиторской задолженности. После этого организация более не управляет валютным риском в рамках указанных отдельных отношений хеджирования. Вместо этого она осуществляет управление валютным риском одновременно по дебиторской задолженности, кредиторской задолженности и производным инструментам (не относящимся к прогнозируемым операциям, которые еще не были совершены), выраженным в той же иностранной валюте. Для целей бухгалтерского учета это является «естественным хеджированием», поскольку прибыли и убытки, связанные с валютным риском по всем этим объектам, незамедлительно признаются в составе прибыли или убытка за период. Следовательно, для целей бухгалтерского учета, если отношения хеджирования определяются по усмотрению организации на период до даты платежа, они должны быть прекращены в момент признания соответствующей дебиторской задолженности, поскольку цель управления рисками, определенная для первоначальных отношений хеджирования, более не применяется. Теперь управление валютным риском осуществляется в рамках той же стратегии, но на другой основе. В обратной ситуации, если бы организация имела иную цель управления рисками и осуществляла управление валютным риском в рамках единых продолжающихся отношений хеджирования, определенных специально для указанной суммы прогнозируемых продаж и связанной с ними дебиторской задолженности до наступления даты расчетов по сделке, то учет хеджирования продолжался бы до этой даты.</w:t>
      </w:r>
      <w:bookmarkEnd w:id="527"/>
    </w:p>
    <w:p w:rsidR="009D262F" w:rsidRPr="00453F25" w:rsidRDefault="009D262F" w:rsidP="009D262F">
      <w:pPr>
        <w:pStyle w:val="IASBNormalnpara"/>
        <w:rPr>
          <w:lang w:val="ru-RU"/>
        </w:rPr>
      </w:pPr>
      <w:r w:rsidRPr="00453F25">
        <w:t>B</w:t>
      </w:r>
      <w:r w:rsidRPr="00453F25">
        <w:rPr>
          <w:lang w:val="ru-RU"/>
        </w:rPr>
        <w:t>6.5.25</w:t>
      </w:r>
      <w:r w:rsidRPr="00453F25">
        <w:rPr>
          <w:lang w:val="ru-RU"/>
        </w:rPr>
        <w:tab/>
      </w:r>
      <w:bookmarkStart w:id="528" w:name="F27188574"/>
      <w:r w:rsidRPr="00453F25">
        <w:rPr>
          <w:lang w:val="ru-RU"/>
        </w:rPr>
        <w:t>Прекращение учета хеджирования может затрагивать:</w:t>
      </w:r>
      <w:bookmarkEnd w:id="528"/>
    </w:p>
    <w:p w:rsidR="009D262F" w:rsidRPr="00453F25" w:rsidRDefault="009D262F" w:rsidP="009D262F">
      <w:pPr>
        <w:pStyle w:val="IASBNormalnparaL1"/>
        <w:rPr>
          <w:lang w:val="ru-RU"/>
        </w:rPr>
      </w:pPr>
      <w:r w:rsidRPr="00453F25">
        <w:rPr>
          <w:lang w:val="ru-RU"/>
        </w:rPr>
        <w:t>(</w:t>
      </w:r>
      <w:r w:rsidRPr="00453F25">
        <w:t>a</w:t>
      </w:r>
      <w:r w:rsidRPr="00453F25">
        <w:rPr>
          <w:lang w:val="ru-RU"/>
        </w:rPr>
        <w:t>)</w:t>
      </w:r>
      <w:r w:rsidRPr="00453F25">
        <w:rPr>
          <w:lang w:val="ru-RU"/>
        </w:rPr>
        <w:tab/>
      </w:r>
      <w:bookmarkStart w:id="529" w:name="F27188577"/>
      <w:r w:rsidRPr="00453F25">
        <w:rPr>
          <w:lang w:val="ru-RU"/>
        </w:rPr>
        <w:t>отдельные отношения хеджирования целиком; или</w:t>
      </w:r>
      <w:bookmarkEnd w:id="529"/>
    </w:p>
    <w:p w:rsidR="009D262F" w:rsidRPr="00453F25" w:rsidRDefault="009D262F" w:rsidP="009D262F">
      <w:pPr>
        <w:pStyle w:val="IASBNormalnparaL1"/>
        <w:rPr>
          <w:lang w:val="ru-RU"/>
        </w:rPr>
      </w:pPr>
      <w:r w:rsidRPr="00453F25">
        <w:rPr>
          <w:lang w:val="ru-RU"/>
        </w:rPr>
        <w:t>(</w:t>
      </w:r>
      <w:r w:rsidRPr="00453F25">
        <w:t>b</w:t>
      </w:r>
      <w:r w:rsidRPr="00453F25">
        <w:rPr>
          <w:lang w:val="ru-RU"/>
        </w:rPr>
        <w:t>)</w:t>
      </w:r>
      <w:r w:rsidRPr="00453F25">
        <w:rPr>
          <w:lang w:val="ru-RU"/>
        </w:rPr>
        <w:tab/>
      </w:r>
      <w:bookmarkStart w:id="530" w:name="F27188579"/>
      <w:r w:rsidRPr="00453F25">
        <w:rPr>
          <w:lang w:val="ru-RU"/>
        </w:rPr>
        <w:t>часть отдельных отношений</w:t>
      </w:r>
      <w:r w:rsidRPr="00453F25">
        <w:rPr>
          <w:sz w:val="16"/>
          <w:szCs w:val="16"/>
          <w:lang w:val="ru-RU"/>
        </w:rPr>
        <w:t xml:space="preserve"> </w:t>
      </w:r>
      <w:r w:rsidRPr="00453F25">
        <w:rPr>
          <w:lang w:val="ru-RU"/>
        </w:rPr>
        <w:t>хеджирования (что означает, что учет хеджирования продолжает применяться к оставшейся части данных отношений хеджирования).</w:t>
      </w:r>
      <w:bookmarkEnd w:id="530"/>
    </w:p>
    <w:p w:rsidR="009D262F" w:rsidRPr="00453F25" w:rsidRDefault="009D262F" w:rsidP="009D262F">
      <w:pPr>
        <w:pStyle w:val="IASBNormalnpara"/>
        <w:rPr>
          <w:lang w:val="ru-RU"/>
        </w:rPr>
      </w:pPr>
      <w:r w:rsidRPr="00453F25">
        <w:t>B</w:t>
      </w:r>
      <w:r w:rsidRPr="00453F25">
        <w:rPr>
          <w:lang w:val="ru-RU"/>
        </w:rPr>
        <w:t>6.5.26</w:t>
      </w:r>
      <w:r w:rsidRPr="00453F25">
        <w:rPr>
          <w:lang w:val="ru-RU"/>
        </w:rPr>
        <w:tab/>
      </w:r>
      <w:bookmarkStart w:id="531" w:name="F27188580"/>
      <w:r w:rsidRPr="00453F25">
        <w:rPr>
          <w:lang w:val="ru-RU"/>
        </w:rPr>
        <w:t>Отношения хеджирования прекращаются целиком, когда они, рассматриваемые в целом, перестают отвечать критериям для применения учета хеджирования. Например:</w:t>
      </w:r>
      <w:bookmarkEnd w:id="531"/>
    </w:p>
    <w:p w:rsidR="009D262F" w:rsidRPr="00453F25" w:rsidRDefault="009D262F" w:rsidP="009D262F">
      <w:pPr>
        <w:pStyle w:val="IASBNormalnparaL1"/>
        <w:rPr>
          <w:lang w:val="ru-RU"/>
        </w:rPr>
      </w:pPr>
      <w:r w:rsidRPr="00453F25">
        <w:rPr>
          <w:lang w:val="ru-RU"/>
        </w:rPr>
        <w:t>(</w:t>
      </w:r>
      <w:r w:rsidRPr="00453F25">
        <w:t>a</w:t>
      </w:r>
      <w:r w:rsidRPr="00453F25">
        <w:rPr>
          <w:lang w:val="ru-RU"/>
        </w:rPr>
        <w:t>)</w:t>
      </w:r>
      <w:r w:rsidRPr="00453F25">
        <w:rPr>
          <w:lang w:val="ru-RU"/>
        </w:rPr>
        <w:tab/>
      </w:r>
      <w:bookmarkStart w:id="532" w:name="F27188623"/>
      <w:r w:rsidRPr="00453F25">
        <w:rPr>
          <w:lang w:val="ru-RU"/>
        </w:rPr>
        <w:t>данные отношения хеджирования более не соответствуют той цели управления рисками, в связи с которой они были определены как отвечающие критериям для применения учета хеджирования (</w:t>
      </w:r>
      <w:r w:rsidR="00730672">
        <w:rPr>
          <w:lang w:val="ru-RU"/>
        </w:rPr>
        <w:t>т. е.</w:t>
      </w:r>
      <w:r w:rsidRPr="00453F25">
        <w:rPr>
          <w:lang w:val="ru-RU"/>
        </w:rPr>
        <w:t xml:space="preserve"> организация более не преследует данную цель управления рисками);</w:t>
      </w:r>
      <w:bookmarkEnd w:id="532"/>
    </w:p>
    <w:p w:rsidR="009D262F" w:rsidRPr="00453F25" w:rsidRDefault="009D262F" w:rsidP="009D262F">
      <w:pPr>
        <w:pStyle w:val="IASBNormalnparaL1"/>
        <w:rPr>
          <w:lang w:val="ru-RU"/>
        </w:rPr>
      </w:pPr>
      <w:r w:rsidRPr="00453F25">
        <w:rPr>
          <w:lang w:val="ru-RU"/>
        </w:rPr>
        <w:t>(</w:t>
      </w:r>
      <w:r w:rsidRPr="00453F25">
        <w:t>b</w:t>
      </w:r>
      <w:r w:rsidRPr="00453F25">
        <w:rPr>
          <w:lang w:val="ru-RU"/>
        </w:rPr>
        <w:t>)</w:t>
      </w:r>
      <w:r w:rsidRPr="00453F25">
        <w:rPr>
          <w:lang w:val="ru-RU"/>
        </w:rPr>
        <w:tab/>
      </w:r>
      <w:bookmarkStart w:id="533" w:name="F27188625"/>
      <w:r w:rsidRPr="00453F25">
        <w:rPr>
          <w:lang w:val="ru-RU"/>
        </w:rPr>
        <w:t xml:space="preserve">инструмент или инструменты хеджирования были проданы, либо было прекращено действие </w:t>
      </w:r>
      <w:r w:rsidR="00A34BF4" w:rsidRPr="00453F25">
        <w:rPr>
          <w:lang w:val="ru-RU"/>
        </w:rPr>
        <w:t>соответствующего</w:t>
      </w:r>
      <w:r w:rsidRPr="00453F25">
        <w:rPr>
          <w:lang w:val="ru-RU"/>
        </w:rPr>
        <w:t xml:space="preserve"> договора или договоров (в </w:t>
      </w:r>
      <w:r w:rsidR="00A34BF4" w:rsidRPr="00453F25">
        <w:rPr>
          <w:lang w:val="ru-RU"/>
        </w:rPr>
        <w:t>отношении</w:t>
      </w:r>
      <w:r w:rsidRPr="00453F25">
        <w:rPr>
          <w:lang w:val="ru-RU"/>
        </w:rPr>
        <w:t xml:space="preserve"> всего объема, который был частью данных отношений хеджирования);</w:t>
      </w:r>
      <w:bookmarkEnd w:id="533"/>
    </w:p>
    <w:p w:rsidR="009D262F" w:rsidRPr="00453F25" w:rsidRDefault="009D262F" w:rsidP="009D262F">
      <w:pPr>
        <w:pStyle w:val="IASBNormalnparaL1"/>
        <w:rPr>
          <w:lang w:val="ru-RU"/>
        </w:rPr>
      </w:pPr>
      <w:r w:rsidRPr="00453F25">
        <w:rPr>
          <w:lang w:val="ru-RU"/>
        </w:rPr>
        <w:t>(</w:t>
      </w:r>
      <w:r w:rsidRPr="00453F25">
        <w:t>c</w:t>
      </w:r>
      <w:r w:rsidRPr="00453F25">
        <w:rPr>
          <w:lang w:val="ru-RU"/>
        </w:rPr>
        <w:t>)</w:t>
      </w:r>
      <w:r w:rsidRPr="00453F25">
        <w:rPr>
          <w:lang w:val="ru-RU"/>
        </w:rPr>
        <w:tab/>
      </w:r>
      <w:bookmarkStart w:id="534" w:name="F27188627"/>
      <w:r w:rsidRPr="00453F25">
        <w:rPr>
          <w:lang w:val="ru-RU"/>
        </w:rPr>
        <w:t>между объектом хеджирования и инструментом хеджирования более не существует экономической взаимосвязи, либо фактор кредитного риска начинает оказывать доминирующее влияние на изменения стоимости, которые возникают вследствие указанной экономической взаимосвязи.</w:t>
      </w:r>
      <w:bookmarkEnd w:id="534"/>
    </w:p>
    <w:p w:rsidR="009D262F" w:rsidRPr="00453F25" w:rsidRDefault="009D262F" w:rsidP="009D262F">
      <w:pPr>
        <w:pStyle w:val="IASBNormalnpara"/>
        <w:rPr>
          <w:lang w:val="ru-RU"/>
        </w:rPr>
      </w:pPr>
      <w:r w:rsidRPr="00453F25">
        <w:t>B</w:t>
      </w:r>
      <w:r w:rsidRPr="00453F25">
        <w:rPr>
          <w:lang w:val="ru-RU"/>
        </w:rPr>
        <w:t>6.5.27</w:t>
      </w:r>
      <w:r w:rsidRPr="00453F25">
        <w:rPr>
          <w:lang w:val="ru-RU"/>
        </w:rPr>
        <w:tab/>
      </w:r>
      <w:bookmarkStart w:id="535" w:name="F27188629"/>
      <w:r w:rsidRPr="00453F25">
        <w:rPr>
          <w:lang w:val="ru-RU"/>
        </w:rPr>
        <w:t>Отношения хеджирования прекращаются в определенной части (а к оставшейся их части продолжает применяться учет хеджирования), когда критериям для применения учета хеджирования перестает отвечать лишь часть данных отношений хеджирования. Например:</w:t>
      </w:r>
      <w:bookmarkEnd w:id="535"/>
    </w:p>
    <w:p w:rsidR="009D262F" w:rsidRPr="00453F25" w:rsidRDefault="009D262F" w:rsidP="009D262F">
      <w:pPr>
        <w:pStyle w:val="IASBNormalnparaL1"/>
        <w:rPr>
          <w:lang w:val="ru-RU"/>
        </w:rPr>
      </w:pPr>
      <w:r w:rsidRPr="00453F25">
        <w:rPr>
          <w:lang w:val="ru-RU"/>
        </w:rPr>
        <w:t>(</w:t>
      </w:r>
      <w:r w:rsidRPr="00453F25">
        <w:t>a</w:t>
      </w:r>
      <w:r w:rsidRPr="00453F25">
        <w:rPr>
          <w:lang w:val="ru-RU"/>
        </w:rPr>
        <w:t>)</w:t>
      </w:r>
      <w:r w:rsidRPr="00453F25">
        <w:rPr>
          <w:lang w:val="ru-RU"/>
        </w:rPr>
        <w:tab/>
      </w:r>
      <w:bookmarkStart w:id="536" w:name="F27188633"/>
      <w:r w:rsidRPr="00453F25">
        <w:rPr>
          <w:lang w:val="ru-RU"/>
        </w:rPr>
        <w:t>при ребалансировке отношений хеджирования коэффициент хеджирования может быть скорректирован таким образом, что некоторый объем объекта хеджирования перестает быть частью данных отношений хеджирования (см. пункт В6.5.20); как следствие, учет хеджирования прекращается только для того объема объекта хеджирования, который более не является частью отношений хеджирования; или</w:t>
      </w:r>
      <w:bookmarkEnd w:id="536"/>
    </w:p>
    <w:p w:rsidR="009D262F" w:rsidRPr="00453F25" w:rsidRDefault="009D262F" w:rsidP="009D262F">
      <w:pPr>
        <w:pStyle w:val="IASBNormalnparaL1"/>
        <w:rPr>
          <w:lang w:val="ru-RU"/>
        </w:rPr>
      </w:pPr>
      <w:r w:rsidRPr="00453F25">
        <w:rPr>
          <w:lang w:val="ru-RU"/>
        </w:rPr>
        <w:t>(</w:t>
      </w:r>
      <w:r w:rsidRPr="00453F25">
        <w:t>b</w:t>
      </w:r>
      <w:r w:rsidRPr="00453F25">
        <w:rPr>
          <w:lang w:val="ru-RU"/>
        </w:rPr>
        <w:t>)</w:t>
      </w:r>
      <w:r w:rsidRPr="00453F25">
        <w:rPr>
          <w:lang w:val="ru-RU"/>
        </w:rPr>
        <w:tab/>
      </w:r>
      <w:bookmarkStart w:id="537" w:name="F27188635"/>
      <w:r w:rsidRPr="00453F25">
        <w:rPr>
          <w:lang w:val="ru-RU"/>
        </w:rPr>
        <w:t xml:space="preserve">когда вероятность возникновения некоторого объема объекта хеджирования, представляющего собой прогнозируемую операцию (либо ее компонент), более не является высокой, учет хеджирования прекращается только в отношении того объема объекта хеджирования, вероятность возникновения которой более не является высокой. Однако если статистика прошлых событий показывает, что организация по собственному усмотрению определяла отношения хеджирования для прогнозируемых операций и впоследствии устанавливала, что осуществление данных прогнозируемых операций более не ожидается, то способность организации с точностью прогнозировать ожидаемые операции ставится под сомнение, когда она </w:t>
      </w:r>
      <w:r w:rsidR="00A34BF4" w:rsidRPr="00453F25">
        <w:rPr>
          <w:lang w:val="ru-RU"/>
        </w:rPr>
        <w:t>делает</w:t>
      </w:r>
      <w:r w:rsidRPr="00453F25">
        <w:rPr>
          <w:lang w:val="ru-RU"/>
        </w:rPr>
        <w:t xml:space="preserve"> прогнозы в отношении подобных операций. Это влияет на оценку того, можно ли с высокой степенью вероятности ожидать, что подобные прогнозируемые операции будут в </w:t>
      </w:r>
      <w:r w:rsidR="00A34BF4" w:rsidRPr="00453F25">
        <w:rPr>
          <w:lang w:val="ru-RU"/>
        </w:rPr>
        <w:t>будущем</w:t>
      </w:r>
      <w:r w:rsidRPr="00453F25">
        <w:rPr>
          <w:lang w:val="ru-RU"/>
        </w:rPr>
        <w:t xml:space="preserve"> осуществлены (см. пункт 6.3.3), и, как следствие, можно ли их определять в качестве объектов хеджирования.</w:t>
      </w:r>
      <w:bookmarkEnd w:id="537"/>
    </w:p>
    <w:p w:rsidR="009D262F" w:rsidRPr="00453F25" w:rsidRDefault="009D262F" w:rsidP="009D262F">
      <w:pPr>
        <w:pStyle w:val="IASBNormalnpara"/>
        <w:rPr>
          <w:lang w:val="ru-RU"/>
        </w:rPr>
      </w:pPr>
      <w:r w:rsidRPr="00453F25">
        <w:t>B</w:t>
      </w:r>
      <w:r w:rsidRPr="00453F25">
        <w:rPr>
          <w:lang w:val="ru-RU"/>
        </w:rPr>
        <w:t>6.5.28</w:t>
      </w:r>
      <w:r w:rsidRPr="00453F25">
        <w:rPr>
          <w:lang w:val="ru-RU"/>
        </w:rPr>
        <w:tab/>
      </w:r>
      <w:bookmarkStart w:id="538" w:name="F27188636"/>
      <w:r w:rsidRPr="00453F25">
        <w:rPr>
          <w:lang w:val="ru-RU"/>
        </w:rPr>
        <w:t>Организация может по собственному усмотрению определить новые отношения хеджирования с включением инструмента хеджирования или объекта хеджирования из каких-либо прежних отношений хеджирования, в отношении которых учет хеджирования был (частично или полностью) прекращен. Такая ситуация не означает</w:t>
      </w:r>
      <w:r w:rsidRPr="00453F25">
        <w:rPr>
          <w:sz w:val="16"/>
          <w:szCs w:val="16"/>
          <w:lang w:val="ru-RU"/>
        </w:rPr>
        <w:t xml:space="preserve"> </w:t>
      </w:r>
      <w:r w:rsidRPr="00453F25">
        <w:rPr>
          <w:lang w:val="ru-RU"/>
        </w:rPr>
        <w:t>продолжение прежних отношений хеджирования, а представляет собой «перезапуск» и определение новых</w:t>
      </w:r>
      <w:r w:rsidRPr="00453F25">
        <w:rPr>
          <w:sz w:val="16"/>
          <w:szCs w:val="16"/>
          <w:lang w:val="ru-RU"/>
        </w:rPr>
        <w:t xml:space="preserve"> </w:t>
      </w:r>
      <w:r w:rsidRPr="00453F25">
        <w:rPr>
          <w:lang w:val="ru-RU"/>
        </w:rPr>
        <w:t>отношений хеджирования. Например:</w:t>
      </w:r>
      <w:bookmarkEnd w:id="538"/>
    </w:p>
    <w:p w:rsidR="009D262F" w:rsidRPr="00453F25" w:rsidRDefault="009D262F" w:rsidP="009D262F">
      <w:pPr>
        <w:pStyle w:val="IASBNormalnparaL1"/>
        <w:rPr>
          <w:lang w:val="ru-RU"/>
        </w:rPr>
      </w:pPr>
      <w:r w:rsidRPr="00453F25">
        <w:rPr>
          <w:lang w:val="ru-RU"/>
        </w:rPr>
        <w:t>(</w:t>
      </w:r>
      <w:r w:rsidRPr="00453F25">
        <w:t>a</w:t>
      </w:r>
      <w:r w:rsidRPr="00453F25">
        <w:rPr>
          <w:lang w:val="ru-RU"/>
        </w:rPr>
        <w:t>)</w:t>
      </w:r>
      <w:r w:rsidRPr="00453F25">
        <w:rPr>
          <w:lang w:val="ru-RU"/>
        </w:rPr>
        <w:tab/>
      </w:r>
      <w:bookmarkStart w:id="539" w:name="F27188639"/>
      <w:r w:rsidRPr="00453F25">
        <w:rPr>
          <w:lang w:val="ru-RU"/>
        </w:rPr>
        <w:t>Имеет место настолько резкое снижение кредитного рейтинга эмитента инструмента хеджирования, что организация заменяет этот инструмент новым инструментом хеджирования. Это означает, что в рамках первоначальных отношений хеджирования не удалось достичь цели управления рисками и, как следствие, эти отношения прекращаются в полном объеме. Новый инструмент хеджирования, определяемый по усмотрению организации, должен хеджировать ту же позицию, которая хеджировалась ранее, и он образует новые отношения хеджирования. Соответственно, изменения справедливой стоимости объекта хеджирования или денежных потоков по нему оцениваются с даты определения организацией новых отношений хеджирования и относительно этой даты, а не с даты определения по усмотрению организации первоначальных отношений хеджирования.</w:t>
      </w:r>
      <w:bookmarkEnd w:id="539"/>
    </w:p>
    <w:p w:rsidR="001529CA" w:rsidRPr="0049187C" w:rsidRDefault="009D262F" w:rsidP="009D262F">
      <w:pPr>
        <w:pStyle w:val="IASBNormalnpara"/>
        <w:ind w:left="1560"/>
        <w:rPr>
          <w:lang w:val="ru-RU"/>
        </w:rPr>
      </w:pPr>
      <w:r w:rsidRPr="00453F25">
        <w:rPr>
          <w:lang w:val="ru-RU"/>
        </w:rPr>
        <w:t>(</w:t>
      </w:r>
      <w:r w:rsidRPr="00453F25">
        <w:t>b</w:t>
      </w:r>
      <w:r w:rsidRPr="00453F25">
        <w:rPr>
          <w:lang w:val="ru-RU"/>
        </w:rPr>
        <w:t>)</w:t>
      </w:r>
      <w:r w:rsidRPr="00453F25">
        <w:rPr>
          <w:lang w:val="ru-RU"/>
        </w:rPr>
        <w:tab/>
        <w:t>Отношения хеджирования прекращаются до окончания определенного для них срока. Инструмент хеджирования, являвшийся частью этих отношений хеджирования, может быть определен по усмотрению организации в качестве инструмента хеджирования для других отношений хеджирования (например, в момент корректировки коэффициента хеджирования при</w:t>
      </w:r>
      <w:r w:rsidRPr="009D262F">
        <w:rPr>
          <w:color w:val="44546A"/>
          <w:lang w:val="ru-RU"/>
        </w:rPr>
        <w:t xml:space="preserve"> </w:t>
      </w:r>
      <w:r w:rsidRPr="00453F25">
        <w:rPr>
          <w:lang w:val="ru-RU"/>
        </w:rPr>
        <w:t>ребалансировке посредством увеличения объема инструмента хеджирования либо в момент определения по усмотрению организации новых</w:t>
      </w:r>
      <w:r w:rsidRPr="00453F25">
        <w:rPr>
          <w:sz w:val="16"/>
          <w:szCs w:val="16"/>
          <w:lang w:val="ru-RU"/>
        </w:rPr>
        <w:t xml:space="preserve"> </w:t>
      </w:r>
      <w:r w:rsidRPr="00453F25">
        <w:rPr>
          <w:lang w:val="ru-RU"/>
        </w:rPr>
        <w:t>отношений хеджирования)</w:t>
      </w:r>
      <w:r w:rsidR="001529CA" w:rsidRPr="0049187C">
        <w:rPr>
          <w:lang w:val="ru-RU"/>
        </w:rPr>
        <w:t>.</w:t>
      </w:r>
      <w:bookmarkEnd w:id="519"/>
    </w:p>
    <w:p w:rsidR="001529CA" w:rsidRPr="0049187C" w:rsidRDefault="00E1095F">
      <w:pPr>
        <w:pStyle w:val="IASBSectionTitle3Ind"/>
        <w:rPr>
          <w:lang w:val="ru-RU"/>
        </w:rPr>
      </w:pPr>
      <w:bookmarkStart w:id="540" w:name="F27188643"/>
      <w:r>
        <w:rPr>
          <w:lang w:val="ru-RU"/>
        </w:rPr>
        <w:t>Учет временн</w:t>
      </w:r>
      <w:r w:rsidRPr="00B44571">
        <w:rPr>
          <w:lang w:val="ru-RU"/>
        </w:rPr>
        <w:t>ó</w:t>
      </w:r>
      <w:r w:rsidR="00CC6DCD" w:rsidRPr="0049187C">
        <w:rPr>
          <w:lang w:val="ru-RU"/>
        </w:rPr>
        <w:t>й стоимости опционов</w:t>
      </w:r>
      <w:bookmarkEnd w:id="540"/>
    </w:p>
    <w:p w:rsidR="009D262F" w:rsidRPr="00453F25" w:rsidRDefault="001529CA" w:rsidP="009D262F">
      <w:pPr>
        <w:pStyle w:val="IASBNormalnpara"/>
        <w:rPr>
          <w:lang w:val="ru-RU"/>
        </w:rPr>
      </w:pPr>
      <w:r w:rsidRPr="0049187C">
        <w:rPr>
          <w:lang w:val="ru-RU"/>
        </w:rPr>
        <w:t>B6.5.29</w:t>
      </w:r>
      <w:r w:rsidRPr="0049187C">
        <w:rPr>
          <w:lang w:val="ru-RU"/>
        </w:rPr>
        <w:tab/>
      </w:r>
      <w:bookmarkStart w:id="541" w:name="F32626967"/>
      <w:bookmarkStart w:id="542" w:name="F27188644"/>
      <w:r w:rsidR="009D262F" w:rsidRPr="00453F25">
        <w:rPr>
          <w:lang w:val="ru-RU"/>
        </w:rPr>
        <w:t>Опцион может рассматриваться как имеющий отношение к определенному промежутку времени, поскольку его временнáя стоимость представляет собой плату за предоставление держателю опциона защиты на протяжении определенного времени. Однако для решения вопроса о том, что именно хеджирует опцион: объект, связанный с определенной операцией, или объект, связанный с определенным интервалом времени, уместным является такой аспект, как характеристики указанного объекта хеджирования, включая то, каким образом и когда он влияет на прибыль или убыток. Следовательно, организация должна оценить вид объекта хеджирования (см. пункт 6.5.15(а)) исходя из характера этого объекта (вне зависимости от того, являются ли отношения хеджирования хеджированием денежных потоков или хеджированием справедливой стоимости):</w:t>
      </w:r>
      <w:bookmarkEnd w:id="542"/>
    </w:p>
    <w:p w:rsidR="009D262F" w:rsidRPr="00453F25" w:rsidRDefault="009D262F" w:rsidP="009D262F">
      <w:pPr>
        <w:pStyle w:val="IASBNormalnparaL1"/>
        <w:rPr>
          <w:lang w:val="ru-RU"/>
        </w:rPr>
      </w:pPr>
      <w:r w:rsidRPr="00453F25">
        <w:rPr>
          <w:lang w:val="ru-RU"/>
        </w:rPr>
        <w:t>(</w:t>
      </w:r>
      <w:r w:rsidRPr="00453F25">
        <w:t>a</w:t>
      </w:r>
      <w:r w:rsidRPr="00453F25">
        <w:rPr>
          <w:lang w:val="ru-RU"/>
        </w:rPr>
        <w:t>)</w:t>
      </w:r>
      <w:r w:rsidRPr="00453F25">
        <w:rPr>
          <w:lang w:val="ru-RU"/>
        </w:rPr>
        <w:tab/>
      </w:r>
      <w:bookmarkStart w:id="543" w:name="F27188647"/>
      <w:r w:rsidRPr="00453F25">
        <w:rPr>
          <w:lang w:val="ru-RU"/>
        </w:rPr>
        <w:t>Временнáя стоимость опциона относится к объекту хеджирования, связанному с определенной операцией, если по своему характеру объект хеджирования представляет собой сделку, применительно к которой временнáя стоимость опциона характеризуется как часть связанных с этой сделкой затрат. Примером является ситуация, когда временнáя стоимость опциона относится к объекту хеджирования, который приводит к признанию статьи, в первоначальную оценку которой включаются затраты по сделке (например, организация хеджирует сделку по приобретению биржевых товаров, будь то прогнозируемая операция или твердое договорное обязательство, относительно риска изменения цены на этот товар и включает затраты по осуществлению указанной сделки в первоначальную оценку соответствующих товарных запасов). Вследствие включения временнóй стоимости опциона в первоначальную оценку конкретного объекта хеджирования, эта временнáя стоимость оказывает влияние на прибыль или убыток в тот же момент времени, что и указанный объект хеджирования. Аналогичным образом, организация, которая хеджир</w:t>
      </w:r>
      <w:r w:rsidR="00A73D9D">
        <w:rPr>
          <w:lang w:val="ru-RU"/>
        </w:rPr>
        <w:t xml:space="preserve">ует сделку по продаже </w:t>
      </w:r>
      <w:r w:rsidRPr="00453F25">
        <w:rPr>
          <w:lang w:val="ru-RU"/>
        </w:rPr>
        <w:t>товара, будь то прогнозируемая операция или твердое договорное обязательство, включила бы временнýю стоимость соответствующего опциона в состав затрат, связанных с такой продажей (следовательно, временнáя стоимость опциона была бы признана в составе прибыли или убытка в том же периоде, что и выручка от хеджируемой сделки продажи).</w:t>
      </w:r>
      <w:bookmarkEnd w:id="543"/>
    </w:p>
    <w:p w:rsidR="009D262F" w:rsidRPr="00453F25" w:rsidRDefault="009D262F" w:rsidP="009D262F">
      <w:pPr>
        <w:pStyle w:val="IASBNormalnparaL1"/>
        <w:rPr>
          <w:lang w:val="ru-RU"/>
        </w:rPr>
      </w:pPr>
      <w:r w:rsidRPr="00453F25">
        <w:rPr>
          <w:lang w:val="ru-RU"/>
        </w:rPr>
        <w:t>(</w:t>
      </w:r>
      <w:r w:rsidRPr="00453F25">
        <w:t>b</w:t>
      </w:r>
      <w:r w:rsidRPr="00453F25">
        <w:rPr>
          <w:lang w:val="ru-RU"/>
        </w:rPr>
        <w:t>)</w:t>
      </w:r>
      <w:r w:rsidRPr="00453F25">
        <w:rPr>
          <w:lang w:val="ru-RU"/>
        </w:rPr>
        <w:tab/>
      </w:r>
      <w:bookmarkStart w:id="544" w:name="F27188649"/>
      <w:r w:rsidRPr="00453F25">
        <w:rPr>
          <w:lang w:val="ru-RU"/>
        </w:rPr>
        <w:t xml:space="preserve">Временнáя стоимость опциона относится к объекту хеджирования, связанному с определенным интервалом времени, если по своему характеру объект хеджирования таков, что временнáя стоимость характеризуется как статья затрат, связанных с приобретением защиты от риска на определенный период времени (но при этом объект хеджирования не приводит к осуществлению операции, которая влечет за собой затраты по сделке в соответствии с пунктом (а)). </w:t>
      </w:r>
      <w:r w:rsidR="00A73D9D">
        <w:rPr>
          <w:lang w:val="ru-RU"/>
        </w:rPr>
        <w:t xml:space="preserve">Например, если запасы </w:t>
      </w:r>
      <w:r w:rsidRPr="00453F25">
        <w:rPr>
          <w:lang w:val="ru-RU"/>
        </w:rPr>
        <w:t>товара хеджируются относительно риска снижения справедливой стоимости на срок в шесть месяцев с использованием товарного опциона, имеющего соответствующий срок действия, то временнáя стоимость данного опциона будет относиться на прибыль или убыток (</w:t>
      </w:r>
      <w:r w:rsidR="00730672">
        <w:rPr>
          <w:lang w:val="ru-RU"/>
        </w:rPr>
        <w:t>т. е.</w:t>
      </w:r>
      <w:r w:rsidRPr="00453F25">
        <w:rPr>
          <w:lang w:val="ru-RU"/>
        </w:rPr>
        <w:t xml:space="preserve"> амортизироваться на систематической и рациональной основе) на протяжении указанного шестимесячного периода. Другим примером является хеджирование чистой инвестиции в иностранное подразделение, которая хеджируется на срок в 18 месяцев с использованием валютного опциона, что приведет к необходимости отнесения временнóй стоимости данного опциона на протяжении указанного 18-месячного периода.</w:t>
      </w:r>
      <w:bookmarkEnd w:id="544"/>
    </w:p>
    <w:p w:rsidR="009D262F" w:rsidRPr="00453F25" w:rsidRDefault="009D262F" w:rsidP="009D262F">
      <w:pPr>
        <w:pStyle w:val="IASBNormalnpara"/>
        <w:rPr>
          <w:lang w:val="ru-RU"/>
        </w:rPr>
      </w:pPr>
      <w:r w:rsidRPr="00453F25">
        <w:t>B</w:t>
      </w:r>
      <w:r w:rsidRPr="00453F25">
        <w:rPr>
          <w:lang w:val="ru-RU"/>
        </w:rPr>
        <w:t>6.5.30</w:t>
      </w:r>
      <w:r w:rsidRPr="00453F25">
        <w:rPr>
          <w:lang w:val="ru-RU"/>
        </w:rPr>
        <w:tab/>
      </w:r>
      <w:bookmarkStart w:id="545" w:name="F27188650"/>
      <w:r w:rsidRPr="00453F25">
        <w:rPr>
          <w:lang w:val="ru-RU"/>
        </w:rPr>
        <w:t xml:space="preserve">От характеристик объекта хеджирования, включая то, каким образом и когда этот объект хеджирования окажет влияние на прибыль или убыток, также зависит период, на протяжении которого амортизируется временнáя стоимость опциона, хеджирующая связанный с определенным интервалом времени объект хеджирования, при этом указанный период соответствует тому, на протяжении которого внутренняя стоимость данного опциона может оказывать влияние на прибыль или убыток в рамках учета хеджирования. Например, если процентный опцион («кэп») используется для защиты от увеличения процентных расходов по облигации с плавающей ставкой, то временнáя стоимость указанного «кэпа» амортизируется путем включения в состав прибыли или убытка на протяжении того же периода, на протяжении которого внутренняя стоимость «кэпа» оказывала бы влияние на прибыль или убыток: </w:t>
      </w:r>
      <w:bookmarkEnd w:id="545"/>
    </w:p>
    <w:p w:rsidR="009D262F" w:rsidRPr="00453F25" w:rsidRDefault="009D262F" w:rsidP="009D262F">
      <w:pPr>
        <w:pStyle w:val="IASBNormalnparaL1"/>
        <w:rPr>
          <w:lang w:val="ru-RU"/>
        </w:rPr>
      </w:pPr>
      <w:r w:rsidRPr="00453F25">
        <w:rPr>
          <w:lang w:val="ru-RU"/>
        </w:rPr>
        <w:t>(</w:t>
      </w:r>
      <w:r w:rsidRPr="00453F25">
        <w:t>a</w:t>
      </w:r>
      <w:r w:rsidRPr="00453F25">
        <w:rPr>
          <w:lang w:val="ru-RU"/>
        </w:rPr>
        <w:t>)</w:t>
      </w:r>
      <w:r w:rsidRPr="00453F25">
        <w:rPr>
          <w:lang w:val="ru-RU"/>
        </w:rPr>
        <w:tab/>
      </w:r>
      <w:bookmarkStart w:id="546" w:name="F27188653"/>
      <w:r w:rsidRPr="00453F25">
        <w:rPr>
          <w:lang w:val="ru-RU"/>
        </w:rPr>
        <w:t>если «кэп» хеджирует приросты процентных ставок в первые три года общего срока действия облигации с плавающей процентной ставкой, составляющего пять лет, то временнáя стоимость данного «кэпа» амортизируется на протяжении этих первых трех лет; либо</w:t>
      </w:r>
      <w:bookmarkEnd w:id="546"/>
    </w:p>
    <w:p w:rsidR="009D262F" w:rsidRPr="00453F25" w:rsidRDefault="009D262F" w:rsidP="009D262F">
      <w:pPr>
        <w:pStyle w:val="IASBNormalnparaL1"/>
        <w:rPr>
          <w:lang w:val="ru-RU"/>
        </w:rPr>
      </w:pPr>
      <w:r w:rsidRPr="00453F25">
        <w:rPr>
          <w:lang w:val="ru-RU"/>
        </w:rPr>
        <w:t>(</w:t>
      </w:r>
      <w:r w:rsidRPr="00453F25">
        <w:t>b</w:t>
      </w:r>
      <w:r w:rsidRPr="00453F25">
        <w:rPr>
          <w:lang w:val="ru-RU"/>
        </w:rPr>
        <w:t>)</w:t>
      </w:r>
      <w:r w:rsidRPr="00453F25">
        <w:rPr>
          <w:lang w:val="ru-RU"/>
        </w:rPr>
        <w:tab/>
      </w:r>
      <w:bookmarkStart w:id="547" w:name="F27188655"/>
      <w:r w:rsidRPr="00453F25">
        <w:rPr>
          <w:lang w:val="ru-RU"/>
        </w:rPr>
        <w:t>если «кэп» представляет собой опцион с отсроченной датой начала действия, который хеджирует приросты процентных ставок в течение второго и третьего года общего срока облигации с плавающей процентной ставкой, составляющего пять лет, то временнáя стоимость данного «кэпа» амортизируется на протяжении второго и третьего годов.</w:t>
      </w:r>
      <w:bookmarkEnd w:id="547"/>
    </w:p>
    <w:p w:rsidR="009D262F" w:rsidRPr="00453F25" w:rsidRDefault="009D262F" w:rsidP="009D262F">
      <w:pPr>
        <w:pStyle w:val="IASBNormalnpara"/>
        <w:rPr>
          <w:lang w:val="ru-RU"/>
        </w:rPr>
      </w:pPr>
      <w:r w:rsidRPr="00453F25">
        <w:t>B</w:t>
      </w:r>
      <w:r w:rsidRPr="00453F25">
        <w:rPr>
          <w:lang w:val="ru-RU"/>
        </w:rPr>
        <w:t>6.5.31</w:t>
      </w:r>
      <w:r w:rsidRPr="00453F25">
        <w:rPr>
          <w:lang w:val="ru-RU"/>
        </w:rPr>
        <w:tab/>
      </w:r>
      <w:bookmarkStart w:id="548" w:name="F27188656"/>
      <w:r w:rsidRPr="00453F25">
        <w:rPr>
          <w:lang w:val="ru-RU"/>
        </w:rPr>
        <w:t>Порядок учета временнóй стоимости опционов в соответствии с пунктом 6.5.15 также применяется к комбинации купленного и выпущенного опционов (где один из опционов является пут-опционом, а другой колл-опционом), которая на дату ее определения по усмотрению организации в качестве инструмента хеджирования имеет временнýю стоимость, равную в нетто-величине нулю (обычно называемой «коллар с нулевыми затратами»). В этом случае организация должна признавать все изменения временнóй стоимости в составе прочего совокупного дохода, даже если совокупная величина изменений временнóй стоимости за весь период существования данных отношений хеджирования равна нулю. Следовательно, если временнáя стоимость опциона относится:</w:t>
      </w:r>
      <w:bookmarkEnd w:id="548"/>
    </w:p>
    <w:p w:rsidR="009D262F" w:rsidRPr="00453F25" w:rsidRDefault="009D262F" w:rsidP="009D262F">
      <w:pPr>
        <w:pStyle w:val="IASBNormalnparaL1"/>
        <w:rPr>
          <w:lang w:val="ru-RU"/>
        </w:rPr>
      </w:pPr>
      <w:r w:rsidRPr="00453F25">
        <w:rPr>
          <w:lang w:val="ru-RU"/>
        </w:rPr>
        <w:t>(</w:t>
      </w:r>
      <w:r w:rsidRPr="00453F25">
        <w:t>a</w:t>
      </w:r>
      <w:r w:rsidRPr="00453F25">
        <w:rPr>
          <w:lang w:val="ru-RU"/>
        </w:rPr>
        <w:t>)</w:t>
      </w:r>
      <w:r w:rsidRPr="00453F25">
        <w:rPr>
          <w:lang w:val="ru-RU"/>
        </w:rPr>
        <w:tab/>
      </w:r>
      <w:bookmarkStart w:id="549" w:name="F27188659"/>
      <w:r w:rsidRPr="00453F25">
        <w:rPr>
          <w:lang w:val="ru-RU"/>
        </w:rPr>
        <w:t>к объекту хеджирования, связанному с определенной операцией, то величина временнóй стоимости в момент окончания данных отношений хеджирования, на которую корректируется стоимость объекта хеджирования или которая реклассифицируется в состав прибыли или убытка (см. пункт 6.5.15(</w:t>
      </w:r>
      <w:r w:rsidRPr="00453F25">
        <w:t>b</w:t>
      </w:r>
      <w:r w:rsidRPr="00453F25">
        <w:rPr>
          <w:lang w:val="ru-RU"/>
        </w:rPr>
        <w:t>)), будет равна нулю;</w:t>
      </w:r>
      <w:bookmarkEnd w:id="549"/>
    </w:p>
    <w:p w:rsidR="009D262F" w:rsidRPr="00453F25" w:rsidRDefault="009D262F" w:rsidP="009D262F">
      <w:pPr>
        <w:pStyle w:val="IASBNormalnparaL1"/>
        <w:rPr>
          <w:lang w:val="ru-RU"/>
        </w:rPr>
      </w:pPr>
      <w:r w:rsidRPr="00453F25">
        <w:rPr>
          <w:lang w:val="ru-RU"/>
        </w:rPr>
        <w:t>(</w:t>
      </w:r>
      <w:r w:rsidRPr="00453F25">
        <w:t>b</w:t>
      </w:r>
      <w:r w:rsidRPr="00453F25">
        <w:rPr>
          <w:lang w:val="ru-RU"/>
        </w:rPr>
        <w:t>)</w:t>
      </w:r>
      <w:r w:rsidRPr="00453F25">
        <w:rPr>
          <w:lang w:val="ru-RU"/>
        </w:rPr>
        <w:tab/>
      </w:r>
      <w:bookmarkStart w:id="550" w:name="F27188661"/>
      <w:r w:rsidRPr="00453F25">
        <w:rPr>
          <w:lang w:val="ru-RU"/>
        </w:rPr>
        <w:t>к объекту хеджирования, связанному с определенным интервалом времени, то расходы на амортизацию, связанные с временнóй стоимостью, равны нулю.</w:t>
      </w:r>
      <w:bookmarkEnd w:id="550"/>
    </w:p>
    <w:p w:rsidR="009D262F" w:rsidRPr="00453F25" w:rsidRDefault="009D262F" w:rsidP="009D262F">
      <w:pPr>
        <w:pStyle w:val="IASBNormalnpara"/>
        <w:rPr>
          <w:lang w:val="ru-RU"/>
        </w:rPr>
      </w:pPr>
      <w:r w:rsidRPr="00453F25">
        <w:t>B</w:t>
      </w:r>
      <w:r w:rsidRPr="00453F25">
        <w:rPr>
          <w:lang w:val="ru-RU"/>
        </w:rPr>
        <w:t>6.5.32</w:t>
      </w:r>
      <w:r w:rsidRPr="00453F25">
        <w:rPr>
          <w:lang w:val="ru-RU"/>
        </w:rPr>
        <w:tab/>
      </w:r>
      <w:bookmarkStart w:id="551" w:name="F27188662"/>
      <w:r w:rsidRPr="00453F25">
        <w:rPr>
          <w:lang w:val="ru-RU"/>
        </w:rPr>
        <w:t xml:space="preserve">Порядок учета временнóй стоимости опционов в соответствии с пунктом 6.5.15 применяется только в той мере, в которой эта временнáя стоимость относится к объекту хеджирования (совпадающая временнáя стоимость). Следует считать, что временнáя стоимость опциона относится к объекту хеджирования, если ключевые параметры опциона (такие как номинальная стоимость, срок действия и базовая переменная) совпадают с таковыми по объекту хеджирования. Следовательно, если ключевые параметры опциона и объекта хеджирования не совпадают в полной мере, то организация должна выявить совпадающую временнýю стоимость, </w:t>
      </w:r>
      <w:r w:rsidR="00730672">
        <w:rPr>
          <w:lang w:val="ru-RU"/>
        </w:rPr>
        <w:t>т. е.</w:t>
      </w:r>
      <w:r w:rsidRPr="00453F25">
        <w:rPr>
          <w:lang w:val="ru-RU"/>
        </w:rPr>
        <w:t xml:space="preserve"> определить, в какой части временнáя стоимость, включенная в премию (фактическая временнáя стоимость), относится к рассматриваемому объекту хеджирования (и, следовательно, должна учитываться в порядке, предусмотренным пунктом 6.5.15). Организация выявляет совпадающую временнýю стоимость опциона с помощью оценки опциона, который имел бы ключевые параметры, полностью совпадающие с таковыми по объекту хеджирования.</w:t>
      </w:r>
      <w:bookmarkEnd w:id="551"/>
    </w:p>
    <w:p w:rsidR="009D262F" w:rsidRPr="00453F25" w:rsidRDefault="009D262F" w:rsidP="009D262F">
      <w:pPr>
        <w:pStyle w:val="IASBNormalnpara"/>
        <w:rPr>
          <w:lang w:val="ru-RU"/>
        </w:rPr>
      </w:pPr>
      <w:r w:rsidRPr="00453F25">
        <w:t>B</w:t>
      </w:r>
      <w:r w:rsidRPr="00453F25">
        <w:rPr>
          <w:lang w:val="ru-RU"/>
        </w:rPr>
        <w:t>6.5.33</w:t>
      </w:r>
      <w:r w:rsidRPr="00453F25">
        <w:rPr>
          <w:lang w:val="ru-RU"/>
        </w:rPr>
        <w:tab/>
      </w:r>
      <w:bookmarkStart w:id="552" w:name="F27188664"/>
      <w:r w:rsidRPr="00453F25">
        <w:rPr>
          <w:lang w:val="ru-RU"/>
        </w:rPr>
        <w:t>Если фактическая временнáя стоимость и совпадающая временнáя стоимость различаются, то организация должна рассчитать сумму, которая накапливается в составе отдельного компонента собственного капитала в соответствии с пунктом 6.5.16, следующим образом:</w:t>
      </w:r>
      <w:bookmarkEnd w:id="552"/>
    </w:p>
    <w:p w:rsidR="009D262F" w:rsidRPr="00453F25" w:rsidRDefault="009D262F" w:rsidP="009D262F">
      <w:pPr>
        <w:pStyle w:val="IASBNormalnparaL1"/>
        <w:rPr>
          <w:lang w:val="ru-RU"/>
        </w:rPr>
      </w:pPr>
      <w:r w:rsidRPr="00453F25">
        <w:rPr>
          <w:lang w:val="ru-RU"/>
        </w:rPr>
        <w:t>(</w:t>
      </w:r>
      <w:r w:rsidRPr="00453F25">
        <w:t>a</w:t>
      </w:r>
      <w:r w:rsidRPr="00453F25">
        <w:rPr>
          <w:lang w:val="ru-RU"/>
        </w:rPr>
        <w:t>)</w:t>
      </w:r>
      <w:r w:rsidRPr="00453F25">
        <w:rPr>
          <w:lang w:val="ru-RU"/>
        </w:rPr>
        <w:tab/>
      </w:r>
      <w:bookmarkStart w:id="553" w:name="F27188667"/>
      <w:r w:rsidRPr="00453F25">
        <w:rPr>
          <w:lang w:val="ru-RU"/>
        </w:rPr>
        <w:t>Если на дату начала отношений хеджирования фактическая временнáя стоимость превышает совпадающую временнýю стоимость, организация должна:</w:t>
      </w:r>
      <w:bookmarkEnd w:id="553"/>
    </w:p>
    <w:p w:rsidR="009D262F" w:rsidRPr="00453F25" w:rsidRDefault="009D262F" w:rsidP="009D262F">
      <w:pPr>
        <w:pStyle w:val="IASBNormalnparaL2"/>
        <w:rPr>
          <w:lang w:val="ru-RU"/>
        </w:rPr>
      </w:pPr>
      <w:r w:rsidRPr="00453F25">
        <w:rPr>
          <w:lang w:val="ru-RU"/>
        </w:rPr>
        <w:t>(</w:t>
      </w:r>
      <w:r w:rsidRPr="00453F25">
        <w:t>i</w:t>
      </w:r>
      <w:r w:rsidRPr="00453F25">
        <w:rPr>
          <w:lang w:val="ru-RU"/>
        </w:rPr>
        <w:t>)</w:t>
      </w:r>
      <w:r w:rsidRPr="00453F25">
        <w:rPr>
          <w:lang w:val="ru-RU"/>
        </w:rPr>
        <w:tab/>
      </w:r>
      <w:bookmarkStart w:id="554" w:name="F27188670"/>
      <w:r w:rsidRPr="00453F25">
        <w:rPr>
          <w:lang w:val="ru-RU"/>
        </w:rPr>
        <w:t>рассчитать сумму, накапливаемую в составе отдельного компонента собственного капитала, исходя из совпадающей временнóй стоимости; и</w:t>
      </w:r>
      <w:bookmarkEnd w:id="554"/>
    </w:p>
    <w:p w:rsidR="009D262F" w:rsidRPr="00453F25" w:rsidRDefault="009D262F" w:rsidP="009D262F">
      <w:pPr>
        <w:pStyle w:val="IASBNormalnparaL2"/>
        <w:rPr>
          <w:lang w:val="ru-RU"/>
        </w:rPr>
      </w:pPr>
      <w:r w:rsidRPr="00453F25">
        <w:rPr>
          <w:lang w:val="ru-RU"/>
        </w:rPr>
        <w:t>(</w:t>
      </w:r>
      <w:r w:rsidRPr="00453F25">
        <w:t>ii</w:t>
      </w:r>
      <w:r w:rsidRPr="00453F25">
        <w:rPr>
          <w:lang w:val="ru-RU"/>
        </w:rPr>
        <w:t>)</w:t>
      </w:r>
      <w:r w:rsidRPr="00453F25">
        <w:rPr>
          <w:lang w:val="ru-RU"/>
        </w:rPr>
        <w:tab/>
      </w:r>
      <w:bookmarkStart w:id="555" w:name="F27188672"/>
      <w:r w:rsidRPr="00453F25">
        <w:rPr>
          <w:lang w:val="ru-RU"/>
        </w:rPr>
        <w:t>отражать разницы, возникающие между изменениями справедливой стоимости данных двух величин временнóй стоимости, в составе прибыли или убытка.</w:t>
      </w:r>
      <w:bookmarkEnd w:id="555"/>
    </w:p>
    <w:p w:rsidR="009D262F" w:rsidRPr="00453F25" w:rsidRDefault="009D262F" w:rsidP="009D262F">
      <w:pPr>
        <w:pStyle w:val="IASBNormalnparaL1"/>
        <w:rPr>
          <w:lang w:val="ru-RU"/>
        </w:rPr>
      </w:pPr>
      <w:r w:rsidRPr="00453F25">
        <w:rPr>
          <w:lang w:val="ru-RU"/>
        </w:rPr>
        <w:t>(</w:t>
      </w:r>
      <w:r w:rsidRPr="00453F25">
        <w:t>b</w:t>
      </w:r>
      <w:r w:rsidRPr="00453F25">
        <w:rPr>
          <w:lang w:val="ru-RU"/>
        </w:rPr>
        <w:t>)</w:t>
      </w:r>
      <w:r w:rsidRPr="00453F25">
        <w:rPr>
          <w:lang w:val="ru-RU"/>
        </w:rPr>
        <w:tab/>
      </w:r>
      <w:bookmarkStart w:id="556" w:name="F27188674"/>
      <w:r w:rsidRPr="00453F25">
        <w:rPr>
          <w:lang w:val="ru-RU"/>
        </w:rPr>
        <w:t>Если на дату начала отношений хеджирования фактическая временнáя стоимость меньше совпадающей временнóй стоимости, организация должна рассчитать сумму, накапливаемую в составе отдельного компонента собственного капитала, исходя из наименьшей совокупной величины изменений справедливой стоимости применительно к:</w:t>
      </w:r>
      <w:bookmarkEnd w:id="556"/>
    </w:p>
    <w:p w:rsidR="009D262F" w:rsidRPr="00453F25" w:rsidRDefault="009D262F" w:rsidP="009D262F">
      <w:pPr>
        <w:pStyle w:val="IASBNormalnparaL2"/>
        <w:rPr>
          <w:lang w:val="ru-RU"/>
        </w:rPr>
      </w:pPr>
      <w:r w:rsidRPr="00453F25">
        <w:rPr>
          <w:lang w:val="ru-RU"/>
        </w:rPr>
        <w:t>(</w:t>
      </w:r>
      <w:r w:rsidRPr="00453F25">
        <w:t>i</w:t>
      </w:r>
      <w:r w:rsidRPr="00453F25">
        <w:rPr>
          <w:lang w:val="ru-RU"/>
        </w:rPr>
        <w:t>)</w:t>
      </w:r>
      <w:r w:rsidRPr="00453F25">
        <w:rPr>
          <w:lang w:val="ru-RU"/>
        </w:rPr>
        <w:tab/>
      </w:r>
      <w:bookmarkStart w:id="557" w:name="F27188677"/>
      <w:r w:rsidRPr="00453F25">
        <w:rPr>
          <w:lang w:val="ru-RU"/>
        </w:rPr>
        <w:t>фактической временнóй стоимости; и</w:t>
      </w:r>
      <w:bookmarkEnd w:id="557"/>
    </w:p>
    <w:p w:rsidR="009D262F" w:rsidRPr="00453F25" w:rsidRDefault="009D262F" w:rsidP="009D262F">
      <w:pPr>
        <w:pStyle w:val="IASBNormalnparaL2"/>
        <w:rPr>
          <w:lang w:val="ru-RU"/>
        </w:rPr>
      </w:pPr>
      <w:r w:rsidRPr="00453F25">
        <w:rPr>
          <w:lang w:val="ru-RU"/>
        </w:rPr>
        <w:t>(</w:t>
      </w:r>
      <w:r w:rsidRPr="00453F25">
        <w:t>ii</w:t>
      </w:r>
      <w:r w:rsidRPr="00453F25">
        <w:rPr>
          <w:lang w:val="ru-RU"/>
        </w:rPr>
        <w:t>)</w:t>
      </w:r>
      <w:r w:rsidRPr="00453F25">
        <w:rPr>
          <w:lang w:val="ru-RU"/>
        </w:rPr>
        <w:tab/>
      </w:r>
      <w:bookmarkStart w:id="558" w:name="F27188679"/>
      <w:r w:rsidRPr="00453F25">
        <w:rPr>
          <w:lang w:val="ru-RU"/>
        </w:rPr>
        <w:t>совпадающей временнóй стоимости.</w:t>
      </w:r>
      <w:bookmarkEnd w:id="558"/>
    </w:p>
    <w:p w:rsidR="001529CA" w:rsidRPr="0049187C" w:rsidRDefault="009D262F" w:rsidP="009D262F">
      <w:pPr>
        <w:pStyle w:val="IASBNormalnpara"/>
        <w:spacing w:after="100"/>
        <w:ind w:firstLine="0"/>
        <w:rPr>
          <w:lang w:val="ru-RU"/>
        </w:rPr>
      </w:pPr>
      <w:r w:rsidRPr="00453F25">
        <w:rPr>
          <w:lang w:val="ru-RU"/>
        </w:rPr>
        <w:t>Оставшаяся часть величины изменения справедливой стоимости применительно к фактической временнóй стоимости должна быть признана в составе прибыли или убытка</w:t>
      </w:r>
      <w:r w:rsidR="001529CA" w:rsidRPr="0049187C">
        <w:rPr>
          <w:lang w:val="ru-RU"/>
        </w:rPr>
        <w:t>.</w:t>
      </w:r>
      <w:bookmarkEnd w:id="541"/>
    </w:p>
    <w:p w:rsidR="001529CA" w:rsidRPr="0049187C" w:rsidRDefault="00CC6DCD">
      <w:pPr>
        <w:pStyle w:val="IASBSectionTitle3Ind"/>
        <w:rPr>
          <w:lang w:val="ru-RU"/>
        </w:rPr>
      </w:pPr>
      <w:bookmarkStart w:id="559" w:name="F27188682"/>
      <w:r w:rsidRPr="0049187C">
        <w:rPr>
          <w:lang w:val="ru-RU"/>
        </w:rPr>
        <w:t xml:space="preserve">Учет форвардного элемента </w:t>
      </w:r>
      <w:r w:rsidR="009D262F">
        <w:rPr>
          <w:lang w:val="ru-RU"/>
        </w:rPr>
        <w:t>по форвардным</w:t>
      </w:r>
      <w:r w:rsidRPr="0049187C">
        <w:rPr>
          <w:lang w:val="ru-RU"/>
        </w:rPr>
        <w:t xml:space="preserve"> </w:t>
      </w:r>
      <w:r w:rsidR="009D262F">
        <w:rPr>
          <w:lang w:val="ru-RU"/>
        </w:rPr>
        <w:t>договорам и валютных базисных спрэ</w:t>
      </w:r>
      <w:r w:rsidRPr="0049187C">
        <w:rPr>
          <w:lang w:val="ru-RU"/>
        </w:rPr>
        <w:t>дов</w:t>
      </w:r>
      <w:r w:rsidR="009D262F">
        <w:rPr>
          <w:lang w:val="ru-RU"/>
        </w:rPr>
        <w:t xml:space="preserve"> по финансовым</w:t>
      </w:r>
      <w:r w:rsidRPr="0049187C">
        <w:rPr>
          <w:lang w:val="ru-RU"/>
        </w:rPr>
        <w:t xml:space="preserve"> инструмент</w:t>
      </w:r>
      <w:bookmarkEnd w:id="559"/>
      <w:r w:rsidR="009D262F">
        <w:rPr>
          <w:lang w:val="ru-RU"/>
        </w:rPr>
        <w:t>ам</w:t>
      </w:r>
    </w:p>
    <w:p w:rsidR="009D262F" w:rsidRPr="00453F25" w:rsidRDefault="001529CA" w:rsidP="009D262F">
      <w:pPr>
        <w:pStyle w:val="IASBNormalnpara"/>
        <w:rPr>
          <w:lang w:val="ru-RU"/>
        </w:rPr>
      </w:pPr>
      <w:r w:rsidRPr="0049187C">
        <w:rPr>
          <w:lang w:val="ru-RU"/>
        </w:rPr>
        <w:t>B6.5.34</w:t>
      </w:r>
      <w:r w:rsidRPr="0049187C">
        <w:rPr>
          <w:lang w:val="ru-RU"/>
        </w:rPr>
        <w:tab/>
      </w:r>
      <w:bookmarkStart w:id="560" w:name="SL32627001"/>
      <w:bookmarkStart w:id="561" w:name="F27188683"/>
      <w:r w:rsidR="009D262F" w:rsidRPr="00453F25">
        <w:rPr>
          <w:lang w:val="ru-RU"/>
        </w:rPr>
        <w:t>Форвардный договор можно считать связанным с определенным интервалом времени, поскольку его форвардный элемент представляет собой плату за некоторый промежуток времени (представляющий собой срок, на который заключен этот договор). Однако для решения вопроса о том, что именно хеджирует инструмент хеджирования: объект, связанный с определенной операцией, или объект, связанный с определенным интервалом времени, уместным является такой аспект, как характеристики указанного объекта хеджирования, включая то, каким образом и когда он влияет на прибыль или убыток. Следовательно, организация должна оценить вид объекта хеджирования (см. пункты 6.5.16 и 6.5.15(а)) исходя из характера этого объекта (вне зависимости от того, являются ли отношения хеджирования хеджированием денежных потоков или хеджированием справедливой стоимости):</w:t>
      </w:r>
      <w:bookmarkEnd w:id="561"/>
    </w:p>
    <w:p w:rsidR="009D262F" w:rsidRPr="00453F25" w:rsidRDefault="009D262F" w:rsidP="009D262F">
      <w:pPr>
        <w:pStyle w:val="IASBNormalnparaL1"/>
        <w:rPr>
          <w:lang w:val="ru-RU"/>
        </w:rPr>
      </w:pPr>
      <w:r w:rsidRPr="00453F25">
        <w:rPr>
          <w:lang w:val="ru-RU"/>
        </w:rPr>
        <w:t>(</w:t>
      </w:r>
      <w:r w:rsidRPr="00453F25">
        <w:t>a</w:t>
      </w:r>
      <w:r w:rsidRPr="00453F25">
        <w:rPr>
          <w:lang w:val="ru-RU"/>
        </w:rPr>
        <w:t>)</w:t>
      </w:r>
      <w:r w:rsidRPr="00453F25">
        <w:rPr>
          <w:lang w:val="ru-RU"/>
        </w:rPr>
        <w:tab/>
      </w:r>
      <w:bookmarkStart w:id="562" w:name="F27188686"/>
      <w:r w:rsidRPr="00453F25">
        <w:rPr>
          <w:lang w:val="ru-RU"/>
        </w:rPr>
        <w:t>Форвардный элемент форвардного договора относится к объекту хеджирования, связанному с определенной операцией, если по своему характеру объект хеджирования представляет собой сделку, применительно к которой форвардный элемент характеризуется как часть связанных с этой сделкой затрат. Примером является ситуация, когда форвардный элемент относится к объекту хеджирования, который приводит к признанию статьи, в первоначальную оценку которой включаются затраты по сделке (например, организация хеджирует выраженную в иностранной валюте сделку по приобретению запасов, будь то прогнозируемая операция или твердое договорное обязательство, относительно валютного риска и включает затраты по осуществлению указанной сделки в первоначальную оценку соответствующих запасов). Вследствие включения форвардного элемента в первоначальную оценку конкретного объекта хеджирования этот форвардный элемент оказывает влияние на прибыль или убыток в тот же момент времени, что и указанный объект хеджирования. Аналогичным образом, организация, которая хеджирует относительно валютного риска выраженную в иностранной валюте сделку по продаже товара, будь то прогнозируемая операция или твердое договорное обязательство, включила бы этот форвардный элемент в состав затрат, связанных с такой продажей (следовательно, форвардный элемент был бы признан в составе прибыли или убытка в том же периоде, что и выручка от хеджируемой сделки продажи).</w:t>
      </w:r>
      <w:bookmarkEnd w:id="562"/>
    </w:p>
    <w:p w:rsidR="009D262F" w:rsidRPr="00453F25" w:rsidRDefault="009D262F" w:rsidP="009D262F">
      <w:pPr>
        <w:pStyle w:val="IASBNormalnparaL1"/>
        <w:rPr>
          <w:lang w:val="ru-RU"/>
        </w:rPr>
      </w:pPr>
      <w:r w:rsidRPr="00453F25">
        <w:rPr>
          <w:lang w:val="ru-RU"/>
        </w:rPr>
        <w:t>(</w:t>
      </w:r>
      <w:r w:rsidRPr="00453F25">
        <w:t>b</w:t>
      </w:r>
      <w:r w:rsidRPr="00453F25">
        <w:rPr>
          <w:lang w:val="ru-RU"/>
        </w:rPr>
        <w:t>)</w:t>
      </w:r>
      <w:r w:rsidRPr="00453F25">
        <w:rPr>
          <w:lang w:val="ru-RU"/>
        </w:rPr>
        <w:tab/>
      </w:r>
      <w:bookmarkStart w:id="563" w:name="F27188688"/>
      <w:r w:rsidRPr="00453F25">
        <w:rPr>
          <w:lang w:val="ru-RU"/>
        </w:rPr>
        <w:t>Форвардный элемент форвардного договора относится к объекту хеджирования, связанному с некоторым интервалом времени, если по своему характеру объект хеджирования таков, что форвардный элемент характеризуется как статья затрат, связанных с приобретением защиты от риска на определенный период времени (но при этом объект хеджирования не приводит к осуществлению операции, которая влечет за собой затраты по сделке в соответствии с пунктом (а)). Например, если запасы товара хеджируются относительно риска изменения справедливой стоимости на срок в шесть месяцев с использованием форвардного договора на поставку товаров, заключенного на соответствующий срок, то форвардный элемент данного форвардного договора будет относиться на прибыль или убыток (</w:t>
      </w:r>
      <w:r w:rsidR="00730672">
        <w:rPr>
          <w:lang w:val="ru-RU"/>
        </w:rPr>
        <w:t>т. е.</w:t>
      </w:r>
      <w:r w:rsidRPr="00453F25">
        <w:rPr>
          <w:lang w:val="ru-RU"/>
        </w:rPr>
        <w:t xml:space="preserve"> амортизироваться на систематической и рациональной основе) на протяжении указанного шестимесячного периода. Другим примером является хеджирование чистой инвестиции в иностранное подразделение, которая хеджируется на срок в 18 месяцев с использованием валютного форвардного договора, что приведет к необходимости распределения форвардного элемента данного форвардного договора на указанный 18-месячный период.</w:t>
      </w:r>
      <w:bookmarkEnd w:id="563"/>
    </w:p>
    <w:p w:rsidR="009D262F" w:rsidRPr="00453F25" w:rsidRDefault="009D262F" w:rsidP="009D262F">
      <w:pPr>
        <w:pStyle w:val="IASBNormalnpara"/>
        <w:rPr>
          <w:lang w:val="ru-RU"/>
        </w:rPr>
      </w:pPr>
      <w:r w:rsidRPr="00453F25">
        <w:t>B</w:t>
      </w:r>
      <w:r w:rsidRPr="00453F25">
        <w:rPr>
          <w:lang w:val="ru-RU"/>
        </w:rPr>
        <w:t>6.5.35</w:t>
      </w:r>
      <w:r w:rsidRPr="00453F25">
        <w:rPr>
          <w:lang w:val="ru-RU"/>
        </w:rPr>
        <w:tab/>
      </w:r>
      <w:bookmarkStart w:id="564" w:name="F27188689"/>
      <w:r w:rsidRPr="00453F25">
        <w:rPr>
          <w:lang w:val="ru-RU"/>
        </w:rPr>
        <w:t xml:space="preserve">От характеристик объекта хеджирования, включая то, каким образом и когда этот объект хеджирования окажет влияние на прибыль или убыток, также зависит период, на протяжении которого амортизируется форвардный элемент форвардного договора, хеджирующего объект хеджирования, связанный с определенным интервалом времени, </w:t>
      </w:r>
      <w:r w:rsidR="00730672">
        <w:rPr>
          <w:lang w:val="ru-RU"/>
        </w:rPr>
        <w:t>т. е.</w:t>
      </w:r>
      <w:r w:rsidRPr="00453F25">
        <w:rPr>
          <w:lang w:val="ru-RU"/>
        </w:rPr>
        <w:t xml:space="preserve"> на протяжении периода, к которому относится данный форвардный элемент. Например, если форвардный договор хеджирует риск изменения трехмесячных процентных ставок на срок в три месяца, который начнется через шесть месяцев, то соответствующий форвардный элемент амортизируется в течение периода, охватывающего с седьмого по девятый месяцы.</w:t>
      </w:r>
      <w:bookmarkEnd w:id="564"/>
    </w:p>
    <w:p w:rsidR="009D262F" w:rsidRPr="00453F25" w:rsidRDefault="009D262F" w:rsidP="009D262F">
      <w:pPr>
        <w:pStyle w:val="IASBNormalnpara"/>
        <w:rPr>
          <w:lang w:val="ru-RU"/>
        </w:rPr>
      </w:pPr>
      <w:r w:rsidRPr="00453F25">
        <w:t>B</w:t>
      </w:r>
      <w:r w:rsidRPr="00453F25">
        <w:rPr>
          <w:lang w:val="ru-RU"/>
        </w:rPr>
        <w:t>6.5.36</w:t>
      </w:r>
      <w:r w:rsidRPr="00453F25">
        <w:rPr>
          <w:lang w:val="ru-RU"/>
        </w:rPr>
        <w:tab/>
      </w:r>
      <w:bookmarkStart w:id="565" w:name="F27188690"/>
      <w:r w:rsidRPr="00453F25">
        <w:rPr>
          <w:lang w:val="ru-RU"/>
        </w:rPr>
        <w:t>Порядок учета форвардного элемента форвардного договора, предусмотренный пунктом 6.5.16, также применяется в том случае, если на дату определения форвардного договора по усмотрению организации в качестве инструмента хеджирования соответствующий форвардный элемент равен нулю. В этом случае организация должна признавать изменения справедливой стоимости, относящиеся к форвардному элементу, в составе прочего совокупного дохода, даже если совокупная величина изменения справедливой стоимости, связанного с форвардным элементом, за весь период существования данных отношений хеджирования равна нулю. Следовательно, если форвардный элемент форвардного договора относится:</w:t>
      </w:r>
      <w:bookmarkEnd w:id="565"/>
    </w:p>
    <w:p w:rsidR="009D262F" w:rsidRPr="00453F25" w:rsidRDefault="009D262F" w:rsidP="009D262F">
      <w:pPr>
        <w:pStyle w:val="IASBNormalnparaL1"/>
        <w:rPr>
          <w:lang w:val="ru-RU"/>
        </w:rPr>
      </w:pPr>
      <w:r w:rsidRPr="00453F25">
        <w:rPr>
          <w:lang w:val="ru-RU"/>
        </w:rPr>
        <w:t>(</w:t>
      </w:r>
      <w:r w:rsidRPr="00453F25">
        <w:t>a</w:t>
      </w:r>
      <w:r w:rsidRPr="00453F25">
        <w:rPr>
          <w:lang w:val="ru-RU"/>
        </w:rPr>
        <w:t>)</w:t>
      </w:r>
      <w:r w:rsidRPr="00453F25">
        <w:rPr>
          <w:lang w:val="ru-RU"/>
        </w:rPr>
        <w:tab/>
      </w:r>
      <w:bookmarkStart w:id="566" w:name="F27188693"/>
      <w:r w:rsidRPr="00453F25">
        <w:rPr>
          <w:lang w:val="ru-RU"/>
        </w:rPr>
        <w:t>к объекту хеджирования, связанному с определенной операцией, то величина форвардного элемента в момент окончания данных отношений хеджирования, на которую корректируется стоимость объекта хеджирования или которая реклассифицируется в состав прибы</w:t>
      </w:r>
      <w:r>
        <w:rPr>
          <w:lang w:val="ru-RU"/>
        </w:rPr>
        <w:t>ли или убытка (см. пункты 6.5.15(</w:t>
      </w:r>
      <w:r>
        <w:t>b</w:t>
      </w:r>
      <w:r w:rsidRPr="009D262F">
        <w:rPr>
          <w:lang w:val="ru-RU"/>
        </w:rPr>
        <w:t>)</w:t>
      </w:r>
      <w:r w:rsidRPr="00453F25">
        <w:rPr>
          <w:lang w:val="ru-RU"/>
        </w:rPr>
        <w:t xml:space="preserve"> и 6.5.</w:t>
      </w:r>
      <w:r w:rsidRPr="009D262F">
        <w:rPr>
          <w:lang w:val="ru-RU"/>
        </w:rPr>
        <w:t>16</w:t>
      </w:r>
      <w:r w:rsidRPr="00453F25">
        <w:rPr>
          <w:lang w:val="ru-RU"/>
        </w:rPr>
        <w:t>), будет равна нулю</w:t>
      </w:r>
      <w:bookmarkEnd w:id="566"/>
      <w:r w:rsidRPr="00453F25">
        <w:rPr>
          <w:lang w:val="ru-RU"/>
        </w:rPr>
        <w:t>;</w:t>
      </w:r>
    </w:p>
    <w:p w:rsidR="009D262F" w:rsidRPr="00453F25" w:rsidRDefault="009D262F" w:rsidP="009D262F">
      <w:pPr>
        <w:pStyle w:val="IASBNormalnparaL1"/>
        <w:rPr>
          <w:lang w:val="ru-RU"/>
        </w:rPr>
      </w:pPr>
      <w:r w:rsidRPr="00453F25">
        <w:rPr>
          <w:lang w:val="ru-RU"/>
        </w:rPr>
        <w:t>(</w:t>
      </w:r>
      <w:r w:rsidRPr="00453F25">
        <w:t>b</w:t>
      </w:r>
      <w:r w:rsidRPr="00453F25">
        <w:rPr>
          <w:lang w:val="ru-RU"/>
        </w:rPr>
        <w:t>)</w:t>
      </w:r>
      <w:r w:rsidRPr="00453F25">
        <w:rPr>
          <w:lang w:val="ru-RU"/>
        </w:rPr>
        <w:tab/>
      </w:r>
      <w:bookmarkStart w:id="567" w:name="F27188695"/>
      <w:r w:rsidRPr="00453F25">
        <w:rPr>
          <w:lang w:val="ru-RU"/>
        </w:rPr>
        <w:t>к объекту хеджирования, связанному с определенным интервалом времени, то сумма амортизации по форвардному элементу равна нулю.</w:t>
      </w:r>
      <w:bookmarkEnd w:id="567"/>
    </w:p>
    <w:p w:rsidR="009D262F" w:rsidRPr="00453F25" w:rsidRDefault="009D262F" w:rsidP="009D262F">
      <w:pPr>
        <w:pStyle w:val="IASBNormalnpara"/>
        <w:rPr>
          <w:lang w:val="ru-RU"/>
        </w:rPr>
      </w:pPr>
      <w:r w:rsidRPr="00453F25">
        <w:t>B</w:t>
      </w:r>
      <w:r w:rsidRPr="00453F25">
        <w:rPr>
          <w:lang w:val="ru-RU"/>
        </w:rPr>
        <w:t>6.5.37</w:t>
      </w:r>
      <w:r w:rsidRPr="00453F25">
        <w:rPr>
          <w:lang w:val="ru-RU"/>
        </w:rPr>
        <w:tab/>
      </w:r>
      <w:bookmarkStart w:id="568" w:name="F27188696"/>
      <w:r w:rsidRPr="00453F25">
        <w:rPr>
          <w:lang w:val="ru-RU"/>
        </w:rPr>
        <w:t xml:space="preserve">Порядок учета форвардного элемента форвардных договоров в соответствии с пунктом 6.5.16 применяется только в той мере, в которой соответствующий форвардный элемент относится к объекту хеджирования (совпадающий форвардный элемент). Следует считать, что форвардный элемент форвардного договора относится к объекту хеджирования, если ключевые параметры форвардного договора (такие как номинальная стоимость, срок действия и базовая переменная) совпадают с таковыми по объекту хеджирования. Следовательно, если ключевые параметры форвардного договора и объекта хеджирования не совпадают в полной мере, то организация должна выявить совпадающий форвардный элемент, </w:t>
      </w:r>
      <w:r w:rsidR="00730672">
        <w:rPr>
          <w:lang w:val="ru-RU"/>
        </w:rPr>
        <w:t>т. е.</w:t>
      </w:r>
      <w:r w:rsidRPr="00453F25">
        <w:rPr>
          <w:lang w:val="ru-RU"/>
        </w:rPr>
        <w:t xml:space="preserve"> определить, в какой части форвардный элемент, включенный в форвардный договор (фактический форвардный элемент), относится к рассматриваемому объекту хеджирования (и, следовательно, должен учитываться в порядке, предусмотренным пунктом 6.5.16). Организация выявляет совпадающий форвардный элемент с помощью оценки форвардного договора, который имел бы ключевые параметры, идеально с</w:t>
      </w:r>
      <w:r w:rsidR="00A34BF4">
        <w:rPr>
          <w:lang w:val="ru-RU"/>
        </w:rPr>
        <w:t>овпадающие с таковыми по объекту</w:t>
      </w:r>
      <w:r w:rsidRPr="00453F25">
        <w:rPr>
          <w:lang w:val="ru-RU"/>
        </w:rPr>
        <w:t xml:space="preserve"> хеджирования.</w:t>
      </w:r>
      <w:bookmarkEnd w:id="568"/>
    </w:p>
    <w:p w:rsidR="009D262F" w:rsidRPr="00453F25" w:rsidRDefault="009D262F" w:rsidP="009D262F">
      <w:pPr>
        <w:pStyle w:val="IASBNormalnpara"/>
        <w:rPr>
          <w:lang w:val="ru-RU"/>
        </w:rPr>
      </w:pPr>
      <w:r w:rsidRPr="00453F25">
        <w:t>B</w:t>
      </w:r>
      <w:r w:rsidRPr="00453F25">
        <w:rPr>
          <w:lang w:val="ru-RU"/>
        </w:rPr>
        <w:t>6.5.38</w:t>
      </w:r>
      <w:r w:rsidRPr="00453F25">
        <w:rPr>
          <w:lang w:val="ru-RU"/>
        </w:rPr>
        <w:tab/>
      </w:r>
      <w:bookmarkStart w:id="569" w:name="F27188697"/>
      <w:r w:rsidRPr="00453F25">
        <w:rPr>
          <w:lang w:val="ru-RU"/>
        </w:rPr>
        <w:t>Если фактический форвардный элемент и совпадающий форвардный элемент различаются, то организация должна рассчитать сумму, которая накапливается в составе отдельного компонента собственного капитала в соответствии с пунктом 6.5.16, следующим образом:</w:t>
      </w:r>
      <w:bookmarkEnd w:id="569"/>
    </w:p>
    <w:p w:rsidR="009D262F" w:rsidRPr="00453F25" w:rsidRDefault="009D262F" w:rsidP="009D262F">
      <w:pPr>
        <w:pStyle w:val="IASBNormalnparaL1"/>
        <w:rPr>
          <w:lang w:val="ru-RU"/>
        </w:rPr>
      </w:pPr>
      <w:r w:rsidRPr="00453F25">
        <w:rPr>
          <w:lang w:val="ru-RU"/>
        </w:rPr>
        <w:t>(</w:t>
      </w:r>
      <w:r w:rsidRPr="00453F25">
        <w:t>a</w:t>
      </w:r>
      <w:r w:rsidRPr="00453F25">
        <w:rPr>
          <w:lang w:val="ru-RU"/>
        </w:rPr>
        <w:t>)</w:t>
      </w:r>
      <w:r w:rsidRPr="00453F25">
        <w:rPr>
          <w:lang w:val="ru-RU"/>
        </w:rPr>
        <w:tab/>
      </w:r>
      <w:bookmarkStart w:id="570" w:name="F27188700"/>
      <w:r w:rsidRPr="00453F25">
        <w:rPr>
          <w:lang w:val="ru-RU"/>
        </w:rPr>
        <w:t>Если на дату начала отношений хеджирования абсолютная величина фактического форвардного элемента выше таковой по совпадающему форвардному элементу, организация должна:</w:t>
      </w:r>
      <w:bookmarkEnd w:id="570"/>
    </w:p>
    <w:p w:rsidR="009D262F" w:rsidRPr="00453F25" w:rsidRDefault="009D262F" w:rsidP="009D262F">
      <w:pPr>
        <w:pStyle w:val="IASBNormalnparaL2"/>
        <w:rPr>
          <w:lang w:val="ru-RU"/>
        </w:rPr>
      </w:pPr>
      <w:r w:rsidRPr="00453F25">
        <w:rPr>
          <w:lang w:val="ru-RU"/>
        </w:rPr>
        <w:t>(</w:t>
      </w:r>
      <w:r w:rsidRPr="00453F25">
        <w:t>i</w:t>
      </w:r>
      <w:r w:rsidRPr="00453F25">
        <w:rPr>
          <w:lang w:val="ru-RU"/>
        </w:rPr>
        <w:t>)</w:t>
      </w:r>
      <w:r w:rsidRPr="00453F25">
        <w:rPr>
          <w:lang w:val="ru-RU"/>
        </w:rPr>
        <w:tab/>
      </w:r>
      <w:bookmarkStart w:id="571" w:name="F27188703"/>
      <w:r w:rsidRPr="00453F25">
        <w:rPr>
          <w:lang w:val="ru-RU"/>
        </w:rPr>
        <w:t>рассчитать сумму, накапливаемую в составе отдельного компонента собственного капитала, исходя из совпадающего форвардного элемента; и</w:t>
      </w:r>
      <w:bookmarkEnd w:id="571"/>
    </w:p>
    <w:p w:rsidR="009D262F" w:rsidRPr="00453F25" w:rsidRDefault="009D262F" w:rsidP="009D262F">
      <w:pPr>
        <w:pStyle w:val="IASBNormalnparaL2"/>
        <w:rPr>
          <w:lang w:val="ru-RU"/>
        </w:rPr>
      </w:pPr>
      <w:r w:rsidRPr="00453F25">
        <w:rPr>
          <w:lang w:val="ru-RU"/>
        </w:rPr>
        <w:t>(</w:t>
      </w:r>
      <w:r w:rsidRPr="00453F25">
        <w:t>ii</w:t>
      </w:r>
      <w:r w:rsidRPr="00453F25">
        <w:rPr>
          <w:lang w:val="ru-RU"/>
        </w:rPr>
        <w:t>)</w:t>
      </w:r>
      <w:r w:rsidRPr="00453F25">
        <w:rPr>
          <w:lang w:val="ru-RU"/>
        </w:rPr>
        <w:tab/>
      </w:r>
      <w:bookmarkStart w:id="572" w:name="F27188705"/>
      <w:r w:rsidRPr="00453F25">
        <w:rPr>
          <w:lang w:val="ru-RU"/>
        </w:rPr>
        <w:t>отражать разницы, возникающие между изменениями справедливой стоимости данных двух форвардных элементов, в составе прибыли или убытка.</w:t>
      </w:r>
      <w:bookmarkEnd w:id="572"/>
    </w:p>
    <w:p w:rsidR="009D262F" w:rsidRPr="00453F25" w:rsidRDefault="009D262F" w:rsidP="009D262F">
      <w:pPr>
        <w:pStyle w:val="IASBNormalnparaL1"/>
        <w:rPr>
          <w:lang w:val="ru-RU"/>
        </w:rPr>
      </w:pPr>
      <w:r w:rsidRPr="00453F25">
        <w:rPr>
          <w:lang w:val="ru-RU"/>
        </w:rPr>
        <w:t>(</w:t>
      </w:r>
      <w:r w:rsidRPr="00453F25">
        <w:t>b</w:t>
      </w:r>
      <w:r w:rsidRPr="00453F25">
        <w:rPr>
          <w:lang w:val="ru-RU"/>
        </w:rPr>
        <w:t>)</w:t>
      </w:r>
      <w:r w:rsidRPr="00453F25">
        <w:rPr>
          <w:lang w:val="ru-RU"/>
        </w:rPr>
        <w:tab/>
      </w:r>
      <w:bookmarkStart w:id="573" w:name="F27188707"/>
      <w:r w:rsidRPr="00453F25">
        <w:rPr>
          <w:lang w:val="ru-RU"/>
        </w:rPr>
        <w:t>Если на дату начала отношений хеджирования абсолютная величина фактического форвардного элемента ниже таковой по совпадающему форвардному элементу, организация должна рассчитать сумму, накапливаемую в составе отдельного компонента собственного капитала, исходя из наименьшей совокупной величины изменений справедливой стоимости применительно к:</w:t>
      </w:r>
      <w:bookmarkEnd w:id="573"/>
    </w:p>
    <w:p w:rsidR="009D262F" w:rsidRPr="00453F25" w:rsidRDefault="009D262F" w:rsidP="009D262F">
      <w:pPr>
        <w:pStyle w:val="IASBNormalnparaL2"/>
        <w:rPr>
          <w:lang w:val="ru-RU"/>
        </w:rPr>
      </w:pPr>
      <w:r w:rsidRPr="00453F25">
        <w:rPr>
          <w:lang w:val="ru-RU"/>
        </w:rPr>
        <w:t>(</w:t>
      </w:r>
      <w:r w:rsidRPr="00453F25">
        <w:t>i</w:t>
      </w:r>
      <w:r w:rsidRPr="00453F25">
        <w:rPr>
          <w:lang w:val="ru-RU"/>
        </w:rPr>
        <w:t>)</w:t>
      </w:r>
      <w:r w:rsidRPr="00453F25">
        <w:rPr>
          <w:lang w:val="ru-RU"/>
        </w:rPr>
        <w:tab/>
      </w:r>
      <w:bookmarkStart w:id="574" w:name="F27188710"/>
      <w:r w:rsidRPr="00453F25">
        <w:rPr>
          <w:lang w:val="ru-RU"/>
        </w:rPr>
        <w:t>абсолютной величине фактического форвардного элемента; и</w:t>
      </w:r>
      <w:bookmarkEnd w:id="574"/>
    </w:p>
    <w:p w:rsidR="009D262F" w:rsidRPr="00453F25" w:rsidRDefault="009D262F" w:rsidP="009D262F">
      <w:pPr>
        <w:pStyle w:val="IASBNormalnparaL2"/>
        <w:rPr>
          <w:lang w:val="ru-RU"/>
        </w:rPr>
      </w:pPr>
      <w:r w:rsidRPr="00453F25">
        <w:rPr>
          <w:lang w:val="ru-RU"/>
        </w:rPr>
        <w:t>(</w:t>
      </w:r>
      <w:r w:rsidRPr="00453F25">
        <w:t>ii</w:t>
      </w:r>
      <w:r w:rsidRPr="00453F25">
        <w:rPr>
          <w:lang w:val="ru-RU"/>
        </w:rPr>
        <w:t>)</w:t>
      </w:r>
      <w:r w:rsidRPr="00453F25">
        <w:rPr>
          <w:lang w:val="ru-RU"/>
        </w:rPr>
        <w:tab/>
      </w:r>
      <w:bookmarkStart w:id="575" w:name="F27188723"/>
      <w:r w:rsidRPr="00453F25">
        <w:rPr>
          <w:lang w:val="ru-RU"/>
        </w:rPr>
        <w:t>абсолютной величине совпадающего форвардного элемента.</w:t>
      </w:r>
      <w:bookmarkEnd w:id="575"/>
    </w:p>
    <w:p w:rsidR="009D262F" w:rsidRPr="00453F25" w:rsidRDefault="009D262F" w:rsidP="009D262F">
      <w:pPr>
        <w:pStyle w:val="IASBNormalnparaP"/>
        <w:rPr>
          <w:lang w:val="ru-RU"/>
        </w:rPr>
      </w:pPr>
      <w:bookmarkStart w:id="576" w:name="F27188724"/>
      <w:r w:rsidRPr="00453F25">
        <w:rPr>
          <w:lang w:val="ru-RU"/>
        </w:rPr>
        <w:t>Оставшаяся часть величины изменения справедливой стоимости фактического форвардного элемента должна быть признана в составе прибыли или убытка.</w:t>
      </w:r>
      <w:bookmarkEnd w:id="576"/>
    </w:p>
    <w:p w:rsidR="001529CA" w:rsidRPr="0049187C" w:rsidRDefault="009D262F" w:rsidP="009D262F">
      <w:pPr>
        <w:pStyle w:val="IASBNormalnpara"/>
        <w:rPr>
          <w:lang w:val="ru-RU"/>
        </w:rPr>
      </w:pPr>
      <w:r w:rsidRPr="00453F25">
        <w:t>B</w:t>
      </w:r>
      <w:r w:rsidRPr="00453F25">
        <w:rPr>
          <w:lang w:val="ru-RU"/>
        </w:rPr>
        <w:t>6.5.39</w:t>
      </w:r>
      <w:r w:rsidRPr="00453F25">
        <w:rPr>
          <w:lang w:val="ru-RU"/>
        </w:rPr>
        <w:tab/>
        <w:t>В случаях, когда организация отделяет валютный базисный спрэд от финансового инструмента и исключает его при определении такого финансового инструмента по собственному усмотрению в качестве инструмента хеджирования (см. пункт 6.2.4(</w:t>
      </w:r>
      <w:r w:rsidRPr="00453F25">
        <w:t>b</w:t>
      </w:r>
      <w:r w:rsidRPr="00453F25">
        <w:rPr>
          <w:lang w:val="ru-RU"/>
        </w:rPr>
        <w:t xml:space="preserve">)), положения руководства по применению, изложенные в пунктах </w:t>
      </w:r>
      <w:r w:rsidRPr="00453F25">
        <w:t>B</w:t>
      </w:r>
      <w:r w:rsidRPr="00453F25">
        <w:rPr>
          <w:lang w:val="ru-RU"/>
        </w:rPr>
        <w:t>6.5.34–</w:t>
      </w:r>
      <w:r w:rsidRPr="00453F25">
        <w:t>B</w:t>
      </w:r>
      <w:r w:rsidRPr="00453F25">
        <w:rPr>
          <w:lang w:val="ru-RU"/>
        </w:rPr>
        <w:t>6.5.38, применяются к этому валютному базисному спрэду таким же образом, как они пр</w:t>
      </w:r>
      <w:r>
        <w:rPr>
          <w:lang w:val="ru-RU"/>
        </w:rPr>
        <w:t>именяются к форвардному элементу</w:t>
      </w:r>
      <w:r w:rsidRPr="00453F25">
        <w:rPr>
          <w:lang w:val="ru-RU"/>
        </w:rPr>
        <w:t xml:space="preserve"> форвардного договора</w:t>
      </w:r>
      <w:r w:rsidR="001529CA" w:rsidRPr="0049187C">
        <w:rPr>
          <w:lang w:val="ru-RU"/>
        </w:rPr>
        <w:t>.</w:t>
      </w:r>
      <w:bookmarkEnd w:id="560"/>
    </w:p>
    <w:p w:rsidR="001529CA" w:rsidRPr="0049187C" w:rsidRDefault="00C25F1D">
      <w:pPr>
        <w:pStyle w:val="IASBSectionTitle2Ind"/>
        <w:rPr>
          <w:lang w:val="ru-RU"/>
        </w:rPr>
      </w:pPr>
      <w:bookmarkStart w:id="577" w:name="F27188727"/>
      <w:r>
        <w:rPr>
          <w:lang w:val="ru-RU"/>
        </w:rPr>
        <w:t>Хеджирование группы объектов (Р</w:t>
      </w:r>
      <w:r w:rsidR="00843AD6" w:rsidRPr="0049187C">
        <w:rPr>
          <w:lang w:val="ru-RU"/>
        </w:rPr>
        <w:t>аздел 6.6)</w:t>
      </w:r>
      <w:bookmarkEnd w:id="577"/>
    </w:p>
    <w:p w:rsidR="001529CA" w:rsidRPr="0049187C" w:rsidRDefault="00843AD6">
      <w:pPr>
        <w:pStyle w:val="IASBSectionTitle3Ind"/>
        <w:rPr>
          <w:lang w:val="ru-RU"/>
        </w:rPr>
      </w:pPr>
      <w:bookmarkStart w:id="578" w:name="F27188729"/>
      <w:r w:rsidRPr="0049187C">
        <w:rPr>
          <w:lang w:val="ru-RU"/>
        </w:rPr>
        <w:t>Хеджирование нетто-позиции</w:t>
      </w:r>
      <w:bookmarkEnd w:id="578"/>
    </w:p>
    <w:p w:rsidR="001529CA" w:rsidRPr="0049187C" w:rsidRDefault="009D262F">
      <w:pPr>
        <w:pStyle w:val="IASBSectionTitle4Ind"/>
        <w:rPr>
          <w:lang w:val="ru-RU"/>
        </w:rPr>
      </w:pPr>
      <w:bookmarkStart w:id="579" w:name="F27188731"/>
      <w:r>
        <w:rPr>
          <w:lang w:val="ru-RU"/>
        </w:rPr>
        <w:t>Критерии применения</w:t>
      </w:r>
      <w:r w:rsidR="00843AD6" w:rsidRPr="0049187C">
        <w:rPr>
          <w:lang w:val="ru-RU"/>
        </w:rPr>
        <w:t xml:space="preserve"> учета хеджирования и </w:t>
      </w:r>
      <w:bookmarkEnd w:id="579"/>
      <w:r>
        <w:rPr>
          <w:lang w:val="ru-RU"/>
        </w:rPr>
        <w:t>определение по усмотрению организации нетто-позиции в качестве объекта хеджирования</w:t>
      </w:r>
    </w:p>
    <w:p w:rsidR="009D262F" w:rsidRPr="00453F25" w:rsidRDefault="001529CA" w:rsidP="009D262F">
      <w:pPr>
        <w:pStyle w:val="IASBNormalnpara"/>
        <w:rPr>
          <w:lang w:val="ru-RU"/>
        </w:rPr>
      </w:pPr>
      <w:r w:rsidRPr="0049187C">
        <w:rPr>
          <w:lang w:val="ru-RU"/>
        </w:rPr>
        <w:t>B6.6.1</w:t>
      </w:r>
      <w:r w:rsidRPr="0049187C">
        <w:rPr>
          <w:lang w:val="ru-RU"/>
        </w:rPr>
        <w:tab/>
      </w:r>
      <w:bookmarkStart w:id="580" w:name="SL32627012"/>
      <w:bookmarkStart w:id="581" w:name="F27188732"/>
      <w:r w:rsidR="009D262F" w:rsidRPr="00453F25">
        <w:rPr>
          <w:lang w:val="ru-RU"/>
        </w:rPr>
        <w:t>Нетто-позиция может соответствовать критериям применения учета хеджирования исключительно в том случае, если организация осуществляет хеджирование на нетто-основе для целей управления рисками. Вопрос о том, применяет ли организация именно такой подход к хеджированию, является вопросом факта (а не просто утверждения или документации). Следовательно, организация не вправе применять учет хеджирования на нетто-основе исключительно для достижения определенного учетного результата, если это не будет отражать ее подход к управлению рисками. Хеджирование нетто-позиции должно быть частью установленной стратегии управления рисками. Как правило, такая стратегия утверждается ключевым управленческим персоналом, как этот термин определен в МСФО (</w:t>
      </w:r>
      <w:r w:rsidR="009D262F" w:rsidRPr="00453F25">
        <w:t>IAS</w:t>
      </w:r>
      <w:r w:rsidR="009D262F" w:rsidRPr="00453F25">
        <w:rPr>
          <w:lang w:val="ru-RU"/>
        </w:rPr>
        <w:t>) 24.</w:t>
      </w:r>
      <w:bookmarkEnd w:id="581"/>
    </w:p>
    <w:p w:rsidR="009D262F" w:rsidRPr="00453F25" w:rsidRDefault="009D262F" w:rsidP="009D262F">
      <w:pPr>
        <w:pStyle w:val="IASBNormalnpara"/>
        <w:rPr>
          <w:lang w:val="ru-RU"/>
        </w:rPr>
      </w:pPr>
      <w:r w:rsidRPr="00453F25">
        <w:t>B</w:t>
      </w:r>
      <w:r w:rsidRPr="00453F25">
        <w:rPr>
          <w:lang w:val="ru-RU"/>
        </w:rPr>
        <w:t>6.6.2</w:t>
      </w:r>
      <w:r w:rsidRPr="00453F25">
        <w:rPr>
          <w:lang w:val="ru-RU"/>
        </w:rPr>
        <w:tab/>
      </w:r>
      <w:bookmarkStart w:id="582" w:name="F27188734"/>
      <w:r w:rsidRPr="00453F25">
        <w:rPr>
          <w:lang w:val="ru-RU"/>
        </w:rPr>
        <w:t>Например, Организация А, функциональной валютой которой является ее национальная валюта, имеет твердое договорное обязательство выплатить через девять месяцев 150</w:t>
      </w:r>
      <w:r w:rsidRPr="00453F25">
        <w:t> </w:t>
      </w:r>
      <w:r w:rsidRPr="00453F25">
        <w:rPr>
          <w:lang w:val="ru-RU"/>
        </w:rPr>
        <w:t xml:space="preserve">000 </w:t>
      </w:r>
      <w:r w:rsidR="00730672">
        <w:rPr>
          <w:lang w:val="ru-RU"/>
        </w:rPr>
        <w:t>д. е.</w:t>
      </w:r>
      <w:r w:rsidRPr="00453F25">
        <w:rPr>
          <w:lang w:val="ru-RU"/>
        </w:rPr>
        <w:t xml:space="preserve"> в иностранной валюте по рекламным расходам и твердое договорное обязательство осуществить через 15 месяцев продажу готовой продукции на сумму 150</w:t>
      </w:r>
      <w:r w:rsidRPr="00453F25">
        <w:t> </w:t>
      </w:r>
      <w:r w:rsidRPr="00453F25">
        <w:rPr>
          <w:lang w:val="ru-RU"/>
        </w:rPr>
        <w:t xml:space="preserve">000 </w:t>
      </w:r>
      <w:r w:rsidR="00730672">
        <w:rPr>
          <w:lang w:val="ru-RU"/>
        </w:rPr>
        <w:t>д. е.</w:t>
      </w:r>
      <w:r w:rsidRPr="00453F25">
        <w:rPr>
          <w:lang w:val="ru-RU"/>
        </w:rPr>
        <w:t xml:space="preserve"> в иностранной валюте. Организация А заключает договор, представляющий собой валютный производный инструмент, по условиям которого расчеты будут осуществлены через девять месяцев и при этом </w:t>
      </w:r>
      <w:r w:rsidR="003C0E69">
        <w:rPr>
          <w:lang w:val="ru-RU"/>
        </w:rPr>
        <w:t>О</w:t>
      </w:r>
      <w:r w:rsidRPr="00453F25">
        <w:rPr>
          <w:lang w:val="ru-RU"/>
        </w:rPr>
        <w:t>рганизация </w:t>
      </w:r>
      <w:r w:rsidRPr="00453F25">
        <w:rPr>
          <w:lang w:val="en-GB"/>
        </w:rPr>
        <w:t>A</w:t>
      </w:r>
      <w:r w:rsidRPr="00453F25">
        <w:rPr>
          <w:lang w:val="ru-RU"/>
        </w:rPr>
        <w:t xml:space="preserve"> получит 100 </w:t>
      </w:r>
      <w:r w:rsidR="00730672">
        <w:rPr>
          <w:lang w:val="ru-RU"/>
        </w:rPr>
        <w:t>д. е.</w:t>
      </w:r>
      <w:r w:rsidRPr="00453F25">
        <w:rPr>
          <w:lang w:val="ru-RU"/>
        </w:rPr>
        <w:t xml:space="preserve"> в иностранной валюте и выплатит 70 </w:t>
      </w:r>
      <w:r w:rsidR="00730672">
        <w:rPr>
          <w:lang w:val="ru-RU"/>
        </w:rPr>
        <w:t>д. е.</w:t>
      </w:r>
      <w:r w:rsidRPr="00453F25">
        <w:rPr>
          <w:lang w:val="ru-RU"/>
        </w:rPr>
        <w:t xml:space="preserve"> в национальной валюте. Организация А не подвержена валютному риску по каким-либо другим позициям. Организация А управляет валютным риском не на нетто-основе. Следовательно, Организация А не может применить учет хеджирования к отношениям хеджирования между валютным производным инструментом и нетто-позицией в размере 100 </w:t>
      </w:r>
      <w:r w:rsidR="00730672">
        <w:rPr>
          <w:lang w:val="ru-RU"/>
        </w:rPr>
        <w:t>д. е.</w:t>
      </w:r>
      <w:r w:rsidRPr="00453F25">
        <w:rPr>
          <w:lang w:val="ru-RU"/>
        </w:rPr>
        <w:t xml:space="preserve"> в иностранной валюте (которую составляют 150 000 </w:t>
      </w:r>
      <w:r w:rsidR="00730672">
        <w:rPr>
          <w:lang w:val="ru-RU"/>
        </w:rPr>
        <w:t>д. е.</w:t>
      </w:r>
      <w:r w:rsidRPr="00453F25">
        <w:rPr>
          <w:lang w:val="ru-RU"/>
        </w:rPr>
        <w:t xml:space="preserve"> в иностранной валюте из величины твердого договорного обязательства по закупкам </w:t>
      </w:r>
      <w:r w:rsidR="00A876BE" w:rsidRPr="008872E8">
        <w:rPr>
          <w:lang w:val="ru-RU"/>
        </w:rPr>
        <w:t>–</w:t>
      </w:r>
      <w:r w:rsidRPr="00453F25">
        <w:rPr>
          <w:lang w:val="ru-RU"/>
        </w:rPr>
        <w:t xml:space="preserve"> </w:t>
      </w:r>
      <w:r w:rsidR="00730672">
        <w:rPr>
          <w:lang w:val="ru-RU"/>
        </w:rPr>
        <w:t>т. е.</w:t>
      </w:r>
      <w:r w:rsidRPr="00453F25">
        <w:rPr>
          <w:lang w:val="ru-RU"/>
        </w:rPr>
        <w:t xml:space="preserve"> по приобретению рекламных услуг и 149</w:t>
      </w:r>
      <w:r w:rsidR="00730672">
        <w:rPr>
          <w:lang w:val="ru-RU"/>
        </w:rPr>
        <w:t> </w:t>
      </w:r>
      <w:r w:rsidRPr="00453F25">
        <w:rPr>
          <w:lang w:val="ru-RU"/>
        </w:rPr>
        <w:t>900</w:t>
      </w:r>
      <w:r w:rsidR="00730672">
        <w:rPr>
          <w:lang w:val="ru-RU"/>
        </w:rPr>
        <w:t xml:space="preserve"> </w:t>
      </w:r>
      <w:r w:rsidRPr="00453F25">
        <w:rPr>
          <w:lang w:val="ru-RU"/>
        </w:rPr>
        <w:t>д. е. (из 150</w:t>
      </w:r>
      <w:r w:rsidRPr="00453F25">
        <w:t> </w:t>
      </w:r>
      <w:r w:rsidRPr="00453F25">
        <w:rPr>
          <w:lang w:val="ru-RU"/>
        </w:rPr>
        <w:t>000 </w:t>
      </w:r>
      <w:r w:rsidR="00730672">
        <w:rPr>
          <w:lang w:val="ru-RU"/>
        </w:rPr>
        <w:t>д. е.</w:t>
      </w:r>
      <w:r w:rsidRPr="00453F25">
        <w:rPr>
          <w:lang w:val="ru-RU"/>
        </w:rPr>
        <w:t xml:space="preserve">) в иностранной валюте величины твердого договорного обязательства по продажам) на срок в девять месяцев. </w:t>
      </w:r>
      <w:bookmarkEnd w:id="582"/>
    </w:p>
    <w:p w:rsidR="009D262F" w:rsidRPr="00453F25" w:rsidRDefault="009D262F" w:rsidP="009D262F">
      <w:pPr>
        <w:pStyle w:val="IASBNormalnpara"/>
        <w:rPr>
          <w:lang w:val="ru-RU"/>
        </w:rPr>
      </w:pPr>
      <w:r w:rsidRPr="00453F25">
        <w:t>B</w:t>
      </w:r>
      <w:r w:rsidRPr="00453F25">
        <w:rPr>
          <w:lang w:val="ru-RU"/>
        </w:rPr>
        <w:t>6.6.3</w:t>
      </w:r>
      <w:r w:rsidRPr="00453F25">
        <w:rPr>
          <w:lang w:val="ru-RU"/>
        </w:rPr>
        <w:tab/>
      </w:r>
      <w:bookmarkStart w:id="583" w:name="F27188735"/>
      <w:r w:rsidRPr="00453F25">
        <w:rPr>
          <w:lang w:val="ru-RU"/>
        </w:rPr>
        <w:t xml:space="preserve">Если бы Организация А осуществляла управление валютным риском на нетто-основе и не заключала договор, представляющий собой валютный производный инструмент (поскольку это не уменьшает, а увеличивает ее подверженность валютному риску), то организация имела бы позицию, хеджируемую естественным образом на протяжении девяти месяцев. Как правило, такая хеджируемая позиция не отражалась бы в финансовой отчетности, поскольку указанные операции будут признаны в различных отчетных периодах в будущем. Нулевая нетто-позиция соответствовала бы критериям применения учета хеджирования только в том случае, если выполняются </w:t>
      </w:r>
      <w:r w:rsidR="007E6E67">
        <w:rPr>
          <w:lang w:val="ru-RU"/>
        </w:rPr>
        <w:t>требования пункта</w:t>
      </w:r>
      <w:r w:rsidRPr="00453F25">
        <w:rPr>
          <w:lang w:val="ru-RU"/>
        </w:rPr>
        <w:t xml:space="preserve"> 6.6.6. </w:t>
      </w:r>
      <w:bookmarkEnd w:id="583"/>
    </w:p>
    <w:p w:rsidR="001529CA" w:rsidRPr="0049187C" w:rsidRDefault="009D262F" w:rsidP="009D262F">
      <w:pPr>
        <w:pStyle w:val="IASBNormalnpara"/>
        <w:rPr>
          <w:lang w:val="ru-RU"/>
        </w:rPr>
      </w:pPr>
      <w:r w:rsidRPr="00453F25">
        <w:t>B</w:t>
      </w:r>
      <w:r w:rsidRPr="00453F25">
        <w:rPr>
          <w:lang w:val="ru-RU"/>
        </w:rPr>
        <w:t>6.6.4</w:t>
      </w:r>
      <w:r w:rsidRPr="00453F25">
        <w:rPr>
          <w:lang w:val="ru-RU"/>
        </w:rPr>
        <w:tab/>
        <w:t>Когда группа объектов, составляющих нетто-позицию, определяется по усмотрению организации в качестве объекта хеджирования, организация должна определить для этих целей всю группу объектов, включающую в себя объекты, которые могут составлять данную нетто-позицию. Организации не разрешается по собственному усмотрению определять в качестве объекта хеджирования не конкретизированную абстрактную величину нетто-позиции. Например, у организации имеется несколько твердых договорных обязательств по осуществлению продаж через девять месяцев на общую сумму 100</w:t>
      </w:r>
      <w:r w:rsidR="00730672">
        <w:rPr>
          <w:lang w:val="ru-RU"/>
        </w:rPr>
        <w:t xml:space="preserve"> д. е.</w:t>
      </w:r>
      <w:r w:rsidRPr="00453F25">
        <w:rPr>
          <w:lang w:val="ru-RU"/>
        </w:rPr>
        <w:t xml:space="preserve"> в иностранной валюте и несколько твердых договорных обязательств по осуществлению закупок через 18 месяцев на общую сумму 120 </w:t>
      </w:r>
      <w:r w:rsidR="00730672">
        <w:rPr>
          <w:lang w:val="ru-RU"/>
        </w:rPr>
        <w:t>д. е.</w:t>
      </w:r>
      <w:r w:rsidRPr="00453F25">
        <w:rPr>
          <w:lang w:val="ru-RU"/>
        </w:rPr>
        <w:t xml:space="preserve"> в иностранной валюте. Организация не может по собственному усмотрению определить в качестве объекта хеджирования абстрактную величину нетто-позиции в пределах 20 д. е. в иностранной валюте. Вместо этого она должна по собственному усмотрению определить валовую сумму закупок и валовую сумму продаж, которые вместе образуют хеджируемую нетто-позицию. Организация должна по собственному усмотрению определить валовые позиции, из которых образуется нетто-позиция, таким образом, чтобы организация могла выполнить условия для учета квалифицируемых отношений хеджирования</w:t>
      </w:r>
      <w:r w:rsidR="001529CA" w:rsidRPr="0049187C">
        <w:rPr>
          <w:lang w:val="ru-RU"/>
        </w:rPr>
        <w:t xml:space="preserve">. </w:t>
      </w:r>
      <w:bookmarkEnd w:id="580"/>
    </w:p>
    <w:p w:rsidR="001529CA" w:rsidRPr="0049187C" w:rsidRDefault="005C036E">
      <w:pPr>
        <w:pStyle w:val="IASBSectionTitle4Ind"/>
        <w:rPr>
          <w:lang w:val="ru-RU"/>
        </w:rPr>
      </w:pPr>
      <w:bookmarkStart w:id="584" w:name="F27188738"/>
      <w:r w:rsidRPr="0049187C">
        <w:rPr>
          <w:lang w:val="ru-RU"/>
        </w:rPr>
        <w:t>Применение требований</w:t>
      </w:r>
      <w:r w:rsidR="009D262F">
        <w:rPr>
          <w:lang w:val="ru-RU"/>
        </w:rPr>
        <w:t>, касающихся</w:t>
      </w:r>
      <w:r w:rsidRPr="0049187C">
        <w:rPr>
          <w:lang w:val="ru-RU"/>
        </w:rPr>
        <w:t xml:space="preserve"> эффективности хеджирования</w:t>
      </w:r>
      <w:r w:rsidR="009D262F">
        <w:rPr>
          <w:lang w:val="ru-RU"/>
        </w:rPr>
        <w:t>,</w:t>
      </w:r>
      <w:r w:rsidRPr="0049187C">
        <w:rPr>
          <w:lang w:val="ru-RU"/>
        </w:rPr>
        <w:t xml:space="preserve"> к хеджированию нетто-позиции</w:t>
      </w:r>
      <w:bookmarkEnd w:id="584"/>
    </w:p>
    <w:p w:rsidR="009D262F" w:rsidRPr="00453F25" w:rsidRDefault="001529CA" w:rsidP="009D262F">
      <w:pPr>
        <w:pStyle w:val="IASBNormalnpara"/>
        <w:rPr>
          <w:lang w:val="ru-RU"/>
        </w:rPr>
      </w:pPr>
      <w:r w:rsidRPr="0049187C">
        <w:rPr>
          <w:lang w:val="ru-RU"/>
        </w:rPr>
        <w:t>B6.6.5</w:t>
      </w:r>
      <w:r w:rsidRPr="0049187C">
        <w:rPr>
          <w:lang w:val="ru-RU"/>
        </w:rPr>
        <w:tab/>
      </w:r>
      <w:bookmarkStart w:id="585" w:name="SL32627021"/>
      <w:bookmarkStart w:id="586" w:name="F27188739"/>
      <w:r w:rsidR="009D262F" w:rsidRPr="00453F25">
        <w:rPr>
          <w:lang w:val="ru-RU"/>
        </w:rPr>
        <w:t>Когда организация хеджирует нетто-позицию и решает вопрос о том, выполняются ли в данном случае требования пункта 6.4.1(</w:t>
      </w:r>
      <w:r w:rsidR="009D262F" w:rsidRPr="00453F25">
        <w:t>c</w:t>
      </w:r>
      <w:r w:rsidR="009D262F" w:rsidRPr="00453F25">
        <w:rPr>
          <w:lang w:val="ru-RU"/>
        </w:rPr>
        <w:t>) в отношении эффективности хеджирования, она должна анализировать изменения стоимости объектов в составе нетто-позиции, имеющих эффект, аналогичный эффекту инструмента хеджирования, в сочетании с изменением справедливой стоимости инструмента хеджирования. Например, у организации имеется несколько твердых договорных обязательств по осуществлению продаж через девять месяцев на общую сумму 100 </w:t>
      </w:r>
      <w:r w:rsidR="00730672">
        <w:rPr>
          <w:lang w:val="ru-RU"/>
        </w:rPr>
        <w:t>д. е.</w:t>
      </w:r>
      <w:r w:rsidR="009D262F" w:rsidRPr="00453F25">
        <w:rPr>
          <w:lang w:val="ru-RU"/>
        </w:rPr>
        <w:t xml:space="preserve"> в иностранной валюте и несколько твердых договорных обязательств по осуществлению закупок через 18 месяцев на общую сумму 120 д. е. в иностранной валюте. Организация хеджирует валютный риск по нетто-позиции в размере 20 </w:t>
      </w:r>
      <w:r w:rsidR="00730672">
        <w:rPr>
          <w:lang w:val="ru-RU"/>
        </w:rPr>
        <w:t>д. е.</w:t>
      </w:r>
      <w:r w:rsidR="009D262F" w:rsidRPr="00453F25">
        <w:rPr>
          <w:lang w:val="ru-RU"/>
        </w:rPr>
        <w:t xml:space="preserve"> в иностранной валюте с помощью форвардного валютного договора на 20 </w:t>
      </w:r>
      <w:r w:rsidR="00730672">
        <w:rPr>
          <w:lang w:val="ru-RU"/>
        </w:rPr>
        <w:t>д. е.</w:t>
      </w:r>
      <w:r w:rsidR="009D262F" w:rsidRPr="00453F25">
        <w:rPr>
          <w:lang w:val="ru-RU"/>
        </w:rPr>
        <w:t xml:space="preserve"> в иностранной валюте. При решении вопроса о том, выполняются ли требования пункта</w:t>
      </w:r>
      <w:r w:rsidR="009D262F" w:rsidRPr="00453F25">
        <w:t> </w:t>
      </w:r>
      <w:r w:rsidR="009D262F" w:rsidRPr="00453F25">
        <w:rPr>
          <w:lang w:val="ru-RU"/>
        </w:rPr>
        <w:t>6.4.1(с) касательно эффективности хеджирования, организация должна рассмотреть взаимосвязь между:</w:t>
      </w:r>
      <w:bookmarkEnd w:id="586"/>
    </w:p>
    <w:p w:rsidR="009D262F" w:rsidRPr="00453F25" w:rsidRDefault="009D262F" w:rsidP="009D262F">
      <w:pPr>
        <w:pStyle w:val="IASBNormalnparaL1"/>
        <w:rPr>
          <w:lang w:val="ru-RU"/>
        </w:rPr>
      </w:pPr>
      <w:r w:rsidRPr="00453F25">
        <w:rPr>
          <w:lang w:val="ru-RU"/>
        </w:rPr>
        <w:t>(</w:t>
      </w:r>
      <w:r w:rsidRPr="00453F25">
        <w:t>a</w:t>
      </w:r>
      <w:r w:rsidRPr="00453F25">
        <w:rPr>
          <w:lang w:val="ru-RU"/>
        </w:rPr>
        <w:t>)</w:t>
      </w:r>
      <w:r w:rsidRPr="00453F25">
        <w:rPr>
          <w:lang w:val="ru-RU"/>
        </w:rPr>
        <w:tab/>
      </w:r>
      <w:bookmarkStart w:id="587" w:name="F27188742"/>
      <w:r w:rsidRPr="00453F25">
        <w:rPr>
          <w:lang w:val="ru-RU"/>
        </w:rPr>
        <w:t>изменением справедливой стоимости форвардного валютного договора вместе с теми изменениями стоимости твердых договорных обязательств по осуществлению продаж, которые обусловлены валютным риском; и</w:t>
      </w:r>
      <w:bookmarkEnd w:id="587"/>
    </w:p>
    <w:p w:rsidR="009D262F" w:rsidRPr="00453F25" w:rsidRDefault="009D262F" w:rsidP="009D262F">
      <w:pPr>
        <w:pStyle w:val="IASBNormalnparaL1"/>
        <w:rPr>
          <w:lang w:val="ru-RU"/>
        </w:rPr>
      </w:pPr>
      <w:r w:rsidRPr="00453F25">
        <w:rPr>
          <w:lang w:val="ru-RU"/>
        </w:rPr>
        <w:t>(</w:t>
      </w:r>
      <w:r w:rsidRPr="00453F25">
        <w:t>b</w:t>
      </w:r>
      <w:r w:rsidRPr="00453F25">
        <w:rPr>
          <w:lang w:val="ru-RU"/>
        </w:rPr>
        <w:t>)</w:t>
      </w:r>
      <w:r w:rsidRPr="00453F25">
        <w:rPr>
          <w:lang w:val="ru-RU"/>
        </w:rPr>
        <w:tab/>
      </w:r>
      <w:bookmarkStart w:id="588" w:name="F27188744"/>
      <w:r w:rsidRPr="00453F25">
        <w:rPr>
          <w:lang w:val="ru-RU"/>
        </w:rPr>
        <w:t>изменениями стоимости твердых договорных обязательств по осуществлению закупок, обусловленными валютным риском.</w:t>
      </w:r>
      <w:bookmarkEnd w:id="588"/>
    </w:p>
    <w:p w:rsidR="001529CA" w:rsidRPr="0049187C" w:rsidRDefault="009D262F" w:rsidP="009D262F">
      <w:pPr>
        <w:pStyle w:val="IASBNormalnpara"/>
        <w:rPr>
          <w:lang w:val="ru-RU"/>
        </w:rPr>
      </w:pPr>
      <w:r w:rsidRPr="00453F25">
        <w:t>B</w:t>
      </w:r>
      <w:r w:rsidRPr="00453F25">
        <w:rPr>
          <w:lang w:val="ru-RU"/>
        </w:rPr>
        <w:t>6.6.6</w:t>
      </w:r>
      <w:r w:rsidRPr="00453F25">
        <w:rPr>
          <w:lang w:val="ru-RU"/>
        </w:rPr>
        <w:tab/>
        <w:t xml:space="preserve">Аналогичным образом, если бы в примере, приведенном в пункте </w:t>
      </w:r>
      <w:r w:rsidRPr="00453F25">
        <w:t>B</w:t>
      </w:r>
      <w:r w:rsidRPr="00453F25">
        <w:rPr>
          <w:lang w:val="ru-RU"/>
        </w:rPr>
        <w:t>6.6.5, организация имела нулевую нетто-позицию, то при решении вопроса о выполнении требований пункте 6.4.1(с) касательно эффективности хеджирования, она бы принимала в расчет взаимосвязь между изменениями стоимости твердых договорных обязательств по осуществлению продаж, вызванными валютным риском, и изменениями стоимости твердых договорных обязательств по осуществлению закупок, обусловленными валютным риском</w:t>
      </w:r>
      <w:r w:rsidR="001529CA" w:rsidRPr="0049187C">
        <w:rPr>
          <w:lang w:val="ru-RU"/>
        </w:rPr>
        <w:t>.</w:t>
      </w:r>
      <w:bookmarkEnd w:id="585"/>
    </w:p>
    <w:p w:rsidR="001529CA" w:rsidRPr="0049187C" w:rsidRDefault="00267823">
      <w:pPr>
        <w:pStyle w:val="IASBSectionTitle4Ind"/>
        <w:rPr>
          <w:lang w:val="ru-RU"/>
        </w:rPr>
      </w:pPr>
      <w:bookmarkStart w:id="589" w:name="F27188908"/>
      <w:r w:rsidRPr="0049187C">
        <w:rPr>
          <w:lang w:val="ru-RU"/>
        </w:rPr>
        <w:t xml:space="preserve">Хеджирование </w:t>
      </w:r>
      <w:r w:rsidR="009D262F">
        <w:rPr>
          <w:lang w:val="ru-RU"/>
        </w:rPr>
        <w:t xml:space="preserve">нетто-позиции при хеджировании </w:t>
      </w:r>
      <w:r w:rsidRPr="0049187C">
        <w:rPr>
          <w:lang w:val="ru-RU"/>
        </w:rPr>
        <w:t>денежных потоков</w:t>
      </w:r>
      <w:bookmarkEnd w:id="589"/>
    </w:p>
    <w:p w:rsidR="009D262F" w:rsidRPr="00453F25" w:rsidRDefault="001529CA" w:rsidP="009D262F">
      <w:pPr>
        <w:pStyle w:val="IASBNormalnpara"/>
        <w:rPr>
          <w:lang w:val="ru-RU"/>
        </w:rPr>
      </w:pPr>
      <w:r w:rsidRPr="0049187C">
        <w:rPr>
          <w:lang w:val="ru-RU"/>
        </w:rPr>
        <w:t>B6.6.7</w:t>
      </w:r>
      <w:r w:rsidRPr="0049187C">
        <w:rPr>
          <w:lang w:val="ru-RU"/>
        </w:rPr>
        <w:tab/>
      </w:r>
      <w:bookmarkStart w:id="590" w:name="SL32627041"/>
      <w:bookmarkStart w:id="591" w:name="F27188909"/>
      <w:r w:rsidR="009D262F" w:rsidRPr="00453F25">
        <w:rPr>
          <w:lang w:val="ru-RU"/>
        </w:rPr>
        <w:t>Когда организация хеджирует группу объектов с компенсирующими позициями в части рисков (</w:t>
      </w:r>
      <w:r w:rsidR="00730672">
        <w:rPr>
          <w:lang w:val="ru-RU"/>
        </w:rPr>
        <w:t>т. е.</w:t>
      </w:r>
      <w:r w:rsidR="009D262F" w:rsidRPr="00453F25">
        <w:rPr>
          <w:lang w:val="ru-RU"/>
        </w:rPr>
        <w:t xml:space="preserve"> нетто-позицию), возможность применения учета хеджирования зависит от типа отношений хеджирования. Если хеджирование представляет собой хеджирование справедливой стоимости, то такая нетто-позиция может быть по усмотрению организации определена в качестве объекта хеджирования. Однако если хеджирование представляет собой хеджирование денежных потоков, то указанная нетто-позиция может быть определена в качестве объекта хеджирования только в том случае, если хеджируется валютный риск, и при определении по усмотрению организации такой нетто-позиции в качестве объекта хеджирования указывается отчетный период, в котором прогнозируемые операции, как ожидается, окажут влияние на прибыль или убыток, а также их характер и объем.</w:t>
      </w:r>
      <w:bookmarkEnd w:id="591"/>
    </w:p>
    <w:p w:rsidR="009D262F" w:rsidRPr="00453F25" w:rsidRDefault="009D262F" w:rsidP="009D262F">
      <w:pPr>
        <w:pStyle w:val="IASBNormalnpara"/>
        <w:rPr>
          <w:lang w:val="ru-RU"/>
        </w:rPr>
      </w:pPr>
      <w:r w:rsidRPr="00453F25">
        <w:t>B</w:t>
      </w:r>
      <w:r w:rsidRPr="00453F25">
        <w:rPr>
          <w:lang w:val="ru-RU"/>
        </w:rPr>
        <w:t>6.6.8</w:t>
      </w:r>
      <w:r w:rsidRPr="00453F25">
        <w:rPr>
          <w:lang w:val="ru-RU"/>
        </w:rPr>
        <w:tab/>
      </w:r>
      <w:bookmarkStart w:id="592" w:name="F27188910"/>
      <w:r w:rsidRPr="00453F25">
        <w:rPr>
          <w:lang w:val="ru-RU"/>
        </w:rPr>
        <w:t>Например, организация имеет нетто-позицию, которую составляют последние 100 д. е. от продаж в иностранной валюте, и последние 150 </w:t>
      </w:r>
      <w:r w:rsidR="00730672">
        <w:rPr>
          <w:lang w:val="ru-RU"/>
        </w:rPr>
        <w:t>д. е.</w:t>
      </w:r>
      <w:r w:rsidRPr="00453F25">
        <w:rPr>
          <w:lang w:val="ru-RU"/>
        </w:rPr>
        <w:t xml:space="preserve"> затрат по закупкам в иностранной валюте. Как продажи, так и закупки выражены в одной и той же иностранной валюте. Для того чтобы достаточно конкретно определить хеджируемую нетто-позицию, организация указывает в исходной документации по хеджированию, что рассматриваться могут продажи продукции А либо продукции </w:t>
      </w:r>
      <w:r w:rsidRPr="00453F25">
        <w:rPr>
          <w:lang w:val="en-GB"/>
        </w:rPr>
        <w:t>B</w:t>
      </w:r>
      <w:r w:rsidRPr="00453F25">
        <w:rPr>
          <w:lang w:val="ru-RU"/>
        </w:rPr>
        <w:t xml:space="preserve">, и закупки оборудования класса А, оборудования класса </w:t>
      </w:r>
      <w:r w:rsidRPr="00453F25">
        <w:rPr>
          <w:lang w:val="en-GB"/>
        </w:rPr>
        <w:t>B</w:t>
      </w:r>
      <w:r w:rsidRPr="00453F25">
        <w:rPr>
          <w:lang w:val="ru-RU"/>
        </w:rPr>
        <w:t xml:space="preserve"> и сырья А. Организация также указывает объемы операций по каждому их виду. Организация указывает в документации, что нижний слой поступлений от продаж (100 </w:t>
      </w:r>
      <w:r w:rsidR="00730672">
        <w:rPr>
          <w:lang w:val="ru-RU"/>
        </w:rPr>
        <w:t>д. е.</w:t>
      </w:r>
      <w:r w:rsidRPr="00453F25">
        <w:rPr>
          <w:lang w:val="ru-RU"/>
        </w:rPr>
        <w:t xml:space="preserve"> в иностранной валюте) составляют прогнозируемые продажи продукции А в объеме первых 70 </w:t>
      </w:r>
      <w:r w:rsidR="00730672">
        <w:rPr>
          <w:lang w:val="ru-RU"/>
        </w:rPr>
        <w:t>д. е.</w:t>
      </w:r>
      <w:r w:rsidRPr="00453F25">
        <w:rPr>
          <w:lang w:val="ru-RU"/>
        </w:rPr>
        <w:t xml:space="preserve"> в иностранной валюте и продукции</w:t>
      </w:r>
      <w:r w:rsidRPr="00453F25">
        <w:t> </w:t>
      </w:r>
      <w:r w:rsidRPr="00453F25">
        <w:rPr>
          <w:lang w:val="en-GB"/>
        </w:rPr>
        <w:t>B</w:t>
      </w:r>
      <w:r w:rsidRPr="00453F25">
        <w:rPr>
          <w:lang w:val="ru-RU"/>
        </w:rPr>
        <w:t xml:space="preserve"> в объеме первых 30 </w:t>
      </w:r>
      <w:r w:rsidR="00730672">
        <w:rPr>
          <w:lang w:val="ru-RU"/>
        </w:rPr>
        <w:t>д. е.</w:t>
      </w:r>
      <w:r w:rsidRPr="00453F25">
        <w:rPr>
          <w:lang w:val="ru-RU"/>
        </w:rPr>
        <w:t xml:space="preserve"> в иностранной валюте). Если организация ожидает, что указанные объемы продаж окажут влияние на величину прибыли или убытка в разных отчетных периодах, то она укажет на это в своей документации, например, первые 70 </w:t>
      </w:r>
      <w:r w:rsidR="00730672">
        <w:rPr>
          <w:lang w:val="ru-RU"/>
        </w:rPr>
        <w:t>д. е.</w:t>
      </w:r>
      <w:r w:rsidRPr="00453F25">
        <w:rPr>
          <w:lang w:val="ru-RU"/>
        </w:rPr>
        <w:t xml:space="preserve"> в иностранной валюте от продаж продукции А, которые, как ожидается, окажут влияние на величину прибыли или убытка в первом отчетном периоде, и первые 30 </w:t>
      </w:r>
      <w:r w:rsidR="00730672">
        <w:rPr>
          <w:lang w:val="ru-RU"/>
        </w:rPr>
        <w:t>д. е.</w:t>
      </w:r>
      <w:r w:rsidRPr="00453F25">
        <w:rPr>
          <w:lang w:val="ru-RU"/>
        </w:rPr>
        <w:t xml:space="preserve"> в иностранной валюте от продаж продукции </w:t>
      </w:r>
      <w:r w:rsidRPr="00453F25">
        <w:rPr>
          <w:lang w:val="en-GB"/>
        </w:rPr>
        <w:t>B</w:t>
      </w:r>
      <w:r w:rsidRPr="00453F25">
        <w:rPr>
          <w:lang w:val="ru-RU"/>
        </w:rPr>
        <w:t xml:space="preserve">, которые, как ожидается, окажут влияние на величину прибыли или убытка во втором отчетном периоде. Организация также указывает в документации, что нижний слой затрат по закупкам (150 </w:t>
      </w:r>
      <w:r w:rsidR="00730672">
        <w:rPr>
          <w:lang w:val="ru-RU"/>
        </w:rPr>
        <w:t>д. е.</w:t>
      </w:r>
      <w:r w:rsidRPr="00453F25">
        <w:rPr>
          <w:lang w:val="ru-RU"/>
        </w:rPr>
        <w:t xml:space="preserve"> в иностранной валюте) составляют закупка оборудования класса А в объеме первых 60 </w:t>
      </w:r>
      <w:r w:rsidR="00730672">
        <w:rPr>
          <w:lang w:val="ru-RU"/>
        </w:rPr>
        <w:t>д. е.</w:t>
      </w:r>
      <w:r w:rsidRPr="00453F25">
        <w:rPr>
          <w:lang w:val="ru-RU"/>
        </w:rPr>
        <w:t xml:space="preserve"> в иностранной валюте, оборудования класса </w:t>
      </w:r>
      <w:r w:rsidRPr="00453F25">
        <w:rPr>
          <w:lang w:val="en-GB"/>
        </w:rPr>
        <w:t>B</w:t>
      </w:r>
      <w:r w:rsidRPr="00453F25">
        <w:rPr>
          <w:lang w:val="ru-RU"/>
        </w:rPr>
        <w:t xml:space="preserve"> в объеме первых 40 </w:t>
      </w:r>
      <w:r w:rsidR="00730672">
        <w:rPr>
          <w:lang w:val="ru-RU"/>
        </w:rPr>
        <w:t>д. е.</w:t>
      </w:r>
      <w:r w:rsidRPr="00453F25">
        <w:rPr>
          <w:lang w:val="ru-RU"/>
        </w:rPr>
        <w:t xml:space="preserve"> в иностранной валюте и сырья А в объеме первых 50 </w:t>
      </w:r>
      <w:r w:rsidR="00730672">
        <w:rPr>
          <w:lang w:val="ru-RU"/>
        </w:rPr>
        <w:t>д. е.</w:t>
      </w:r>
      <w:r w:rsidRPr="00453F25">
        <w:rPr>
          <w:lang w:val="ru-RU"/>
        </w:rPr>
        <w:t xml:space="preserve"> в иностранной валюте. Если ожидается, что закупки в указанных объемах окажут влияние на величину прибыли или убытка в разных отчетных периодах, организация включит в свою документацию информацию об объемах закупки в разбивке по отчетным периодам, в которых они предположительно повлияют на прибыль или убыток (аналогично тому, как она отражает в документации </w:t>
      </w:r>
      <w:r w:rsidR="00A34BF4" w:rsidRPr="00453F25">
        <w:rPr>
          <w:lang w:val="ru-RU"/>
        </w:rPr>
        <w:t>информацию</w:t>
      </w:r>
      <w:r w:rsidRPr="00453F25">
        <w:rPr>
          <w:lang w:val="ru-RU"/>
        </w:rPr>
        <w:t xml:space="preserve"> об объемах продаж). Например, прогнозируемая операция может быть описана следующим образом:</w:t>
      </w:r>
      <w:bookmarkEnd w:id="592"/>
    </w:p>
    <w:p w:rsidR="009D262F" w:rsidRPr="00453F25" w:rsidRDefault="009D262F" w:rsidP="009D262F">
      <w:pPr>
        <w:pStyle w:val="IASBNormalnparaL1"/>
        <w:rPr>
          <w:lang w:val="ru-RU"/>
        </w:rPr>
      </w:pPr>
      <w:r w:rsidRPr="00453F25">
        <w:rPr>
          <w:lang w:val="ru-RU"/>
        </w:rPr>
        <w:t>(</w:t>
      </w:r>
      <w:r w:rsidRPr="00453F25">
        <w:t>a</w:t>
      </w:r>
      <w:r w:rsidRPr="00453F25">
        <w:rPr>
          <w:lang w:val="ru-RU"/>
        </w:rPr>
        <w:t>)</w:t>
      </w:r>
      <w:r w:rsidRPr="00453F25">
        <w:rPr>
          <w:lang w:val="ru-RU"/>
        </w:rPr>
        <w:tab/>
      </w:r>
      <w:bookmarkStart w:id="593" w:name="F27188913"/>
      <w:r w:rsidRPr="00453F25">
        <w:rPr>
          <w:lang w:val="ru-RU"/>
        </w:rPr>
        <w:t xml:space="preserve">первые 60 </w:t>
      </w:r>
      <w:r w:rsidR="00730672">
        <w:rPr>
          <w:lang w:val="ru-RU"/>
        </w:rPr>
        <w:t>д. е.</w:t>
      </w:r>
      <w:r w:rsidRPr="00453F25">
        <w:rPr>
          <w:lang w:val="ru-RU"/>
        </w:rPr>
        <w:t xml:space="preserve"> затрат в иностранной валюте на приобретение оборудования класса А, которые, как ожидается, будут оказывать влияние на величину прибыли или убытка, начиная с третьего отчетного периода на протяжении следующих десяти отчетных периодов;</w:t>
      </w:r>
      <w:bookmarkEnd w:id="593"/>
    </w:p>
    <w:p w:rsidR="009D262F" w:rsidRPr="00453F25" w:rsidRDefault="009D262F" w:rsidP="009D262F">
      <w:pPr>
        <w:pStyle w:val="IASBNormalnparaL1"/>
        <w:rPr>
          <w:lang w:val="ru-RU"/>
        </w:rPr>
      </w:pPr>
      <w:r w:rsidRPr="00453F25">
        <w:rPr>
          <w:lang w:val="ru-RU"/>
        </w:rPr>
        <w:t>(</w:t>
      </w:r>
      <w:r w:rsidRPr="00453F25">
        <w:t>b</w:t>
      </w:r>
      <w:r w:rsidRPr="00453F25">
        <w:rPr>
          <w:lang w:val="ru-RU"/>
        </w:rPr>
        <w:t>)</w:t>
      </w:r>
      <w:r w:rsidRPr="00453F25">
        <w:rPr>
          <w:lang w:val="ru-RU"/>
        </w:rPr>
        <w:tab/>
      </w:r>
      <w:bookmarkStart w:id="594" w:name="F27188915"/>
      <w:r w:rsidRPr="00453F25">
        <w:rPr>
          <w:lang w:val="ru-RU"/>
        </w:rPr>
        <w:t xml:space="preserve">первые 40 </w:t>
      </w:r>
      <w:r w:rsidR="00730672">
        <w:rPr>
          <w:lang w:val="ru-RU"/>
        </w:rPr>
        <w:t>д. е.</w:t>
      </w:r>
      <w:r w:rsidRPr="00453F25">
        <w:rPr>
          <w:lang w:val="ru-RU"/>
        </w:rPr>
        <w:t xml:space="preserve"> затрат в иностранной валюте на приобретение оборудования класса </w:t>
      </w:r>
      <w:r w:rsidRPr="00453F25">
        <w:rPr>
          <w:lang w:val="en-GB"/>
        </w:rPr>
        <w:t>B</w:t>
      </w:r>
      <w:r w:rsidRPr="00453F25">
        <w:rPr>
          <w:lang w:val="ru-RU"/>
        </w:rPr>
        <w:t>, которые, как ожидается, будут оказывать влияние на величину прибыли или убытка, начиная с четвертого отчетного периода на протяжении следующих 20 отчетных периодов; и</w:t>
      </w:r>
      <w:bookmarkEnd w:id="594"/>
    </w:p>
    <w:p w:rsidR="009D262F" w:rsidRPr="00453F25" w:rsidRDefault="009D262F" w:rsidP="009D262F">
      <w:pPr>
        <w:pStyle w:val="IASBNormalnparaL1"/>
        <w:rPr>
          <w:lang w:val="ru-RU"/>
        </w:rPr>
      </w:pPr>
      <w:r w:rsidRPr="00453F25">
        <w:rPr>
          <w:lang w:val="ru-RU"/>
        </w:rPr>
        <w:t>(</w:t>
      </w:r>
      <w:r w:rsidRPr="00453F25">
        <w:t>c</w:t>
      </w:r>
      <w:r w:rsidRPr="00453F25">
        <w:rPr>
          <w:lang w:val="ru-RU"/>
        </w:rPr>
        <w:t>)</w:t>
      </w:r>
      <w:r w:rsidRPr="00453F25">
        <w:rPr>
          <w:lang w:val="ru-RU"/>
        </w:rPr>
        <w:tab/>
      </w:r>
      <w:bookmarkStart w:id="595" w:name="F27188937"/>
      <w:r w:rsidRPr="00453F25">
        <w:rPr>
          <w:lang w:val="ru-RU"/>
        </w:rPr>
        <w:t xml:space="preserve">первые 50 </w:t>
      </w:r>
      <w:r w:rsidR="00730672">
        <w:rPr>
          <w:lang w:val="ru-RU"/>
        </w:rPr>
        <w:t>д. е.</w:t>
      </w:r>
      <w:r w:rsidRPr="00453F25">
        <w:rPr>
          <w:lang w:val="ru-RU"/>
        </w:rPr>
        <w:t xml:space="preserve"> затрат в иностранной валюте на приобретение сырья А, которое, как ожидается, будет получено в третьем отчетном периоде и продано, </w:t>
      </w:r>
      <w:r w:rsidR="00730672">
        <w:rPr>
          <w:lang w:val="ru-RU"/>
        </w:rPr>
        <w:t>т. е.</w:t>
      </w:r>
      <w:r w:rsidRPr="00453F25">
        <w:rPr>
          <w:lang w:val="ru-RU"/>
        </w:rPr>
        <w:t xml:space="preserve"> окажет влияние на величину прибыли или убытка в этом и следующем отчетных периодах.</w:t>
      </w:r>
      <w:bookmarkEnd w:id="595"/>
    </w:p>
    <w:p w:rsidR="009D262F" w:rsidRPr="00453F25" w:rsidRDefault="009D262F" w:rsidP="009D262F">
      <w:pPr>
        <w:pStyle w:val="IASBNormalnparaP"/>
        <w:rPr>
          <w:lang w:val="ru-RU"/>
        </w:rPr>
      </w:pPr>
      <w:bookmarkStart w:id="596" w:name="F27188938"/>
      <w:r w:rsidRPr="00453F25">
        <w:rPr>
          <w:lang w:val="ru-RU"/>
        </w:rPr>
        <w:t>В описание характера объемов прогнозируемой операции будут включаться такие аспекты, как схема амортизации однотипных объектов основных средств, если характер таких объектов таков, что амортизационная схема может варьироваться в зависимости от того, как организация использует указанные объекты. Например, если организация использует объекты оборудования класса А в двух различных производственных процессах, следствием специфики которых является использование двух разных методов амортизации: линейного метода, при котором оборудование амортизируется на протяжении более десяти отчетных периодов, и метода списания стоимости оборудования пропорционально объему продукции соответственно, то в своей документации по прогнозируемому объему закупки оборудования класса А организация покажет этот объем в разбивке по тем схемам амортизации, которые будут применяться.</w:t>
      </w:r>
      <w:bookmarkEnd w:id="596"/>
    </w:p>
    <w:p w:rsidR="009D262F" w:rsidRPr="00453F25" w:rsidRDefault="009D262F" w:rsidP="009D262F">
      <w:pPr>
        <w:pStyle w:val="IASBNormalnpara"/>
        <w:rPr>
          <w:lang w:val="ru-RU"/>
        </w:rPr>
      </w:pPr>
      <w:r w:rsidRPr="00453F25">
        <w:t>B</w:t>
      </w:r>
      <w:r w:rsidRPr="00453F25">
        <w:rPr>
          <w:lang w:val="ru-RU"/>
        </w:rPr>
        <w:t>6.6.9</w:t>
      </w:r>
      <w:r w:rsidRPr="00453F25">
        <w:rPr>
          <w:lang w:val="ru-RU"/>
        </w:rPr>
        <w:tab/>
      </w:r>
      <w:bookmarkStart w:id="597" w:name="F27188939"/>
      <w:r w:rsidRPr="00453F25">
        <w:rPr>
          <w:lang w:val="ru-RU"/>
        </w:rPr>
        <w:t xml:space="preserve">При хеджировании денежных потоков применительно к нетто-позиции, </w:t>
      </w:r>
      <w:r w:rsidR="00A34BF4" w:rsidRPr="00453F25">
        <w:rPr>
          <w:lang w:val="ru-RU"/>
        </w:rPr>
        <w:t>определяемые</w:t>
      </w:r>
      <w:r w:rsidRPr="00453F25">
        <w:rPr>
          <w:lang w:val="ru-RU"/>
        </w:rPr>
        <w:t xml:space="preserve"> в соответствии с пунктом 6.5.11 суммы должны включать в себя те изменения стоимости объектов в составе данной нетто-позиции, которые имеют эффект, аналогичный эффекту инструмента хеджирования, в сочетании с изменением справедливой стоимости инструмента хеджирования. Однако изменения стоимости объектов в составе нетто-позиции, которые имеют эффект, аналогичный эффекту инструмента хеджирования, признаются только в тот момент, когда признаются операции, к которым они относятся, например, в момент, когда произойдет прогнозируемая продажа и будет признана соответствующая выручка. Например, организация прогнозирует с высокой степенью вероятности несколько продаж, </w:t>
      </w:r>
      <w:r w:rsidR="00A34BF4" w:rsidRPr="00453F25">
        <w:rPr>
          <w:lang w:val="ru-RU"/>
        </w:rPr>
        <w:t>подлежащих осуществлению</w:t>
      </w:r>
      <w:r w:rsidRPr="00453F25">
        <w:rPr>
          <w:lang w:val="ru-RU"/>
        </w:rPr>
        <w:t xml:space="preserve"> через девять месяцев на сумму 100 </w:t>
      </w:r>
      <w:r w:rsidR="00730672">
        <w:rPr>
          <w:lang w:val="ru-RU"/>
        </w:rPr>
        <w:t>д. е.</w:t>
      </w:r>
      <w:r w:rsidRPr="00453F25">
        <w:rPr>
          <w:lang w:val="ru-RU"/>
        </w:rPr>
        <w:t xml:space="preserve"> в иностранной валюте, и нескольких закупок, подлежащих осуществлению через 18 месяцев на сумму 120 </w:t>
      </w:r>
      <w:r w:rsidR="00730672">
        <w:rPr>
          <w:lang w:val="ru-RU"/>
        </w:rPr>
        <w:t>д. е.</w:t>
      </w:r>
      <w:r w:rsidRPr="00453F25">
        <w:rPr>
          <w:lang w:val="ru-RU"/>
        </w:rPr>
        <w:t xml:space="preserve"> в иностранной валюте. Организация хеджирует валютный риск по нетто-позиции в размере 20 </w:t>
      </w:r>
      <w:r w:rsidR="00730672">
        <w:rPr>
          <w:lang w:val="ru-RU"/>
        </w:rPr>
        <w:t>д. е.</w:t>
      </w:r>
      <w:r w:rsidRPr="00453F25">
        <w:rPr>
          <w:lang w:val="ru-RU"/>
        </w:rPr>
        <w:t xml:space="preserve"> в иностранной валюте с помощью форвардного валютного договора на 20 </w:t>
      </w:r>
      <w:r w:rsidR="00730672">
        <w:rPr>
          <w:lang w:val="ru-RU"/>
        </w:rPr>
        <w:t>д. е.</w:t>
      </w:r>
      <w:r w:rsidRPr="00453F25">
        <w:rPr>
          <w:lang w:val="ru-RU"/>
        </w:rPr>
        <w:t xml:space="preserve"> в иностранной валюте. При определении тех сумм, которые будут признаны в резерве хеджирования денежных потоков в соответствии с пунктами 6.5.11(</w:t>
      </w:r>
      <w:r w:rsidRPr="00453F25">
        <w:t>a</w:t>
      </w:r>
      <w:r w:rsidRPr="00453F25">
        <w:rPr>
          <w:lang w:val="ru-RU"/>
        </w:rPr>
        <w:t>)–6.5.11(</w:t>
      </w:r>
      <w:r w:rsidRPr="00453F25">
        <w:t>b</w:t>
      </w:r>
      <w:r w:rsidRPr="00453F25">
        <w:rPr>
          <w:lang w:val="ru-RU"/>
        </w:rPr>
        <w:t>), организация сравнивает:</w:t>
      </w:r>
      <w:bookmarkEnd w:id="597"/>
    </w:p>
    <w:p w:rsidR="009D262F" w:rsidRPr="00453F25" w:rsidRDefault="009D262F" w:rsidP="009D262F">
      <w:pPr>
        <w:pStyle w:val="IASBNormalnparaL1"/>
        <w:rPr>
          <w:lang w:val="ru-RU"/>
        </w:rPr>
      </w:pPr>
      <w:r w:rsidRPr="00453F25">
        <w:rPr>
          <w:lang w:val="ru-RU"/>
        </w:rPr>
        <w:t>(</w:t>
      </w:r>
      <w:r w:rsidRPr="00453F25">
        <w:t>a</w:t>
      </w:r>
      <w:r w:rsidRPr="00453F25">
        <w:rPr>
          <w:lang w:val="ru-RU"/>
        </w:rPr>
        <w:t>)</w:t>
      </w:r>
      <w:r w:rsidRPr="00453F25">
        <w:rPr>
          <w:lang w:val="ru-RU"/>
        </w:rPr>
        <w:tab/>
      </w:r>
      <w:bookmarkStart w:id="598" w:name="F27188942"/>
      <w:r w:rsidRPr="00453F25">
        <w:rPr>
          <w:lang w:val="ru-RU"/>
        </w:rPr>
        <w:t>изменение справедливой стоимости форвардного валютного договора совокупно с изменениями стоимости прогнозируемых с высокой вероятностью продаж, обусловленными валютным риском; и</w:t>
      </w:r>
      <w:bookmarkEnd w:id="598"/>
    </w:p>
    <w:p w:rsidR="009D262F" w:rsidRPr="00453F25" w:rsidRDefault="009D262F" w:rsidP="009D262F">
      <w:pPr>
        <w:pStyle w:val="IASBNormalnparaL1"/>
        <w:rPr>
          <w:lang w:val="ru-RU"/>
        </w:rPr>
      </w:pPr>
      <w:r w:rsidRPr="00453F25">
        <w:rPr>
          <w:lang w:val="ru-RU"/>
        </w:rPr>
        <w:t>(</w:t>
      </w:r>
      <w:r w:rsidRPr="00453F25">
        <w:t>b</w:t>
      </w:r>
      <w:r w:rsidRPr="00453F25">
        <w:rPr>
          <w:lang w:val="ru-RU"/>
        </w:rPr>
        <w:t>)</w:t>
      </w:r>
      <w:r w:rsidRPr="00453F25">
        <w:rPr>
          <w:lang w:val="ru-RU"/>
        </w:rPr>
        <w:tab/>
      </w:r>
      <w:bookmarkStart w:id="599" w:name="F27188944"/>
      <w:r w:rsidRPr="00453F25">
        <w:rPr>
          <w:lang w:val="ru-RU"/>
        </w:rPr>
        <w:t>обусловленные валютным риском изменения стоимости прогнозируемых с очень высокой вероятностью закупок.</w:t>
      </w:r>
      <w:bookmarkEnd w:id="599"/>
    </w:p>
    <w:p w:rsidR="009D262F" w:rsidRPr="00453F25" w:rsidRDefault="009D262F" w:rsidP="009D262F">
      <w:pPr>
        <w:pStyle w:val="IASBNormalnparaP"/>
        <w:rPr>
          <w:lang w:val="ru-RU"/>
        </w:rPr>
      </w:pPr>
      <w:bookmarkStart w:id="600" w:name="F27188945"/>
      <w:r w:rsidRPr="00453F25">
        <w:rPr>
          <w:lang w:val="ru-RU"/>
        </w:rPr>
        <w:t>Однако организация признает суммы, относящиеся к данному форвардному валютному договору, только до тех пор, пока прогнозируемые с высокой степенью вероятностью продажи не будут признаны в финансовой отчетности; в этот момент признаются прибыли или убытки по указанным прогнозируемым операциям (</w:t>
      </w:r>
      <w:r w:rsidR="00730672">
        <w:rPr>
          <w:lang w:val="ru-RU"/>
        </w:rPr>
        <w:t>т. е.</w:t>
      </w:r>
      <w:r w:rsidRPr="00453F25">
        <w:rPr>
          <w:lang w:val="ru-RU"/>
        </w:rPr>
        <w:t xml:space="preserve"> изменение стоимости, обусловленное изменением валютного курса в период между моментом определения по усмотрению организации отношений хеджирования и моментом признания выручки)</w:t>
      </w:r>
      <w:bookmarkEnd w:id="600"/>
      <w:r w:rsidRPr="00453F25">
        <w:rPr>
          <w:lang w:val="ru-RU"/>
        </w:rPr>
        <w:t>.</w:t>
      </w:r>
    </w:p>
    <w:p w:rsidR="001529CA" w:rsidRPr="0049187C" w:rsidRDefault="009D262F" w:rsidP="009D262F">
      <w:pPr>
        <w:pStyle w:val="IASBNormalnpara"/>
        <w:rPr>
          <w:lang w:val="ru-RU"/>
        </w:rPr>
      </w:pPr>
      <w:r w:rsidRPr="00453F25">
        <w:t>B</w:t>
      </w:r>
      <w:r w:rsidRPr="00453F25">
        <w:rPr>
          <w:lang w:val="ru-RU"/>
        </w:rPr>
        <w:t>6.6.10</w:t>
      </w:r>
      <w:r w:rsidRPr="00453F25">
        <w:rPr>
          <w:lang w:val="ru-RU"/>
        </w:rPr>
        <w:tab/>
        <w:t>Аналогичным образом, если бы в примере выше у организации имелась нулевая нетто-позиция, она бы сравнивала обусловленные валютным риском изменения стоимости прогнозируемых с высокой вероятностью продаж и обусловленные валютным риском изменения стоимости прогнозируемых с высокой вероятностью закупок. Однако такие суммы подлежат признанию только в тот момент, когда соответствующие прогнозируемые операции будут признаны в финансовой отчетности</w:t>
      </w:r>
      <w:r w:rsidR="001529CA" w:rsidRPr="0049187C">
        <w:rPr>
          <w:lang w:val="ru-RU"/>
        </w:rPr>
        <w:t>.</w:t>
      </w:r>
      <w:bookmarkEnd w:id="590"/>
    </w:p>
    <w:p w:rsidR="001529CA" w:rsidRPr="0049187C" w:rsidRDefault="009D262F">
      <w:pPr>
        <w:pStyle w:val="IASBSectionTitle3Ind"/>
        <w:rPr>
          <w:lang w:val="ru-RU"/>
        </w:rPr>
      </w:pPr>
      <w:bookmarkStart w:id="601" w:name="F27188958"/>
      <w:r>
        <w:rPr>
          <w:lang w:val="ru-RU"/>
        </w:rPr>
        <w:t>Слои</w:t>
      </w:r>
      <w:r w:rsidR="00267823" w:rsidRPr="0049187C">
        <w:rPr>
          <w:lang w:val="ru-RU"/>
        </w:rPr>
        <w:t xml:space="preserve"> групп объектов, </w:t>
      </w:r>
      <w:r>
        <w:rPr>
          <w:lang w:val="ru-RU"/>
        </w:rPr>
        <w:t>определенные по усмотрению организации</w:t>
      </w:r>
      <w:r w:rsidR="00267823" w:rsidRPr="0049187C">
        <w:rPr>
          <w:lang w:val="ru-RU"/>
        </w:rPr>
        <w:t xml:space="preserve"> в качестве объекта хеджирования</w:t>
      </w:r>
      <w:bookmarkEnd w:id="601"/>
    </w:p>
    <w:p w:rsidR="009D262F" w:rsidRPr="00453F25" w:rsidRDefault="001529CA" w:rsidP="009D262F">
      <w:pPr>
        <w:pStyle w:val="IASBNormalnpara"/>
        <w:rPr>
          <w:lang w:val="ru-RU"/>
        </w:rPr>
      </w:pPr>
      <w:r w:rsidRPr="0049187C">
        <w:rPr>
          <w:lang w:val="ru-RU"/>
        </w:rPr>
        <w:t>B6.6.11</w:t>
      </w:r>
      <w:r w:rsidRPr="0049187C">
        <w:rPr>
          <w:lang w:val="ru-RU"/>
        </w:rPr>
        <w:tab/>
      </w:r>
      <w:bookmarkStart w:id="602" w:name="SL32627045"/>
      <w:bookmarkStart w:id="603" w:name="F27188959"/>
      <w:r w:rsidR="009D262F" w:rsidRPr="00453F25">
        <w:rPr>
          <w:lang w:val="ru-RU"/>
        </w:rPr>
        <w:t xml:space="preserve">По тем же причинам, что указаны в пункте </w:t>
      </w:r>
      <w:r w:rsidR="009D262F" w:rsidRPr="00453F25">
        <w:t>B</w:t>
      </w:r>
      <w:r w:rsidR="009D262F" w:rsidRPr="00453F25">
        <w:rPr>
          <w:lang w:val="ru-RU"/>
        </w:rPr>
        <w:t>6.3.19, определение по усмотрению организации компонентов-слоев групп существующих объектов требует четкой идентификации номинальной стоимости группы объектов, из состава которой определяется хеджируемый компонент-слой.</w:t>
      </w:r>
      <w:bookmarkEnd w:id="603"/>
    </w:p>
    <w:p w:rsidR="001529CA" w:rsidRPr="0049187C" w:rsidRDefault="009D262F" w:rsidP="009D262F">
      <w:pPr>
        <w:pStyle w:val="IASBNormalnpara"/>
        <w:rPr>
          <w:lang w:val="ru-RU"/>
        </w:rPr>
      </w:pPr>
      <w:r w:rsidRPr="00453F25">
        <w:t>B</w:t>
      </w:r>
      <w:r w:rsidRPr="00453F25">
        <w:rPr>
          <w:lang w:val="ru-RU"/>
        </w:rPr>
        <w:t>6.6.12</w:t>
      </w:r>
      <w:r w:rsidRPr="00453F25">
        <w:rPr>
          <w:lang w:val="ru-RU"/>
        </w:rPr>
        <w:tab/>
        <w:t>В конкретные отношения хеджирования могут быть включены слои из нескольких различных групп объектов. Например, при хеджировании нетто-позиции по группе активов и группе обязательств в отношения хеджирования могут быть объединены компонент-слой группы активов и компонент-слой группы обязательств</w:t>
      </w:r>
      <w:r w:rsidR="001529CA" w:rsidRPr="0049187C">
        <w:rPr>
          <w:lang w:val="ru-RU"/>
        </w:rPr>
        <w:t>.</w:t>
      </w:r>
      <w:bookmarkEnd w:id="602"/>
    </w:p>
    <w:p w:rsidR="001529CA" w:rsidRPr="0049187C" w:rsidRDefault="00E23E98">
      <w:pPr>
        <w:pStyle w:val="IASBSectionTitle3Ind"/>
        <w:rPr>
          <w:lang w:val="ru-RU"/>
        </w:rPr>
      </w:pPr>
      <w:bookmarkStart w:id="604" w:name="F27188962"/>
      <w:r w:rsidRPr="0049187C">
        <w:rPr>
          <w:lang w:val="ru-RU"/>
        </w:rPr>
        <w:t>Представление прибылей или убытков по инструменту хеджирования</w:t>
      </w:r>
      <w:bookmarkEnd w:id="604"/>
    </w:p>
    <w:p w:rsidR="003775A6" w:rsidRPr="00453F25" w:rsidRDefault="001529CA" w:rsidP="003775A6">
      <w:pPr>
        <w:pStyle w:val="IASBNormalnpara"/>
        <w:rPr>
          <w:lang w:val="ru-RU"/>
        </w:rPr>
      </w:pPr>
      <w:r w:rsidRPr="0049187C">
        <w:rPr>
          <w:lang w:val="ru-RU"/>
        </w:rPr>
        <w:t>B6.6.13</w:t>
      </w:r>
      <w:r w:rsidRPr="0049187C">
        <w:rPr>
          <w:lang w:val="ru-RU"/>
        </w:rPr>
        <w:tab/>
      </w:r>
      <w:bookmarkStart w:id="605" w:name="SL32627051"/>
      <w:bookmarkStart w:id="606" w:name="F27188963"/>
      <w:r w:rsidR="003775A6" w:rsidRPr="00453F25">
        <w:rPr>
          <w:lang w:val="ru-RU"/>
        </w:rPr>
        <w:t xml:space="preserve">Если объекты хеджируются совместно как единая группа в рамках хеджирования денежных потоков, они могут затрагивать различные статьи в отчете о прибыли или убытке и прочем совокупном доходе. Представление прибылей или убытков от хеджирования в указанном отчете зависит от того, какая это группа объектов. </w:t>
      </w:r>
      <w:bookmarkEnd w:id="606"/>
    </w:p>
    <w:p w:rsidR="003775A6" w:rsidRPr="00453F25" w:rsidRDefault="003775A6" w:rsidP="003775A6">
      <w:pPr>
        <w:pStyle w:val="IASBNormalnpara"/>
        <w:rPr>
          <w:lang w:val="ru-RU"/>
        </w:rPr>
      </w:pPr>
      <w:r w:rsidRPr="00453F25">
        <w:t>B</w:t>
      </w:r>
      <w:r w:rsidRPr="00453F25">
        <w:rPr>
          <w:lang w:val="ru-RU"/>
        </w:rPr>
        <w:t>6.6.14</w:t>
      </w:r>
      <w:r w:rsidRPr="00453F25">
        <w:rPr>
          <w:lang w:val="ru-RU"/>
        </w:rPr>
        <w:tab/>
      </w:r>
      <w:bookmarkStart w:id="607" w:name="F27188964"/>
      <w:r w:rsidRPr="00453F25">
        <w:rPr>
          <w:lang w:val="ru-RU"/>
        </w:rPr>
        <w:t xml:space="preserve">Если в группе объектов отсутствуют взаимно компенсирующие позиции по риску (например, группа валютных расходов, </w:t>
      </w:r>
      <w:r w:rsidR="00A34BF4" w:rsidRPr="00453F25">
        <w:rPr>
          <w:lang w:val="ru-RU"/>
        </w:rPr>
        <w:t>затрагивающих</w:t>
      </w:r>
      <w:r w:rsidRPr="00453F25">
        <w:rPr>
          <w:lang w:val="ru-RU"/>
        </w:rPr>
        <w:t xml:space="preserve"> разные статьи отчета о прибыли или убытке и прочем совокупном доходе, которые хеджируются относительно валютного риска), то реклассифицированные прибыли или убытки по инструменту хеджирования должны быть распределены между статьями, затрагиваемыми соответствующими объектами хеджирования. Такое распределение должно осуществляться на систематической и рациональной основе и не должно приводить к валовому представлению нетто-величины прибылей или убытков по одному инструменту хеджирования. </w:t>
      </w:r>
      <w:bookmarkEnd w:id="607"/>
    </w:p>
    <w:p w:rsidR="003775A6" w:rsidRPr="00453F25" w:rsidRDefault="003775A6" w:rsidP="003775A6">
      <w:pPr>
        <w:pStyle w:val="IASBNormalnpara"/>
        <w:rPr>
          <w:lang w:val="ru-RU"/>
        </w:rPr>
      </w:pPr>
      <w:r w:rsidRPr="00453F25">
        <w:t>B</w:t>
      </w:r>
      <w:r w:rsidRPr="00453F25">
        <w:rPr>
          <w:lang w:val="ru-RU"/>
        </w:rPr>
        <w:t>6.6.15</w:t>
      </w:r>
      <w:r w:rsidRPr="00453F25">
        <w:rPr>
          <w:lang w:val="ru-RU"/>
        </w:rPr>
        <w:tab/>
      </w:r>
      <w:bookmarkStart w:id="608" w:name="F27188965"/>
      <w:r w:rsidRPr="00453F25">
        <w:rPr>
          <w:lang w:val="ru-RU"/>
        </w:rPr>
        <w:t xml:space="preserve">Если в группе объектов присутствуют взаимно компенсирующие позиции по риску (например, группа продаж и расходов, выраженных в иностранной валюте, хеджируемых относительно валютного риска совместно), то организация должна представить прибыли или убытки от хеджирования отдельной статьей в отчете о прибыли или убытке и прочем совокупном доходе. Рассмотрим, например, ситуацию хеджирования валютного риска по нетто-позиции, составленной из продаж на сумму 100 </w:t>
      </w:r>
      <w:r w:rsidR="00730672">
        <w:rPr>
          <w:lang w:val="ru-RU"/>
        </w:rPr>
        <w:t>д. е.</w:t>
      </w:r>
      <w:r w:rsidRPr="00453F25">
        <w:rPr>
          <w:lang w:val="ru-RU"/>
        </w:rPr>
        <w:t xml:space="preserve"> в иностранной валюте и расходов в размере 80 </w:t>
      </w:r>
      <w:r w:rsidR="00730672">
        <w:rPr>
          <w:lang w:val="ru-RU"/>
        </w:rPr>
        <w:t>д. е.</w:t>
      </w:r>
      <w:r w:rsidRPr="00453F25">
        <w:rPr>
          <w:lang w:val="ru-RU"/>
        </w:rPr>
        <w:t xml:space="preserve"> в иностранной валюте, с помощью форвардного валютного договора на 20 </w:t>
      </w:r>
      <w:r w:rsidR="00730672">
        <w:rPr>
          <w:lang w:val="ru-RU"/>
        </w:rPr>
        <w:t>д. е.</w:t>
      </w:r>
      <w:r w:rsidRPr="00453F25">
        <w:rPr>
          <w:lang w:val="ru-RU"/>
        </w:rPr>
        <w:t xml:space="preserve"> в иностранной валюте. Величина прибыли или убытка по форвардному валютному договору, реклассифицируемая из резерва хеджирования денежных потоков в состав прибыли или убытка за период (когда данная нетто-позиция оказывает влияние на прибыль или убыток за период) должна быть представлена отдельной </w:t>
      </w:r>
      <w:r w:rsidR="00A34BF4">
        <w:rPr>
          <w:lang w:val="ru-RU"/>
        </w:rPr>
        <w:t>статьей, а не по статьям, затра</w:t>
      </w:r>
      <w:r w:rsidRPr="00453F25">
        <w:rPr>
          <w:lang w:val="ru-RU"/>
        </w:rPr>
        <w:t>гиваемым</w:t>
      </w:r>
      <w:r w:rsidR="00A34BF4">
        <w:rPr>
          <w:lang w:val="ru-RU"/>
        </w:rPr>
        <w:t xml:space="preserve"> </w:t>
      </w:r>
      <w:r w:rsidRPr="00453F25">
        <w:rPr>
          <w:lang w:val="ru-RU"/>
        </w:rPr>
        <w:t>хеджируемыми продажами и расходами. Более того, если соответствующие продажи будут осуществлены в более раннем периоде, чем расходы, выручка от продаж все равно будет оцениваться по обменному курсу «спот» в соответствии с МСФО (</w:t>
      </w:r>
      <w:r w:rsidRPr="00453F25">
        <w:t>IAS</w:t>
      </w:r>
      <w:r w:rsidRPr="00453F25">
        <w:rPr>
          <w:lang w:val="ru-RU"/>
        </w:rPr>
        <w:t>) 21. Соответствующая величина прибыли или убытка от хеджирования представляется отдельной статьей таким образом, чтобы в прибыли или убытке за период был отражен эффект хеджирования нетто-позиции, с соответствующей корректировкой резерва хеджирования денежных потоков. Когда впоследствии хеджируемые расходы окажут влияние на прибыль или убыток за соответствующий более поздний период, величина прибыли или убытка от хеджирования, ранее признанная в составе резерва хеджирования денежных потоков в результате осуществленных продаж, будет реклассифицирована в состав прибыли или убытка за период и представлена отдельной статьей, отличной от статей, которые включают в себя хеджируемые расходы, оцениваемые по обменному курсу «спот» в соответствии с МСФО (</w:t>
      </w:r>
      <w:r w:rsidRPr="00453F25">
        <w:t>IAS</w:t>
      </w:r>
      <w:r w:rsidRPr="00453F25">
        <w:rPr>
          <w:lang w:val="ru-RU"/>
        </w:rPr>
        <w:t>) 21.</w:t>
      </w:r>
      <w:bookmarkEnd w:id="608"/>
    </w:p>
    <w:p w:rsidR="001529CA" w:rsidRPr="0049187C" w:rsidRDefault="003775A6" w:rsidP="003775A6">
      <w:pPr>
        <w:pStyle w:val="IASBNormalnpara"/>
        <w:rPr>
          <w:lang w:val="ru-RU"/>
        </w:rPr>
      </w:pPr>
      <w:r w:rsidRPr="00453F25">
        <w:t>B</w:t>
      </w:r>
      <w:r w:rsidRPr="00453F25">
        <w:rPr>
          <w:lang w:val="ru-RU"/>
        </w:rPr>
        <w:t>6.6.16</w:t>
      </w:r>
      <w:r w:rsidRPr="00453F25">
        <w:rPr>
          <w:lang w:val="ru-RU"/>
        </w:rPr>
        <w:tab/>
      </w:r>
      <w:bookmarkStart w:id="609" w:name="F27188976"/>
      <w:r w:rsidRPr="00453F25">
        <w:rPr>
          <w:lang w:val="ru-RU"/>
        </w:rPr>
        <w:t>В некоторых видах хеджирования справедливой стоимости цель хеджирования заключается главным образом не в компенсации изменения справедливой стоимости объекта хеджирования, а в преобразовании денежных потоков по объекту хеджирования. Например, организация хеджирует справедливую стоимость долгового инструмента с фиксированной ставкой относительно риска ее изменения, обусловленного изменением процентной ставки, используя для этого процентный своп. Целью осуществляемого организацией хеджирования является преобразование денежных потоков по фиксированной процентной ставке в денежные потоки по плавающей процентной ставке. В рамках учета данных отношений хеджирования эта цель отражается путем начисления чистой суммы процентов по процентному свопу в составе прибыли или убытка за период. В случае хеджирования нетто-позиции (например, нетто-позиции по активу с фиксированной ставкой и обязательству с фиксированной ставкой), указанная начисленная чистая сумма процентов должна быть представлена отдельной статьей в отчете о прибыли или убытке и прочем совокупном доходе. Это делается для того, чтобы избежать развернутого представления нетто-величины прибылей или убытков по одному инструменту в виде компенсирующих друг друга валовых сумм с признанием их в разных статьях отчета (например, такой подход позволяет избежать необходимости развернутого представления нетто-величины поступления процентов по одному процентному свопу в виде валовых сумм процентной выручки и процентных расходов)</w:t>
      </w:r>
      <w:bookmarkEnd w:id="609"/>
      <w:r w:rsidR="001529CA" w:rsidRPr="0049187C">
        <w:rPr>
          <w:lang w:val="ru-RU"/>
        </w:rPr>
        <w:t>.</w:t>
      </w:r>
      <w:bookmarkEnd w:id="605"/>
    </w:p>
    <w:p w:rsidR="00542FA1" w:rsidRPr="00170D8F" w:rsidRDefault="00542FA1" w:rsidP="00542FA1">
      <w:pPr>
        <w:pStyle w:val="IASBSectionTitle1NonInd"/>
        <w:rPr>
          <w:lang w:val="ru-RU"/>
        </w:rPr>
      </w:pPr>
      <w:bookmarkStart w:id="610" w:name="F32627053"/>
      <w:r w:rsidRPr="00170D8F">
        <w:rPr>
          <w:lang w:val="ru-RU"/>
        </w:rPr>
        <w:t xml:space="preserve">Дата вступления </w:t>
      </w:r>
      <w:r w:rsidR="00C25F1D">
        <w:rPr>
          <w:lang w:val="ru-RU"/>
        </w:rPr>
        <w:t>в силу и переходные положения (Г</w:t>
      </w:r>
      <w:r w:rsidRPr="00170D8F">
        <w:rPr>
          <w:lang w:val="ru-RU"/>
        </w:rPr>
        <w:t>лава 7)</w:t>
      </w:r>
    </w:p>
    <w:p w:rsidR="00542FA1" w:rsidRPr="00170D8F" w:rsidRDefault="00C25F1D" w:rsidP="00542FA1">
      <w:pPr>
        <w:pStyle w:val="IASBSectionTitle2Ind"/>
        <w:rPr>
          <w:lang w:val="ru-RU"/>
        </w:rPr>
      </w:pPr>
      <w:r>
        <w:rPr>
          <w:lang w:val="ru-RU"/>
        </w:rPr>
        <w:t>Переходные положения (Р</w:t>
      </w:r>
      <w:r w:rsidR="00542FA1" w:rsidRPr="00170D8F">
        <w:rPr>
          <w:lang w:val="ru-RU"/>
        </w:rPr>
        <w:t>аздел 7.2)</w:t>
      </w:r>
    </w:p>
    <w:p w:rsidR="00542FA1" w:rsidRPr="00170D8F" w:rsidRDefault="00542FA1" w:rsidP="00542FA1">
      <w:pPr>
        <w:pStyle w:val="IASBSectionTitle3Ind"/>
        <w:rPr>
          <w:lang w:val="ru-RU"/>
        </w:rPr>
      </w:pPr>
      <w:r w:rsidRPr="00170D8F">
        <w:rPr>
          <w:lang w:val="ru-RU"/>
        </w:rPr>
        <w:t>Финансовые активы, предназначенные для торговли</w:t>
      </w:r>
    </w:p>
    <w:p w:rsidR="00542FA1" w:rsidRPr="00170D8F" w:rsidRDefault="00542FA1" w:rsidP="00542FA1">
      <w:pPr>
        <w:pStyle w:val="IASBNormalnpara"/>
        <w:rPr>
          <w:lang w:val="ru-RU"/>
        </w:rPr>
      </w:pPr>
      <w:r w:rsidRPr="00170D8F">
        <w:rPr>
          <w:lang w:val="ru-RU"/>
        </w:rPr>
        <w:t>B7.2.1</w:t>
      </w:r>
      <w:r w:rsidRPr="00170D8F">
        <w:rPr>
          <w:lang w:val="ru-RU"/>
        </w:rPr>
        <w:tab/>
        <w:t xml:space="preserve">На дату первоначального применения настоящего стандарта организация должна определить, соответствует ли цель ее бизнес-модели управления финансовыми активами условию, предусмотренному пунктом 4.1.2(a), либо условию, предусмотренному пунктом 4.1.2A(a), или вправе ли она принять решение в отношении финансового актива согласно пункту 5.7.5. Для этих целей организация должна определить, отвечают ли финансовые активы определению предназначенных для торговли, как она решала бы этот вопрос, если бы приобрела эти активы на дату первоначального применения. </w:t>
      </w:r>
    </w:p>
    <w:p w:rsidR="00542FA1" w:rsidRPr="00170D8F" w:rsidRDefault="00542FA1" w:rsidP="00542FA1">
      <w:pPr>
        <w:pStyle w:val="IASBSectionTitle3Ind"/>
        <w:rPr>
          <w:lang w:val="ru-RU"/>
        </w:rPr>
      </w:pPr>
      <w:r w:rsidRPr="00170D8F">
        <w:rPr>
          <w:lang w:val="ru-RU"/>
        </w:rPr>
        <w:t>Обесценение</w:t>
      </w:r>
    </w:p>
    <w:p w:rsidR="00542FA1" w:rsidRPr="00170D8F" w:rsidRDefault="00542FA1" w:rsidP="00542FA1">
      <w:pPr>
        <w:pStyle w:val="IASBNormalnpara"/>
        <w:rPr>
          <w:lang w:val="ru-RU"/>
        </w:rPr>
      </w:pPr>
      <w:r w:rsidRPr="00170D8F">
        <w:rPr>
          <w:lang w:val="ru-RU"/>
        </w:rPr>
        <w:t>B7.2.2</w:t>
      </w:r>
      <w:r w:rsidRPr="00170D8F">
        <w:rPr>
          <w:lang w:val="ru-RU"/>
        </w:rPr>
        <w:tab/>
        <w:t>При переходе организация должна предпринять усилия для приблизительной оценки кредитного риска по финансовому активу, существовавшего в момент его первоначального признания, приняв во внимание всю обоснованную и подтверждаемую ин</w:t>
      </w:r>
      <w:r w:rsidR="00FB7514">
        <w:rPr>
          <w:lang w:val="ru-RU"/>
        </w:rPr>
        <w:t>формацию, доступную</w:t>
      </w:r>
      <w:r w:rsidRPr="00170D8F">
        <w:rPr>
          <w:lang w:val="ru-RU"/>
        </w:rPr>
        <w:t xml:space="preserve"> без чрезмерных затрат или усилий. При решении – на дату перехода – вопроса о том, имело ли место значительное повышение кредитного риска с момента первоначального признания финансового актива, организация не обязана осуществлять исчерпывающий поиск всей возможной информации. Если организация не имеет возможности определить, без чрезмерных затрат или усилий, имело ли место значительное повышение кредитного риска с момента первоначального признания, то применяется пункт 7.2.20.</w:t>
      </w:r>
    </w:p>
    <w:p w:rsidR="00542FA1" w:rsidRPr="00170D8F" w:rsidRDefault="00542FA1" w:rsidP="00542FA1">
      <w:pPr>
        <w:pStyle w:val="IASBNormalnpara"/>
        <w:rPr>
          <w:lang w:val="ru-RU"/>
        </w:rPr>
      </w:pPr>
      <w:r w:rsidRPr="00170D8F">
        <w:rPr>
          <w:lang w:val="ru-RU"/>
        </w:rPr>
        <w:t>B7.2.3</w:t>
      </w:r>
      <w:r w:rsidRPr="00170D8F">
        <w:rPr>
          <w:lang w:val="ru-RU"/>
        </w:rPr>
        <w:tab/>
        <w:t>Чтобы определить оценочный резерв под убытки по финансовым инструментам, дата первоначального признания которых (либо – применительно к договорным обязательствам по предоставлению займов или договорам финансовой гарантии – дата, на которую организация стала стороной по соответствующему договору) наступила до даты первоначального применения настоящего стандарта, организация должна –</w:t>
      </w:r>
      <w:r>
        <w:rPr>
          <w:lang w:val="ru-RU"/>
        </w:rPr>
        <w:t xml:space="preserve"> </w:t>
      </w:r>
      <w:r w:rsidRPr="00170D8F">
        <w:rPr>
          <w:lang w:val="ru-RU"/>
        </w:rPr>
        <w:t>на дату перехода и далее до момента прекращения признания указанных инструментов – анализировать информацию, имеющую значение для определения или приблизительной оценки кредитного риска по состоянию на дату первоначального признания этих инструментов. Для того чтобы определить или приблизительно оценить первоначальный кредитный риск, организация может анализировать внутреннюю и внешнюю информацию, включая информацию по портфелю инструментов, в соответствии с пунктами B5.5.1–B5.5.6.</w:t>
      </w:r>
    </w:p>
    <w:p w:rsidR="001529CA" w:rsidRPr="0049187C" w:rsidRDefault="00542FA1">
      <w:pPr>
        <w:pStyle w:val="IASBNormalnpara"/>
        <w:rPr>
          <w:lang w:val="ru-RU"/>
        </w:rPr>
      </w:pPr>
      <w:r w:rsidRPr="00170D8F">
        <w:rPr>
          <w:lang w:val="ru-RU"/>
        </w:rPr>
        <w:t>B7.2.4</w:t>
      </w:r>
      <w:r w:rsidRPr="00170D8F">
        <w:rPr>
          <w:lang w:val="ru-RU"/>
        </w:rPr>
        <w:tab/>
        <w:t>Организация, имеющая недостаточно информации за прошлые периоды, может использовать информацию из внутренних отчетов и статистические данные (которые могли быть подготовлены при решении вопроса о том, следует ли запускать новый продукт), информацию об аналогичных продуктах или опыт других организаций того же уровня в отношении сопоставимых финансовых инструментов, если уместно</w:t>
      </w:r>
      <w:bookmarkStart w:id="611" w:name="F32627069"/>
      <w:bookmarkEnd w:id="610"/>
      <w:r w:rsidR="001529CA" w:rsidRPr="0049187C">
        <w:rPr>
          <w:lang w:val="ru-RU"/>
        </w:rPr>
        <w:t>.</w:t>
      </w:r>
      <w:bookmarkEnd w:id="611"/>
    </w:p>
    <w:p w:rsidR="001529CA" w:rsidRPr="0049187C" w:rsidRDefault="006C30F0">
      <w:pPr>
        <w:pStyle w:val="IASBSectionTitle1NonInd"/>
        <w:rPr>
          <w:lang w:val="ru-RU"/>
        </w:rPr>
      </w:pPr>
      <w:bookmarkStart w:id="612" w:name="F32627073"/>
      <w:r w:rsidRPr="0049187C">
        <w:rPr>
          <w:lang w:val="ru-RU"/>
        </w:rPr>
        <w:t>Определения</w:t>
      </w:r>
      <w:r w:rsidR="001529CA" w:rsidRPr="0049187C">
        <w:rPr>
          <w:lang w:val="ru-RU"/>
        </w:rPr>
        <w:t xml:space="preserve"> (</w:t>
      </w:r>
      <w:r w:rsidRPr="0049187C">
        <w:rPr>
          <w:lang w:val="ru-RU"/>
        </w:rPr>
        <w:t>Приложение</w:t>
      </w:r>
      <w:r w:rsidR="001529CA" w:rsidRPr="0049187C">
        <w:rPr>
          <w:lang w:val="ru-RU"/>
        </w:rPr>
        <w:t xml:space="preserve"> A)</w:t>
      </w:r>
      <w:bookmarkEnd w:id="612"/>
    </w:p>
    <w:p w:rsidR="001529CA" w:rsidRPr="0049187C" w:rsidRDefault="006C30F0">
      <w:pPr>
        <w:pStyle w:val="IASBSectionTitle2Ind"/>
        <w:rPr>
          <w:lang w:val="ru-RU"/>
        </w:rPr>
      </w:pPr>
      <w:r w:rsidRPr="0049187C">
        <w:rPr>
          <w:lang w:val="ru-RU"/>
        </w:rPr>
        <w:t>Производные инструменты</w:t>
      </w:r>
    </w:p>
    <w:p w:rsidR="001529CA" w:rsidRPr="0049187C" w:rsidRDefault="001529CA">
      <w:pPr>
        <w:pStyle w:val="IASBNormalnpara"/>
        <w:rPr>
          <w:lang w:val="ru-RU"/>
        </w:rPr>
      </w:pPr>
      <w:r w:rsidRPr="0049187C">
        <w:rPr>
          <w:lang w:val="ru-RU"/>
        </w:rPr>
        <w:t>BA.1</w:t>
      </w:r>
      <w:r w:rsidRPr="0049187C">
        <w:rPr>
          <w:lang w:val="ru-RU"/>
        </w:rPr>
        <w:tab/>
      </w:r>
      <w:bookmarkStart w:id="613" w:name="F32627080"/>
      <w:r w:rsidR="007D6AD7" w:rsidRPr="0049187C">
        <w:rPr>
          <w:lang w:val="ru-RU"/>
        </w:rPr>
        <w:t xml:space="preserve">Типичными примерами производных инструментов являются фьючерсные и форвардные </w:t>
      </w:r>
      <w:r w:rsidR="00C13DD3">
        <w:rPr>
          <w:lang w:val="ru-RU"/>
        </w:rPr>
        <w:t>договоры</w:t>
      </w:r>
      <w:r w:rsidR="007D6AD7" w:rsidRPr="0049187C">
        <w:rPr>
          <w:lang w:val="ru-RU"/>
        </w:rPr>
        <w:t>, договоры «своп» и договоры опциона</w:t>
      </w:r>
      <w:r w:rsidRPr="0049187C">
        <w:rPr>
          <w:lang w:val="ru-RU"/>
        </w:rPr>
        <w:t xml:space="preserve">. </w:t>
      </w:r>
      <w:r w:rsidR="00AC2235" w:rsidRPr="0049187C">
        <w:rPr>
          <w:lang w:val="ru-RU"/>
        </w:rPr>
        <w:t>Производный инструмент обычно имеет</w:t>
      </w:r>
      <w:r w:rsidR="00AA3A19" w:rsidRPr="0049187C">
        <w:rPr>
          <w:lang w:val="ru-RU"/>
        </w:rPr>
        <w:t xml:space="preserve"> </w:t>
      </w:r>
      <w:r w:rsidR="004E1DC5" w:rsidRPr="0049187C">
        <w:rPr>
          <w:lang w:val="ru-RU"/>
        </w:rPr>
        <w:t>номинальн</w:t>
      </w:r>
      <w:r w:rsidR="004E1DC5">
        <w:rPr>
          <w:lang w:val="ru-RU"/>
        </w:rPr>
        <w:t>ую</w:t>
      </w:r>
      <w:r w:rsidR="004E1DC5" w:rsidRPr="0049187C">
        <w:rPr>
          <w:lang w:val="ru-RU"/>
        </w:rPr>
        <w:t xml:space="preserve"> </w:t>
      </w:r>
      <w:r w:rsidR="004E1DC5">
        <w:rPr>
          <w:lang w:val="ru-RU"/>
        </w:rPr>
        <w:t>сумму</w:t>
      </w:r>
      <w:r w:rsidR="00AA3A19" w:rsidRPr="0049187C">
        <w:rPr>
          <w:lang w:val="ru-RU"/>
        </w:rPr>
        <w:t xml:space="preserve">, </w:t>
      </w:r>
      <w:r w:rsidR="004E1DC5" w:rsidRPr="0049187C">
        <w:rPr>
          <w:lang w:val="ru-RU"/>
        </w:rPr>
        <w:t>котор</w:t>
      </w:r>
      <w:r w:rsidR="004E1DC5">
        <w:rPr>
          <w:lang w:val="ru-RU"/>
        </w:rPr>
        <w:t>ая</w:t>
      </w:r>
      <w:r w:rsidR="004E1DC5" w:rsidRPr="0049187C">
        <w:rPr>
          <w:lang w:val="ru-RU"/>
        </w:rPr>
        <w:t xml:space="preserve"> </w:t>
      </w:r>
      <w:r w:rsidR="00AA3A19" w:rsidRPr="0049187C">
        <w:rPr>
          <w:lang w:val="ru-RU"/>
        </w:rPr>
        <w:t>представл</w:t>
      </w:r>
      <w:r w:rsidR="004E1DC5">
        <w:rPr>
          <w:lang w:val="ru-RU"/>
        </w:rPr>
        <w:t>яет собой</w:t>
      </w:r>
      <w:r w:rsidR="00AC2235" w:rsidRPr="0049187C">
        <w:rPr>
          <w:lang w:val="ru-RU"/>
        </w:rPr>
        <w:t xml:space="preserve"> сумм</w:t>
      </w:r>
      <w:r w:rsidR="004E1DC5">
        <w:rPr>
          <w:lang w:val="ru-RU"/>
        </w:rPr>
        <w:t>у</w:t>
      </w:r>
      <w:r w:rsidR="00AC2235" w:rsidRPr="0049187C">
        <w:rPr>
          <w:lang w:val="ru-RU"/>
        </w:rPr>
        <w:t xml:space="preserve"> валюты, количество акций, количество единиц веса или объема либо </w:t>
      </w:r>
      <w:r w:rsidR="004E1DC5" w:rsidRPr="0049187C">
        <w:rPr>
          <w:lang w:val="ru-RU"/>
        </w:rPr>
        <w:t>прочи</w:t>
      </w:r>
      <w:r w:rsidR="004E1DC5">
        <w:rPr>
          <w:lang w:val="ru-RU"/>
        </w:rPr>
        <w:t>е</w:t>
      </w:r>
      <w:r w:rsidR="004E1DC5" w:rsidRPr="0049187C">
        <w:rPr>
          <w:lang w:val="ru-RU"/>
        </w:rPr>
        <w:t xml:space="preserve"> </w:t>
      </w:r>
      <w:r w:rsidR="00AC2235" w:rsidRPr="0049187C">
        <w:rPr>
          <w:lang w:val="ru-RU"/>
        </w:rPr>
        <w:t>единиц</w:t>
      </w:r>
      <w:r w:rsidR="004E1DC5">
        <w:rPr>
          <w:lang w:val="ru-RU"/>
        </w:rPr>
        <w:t>ы</w:t>
      </w:r>
      <w:r w:rsidR="00AC2235" w:rsidRPr="0049187C">
        <w:rPr>
          <w:lang w:val="ru-RU"/>
        </w:rPr>
        <w:t xml:space="preserve">, </w:t>
      </w:r>
      <w:r w:rsidR="004E1DC5" w:rsidRPr="0049187C">
        <w:rPr>
          <w:lang w:val="ru-RU"/>
        </w:rPr>
        <w:t>указанны</w:t>
      </w:r>
      <w:r w:rsidR="004E1DC5">
        <w:rPr>
          <w:lang w:val="ru-RU"/>
        </w:rPr>
        <w:t>е</w:t>
      </w:r>
      <w:r w:rsidR="004E1DC5" w:rsidRPr="0049187C">
        <w:rPr>
          <w:lang w:val="ru-RU"/>
        </w:rPr>
        <w:t xml:space="preserve"> </w:t>
      </w:r>
      <w:r w:rsidR="00AC2235" w:rsidRPr="0049187C">
        <w:rPr>
          <w:lang w:val="ru-RU"/>
        </w:rPr>
        <w:t>в договоре</w:t>
      </w:r>
      <w:r w:rsidRPr="0049187C">
        <w:rPr>
          <w:lang w:val="ru-RU"/>
        </w:rPr>
        <w:t xml:space="preserve">. </w:t>
      </w:r>
      <w:r w:rsidR="00AC2235" w:rsidRPr="0049187C">
        <w:rPr>
          <w:lang w:val="ru-RU"/>
        </w:rPr>
        <w:t xml:space="preserve">Однако производный инструмент не требует от </w:t>
      </w:r>
      <w:r w:rsidR="00284B66" w:rsidRPr="0049187C">
        <w:rPr>
          <w:lang w:val="ru-RU"/>
        </w:rPr>
        <w:t>держателя</w:t>
      </w:r>
      <w:r w:rsidR="00AC2235" w:rsidRPr="0049187C">
        <w:rPr>
          <w:lang w:val="ru-RU"/>
        </w:rPr>
        <w:t xml:space="preserve"> либо выпускающей </w:t>
      </w:r>
      <w:r w:rsidR="00D321C9">
        <w:rPr>
          <w:lang w:val="ru-RU"/>
        </w:rPr>
        <w:t xml:space="preserve">его </w:t>
      </w:r>
      <w:r w:rsidR="00AC2235" w:rsidRPr="0049187C">
        <w:rPr>
          <w:lang w:val="ru-RU"/>
        </w:rPr>
        <w:t xml:space="preserve">стороны инвестирования или получения </w:t>
      </w:r>
      <w:r w:rsidR="00D321C9" w:rsidRPr="0049187C">
        <w:rPr>
          <w:lang w:val="ru-RU"/>
        </w:rPr>
        <w:t>номинально</w:t>
      </w:r>
      <w:r w:rsidR="00D321C9">
        <w:rPr>
          <w:lang w:val="ru-RU"/>
        </w:rPr>
        <w:t>й</w:t>
      </w:r>
      <w:r w:rsidR="00D321C9" w:rsidRPr="0049187C">
        <w:rPr>
          <w:lang w:val="ru-RU"/>
        </w:rPr>
        <w:t xml:space="preserve"> </w:t>
      </w:r>
      <w:r w:rsidR="00D321C9">
        <w:rPr>
          <w:lang w:val="ru-RU"/>
        </w:rPr>
        <w:t>суммы</w:t>
      </w:r>
      <w:r w:rsidR="00D321C9" w:rsidRPr="0049187C">
        <w:rPr>
          <w:lang w:val="ru-RU"/>
        </w:rPr>
        <w:t xml:space="preserve"> </w:t>
      </w:r>
      <w:r w:rsidR="00AC2235" w:rsidRPr="0049187C">
        <w:rPr>
          <w:lang w:val="ru-RU"/>
        </w:rPr>
        <w:t xml:space="preserve">в </w:t>
      </w:r>
      <w:r w:rsidR="00AA3A19" w:rsidRPr="0049187C">
        <w:rPr>
          <w:lang w:val="ru-RU"/>
        </w:rPr>
        <w:t>момент заключения договора</w:t>
      </w:r>
      <w:r w:rsidR="00AC2235" w:rsidRPr="0049187C">
        <w:rPr>
          <w:lang w:val="ru-RU"/>
        </w:rPr>
        <w:t xml:space="preserve">. В качестве альтернативы производный инструмент может требовать выплаты либо </w:t>
      </w:r>
      <w:r w:rsidR="00D321C9">
        <w:rPr>
          <w:lang w:val="ru-RU"/>
        </w:rPr>
        <w:t xml:space="preserve">фиксированной суммы, либо </w:t>
      </w:r>
      <w:r w:rsidR="00AC2235" w:rsidRPr="0049187C">
        <w:rPr>
          <w:lang w:val="ru-RU"/>
        </w:rPr>
        <w:t xml:space="preserve">суммы, которая может </w:t>
      </w:r>
      <w:r w:rsidR="00D321C9" w:rsidRPr="0049187C">
        <w:rPr>
          <w:lang w:val="ru-RU"/>
        </w:rPr>
        <w:t>измен</w:t>
      </w:r>
      <w:r w:rsidR="00D321C9">
        <w:rPr>
          <w:lang w:val="ru-RU"/>
        </w:rPr>
        <w:t>и</w:t>
      </w:r>
      <w:r w:rsidR="00D321C9" w:rsidRPr="0049187C">
        <w:rPr>
          <w:lang w:val="ru-RU"/>
        </w:rPr>
        <w:t xml:space="preserve">ться </w:t>
      </w:r>
      <w:r w:rsidR="00AC2235" w:rsidRPr="0049187C">
        <w:rPr>
          <w:lang w:val="ru-RU"/>
        </w:rPr>
        <w:t>в результате некоторого будущего события</w:t>
      </w:r>
      <w:r w:rsidR="00D321C9">
        <w:rPr>
          <w:lang w:val="ru-RU"/>
        </w:rPr>
        <w:t xml:space="preserve"> </w:t>
      </w:r>
      <w:r w:rsidR="00D321C9" w:rsidRPr="0049187C">
        <w:rPr>
          <w:lang w:val="ru-RU"/>
        </w:rPr>
        <w:t>(но не пропорционально изменению базисной переменной)</w:t>
      </w:r>
      <w:r w:rsidR="00AC2235" w:rsidRPr="0049187C">
        <w:rPr>
          <w:lang w:val="ru-RU"/>
        </w:rPr>
        <w:t xml:space="preserve">, </w:t>
      </w:r>
      <w:r w:rsidR="00D321C9" w:rsidRPr="0049187C">
        <w:rPr>
          <w:lang w:val="ru-RU"/>
        </w:rPr>
        <w:t>котор</w:t>
      </w:r>
      <w:r w:rsidR="00D321C9">
        <w:rPr>
          <w:lang w:val="ru-RU"/>
        </w:rPr>
        <w:t>ые</w:t>
      </w:r>
      <w:r w:rsidR="00D321C9" w:rsidRPr="0049187C">
        <w:rPr>
          <w:lang w:val="ru-RU"/>
        </w:rPr>
        <w:t xml:space="preserve"> </w:t>
      </w:r>
      <w:r w:rsidR="00AC2235" w:rsidRPr="0049187C">
        <w:rPr>
          <w:lang w:val="ru-RU"/>
        </w:rPr>
        <w:t xml:space="preserve">не </w:t>
      </w:r>
      <w:r w:rsidR="00D321C9" w:rsidRPr="0049187C">
        <w:rPr>
          <w:lang w:val="ru-RU"/>
        </w:rPr>
        <w:t>связан</w:t>
      </w:r>
      <w:r w:rsidR="00D321C9">
        <w:rPr>
          <w:lang w:val="ru-RU"/>
        </w:rPr>
        <w:t>ы</w:t>
      </w:r>
      <w:r w:rsidR="00D321C9" w:rsidRPr="0049187C">
        <w:rPr>
          <w:lang w:val="ru-RU"/>
        </w:rPr>
        <w:t xml:space="preserve"> </w:t>
      </w:r>
      <w:r w:rsidR="00AC2235" w:rsidRPr="0049187C">
        <w:rPr>
          <w:lang w:val="ru-RU"/>
        </w:rPr>
        <w:t xml:space="preserve">с </w:t>
      </w:r>
      <w:r w:rsidR="00D321C9" w:rsidRPr="0049187C">
        <w:rPr>
          <w:lang w:val="ru-RU"/>
        </w:rPr>
        <w:t>номинальн</w:t>
      </w:r>
      <w:r w:rsidR="00D321C9">
        <w:rPr>
          <w:lang w:val="ru-RU"/>
        </w:rPr>
        <w:t>ой</w:t>
      </w:r>
      <w:r w:rsidR="00D321C9" w:rsidRPr="0049187C">
        <w:rPr>
          <w:lang w:val="ru-RU"/>
        </w:rPr>
        <w:t xml:space="preserve"> </w:t>
      </w:r>
      <w:r w:rsidR="00D321C9">
        <w:rPr>
          <w:lang w:val="ru-RU"/>
        </w:rPr>
        <w:t>суммой</w:t>
      </w:r>
      <w:r w:rsidRPr="0049187C">
        <w:rPr>
          <w:lang w:val="ru-RU"/>
        </w:rPr>
        <w:t xml:space="preserve">. </w:t>
      </w:r>
      <w:r w:rsidR="00AC2235" w:rsidRPr="0049187C">
        <w:rPr>
          <w:lang w:val="ru-RU"/>
        </w:rPr>
        <w:t xml:space="preserve">Например, договор может требовать фиксированной выплаты в размере 1 000 д. е. в случае увеличения шестимесячной ставки </w:t>
      </w:r>
      <w:r w:rsidRPr="0049187C">
        <w:rPr>
          <w:lang w:val="ru-RU"/>
        </w:rPr>
        <w:t xml:space="preserve">LIBOR </w:t>
      </w:r>
      <w:r w:rsidR="00AC2235" w:rsidRPr="0049187C">
        <w:rPr>
          <w:lang w:val="ru-RU"/>
        </w:rPr>
        <w:t>на</w:t>
      </w:r>
      <w:r w:rsidRPr="0049187C">
        <w:rPr>
          <w:lang w:val="ru-RU"/>
        </w:rPr>
        <w:t xml:space="preserve"> 100 </w:t>
      </w:r>
      <w:r w:rsidR="00AC2235" w:rsidRPr="0049187C">
        <w:rPr>
          <w:lang w:val="ru-RU"/>
        </w:rPr>
        <w:t>базисных пунктов</w:t>
      </w:r>
      <w:r w:rsidRPr="0049187C">
        <w:rPr>
          <w:lang w:val="ru-RU"/>
        </w:rPr>
        <w:t xml:space="preserve">. </w:t>
      </w:r>
      <w:r w:rsidR="009F1579" w:rsidRPr="0049187C">
        <w:rPr>
          <w:lang w:val="ru-RU"/>
        </w:rPr>
        <w:t xml:space="preserve">Такой договор является производным инструментом, даже несмотря на то, что </w:t>
      </w:r>
      <w:r w:rsidR="00D321C9" w:rsidRPr="0049187C">
        <w:rPr>
          <w:lang w:val="ru-RU"/>
        </w:rPr>
        <w:t>номинальн</w:t>
      </w:r>
      <w:r w:rsidR="00D321C9">
        <w:rPr>
          <w:lang w:val="ru-RU"/>
        </w:rPr>
        <w:t>ая</w:t>
      </w:r>
      <w:r w:rsidR="00D321C9" w:rsidRPr="0049187C">
        <w:rPr>
          <w:lang w:val="ru-RU"/>
        </w:rPr>
        <w:t xml:space="preserve"> </w:t>
      </w:r>
      <w:r w:rsidR="00D321C9">
        <w:rPr>
          <w:lang w:val="ru-RU"/>
        </w:rPr>
        <w:t>сумма</w:t>
      </w:r>
      <w:r w:rsidR="00D321C9" w:rsidRPr="0049187C">
        <w:rPr>
          <w:lang w:val="ru-RU"/>
        </w:rPr>
        <w:t xml:space="preserve"> </w:t>
      </w:r>
      <w:r w:rsidR="00AA3A19" w:rsidRPr="0049187C">
        <w:rPr>
          <w:lang w:val="ru-RU"/>
        </w:rPr>
        <w:t xml:space="preserve">не </w:t>
      </w:r>
      <w:r w:rsidR="00D321C9">
        <w:rPr>
          <w:lang w:val="ru-RU"/>
        </w:rPr>
        <w:t>определена</w:t>
      </w:r>
      <w:r w:rsidRPr="0049187C">
        <w:rPr>
          <w:lang w:val="ru-RU"/>
        </w:rPr>
        <w:t>.</w:t>
      </w:r>
      <w:bookmarkEnd w:id="613"/>
    </w:p>
    <w:p w:rsidR="001529CA" w:rsidRPr="0049187C" w:rsidRDefault="001529CA">
      <w:pPr>
        <w:pStyle w:val="IASBNormalnpara"/>
        <w:rPr>
          <w:lang w:val="ru-RU"/>
        </w:rPr>
      </w:pPr>
      <w:r w:rsidRPr="0049187C">
        <w:rPr>
          <w:lang w:val="ru-RU"/>
        </w:rPr>
        <w:t>BA.2</w:t>
      </w:r>
      <w:r w:rsidRPr="0049187C">
        <w:rPr>
          <w:lang w:val="ru-RU"/>
        </w:rPr>
        <w:tab/>
      </w:r>
      <w:bookmarkStart w:id="614" w:name="SL32627081"/>
      <w:r w:rsidR="009F1579" w:rsidRPr="0049187C">
        <w:rPr>
          <w:lang w:val="ru-RU"/>
        </w:rPr>
        <w:t>Определение производного инструмента в настоящем стандарте включает в себя договоры с расчетами на валовой основе путем поставки базисной статьи</w:t>
      </w:r>
      <w:r w:rsidRPr="0049187C">
        <w:rPr>
          <w:lang w:val="ru-RU"/>
        </w:rPr>
        <w:t xml:space="preserve"> (</w:t>
      </w:r>
      <w:r w:rsidR="00C13DD3">
        <w:rPr>
          <w:lang w:val="ru-RU"/>
        </w:rPr>
        <w:t>например, форвардный договор</w:t>
      </w:r>
      <w:r w:rsidR="009F1579" w:rsidRPr="0049187C">
        <w:rPr>
          <w:lang w:val="ru-RU"/>
        </w:rPr>
        <w:t xml:space="preserve"> на покупку долгового инструмента с фиксированной процентной ставкой</w:t>
      </w:r>
      <w:r w:rsidRPr="0049187C">
        <w:rPr>
          <w:lang w:val="ru-RU"/>
        </w:rPr>
        <w:t xml:space="preserve">). </w:t>
      </w:r>
      <w:r w:rsidR="009F1579" w:rsidRPr="0049187C">
        <w:rPr>
          <w:lang w:val="ru-RU"/>
        </w:rPr>
        <w:t xml:space="preserve">У организации может быть договор на </w:t>
      </w:r>
      <w:r w:rsidR="00264E7C">
        <w:rPr>
          <w:lang w:val="ru-RU"/>
        </w:rPr>
        <w:t>покупку или продажу нефинансового</w:t>
      </w:r>
      <w:r w:rsidR="009F1579" w:rsidRPr="0049187C">
        <w:rPr>
          <w:lang w:val="ru-RU"/>
        </w:rPr>
        <w:t xml:space="preserve"> </w:t>
      </w:r>
      <w:r w:rsidR="00264E7C">
        <w:rPr>
          <w:lang w:val="ru-RU"/>
        </w:rPr>
        <w:t>объекта</w:t>
      </w:r>
      <w:r w:rsidR="00C620D6">
        <w:rPr>
          <w:lang w:val="ru-RU"/>
        </w:rPr>
        <w:t>, который может быть урегулирован</w:t>
      </w:r>
      <w:r w:rsidR="009F1579" w:rsidRPr="0049187C">
        <w:rPr>
          <w:lang w:val="ru-RU"/>
        </w:rPr>
        <w:t xml:space="preserve"> на нетто-основе</w:t>
      </w:r>
      <w:r w:rsidRPr="0049187C">
        <w:rPr>
          <w:lang w:val="ru-RU"/>
        </w:rPr>
        <w:t xml:space="preserve"> </w:t>
      </w:r>
      <w:r w:rsidR="00C620D6">
        <w:rPr>
          <w:lang w:val="ru-RU"/>
        </w:rPr>
        <w:t>денежными средствами или иным</w:t>
      </w:r>
      <w:r w:rsidR="009F1579" w:rsidRPr="0049187C">
        <w:rPr>
          <w:lang w:val="ru-RU"/>
        </w:rPr>
        <w:t xml:space="preserve"> финансовым инструментом либо </w:t>
      </w:r>
      <w:r w:rsidR="00C620D6">
        <w:rPr>
          <w:lang w:val="ru-RU"/>
        </w:rPr>
        <w:t>путем</w:t>
      </w:r>
      <w:r w:rsidR="009F1579" w:rsidRPr="0049187C">
        <w:rPr>
          <w:lang w:val="ru-RU"/>
        </w:rPr>
        <w:t xml:space="preserve"> обмена финансовыми инструментами (например, договор на покупку или продажу товара по фиксированной цене на будущую дату</w:t>
      </w:r>
      <w:r w:rsidRPr="0049187C">
        <w:rPr>
          <w:lang w:val="ru-RU"/>
        </w:rPr>
        <w:t xml:space="preserve">). </w:t>
      </w:r>
      <w:r w:rsidR="009F1579" w:rsidRPr="0049187C">
        <w:rPr>
          <w:lang w:val="ru-RU"/>
        </w:rPr>
        <w:t xml:space="preserve">Такой договор </w:t>
      </w:r>
      <w:r w:rsidR="009F4F5B" w:rsidRPr="0049187C">
        <w:rPr>
          <w:lang w:val="ru-RU"/>
        </w:rPr>
        <w:t>относится к</w:t>
      </w:r>
      <w:r w:rsidR="009F1579" w:rsidRPr="0049187C">
        <w:rPr>
          <w:lang w:val="ru-RU"/>
        </w:rPr>
        <w:t xml:space="preserve"> сфер</w:t>
      </w:r>
      <w:r w:rsidR="009F4F5B" w:rsidRPr="0049187C">
        <w:rPr>
          <w:lang w:val="ru-RU"/>
        </w:rPr>
        <w:t>е</w:t>
      </w:r>
      <w:r w:rsidR="009F1579" w:rsidRPr="0049187C">
        <w:rPr>
          <w:lang w:val="ru-RU"/>
        </w:rPr>
        <w:t xml:space="preserve"> применения настоящего стандарта</w:t>
      </w:r>
      <w:r w:rsidR="004114F4">
        <w:rPr>
          <w:lang w:val="ru-RU"/>
        </w:rPr>
        <w:t>,</w:t>
      </w:r>
      <w:r w:rsidR="009F1579" w:rsidRPr="0049187C">
        <w:rPr>
          <w:lang w:val="ru-RU"/>
        </w:rPr>
        <w:t xml:space="preserve"> за исключением случаев, когда он был заключен и продолжает удерживать</w:t>
      </w:r>
      <w:r w:rsidR="00C620D6">
        <w:rPr>
          <w:lang w:val="ru-RU"/>
        </w:rPr>
        <w:t>ся в</w:t>
      </w:r>
      <w:r w:rsidR="00264E7C">
        <w:rPr>
          <w:lang w:val="ru-RU"/>
        </w:rPr>
        <w:t xml:space="preserve"> </w:t>
      </w:r>
      <w:r w:rsidR="00C620D6">
        <w:rPr>
          <w:lang w:val="ru-RU"/>
        </w:rPr>
        <w:t>целях</w:t>
      </w:r>
      <w:r w:rsidR="00264E7C">
        <w:rPr>
          <w:lang w:val="ru-RU"/>
        </w:rPr>
        <w:t xml:space="preserve"> поставки нефинансового</w:t>
      </w:r>
      <w:r w:rsidR="009F1579" w:rsidRPr="0049187C">
        <w:rPr>
          <w:lang w:val="ru-RU"/>
        </w:rPr>
        <w:t xml:space="preserve"> </w:t>
      </w:r>
      <w:r w:rsidR="00264E7C">
        <w:rPr>
          <w:lang w:val="ru-RU"/>
        </w:rPr>
        <w:t>объекта</w:t>
      </w:r>
      <w:r w:rsidR="009F1579" w:rsidRPr="0049187C">
        <w:rPr>
          <w:lang w:val="ru-RU"/>
        </w:rPr>
        <w:t xml:space="preserve"> в соответствии с ожидаемыми потребностями организации в закупках, продажах или </w:t>
      </w:r>
      <w:r w:rsidR="00C620D6">
        <w:rPr>
          <w:lang w:val="ru-RU"/>
        </w:rPr>
        <w:t>использовании</w:t>
      </w:r>
      <w:r w:rsidR="009F1579" w:rsidRPr="0049187C">
        <w:rPr>
          <w:lang w:val="ru-RU"/>
        </w:rPr>
        <w:t xml:space="preserve">. Однако настоящий стандарт применяется к таким договорам в отношении ожидаемых потребностей организации в закупках, продажах или </w:t>
      </w:r>
      <w:r w:rsidR="00C620D6">
        <w:rPr>
          <w:lang w:val="ru-RU"/>
        </w:rPr>
        <w:t>использовании</w:t>
      </w:r>
      <w:r w:rsidR="009F1579" w:rsidRPr="0049187C">
        <w:rPr>
          <w:lang w:val="ru-RU"/>
        </w:rPr>
        <w:t xml:space="preserve">, если организация использует </w:t>
      </w:r>
      <w:r w:rsidR="00057361">
        <w:rPr>
          <w:lang w:val="ru-RU"/>
        </w:rPr>
        <w:t>классификацию по собственному</w:t>
      </w:r>
      <w:r w:rsidR="00CD3637">
        <w:rPr>
          <w:lang w:val="ru-RU"/>
        </w:rPr>
        <w:t xml:space="preserve"> усмотрению</w:t>
      </w:r>
      <w:r w:rsidR="009F1579" w:rsidRPr="0049187C">
        <w:rPr>
          <w:lang w:val="ru-RU"/>
        </w:rPr>
        <w:t xml:space="preserve"> в соответствии с пунктом </w:t>
      </w:r>
      <w:r w:rsidRPr="0049187C">
        <w:rPr>
          <w:lang w:val="ru-RU"/>
        </w:rPr>
        <w:t>2.5 (</w:t>
      </w:r>
      <w:r w:rsidR="009F1579" w:rsidRPr="0049187C">
        <w:rPr>
          <w:lang w:val="ru-RU"/>
        </w:rPr>
        <w:t>см. пункты</w:t>
      </w:r>
      <w:r w:rsidRPr="0049187C">
        <w:rPr>
          <w:lang w:val="ru-RU"/>
        </w:rPr>
        <w:t xml:space="preserve"> 2.4–2.7).</w:t>
      </w:r>
      <w:bookmarkEnd w:id="614"/>
    </w:p>
    <w:p w:rsidR="001529CA" w:rsidRPr="0049187C" w:rsidRDefault="001529CA">
      <w:pPr>
        <w:pStyle w:val="IASBNormalnpara"/>
        <w:rPr>
          <w:lang w:val="ru-RU"/>
        </w:rPr>
      </w:pPr>
      <w:r w:rsidRPr="0049187C">
        <w:rPr>
          <w:lang w:val="ru-RU"/>
        </w:rPr>
        <w:t>BA.3</w:t>
      </w:r>
      <w:r w:rsidRPr="0049187C">
        <w:rPr>
          <w:lang w:val="ru-RU"/>
        </w:rPr>
        <w:tab/>
      </w:r>
      <w:bookmarkStart w:id="615" w:name="F32627082"/>
      <w:r w:rsidR="009F1579" w:rsidRPr="0049187C">
        <w:rPr>
          <w:lang w:val="ru-RU"/>
        </w:rPr>
        <w:t xml:space="preserve">Одной из определяющих характеристик производного инструмента </w:t>
      </w:r>
      <w:r w:rsidR="00E93C4C" w:rsidRPr="0049187C">
        <w:rPr>
          <w:lang w:val="ru-RU"/>
        </w:rPr>
        <w:t xml:space="preserve">является то, что </w:t>
      </w:r>
      <w:r w:rsidR="000C797A">
        <w:rPr>
          <w:lang w:val="ru-RU"/>
        </w:rPr>
        <w:t xml:space="preserve">предусматриваемая им </w:t>
      </w:r>
      <w:r w:rsidR="00E93C4C" w:rsidRPr="0049187C">
        <w:rPr>
          <w:lang w:val="ru-RU"/>
        </w:rPr>
        <w:t>первоначальная чистая инвестиция меньше, чем та, которая требовалась бы для других видов договоров, которые предположительно аналогично реагировали бы на изменения рыночных факторов</w:t>
      </w:r>
      <w:r w:rsidRPr="0049187C">
        <w:rPr>
          <w:lang w:val="ru-RU"/>
        </w:rPr>
        <w:t xml:space="preserve">. </w:t>
      </w:r>
      <w:r w:rsidR="00E93C4C" w:rsidRPr="0049187C">
        <w:rPr>
          <w:lang w:val="ru-RU"/>
        </w:rPr>
        <w:t>Договор опциона удовлетворяет этому определению, поскольку размер премии меньше, чем инвестиция, которая требовалась бы</w:t>
      </w:r>
      <w:r w:rsidRPr="0049187C">
        <w:rPr>
          <w:lang w:val="ru-RU"/>
        </w:rPr>
        <w:t xml:space="preserve"> </w:t>
      </w:r>
      <w:r w:rsidR="00E93C4C" w:rsidRPr="0049187C">
        <w:rPr>
          <w:lang w:val="ru-RU"/>
        </w:rPr>
        <w:t>для получения базисного финансового инструмента, к которому привязан опцион</w:t>
      </w:r>
      <w:r w:rsidRPr="0049187C">
        <w:rPr>
          <w:lang w:val="ru-RU"/>
        </w:rPr>
        <w:t xml:space="preserve">. </w:t>
      </w:r>
      <w:r w:rsidR="00E93C4C" w:rsidRPr="0049187C">
        <w:rPr>
          <w:lang w:val="ru-RU"/>
        </w:rPr>
        <w:t>Валютный своп, который требует первоначального обмена различными валютами с равными справедливыми стоимостями, удовлетворяет определению, поскольку его первоначальная чистая инвестиция равна нулю</w:t>
      </w:r>
      <w:r w:rsidRPr="0049187C">
        <w:rPr>
          <w:lang w:val="ru-RU"/>
        </w:rPr>
        <w:t>.</w:t>
      </w:r>
      <w:bookmarkEnd w:id="615"/>
    </w:p>
    <w:p w:rsidR="001529CA" w:rsidRPr="0049187C" w:rsidRDefault="001529CA">
      <w:pPr>
        <w:pStyle w:val="IASBNormalnpara"/>
        <w:rPr>
          <w:lang w:val="ru-RU"/>
        </w:rPr>
      </w:pPr>
      <w:r w:rsidRPr="0049187C">
        <w:rPr>
          <w:lang w:val="ru-RU"/>
        </w:rPr>
        <w:t>BA.4</w:t>
      </w:r>
      <w:r w:rsidRPr="0049187C">
        <w:rPr>
          <w:lang w:val="ru-RU"/>
        </w:rPr>
        <w:tab/>
      </w:r>
      <w:bookmarkStart w:id="616" w:name="F32627085"/>
      <w:r w:rsidR="00E93C4C" w:rsidRPr="0049187C">
        <w:rPr>
          <w:lang w:val="ru-RU"/>
        </w:rPr>
        <w:t>Покупка или продаж</w:t>
      </w:r>
      <w:r w:rsidR="00A349DA">
        <w:rPr>
          <w:lang w:val="ru-RU"/>
        </w:rPr>
        <w:t>а на стандартных условиях обусло</w:t>
      </w:r>
      <w:r w:rsidR="00E93C4C" w:rsidRPr="0049187C">
        <w:rPr>
          <w:lang w:val="ru-RU"/>
        </w:rPr>
        <w:t>вливает</w:t>
      </w:r>
      <w:r w:rsidRPr="0049187C">
        <w:rPr>
          <w:lang w:val="ru-RU"/>
        </w:rPr>
        <w:t xml:space="preserve"> </w:t>
      </w:r>
      <w:r w:rsidR="00E93C4C" w:rsidRPr="0049187C">
        <w:rPr>
          <w:lang w:val="ru-RU"/>
        </w:rPr>
        <w:t>договорное обязательство по будущим операциям с фиксированной ценой между датой заключения сделки и датой расчета, которое удовлетворяет определению производного инструмента</w:t>
      </w:r>
      <w:r w:rsidRPr="0049187C">
        <w:rPr>
          <w:lang w:val="ru-RU"/>
        </w:rPr>
        <w:t xml:space="preserve">. </w:t>
      </w:r>
      <w:r w:rsidR="00E93C4C" w:rsidRPr="0049187C">
        <w:rPr>
          <w:lang w:val="ru-RU"/>
        </w:rPr>
        <w:t>Однако ввиду своего непродолжительного срока действия договорное обязательство по будущим операциям не признается в качестве производного финансового инструмента</w:t>
      </w:r>
      <w:r w:rsidRPr="0049187C">
        <w:rPr>
          <w:lang w:val="ru-RU"/>
        </w:rPr>
        <w:t xml:space="preserve">. </w:t>
      </w:r>
      <w:r w:rsidR="00E93C4C" w:rsidRPr="0049187C">
        <w:rPr>
          <w:lang w:val="ru-RU"/>
        </w:rPr>
        <w:t>Вместо этого настоящий стандарт предусматривает особый порядок учета таких стандартных договоров</w:t>
      </w:r>
      <w:r w:rsidRPr="0049187C">
        <w:rPr>
          <w:lang w:val="ru-RU"/>
        </w:rPr>
        <w:t xml:space="preserve"> (</w:t>
      </w:r>
      <w:r w:rsidR="00E93C4C" w:rsidRPr="0049187C">
        <w:rPr>
          <w:lang w:val="ru-RU"/>
        </w:rPr>
        <w:t>см. пункты</w:t>
      </w:r>
      <w:r w:rsidRPr="0049187C">
        <w:rPr>
          <w:lang w:val="ru-RU"/>
        </w:rPr>
        <w:t xml:space="preserve"> 3.1.2 </w:t>
      </w:r>
      <w:r w:rsidR="00E93C4C" w:rsidRPr="0049187C">
        <w:rPr>
          <w:lang w:val="ru-RU"/>
        </w:rPr>
        <w:t>и</w:t>
      </w:r>
      <w:r w:rsidRPr="0049187C">
        <w:rPr>
          <w:lang w:val="ru-RU"/>
        </w:rPr>
        <w:t xml:space="preserve"> B3.1.3–B3.1.6).</w:t>
      </w:r>
      <w:bookmarkEnd w:id="616"/>
    </w:p>
    <w:p w:rsidR="001529CA" w:rsidRPr="0049187C" w:rsidRDefault="001529CA">
      <w:pPr>
        <w:pStyle w:val="IASBNormalnpara"/>
        <w:rPr>
          <w:lang w:val="ru-RU"/>
        </w:rPr>
      </w:pPr>
      <w:r w:rsidRPr="0049187C">
        <w:rPr>
          <w:lang w:val="ru-RU"/>
        </w:rPr>
        <w:t>BA.5</w:t>
      </w:r>
      <w:r w:rsidRPr="0049187C">
        <w:rPr>
          <w:lang w:val="ru-RU"/>
        </w:rPr>
        <w:tab/>
      </w:r>
      <w:bookmarkStart w:id="617" w:name="F32627086"/>
      <w:r w:rsidR="00E45938" w:rsidRPr="0049187C">
        <w:rPr>
          <w:lang w:val="ru-RU"/>
        </w:rPr>
        <w:t>Определени</w:t>
      </w:r>
      <w:r w:rsidR="00D53A8E" w:rsidRPr="0049187C">
        <w:rPr>
          <w:lang w:val="ru-RU"/>
        </w:rPr>
        <w:t>е</w:t>
      </w:r>
      <w:r w:rsidR="00E45938" w:rsidRPr="0049187C">
        <w:rPr>
          <w:lang w:val="ru-RU"/>
        </w:rPr>
        <w:t xml:space="preserve"> производного инструмента </w:t>
      </w:r>
      <w:r w:rsidR="000C797A">
        <w:rPr>
          <w:lang w:val="ru-RU"/>
        </w:rPr>
        <w:t xml:space="preserve">содержит указания </w:t>
      </w:r>
      <w:r w:rsidR="00E45938" w:rsidRPr="0049187C">
        <w:rPr>
          <w:lang w:val="ru-RU"/>
        </w:rPr>
        <w:t xml:space="preserve">на нефинансовые переменные, не </w:t>
      </w:r>
      <w:r w:rsidR="000C797A" w:rsidRPr="0049187C">
        <w:rPr>
          <w:lang w:val="ru-RU"/>
        </w:rPr>
        <w:t>являю</w:t>
      </w:r>
      <w:r w:rsidR="000C797A">
        <w:rPr>
          <w:lang w:val="ru-RU"/>
        </w:rPr>
        <w:t>щиеся</w:t>
      </w:r>
      <w:r w:rsidR="000C797A" w:rsidRPr="0049187C">
        <w:rPr>
          <w:lang w:val="ru-RU"/>
        </w:rPr>
        <w:t xml:space="preserve"> </w:t>
      </w:r>
      <w:r w:rsidR="00E45938" w:rsidRPr="0049187C">
        <w:rPr>
          <w:lang w:val="ru-RU"/>
        </w:rPr>
        <w:t>специфичными для стороны по договору. К ним относятся индекс</w:t>
      </w:r>
      <w:r w:rsidRPr="0049187C">
        <w:rPr>
          <w:lang w:val="ru-RU"/>
        </w:rPr>
        <w:t xml:space="preserve"> </w:t>
      </w:r>
      <w:r w:rsidR="00E45938" w:rsidRPr="0049187C">
        <w:rPr>
          <w:lang w:val="ru-RU"/>
        </w:rPr>
        <w:t>у</w:t>
      </w:r>
      <w:r w:rsidR="000C797A">
        <w:rPr>
          <w:lang w:val="ru-RU"/>
        </w:rPr>
        <w:t>бытков</w:t>
      </w:r>
      <w:r w:rsidR="00E45938" w:rsidRPr="0049187C">
        <w:rPr>
          <w:lang w:val="ru-RU"/>
        </w:rPr>
        <w:t xml:space="preserve"> от землетрясения в конкретном регионе или индекс температур в конкретном городе. Нефинансовые переменные, специфичные для стороны по договору, включают в себя возникновение или невозникновение пожара, который повреждает или разрушает актив стороны по договору. Изменение справедливой стоимости нефинансового актива является специфичным для </w:t>
      </w:r>
      <w:r w:rsidR="000C797A">
        <w:rPr>
          <w:lang w:val="ru-RU"/>
        </w:rPr>
        <w:t xml:space="preserve">его </w:t>
      </w:r>
      <w:r w:rsidR="00E45938" w:rsidRPr="0049187C">
        <w:rPr>
          <w:lang w:val="ru-RU"/>
        </w:rPr>
        <w:t xml:space="preserve">владельца, если справедливая стоимость отражает не только изменения рыночных цен на такие активы (финансовая переменная), но также состояние </w:t>
      </w:r>
      <w:r w:rsidR="000C797A">
        <w:rPr>
          <w:lang w:val="ru-RU"/>
        </w:rPr>
        <w:t>конкретного</w:t>
      </w:r>
      <w:r w:rsidR="000C797A" w:rsidRPr="0049187C">
        <w:rPr>
          <w:lang w:val="ru-RU"/>
        </w:rPr>
        <w:t xml:space="preserve"> </w:t>
      </w:r>
      <w:r w:rsidR="00E45938" w:rsidRPr="0049187C">
        <w:rPr>
          <w:lang w:val="ru-RU"/>
        </w:rPr>
        <w:t xml:space="preserve">удерживаемого нефинансового актива (нефинансовая переменная). </w:t>
      </w:r>
      <w:r w:rsidR="00FA0F83" w:rsidRPr="0049187C">
        <w:rPr>
          <w:lang w:val="ru-RU"/>
        </w:rPr>
        <w:t xml:space="preserve">Например, если гарантия ликвидационной стоимости </w:t>
      </w:r>
      <w:r w:rsidR="000C797A">
        <w:rPr>
          <w:lang w:val="ru-RU"/>
        </w:rPr>
        <w:t>конкретного</w:t>
      </w:r>
      <w:r w:rsidR="000C797A" w:rsidRPr="0049187C">
        <w:rPr>
          <w:lang w:val="ru-RU"/>
        </w:rPr>
        <w:t xml:space="preserve"> </w:t>
      </w:r>
      <w:r w:rsidR="00FA0F83" w:rsidRPr="0049187C">
        <w:rPr>
          <w:lang w:val="ru-RU"/>
        </w:rPr>
        <w:t>автомобиля подвергает</w:t>
      </w:r>
      <w:r w:rsidRPr="0049187C">
        <w:rPr>
          <w:lang w:val="ru-RU"/>
        </w:rPr>
        <w:t xml:space="preserve"> </w:t>
      </w:r>
      <w:r w:rsidR="00FA0F83" w:rsidRPr="0049187C">
        <w:rPr>
          <w:lang w:val="ru-RU"/>
        </w:rPr>
        <w:t>гаранта риску изменений физического состояния автомобиля, изменения такой ликвидационной стоимости являются специфи</w:t>
      </w:r>
      <w:r w:rsidR="00D53A8E" w:rsidRPr="0049187C">
        <w:rPr>
          <w:lang w:val="ru-RU"/>
        </w:rPr>
        <w:t>ч</w:t>
      </w:r>
      <w:r w:rsidR="00FA0F83" w:rsidRPr="0049187C">
        <w:rPr>
          <w:lang w:val="ru-RU"/>
        </w:rPr>
        <w:t>ными для владельца автомобиля</w:t>
      </w:r>
      <w:r w:rsidRPr="0049187C">
        <w:rPr>
          <w:lang w:val="ru-RU"/>
        </w:rPr>
        <w:t>.</w:t>
      </w:r>
      <w:bookmarkEnd w:id="617"/>
    </w:p>
    <w:p w:rsidR="001529CA" w:rsidRPr="0049187C" w:rsidRDefault="00FA0F83">
      <w:pPr>
        <w:pStyle w:val="IASBSectionTitle2Ind"/>
        <w:rPr>
          <w:lang w:val="ru-RU"/>
        </w:rPr>
      </w:pPr>
      <w:bookmarkStart w:id="618" w:name="F32627090"/>
      <w:r w:rsidRPr="0049187C">
        <w:rPr>
          <w:lang w:val="ru-RU"/>
        </w:rPr>
        <w:t>Финансовые активы и обязательства, предназначенные для торговли</w:t>
      </w:r>
      <w:bookmarkEnd w:id="618"/>
    </w:p>
    <w:p w:rsidR="001529CA" w:rsidRPr="0049187C" w:rsidRDefault="001529CA">
      <w:pPr>
        <w:pStyle w:val="IASBNormalnpara"/>
        <w:rPr>
          <w:lang w:val="ru-RU"/>
        </w:rPr>
      </w:pPr>
      <w:r w:rsidRPr="0049187C">
        <w:rPr>
          <w:lang w:val="ru-RU"/>
        </w:rPr>
        <w:t>BA.6</w:t>
      </w:r>
      <w:r w:rsidRPr="0049187C">
        <w:rPr>
          <w:lang w:val="ru-RU"/>
        </w:rPr>
        <w:tab/>
      </w:r>
      <w:bookmarkStart w:id="619" w:name="F32627091"/>
      <w:r w:rsidR="00FA0F83" w:rsidRPr="0049187C">
        <w:rPr>
          <w:lang w:val="ru-RU"/>
        </w:rPr>
        <w:t xml:space="preserve">Как правило, торговля </w:t>
      </w:r>
      <w:r w:rsidR="000C797A">
        <w:rPr>
          <w:lang w:val="ru-RU"/>
        </w:rPr>
        <w:t>характеризуется</w:t>
      </w:r>
      <w:r w:rsidR="000C797A" w:rsidRPr="0049187C">
        <w:rPr>
          <w:lang w:val="ru-RU"/>
        </w:rPr>
        <w:t xml:space="preserve"> активны</w:t>
      </w:r>
      <w:r w:rsidR="000C797A">
        <w:rPr>
          <w:lang w:val="ru-RU"/>
        </w:rPr>
        <w:t>ми</w:t>
      </w:r>
      <w:r w:rsidR="000C797A" w:rsidRPr="0049187C">
        <w:rPr>
          <w:lang w:val="ru-RU"/>
        </w:rPr>
        <w:t xml:space="preserve"> </w:t>
      </w:r>
      <w:r w:rsidR="00FA0F83" w:rsidRPr="0049187C">
        <w:rPr>
          <w:lang w:val="ru-RU"/>
        </w:rPr>
        <w:t xml:space="preserve">и </w:t>
      </w:r>
      <w:r w:rsidR="000C797A" w:rsidRPr="0049187C">
        <w:rPr>
          <w:lang w:val="ru-RU"/>
        </w:rPr>
        <w:t>часты</w:t>
      </w:r>
      <w:r w:rsidR="000C797A">
        <w:rPr>
          <w:lang w:val="ru-RU"/>
        </w:rPr>
        <w:t>ми</w:t>
      </w:r>
      <w:r w:rsidR="000C797A" w:rsidRPr="0049187C">
        <w:rPr>
          <w:lang w:val="ru-RU"/>
        </w:rPr>
        <w:t xml:space="preserve"> </w:t>
      </w:r>
      <w:r w:rsidR="00FA0F83" w:rsidRPr="0049187C">
        <w:rPr>
          <w:lang w:val="ru-RU"/>
        </w:rPr>
        <w:t>покупк</w:t>
      </w:r>
      <w:r w:rsidR="000C797A">
        <w:rPr>
          <w:lang w:val="ru-RU"/>
        </w:rPr>
        <w:t>ам</w:t>
      </w:r>
      <w:r w:rsidR="00FA0F83" w:rsidRPr="0049187C">
        <w:rPr>
          <w:lang w:val="ru-RU"/>
        </w:rPr>
        <w:t>и и продаж</w:t>
      </w:r>
      <w:r w:rsidR="000C797A">
        <w:rPr>
          <w:lang w:val="ru-RU"/>
        </w:rPr>
        <w:t>ам</w:t>
      </w:r>
      <w:r w:rsidR="00FA0F83" w:rsidRPr="0049187C">
        <w:rPr>
          <w:lang w:val="ru-RU"/>
        </w:rPr>
        <w:t>и, а финансовые инструменты, предназначенные для торговли, обычно используются с целью генерирования прибыли от краткосрочных колебаний цены или маржи дилера</w:t>
      </w:r>
      <w:r w:rsidRPr="0049187C">
        <w:rPr>
          <w:lang w:val="ru-RU"/>
        </w:rPr>
        <w:t>.</w:t>
      </w:r>
      <w:bookmarkEnd w:id="619"/>
    </w:p>
    <w:p w:rsidR="001529CA" w:rsidRPr="0049187C" w:rsidRDefault="001529CA">
      <w:pPr>
        <w:pStyle w:val="IASBNormalnpara"/>
        <w:rPr>
          <w:lang w:val="ru-RU"/>
        </w:rPr>
      </w:pPr>
      <w:r w:rsidRPr="0049187C">
        <w:rPr>
          <w:lang w:val="ru-RU"/>
        </w:rPr>
        <w:t>BA.7</w:t>
      </w:r>
      <w:r w:rsidRPr="0049187C">
        <w:rPr>
          <w:lang w:val="ru-RU"/>
        </w:rPr>
        <w:tab/>
      </w:r>
      <w:bookmarkStart w:id="620" w:name="F32627092"/>
      <w:r w:rsidR="00FA0F83" w:rsidRPr="0049187C">
        <w:rPr>
          <w:lang w:val="ru-RU"/>
        </w:rPr>
        <w:t>Финансовые обязательства, предназначенные для торговли, включают в себя</w:t>
      </w:r>
      <w:r w:rsidRPr="0049187C">
        <w:rPr>
          <w:lang w:val="ru-RU"/>
        </w:rPr>
        <w:t xml:space="preserve">: </w:t>
      </w:r>
      <w:bookmarkEnd w:id="620"/>
    </w:p>
    <w:p w:rsidR="001529CA" w:rsidRPr="0049187C" w:rsidRDefault="001529CA">
      <w:pPr>
        <w:pStyle w:val="IASBNormalnparaL1"/>
        <w:rPr>
          <w:lang w:val="ru-RU"/>
        </w:rPr>
      </w:pPr>
      <w:r w:rsidRPr="0049187C">
        <w:rPr>
          <w:lang w:val="ru-RU"/>
        </w:rPr>
        <w:t>(a)</w:t>
      </w:r>
      <w:r w:rsidRPr="0049187C">
        <w:rPr>
          <w:lang w:val="ru-RU"/>
        </w:rPr>
        <w:tab/>
      </w:r>
      <w:bookmarkStart w:id="621" w:name="F32627095"/>
      <w:r w:rsidR="00FA0F83" w:rsidRPr="0049187C">
        <w:rPr>
          <w:lang w:val="ru-RU"/>
        </w:rPr>
        <w:t>производные обязательства, которые не учитываются как инструменты хеджирования</w:t>
      </w:r>
      <w:r w:rsidRPr="0049187C">
        <w:rPr>
          <w:lang w:val="ru-RU"/>
        </w:rPr>
        <w:t>;</w:t>
      </w:r>
      <w:bookmarkEnd w:id="621"/>
    </w:p>
    <w:p w:rsidR="001529CA" w:rsidRPr="0049187C" w:rsidRDefault="001529CA">
      <w:pPr>
        <w:pStyle w:val="IASBNormalnparaL1"/>
        <w:rPr>
          <w:lang w:val="ru-RU"/>
        </w:rPr>
      </w:pPr>
      <w:r w:rsidRPr="0049187C">
        <w:rPr>
          <w:lang w:val="ru-RU"/>
        </w:rPr>
        <w:t>(b)</w:t>
      </w:r>
      <w:r w:rsidRPr="0049187C">
        <w:rPr>
          <w:lang w:val="ru-RU"/>
        </w:rPr>
        <w:tab/>
      </w:r>
      <w:bookmarkStart w:id="622" w:name="F32627097"/>
      <w:r w:rsidR="0060782D">
        <w:rPr>
          <w:lang w:val="ru-RU"/>
        </w:rPr>
        <w:t>обязанности</w:t>
      </w:r>
      <w:r w:rsidR="00FA0F83" w:rsidRPr="0049187C">
        <w:rPr>
          <w:lang w:val="ru-RU"/>
        </w:rPr>
        <w:t xml:space="preserve"> в отношении поставки финансовых активов, привлеченных держателем короткой позиции</w:t>
      </w:r>
      <w:r w:rsidRPr="0049187C">
        <w:rPr>
          <w:lang w:val="ru-RU"/>
        </w:rPr>
        <w:t xml:space="preserve"> (</w:t>
      </w:r>
      <w:r w:rsidR="00783AB6">
        <w:rPr>
          <w:lang w:val="ru-RU"/>
        </w:rPr>
        <w:t>т. е. организация</w:t>
      </w:r>
      <w:r w:rsidR="00FA0F83" w:rsidRPr="0049187C">
        <w:rPr>
          <w:lang w:val="ru-RU"/>
        </w:rPr>
        <w:t xml:space="preserve"> продает финансовые активы, которые она привлекла</w:t>
      </w:r>
      <w:r w:rsidR="000C797A">
        <w:rPr>
          <w:lang w:val="ru-RU"/>
        </w:rPr>
        <w:t xml:space="preserve"> в качестве займа</w:t>
      </w:r>
      <w:r w:rsidR="00FA0F83" w:rsidRPr="0049187C">
        <w:rPr>
          <w:lang w:val="ru-RU"/>
        </w:rPr>
        <w:t xml:space="preserve">, но которыми </w:t>
      </w:r>
      <w:r w:rsidR="000C797A">
        <w:rPr>
          <w:lang w:val="ru-RU"/>
        </w:rPr>
        <w:t xml:space="preserve">она </w:t>
      </w:r>
      <w:r w:rsidR="00FA0F83" w:rsidRPr="0049187C">
        <w:rPr>
          <w:lang w:val="ru-RU"/>
        </w:rPr>
        <w:t>еще не владеет</w:t>
      </w:r>
      <w:r w:rsidRPr="0049187C">
        <w:rPr>
          <w:lang w:val="ru-RU"/>
        </w:rPr>
        <w:t>);</w:t>
      </w:r>
      <w:bookmarkEnd w:id="622"/>
    </w:p>
    <w:p w:rsidR="001529CA" w:rsidRPr="0049187C" w:rsidRDefault="001529CA">
      <w:pPr>
        <w:pStyle w:val="IASBNormalnparaL1"/>
        <w:rPr>
          <w:lang w:val="ru-RU"/>
        </w:rPr>
      </w:pPr>
      <w:r w:rsidRPr="0049187C">
        <w:rPr>
          <w:lang w:val="ru-RU"/>
        </w:rPr>
        <w:t>(c)</w:t>
      </w:r>
      <w:r w:rsidRPr="0049187C">
        <w:rPr>
          <w:lang w:val="ru-RU"/>
        </w:rPr>
        <w:tab/>
      </w:r>
      <w:bookmarkStart w:id="623" w:name="F32627099"/>
      <w:r w:rsidR="00FA0F83" w:rsidRPr="0049187C">
        <w:rPr>
          <w:lang w:val="ru-RU"/>
        </w:rPr>
        <w:t xml:space="preserve">финансовые обязательства, </w:t>
      </w:r>
      <w:r w:rsidR="000C797A">
        <w:rPr>
          <w:lang w:val="ru-RU"/>
        </w:rPr>
        <w:t>выпущенные</w:t>
      </w:r>
      <w:r w:rsidR="000C797A" w:rsidRPr="0049187C">
        <w:rPr>
          <w:lang w:val="ru-RU"/>
        </w:rPr>
        <w:t xml:space="preserve"> </w:t>
      </w:r>
      <w:r w:rsidR="00FA0F83" w:rsidRPr="0049187C">
        <w:rPr>
          <w:lang w:val="ru-RU"/>
        </w:rPr>
        <w:t>с намерением выкупить их в ближайшем будущем (например, котируемый долговой инструмент, который эмитент может выкупить в ближайшем будущем в зависимости от изменений его справедливой стоимости</w:t>
      </w:r>
      <w:r w:rsidRPr="0049187C">
        <w:rPr>
          <w:lang w:val="ru-RU"/>
        </w:rPr>
        <w:t xml:space="preserve">); </w:t>
      </w:r>
      <w:r w:rsidR="00FA0F83" w:rsidRPr="0049187C">
        <w:rPr>
          <w:lang w:val="ru-RU"/>
        </w:rPr>
        <w:t>и</w:t>
      </w:r>
      <w:bookmarkEnd w:id="623"/>
    </w:p>
    <w:p w:rsidR="001529CA" w:rsidRPr="0049187C" w:rsidRDefault="001529CA">
      <w:pPr>
        <w:pStyle w:val="IASBNormalnparaL1"/>
        <w:rPr>
          <w:lang w:val="ru-RU"/>
        </w:rPr>
      </w:pPr>
      <w:r w:rsidRPr="0049187C">
        <w:rPr>
          <w:lang w:val="ru-RU"/>
        </w:rPr>
        <w:t>(d)</w:t>
      </w:r>
      <w:r w:rsidRPr="0049187C">
        <w:rPr>
          <w:lang w:val="ru-RU"/>
        </w:rPr>
        <w:tab/>
      </w:r>
      <w:bookmarkStart w:id="624" w:name="F32627103"/>
      <w:r w:rsidR="00FA0F83" w:rsidRPr="0049187C">
        <w:rPr>
          <w:lang w:val="ru-RU"/>
        </w:rPr>
        <w:t>финансовые обязательства, являю</w:t>
      </w:r>
      <w:r w:rsidR="004B7DF7">
        <w:rPr>
          <w:lang w:val="ru-RU"/>
        </w:rPr>
        <w:t>щиеся</w:t>
      </w:r>
      <w:r w:rsidR="00FA0F83" w:rsidRPr="0049187C">
        <w:rPr>
          <w:lang w:val="ru-RU"/>
        </w:rPr>
        <w:t xml:space="preserve"> частью портфеля идентифицированных финансовых инструментов, управление которыми осуществляется на групповой основе, и недавние операции с которыми свидетельствуют о тенденции к получению краткосрочной прибыли</w:t>
      </w:r>
      <w:r w:rsidRPr="0049187C">
        <w:rPr>
          <w:lang w:val="ru-RU"/>
        </w:rPr>
        <w:t>.</w:t>
      </w:r>
      <w:bookmarkEnd w:id="624"/>
    </w:p>
    <w:p w:rsidR="008D6549" w:rsidRPr="00A3386D" w:rsidRDefault="001529CA" w:rsidP="00286F1A">
      <w:pPr>
        <w:pStyle w:val="IASBNormalnpara"/>
        <w:rPr>
          <w:lang w:val="ru-RU"/>
        </w:rPr>
      </w:pPr>
      <w:r w:rsidRPr="0049187C">
        <w:rPr>
          <w:lang w:val="ru-RU"/>
        </w:rPr>
        <w:t>BA.8</w:t>
      </w:r>
      <w:r w:rsidRPr="0049187C">
        <w:rPr>
          <w:lang w:val="ru-RU"/>
        </w:rPr>
        <w:tab/>
      </w:r>
      <w:bookmarkStart w:id="625" w:name="F32627107"/>
      <w:r w:rsidR="004B7DF7">
        <w:rPr>
          <w:lang w:val="ru-RU"/>
        </w:rPr>
        <w:t>Тот факт</w:t>
      </w:r>
      <w:r w:rsidR="00FA0F83" w:rsidRPr="0049187C">
        <w:rPr>
          <w:lang w:val="ru-RU"/>
        </w:rPr>
        <w:t>, что обязательство используется для финансирования торговой деятельности, сам по себе не делает обязательство предназначенным для торговли</w:t>
      </w:r>
      <w:bookmarkEnd w:id="625"/>
      <w:r w:rsidR="00301196">
        <w:rPr>
          <w:lang w:val="ru-RU"/>
        </w:rPr>
        <w:t>.</w:t>
      </w:r>
    </w:p>
    <w:sectPr w:rsidR="008D6549" w:rsidRPr="00A3386D">
      <w:headerReference w:type="even" r:id="rId16"/>
      <w:headerReference w:type="default" r:id="rId17"/>
      <w:footerReference w:type="even" r:id="rId18"/>
      <w:footerReference w:type="default" r:id="rId19"/>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B3A" w:rsidRDefault="00041B3A">
      <w:r>
        <w:separator/>
      </w:r>
    </w:p>
  </w:endnote>
  <w:endnote w:type="continuationSeparator" w:id="0">
    <w:p w:rsidR="00041B3A" w:rsidRDefault="000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YInterstate Light">
    <w:altName w:val="Franklin Gothic Medium Cond"/>
    <w:charset w:val="CC"/>
    <w:family w:val="auto"/>
    <w:pitch w:val="variable"/>
    <w:sig w:usb0="A00002AF" w:usb1="5000206A"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44" w:rsidRPr="00A25AC4" w:rsidRDefault="002C2144">
    <w:pPr>
      <w:pStyle w:val="IASBNormalnparaL2P"/>
      <w:tabs>
        <w:tab w:val="center" w:pos="4677"/>
        <w:tab w:val="right" w:pos="9354"/>
      </w:tabs>
      <w:spacing w:before="0"/>
      <w:ind w:left="0"/>
      <w:jc w:val="left"/>
      <w:rPr>
        <w:sz w:val="17"/>
        <w:lang w:val="ru-RU"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048F0">
      <w:rPr>
        <w:noProof/>
        <w:sz w:val="17"/>
        <w:lang w:val="en-GB" w:eastAsia="en-GB"/>
      </w:rPr>
      <w:t>2</w:t>
    </w:r>
    <w:r>
      <w:rPr>
        <w:sz w:val="17"/>
        <w:lang w:val="en-GB" w:eastAsia="en-GB"/>
      </w:rPr>
      <w:fldChar w:fldCharType="end"/>
    </w:r>
    <w:r>
      <w:rPr>
        <w:sz w:val="17"/>
        <w:lang w:val="en-GB" w:eastAsia="en-GB"/>
      </w:rPr>
      <w:tab/>
    </w:r>
    <w:r w:rsidR="008A63D5">
      <w:rPr>
        <w:sz w:val="17"/>
        <w:vertAlign w:val="superscript"/>
        <w:lang w:val="en-GB" w:eastAsia="en-GB"/>
      </w:rPr>
      <w:t>©</w:t>
    </w:r>
    <w:r w:rsidR="008A63D5">
      <w:rPr>
        <w:sz w:val="17"/>
        <w:lang w:val="en-GB" w:eastAsia="en-GB"/>
      </w:rPr>
      <w:t xml:space="preserve"> IFRS Foundation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44" w:rsidRPr="00201599" w:rsidRDefault="00201599" w:rsidP="00201599">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B048F0">
      <w:rPr>
        <w:noProof/>
        <w:sz w:val="17"/>
      </w:rPr>
      <w:t>1</w:t>
    </w:r>
    <w:r w:rsidRPr="00593FF3">
      <w:rPr>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44" w:rsidRPr="008A63D5" w:rsidRDefault="008A63D5" w:rsidP="008A63D5">
    <w:pPr>
      <w:pStyle w:val="IASBNormalnparaL2P"/>
      <w:tabs>
        <w:tab w:val="center" w:pos="4677"/>
        <w:tab w:val="right" w:pos="9354"/>
      </w:tabs>
      <w:spacing w:before="0"/>
      <w:ind w:left="0"/>
      <w:jc w:val="left"/>
      <w:rPr>
        <w:sz w:val="17"/>
        <w:lang w:val="ru-RU"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4F7367">
      <w:rPr>
        <w:noProof/>
        <w:sz w:val="17"/>
        <w:lang w:val="en-GB" w:eastAsia="en-GB"/>
      </w:rPr>
      <w:t>50</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44" w:rsidRPr="00201599" w:rsidRDefault="00201599" w:rsidP="00201599">
    <w:pPr>
      <w:tabs>
        <w:tab w:val="center" w:pos="4677"/>
        <w:tab w:val="right" w:pos="9354"/>
      </w:tabs>
      <w:rPr>
        <w:lang w:val="ru-RU"/>
      </w:rPr>
    </w:pPr>
    <w:r w:rsidRPr="00593FF3">
      <w:rPr>
        <w:sz w:val="17"/>
      </w:rPr>
      <w:tab/>
      <w:t>© IFRS Foundation</w:t>
    </w:r>
    <w:r w:rsidRPr="00593FF3">
      <w:rPr>
        <w:sz w:val="17"/>
      </w:rPr>
      <w:tab/>
    </w:r>
    <w:r w:rsidRPr="00593FF3">
      <w:rPr>
        <w:sz w:val="17"/>
      </w:rPr>
      <w:fldChar w:fldCharType="begin"/>
    </w:r>
    <w:r w:rsidRPr="00593FF3">
      <w:rPr>
        <w:sz w:val="17"/>
      </w:rPr>
      <w:instrText xml:space="preserve"> PAGE </w:instrText>
    </w:r>
    <w:r w:rsidRPr="00593FF3">
      <w:rPr>
        <w:sz w:val="17"/>
      </w:rPr>
      <w:fldChar w:fldCharType="separate"/>
    </w:r>
    <w:r w:rsidR="004F7367">
      <w:rPr>
        <w:noProof/>
        <w:sz w:val="17"/>
      </w:rPr>
      <w:t>53</w:t>
    </w:r>
    <w:r w:rsidRPr="00593FF3">
      <w:rPr>
        <w:sz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44" w:rsidRPr="00170C7B" w:rsidRDefault="002C2144" w:rsidP="00170C7B">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44" w:rsidRDefault="002C2144">
    <w:pPr>
      <w:pStyle w:val="IASBNormalnparaL2P"/>
      <w:tabs>
        <w:tab w:val="center" w:pos="4677"/>
        <w:tab w:val="right" w:pos="9354"/>
      </w:tabs>
      <w:spacing w:before="0"/>
      <w:ind w:left="0"/>
      <w:jc w:val="left"/>
      <w:rPr>
        <w:sz w:val="20"/>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B3A" w:rsidRDefault="00041B3A">
      <w:r>
        <w:separator/>
      </w:r>
    </w:p>
  </w:footnote>
  <w:footnote w:type="continuationSeparator" w:id="0">
    <w:p w:rsidR="00041B3A" w:rsidRDefault="00041B3A">
      <w:r>
        <w:continuationSeparator/>
      </w:r>
    </w:p>
  </w:footnote>
  <w:footnote w:id="1">
    <w:p w:rsidR="002C2144" w:rsidRPr="00E30B89" w:rsidRDefault="002C2144" w:rsidP="007D4BCC">
      <w:pPr>
        <w:ind w:left="426" w:hanging="426"/>
        <w:rPr>
          <w:lang w:val="ru-RU"/>
        </w:rPr>
      </w:pPr>
      <w:r w:rsidRPr="00AD2968">
        <w:rPr>
          <w:rStyle w:val="a3"/>
        </w:rPr>
        <w:footnoteRef/>
      </w:r>
      <w:r w:rsidRPr="007F1488">
        <w:rPr>
          <w:b/>
          <w:lang w:val="ru-RU"/>
        </w:rPr>
        <w:tab/>
      </w:r>
      <w:r>
        <w:rPr>
          <w:sz w:val="16"/>
          <w:szCs w:val="20"/>
          <w:lang w:val="ru-RU"/>
        </w:rPr>
        <w:t xml:space="preserve">В соответствии с пунктом 7.2.21 организация может принять решение применять в качестве своей учетной политики требования к учету хеджирования </w:t>
      </w:r>
      <w:r w:rsidRPr="00E30B89">
        <w:rPr>
          <w:sz w:val="16"/>
          <w:szCs w:val="20"/>
          <w:lang w:val="ru-RU"/>
        </w:rPr>
        <w:t>МСФО (IAS) 39</w:t>
      </w:r>
      <w:r>
        <w:rPr>
          <w:sz w:val="16"/>
          <w:szCs w:val="20"/>
          <w:lang w:val="ru-RU"/>
        </w:rPr>
        <w:t xml:space="preserve"> вместо требований Главы 6 настоящего стандарта. Если организация приняла данное решение, ссылки в настоящем стандарте на определенные требования к учету хеджирования в Главе 6 не применимы. Вместо этого организация применяет соответствующие требования к учету хеджирования </w:t>
      </w:r>
      <w:r w:rsidRPr="00E30B89">
        <w:rPr>
          <w:sz w:val="16"/>
          <w:szCs w:val="20"/>
          <w:lang w:val="ru-RU"/>
        </w:rPr>
        <w:t>МСФО</w:t>
      </w:r>
      <w:r>
        <w:rPr>
          <w:sz w:val="16"/>
          <w:szCs w:val="20"/>
          <w:lang w:val="ru-RU"/>
        </w:rPr>
        <w:t> </w:t>
      </w:r>
      <w:r w:rsidRPr="00E30B89">
        <w:rPr>
          <w:sz w:val="16"/>
          <w:szCs w:val="20"/>
          <w:lang w:val="ru-RU"/>
        </w:rPr>
        <w:t>(IAS) 39</w:t>
      </w:r>
      <w:r>
        <w:rPr>
          <w:sz w:val="16"/>
          <w:szCs w:val="20"/>
          <w:lang w:val="ru-RU"/>
        </w:rPr>
        <w:t>.</w:t>
      </w:r>
    </w:p>
  </w:footnote>
  <w:footnote w:id="2">
    <w:p w:rsidR="003678E0" w:rsidRPr="003678E0" w:rsidRDefault="003678E0" w:rsidP="003678E0">
      <w:pPr>
        <w:pStyle w:val="a4"/>
        <w:shd w:val="clear" w:color="auto" w:fill="FFFFFF"/>
        <w:rPr>
          <w:lang w:val="ru-RU"/>
        </w:rPr>
      </w:pPr>
      <w:r>
        <w:rPr>
          <w:rStyle w:val="a3"/>
        </w:rPr>
        <w:footnoteRef/>
      </w:r>
      <w:r w:rsidRPr="003678E0">
        <w:rPr>
          <w:lang w:val="ru-RU"/>
        </w:rPr>
        <w:tab/>
        <w:t xml:space="preserve">Отчет </w:t>
      </w:r>
      <w:r w:rsidRPr="003678E0">
        <w:rPr>
          <w:i/>
          <w:iCs/>
          <w:lang w:val="ru-RU"/>
        </w:rPr>
        <w:t>«Реформирование основных базовых процентных ставок»</w:t>
      </w:r>
      <w:r w:rsidRPr="003678E0">
        <w:rPr>
          <w:lang w:val="ru-RU"/>
        </w:rPr>
        <w:t xml:space="preserve"> доступен на сайте по ссылке: </w:t>
      </w:r>
      <w:r>
        <w:t>http</w:t>
      </w:r>
      <w:r w:rsidRPr="003678E0">
        <w:rPr>
          <w:lang w:val="ru-RU"/>
        </w:rPr>
        <w:t>://</w:t>
      </w:r>
      <w:r>
        <w:t>www</w:t>
      </w:r>
      <w:r w:rsidRPr="003678E0">
        <w:rPr>
          <w:lang w:val="ru-RU"/>
        </w:rPr>
        <w:t>.</w:t>
      </w:r>
      <w:r>
        <w:t>fsb</w:t>
      </w:r>
      <w:r w:rsidRPr="003678E0">
        <w:rPr>
          <w:lang w:val="ru-RU"/>
        </w:rPr>
        <w:t>.</w:t>
      </w:r>
      <w:r>
        <w:t>org</w:t>
      </w:r>
      <w:r w:rsidRPr="003678E0">
        <w:rPr>
          <w:lang w:val="ru-RU"/>
        </w:rPr>
        <w:t>/</w:t>
      </w:r>
      <w:r>
        <w:t>wp</w:t>
      </w:r>
      <w:r w:rsidRPr="003678E0">
        <w:rPr>
          <w:lang w:val="ru-RU"/>
        </w:rPr>
        <w:t>-</w:t>
      </w:r>
      <w:r>
        <w:t>content</w:t>
      </w:r>
      <w:r w:rsidRPr="003678E0">
        <w:rPr>
          <w:lang w:val="ru-RU"/>
        </w:rPr>
        <w:t>/</w:t>
      </w:r>
      <w:r>
        <w:t>uploads</w:t>
      </w:r>
      <w:r w:rsidRPr="003678E0">
        <w:rPr>
          <w:lang w:val="ru-RU"/>
        </w:rPr>
        <w:t>/</w:t>
      </w:r>
      <w:r>
        <w:t>r</w:t>
      </w:r>
      <w:r w:rsidRPr="003678E0">
        <w:rPr>
          <w:lang w:val="ru-RU"/>
        </w:rPr>
        <w:t>_140722.</w:t>
      </w:r>
      <w:r>
        <w:t>pdf</w:t>
      </w:r>
      <w:r w:rsidRPr="003678E0">
        <w:rPr>
          <w:lang w:val="ru-RU"/>
        </w:rPr>
        <w:t>.</w:t>
      </w:r>
    </w:p>
  </w:footnote>
  <w:footnote w:id="3">
    <w:p w:rsidR="002C2144" w:rsidRPr="003B6890" w:rsidRDefault="002C2144" w:rsidP="00645E47">
      <w:pPr>
        <w:ind w:left="426" w:hanging="426"/>
        <w:rPr>
          <w:rStyle w:val="a3"/>
          <w:sz w:val="16"/>
          <w:szCs w:val="20"/>
          <w:vertAlign w:val="baseline"/>
          <w:lang w:val="ru-RU"/>
        </w:rPr>
      </w:pPr>
      <w:r w:rsidRPr="00AD2968">
        <w:rPr>
          <w:rStyle w:val="a3"/>
        </w:rPr>
        <w:footnoteRef/>
      </w:r>
      <w:r w:rsidRPr="008E2390">
        <w:rPr>
          <w:b/>
          <w:lang w:val="ru-RU"/>
        </w:rPr>
        <w:tab/>
      </w:r>
      <w:r>
        <w:rPr>
          <w:sz w:val="16"/>
          <w:szCs w:val="20"/>
          <w:lang w:val="ru-RU"/>
        </w:rPr>
        <w:t xml:space="preserve">Данный </w:t>
      </w:r>
      <w:r w:rsidR="00675A85">
        <w:rPr>
          <w:sz w:val="16"/>
          <w:szCs w:val="20"/>
          <w:lang w:val="ru-RU"/>
        </w:rPr>
        <w:t>термин (как он определен</w:t>
      </w:r>
      <w:r>
        <w:rPr>
          <w:sz w:val="16"/>
          <w:szCs w:val="20"/>
          <w:lang w:val="ru-RU"/>
        </w:rPr>
        <w:t xml:space="preserve"> в </w:t>
      </w:r>
      <w:r w:rsidRPr="003B6890">
        <w:rPr>
          <w:sz w:val="16"/>
          <w:szCs w:val="20"/>
          <w:lang w:val="ru-RU"/>
        </w:rPr>
        <w:t>МСФО (IFRS) 7</w:t>
      </w:r>
      <w:r>
        <w:rPr>
          <w:sz w:val="16"/>
          <w:szCs w:val="20"/>
          <w:lang w:val="ru-RU"/>
        </w:rPr>
        <w:t>) используется в описании требований к представлению эффекта от изменений кредитного риска по обязательствам, классифицированным как оцениваемые по справедливой стоимости через прибыль или убыток (см. пункт 5.7.7).</w:t>
      </w:r>
    </w:p>
  </w:footnote>
  <w:footnote w:id="4">
    <w:p w:rsidR="002C2144" w:rsidRPr="003B55B6" w:rsidRDefault="002C2144" w:rsidP="00D0061C">
      <w:pPr>
        <w:autoSpaceDE w:val="0"/>
        <w:autoSpaceDN w:val="0"/>
        <w:adjustRightInd w:val="0"/>
        <w:rPr>
          <w:rStyle w:val="a3"/>
          <w:sz w:val="16"/>
          <w:szCs w:val="20"/>
          <w:vertAlign w:val="baseline"/>
          <w:lang w:val="ru-RU"/>
        </w:rPr>
      </w:pPr>
      <w:r w:rsidRPr="00AD2968">
        <w:rPr>
          <w:rStyle w:val="a3"/>
        </w:rPr>
        <w:footnoteRef/>
      </w:r>
      <w:r w:rsidRPr="003B55B6">
        <w:rPr>
          <w:b/>
          <w:lang w:val="ru-RU"/>
        </w:rPr>
        <w:tab/>
      </w:r>
      <w:r w:rsidRPr="003B55B6">
        <w:rPr>
          <w:rStyle w:val="a3"/>
          <w:sz w:val="16"/>
          <w:vertAlign w:val="baseline"/>
          <w:lang w:val="ru-RU"/>
        </w:rPr>
        <w:t>В МСФО (</w:t>
      </w:r>
      <w:r w:rsidRPr="003B55B6">
        <w:rPr>
          <w:rStyle w:val="a3"/>
          <w:sz w:val="16"/>
          <w:vertAlign w:val="baseline"/>
        </w:rPr>
        <w:t>IFRS</w:t>
      </w:r>
      <w:r w:rsidRPr="003B55B6">
        <w:rPr>
          <w:rStyle w:val="a3"/>
          <w:sz w:val="16"/>
          <w:vertAlign w:val="baseline"/>
          <w:lang w:val="ru-RU"/>
        </w:rPr>
        <w:t>) 3 рассматривается приобретение договоров со встроенными производными</w:t>
      </w:r>
      <w:r>
        <w:rPr>
          <w:sz w:val="16"/>
          <w:lang w:val="ru-RU"/>
        </w:rPr>
        <w:t xml:space="preserve"> </w:t>
      </w:r>
      <w:r w:rsidRPr="003B55B6">
        <w:rPr>
          <w:rStyle w:val="a3"/>
          <w:sz w:val="16"/>
          <w:vertAlign w:val="baseline"/>
          <w:lang w:val="ru-RU"/>
        </w:rPr>
        <w:t>инстр</w:t>
      </w:r>
      <w:r w:rsidR="00A35DF0">
        <w:rPr>
          <w:rStyle w:val="a3"/>
          <w:sz w:val="16"/>
          <w:vertAlign w:val="baseline"/>
          <w:lang w:val="ru-RU"/>
        </w:rPr>
        <w:t>ументами при объединении бизнесов</w:t>
      </w:r>
      <w:r>
        <w:rPr>
          <w:sz w:val="16"/>
          <w:lang w:val="ru-RU"/>
        </w:rPr>
        <w:t>.</w:t>
      </w:r>
    </w:p>
  </w:footnote>
  <w:footnote w:id="5">
    <w:p w:rsidR="002C2144" w:rsidRPr="003D505F" w:rsidRDefault="002C2144" w:rsidP="002D1543">
      <w:pPr>
        <w:tabs>
          <w:tab w:val="left" w:pos="7740"/>
        </w:tabs>
        <w:rPr>
          <w:rStyle w:val="a3"/>
          <w:sz w:val="16"/>
          <w:szCs w:val="20"/>
          <w:vertAlign w:val="baseline"/>
          <w:lang w:val="ru-RU"/>
        </w:rPr>
      </w:pPr>
      <w:r>
        <w:rPr>
          <w:rStyle w:val="a3"/>
        </w:rPr>
        <w:footnoteRef/>
      </w:r>
      <w:r w:rsidRPr="003D505F">
        <w:rPr>
          <w:rStyle w:val="a3"/>
          <w:sz w:val="16"/>
          <w:vertAlign w:val="baseline"/>
          <w:lang w:val="ru-RU"/>
        </w:rPr>
        <w:t>В настоящем стандарте монетарные суммы выражены в «денежных единицах» (</w:t>
      </w:r>
      <w:r w:rsidR="00730672">
        <w:rPr>
          <w:rStyle w:val="a3"/>
          <w:sz w:val="16"/>
          <w:vertAlign w:val="baseline"/>
          <w:lang w:val="ru-RU"/>
        </w:rPr>
        <w:t>д. е.</w:t>
      </w:r>
      <w:r w:rsidRPr="003D505F">
        <w:rPr>
          <w:rStyle w:val="a3"/>
          <w:sz w:val="16"/>
          <w:vertAlign w:val="baseline"/>
          <w:lang w:val="ru-RU"/>
        </w:rPr>
        <w:t>) и «денежных единицах</w:t>
      </w:r>
      <w:r w:rsidRPr="003D505F">
        <w:rPr>
          <w:sz w:val="16"/>
          <w:lang w:val="ru-RU"/>
        </w:rPr>
        <w:t xml:space="preserve"> иностранной валюты</w:t>
      </w:r>
      <w:r w:rsidRPr="003D505F">
        <w:rPr>
          <w:rStyle w:val="a3"/>
          <w:sz w:val="16"/>
          <w:vertAlign w:val="baseline"/>
          <w:lang w:val="ru-RU"/>
        </w:rPr>
        <w:t>» (</w:t>
      </w:r>
      <w:r w:rsidR="00730672">
        <w:rPr>
          <w:rStyle w:val="a3"/>
          <w:sz w:val="16"/>
          <w:vertAlign w:val="baseline"/>
          <w:lang w:val="ru-RU"/>
        </w:rPr>
        <w:t>д. е.</w:t>
      </w:r>
      <w:r w:rsidRPr="003D505F">
        <w:rPr>
          <w:rStyle w:val="a3"/>
          <w:sz w:val="16"/>
          <w:vertAlign w:val="baseline"/>
          <w:lang w:val="ru-RU"/>
        </w:rPr>
        <w:t xml:space="preserve"> иностранной валюты).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44" w:rsidRPr="00201599" w:rsidRDefault="00201599" w:rsidP="00201599">
    <w:pPr>
      <w:pStyle w:val="a6"/>
      <w:rPr>
        <w:lang w:val="en-US"/>
      </w:rPr>
    </w:pPr>
    <w:r>
      <w:rPr>
        <w:lang w:val="ru-RU"/>
      </w:rPr>
      <w:t xml:space="preserve">МСФО </w:t>
    </w:r>
    <w:r>
      <w:rPr>
        <w:lang w:val="en-US"/>
      </w:rPr>
      <w:t>(IFRS)</w:t>
    </w:r>
    <w:r>
      <w:rPr>
        <w:lang w:val="ru-RU"/>
      </w:rPr>
      <w:t xml:space="preserve"> </w:t>
    </w:r>
    <w:r>
      <w:rPr>
        <w:lang w:val="en-US"/>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9" w:rsidRPr="00201599" w:rsidRDefault="00201599" w:rsidP="00201599">
    <w:pPr>
      <w:pStyle w:val="a6"/>
      <w:jc w:val="right"/>
      <w:rPr>
        <w:lang w:val="en-US"/>
      </w:rPr>
    </w:pPr>
    <w:r>
      <w:rPr>
        <w:lang w:val="ru-RU"/>
      </w:rPr>
      <w:t xml:space="preserve">МСФО </w:t>
    </w:r>
    <w:r>
      <w:rPr>
        <w:lang w:val="en-US"/>
      </w:rPr>
      <w:t>(IFRS)</w:t>
    </w:r>
    <w:r>
      <w:rPr>
        <w:lang w:val="ru-RU"/>
      </w:rPr>
      <w:t xml:space="preserve"> </w:t>
    </w:r>
    <w:r>
      <w:rPr>
        <w:lang w:val="en-US"/>
      </w:rPr>
      <w:t>9</w:t>
    </w:r>
  </w:p>
  <w:p w:rsidR="008A63D5" w:rsidRPr="00201599" w:rsidRDefault="008A63D5" w:rsidP="0020159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3D5" w:rsidRPr="00AF242F" w:rsidRDefault="008A63D5" w:rsidP="008A63D5">
    <w:pPr>
      <w:pStyle w:val="IASBNormalnparaL1P"/>
      <w:tabs>
        <w:tab w:val="right" w:pos="9354"/>
      </w:tabs>
      <w:spacing w:before="0"/>
      <w:ind w:left="0"/>
      <w:jc w:val="left"/>
      <w:rPr>
        <w:sz w:val="20"/>
        <w:lang w:eastAsia="en-GB"/>
      </w:rPr>
    </w:pPr>
    <w:r>
      <w:rPr>
        <w:smallCaps/>
        <w:sz w:val="20"/>
        <w:lang w:val="ru-RU" w:eastAsia="en-GB"/>
      </w:rPr>
      <w:t>МСФО (</w:t>
    </w:r>
    <w:r>
      <w:rPr>
        <w:smallCaps/>
        <w:sz w:val="20"/>
        <w:lang w:eastAsia="en-GB"/>
      </w:rPr>
      <w:t>IFRS) 9</w:t>
    </w:r>
  </w:p>
  <w:p w:rsidR="002C2144" w:rsidRPr="00F2725B" w:rsidRDefault="002C2144" w:rsidP="00470C37">
    <w:pPr>
      <w:pStyle w:val="IASBNormalnparaL1P"/>
      <w:tabs>
        <w:tab w:val="right" w:pos="9354"/>
      </w:tabs>
      <w:spacing w:before="0"/>
      <w:ind w:left="0"/>
      <w:jc w:val="center"/>
      <w:rPr>
        <w:smallCaps/>
        <w:sz w:val="20"/>
        <w:lang w:val="ru-RU" w:eastAsia="en-GB"/>
      </w:rPr>
    </w:pPr>
  </w:p>
  <w:p w:rsidR="002C2144" w:rsidRPr="00F2725B" w:rsidRDefault="002C2144">
    <w:pPr>
      <w:pStyle w:val="IASBNormalnparaL1P"/>
      <w:tabs>
        <w:tab w:val="right" w:pos="9354"/>
      </w:tabs>
      <w:spacing w:before="0"/>
      <w:ind w:left="0"/>
      <w:jc w:val="left"/>
      <w:rPr>
        <w:sz w:val="20"/>
        <w:lang w:val="ru-RU" w:eastAsia="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9" w:rsidRPr="00201599" w:rsidRDefault="00201599" w:rsidP="00201599">
    <w:pPr>
      <w:pStyle w:val="a6"/>
      <w:jc w:val="right"/>
      <w:rPr>
        <w:lang w:val="en-US"/>
      </w:rPr>
    </w:pPr>
    <w:r>
      <w:rPr>
        <w:lang w:val="ru-RU"/>
      </w:rPr>
      <w:t xml:space="preserve">МСФО </w:t>
    </w:r>
    <w:r>
      <w:rPr>
        <w:lang w:val="en-US"/>
      </w:rPr>
      <w:t>(IFRS)</w:t>
    </w:r>
    <w:r>
      <w:rPr>
        <w:lang w:val="ru-RU"/>
      </w:rPr>
      <w:t xml:space="preserve"> </w:t>
    </w:r>
    <w:r>
      <w:rPr>
        <w:lang w:val="en-US"/>
      </w:rPr>
      <w:t>9</w:t>
    </w:r>
  </w:p>
  <w:p w:rsidR="002C2144" w:rsidRPr="00201599" w:rsidRDefault="002C2144" w:rsidP="00201599">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9" w:rsidRPr="00170C7B" w:rsidRDefault="00201599" w:rsidP="00170C7B">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44" w:rsidRPr="00EF6189" w:rsidRDefault="00EF6189" w:rsidP="00EF6189">
    <w:pPr>
      <w:pStyle w:val="a6"/>
      <w:jc w:val="center"/>
      <w:rPr>
        <w:lang w:val="ru-RU"/>
      </w:rPr>
    </w:pPr>
    <w:r>
      <w:fldChar w:fldCharType="begin"/>
    </w:r>
    <w:r>
      <w:instrText>PAGE   \* MERGEFORMAT</w:instrText>
    </w:r>
    <w:r>
      <w:fldChar w:fldCharType="separate"/>
    </w:r>
    <w:r w:rsidR="004F7367" w:rsidRPr="004F7367">
      <w:rPr>
        <w:noProof/>
        <w:lang w:val="ru-RU"/>
      </w:rPr>
      <w:t>85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F82"/>
    <w:multiLevelType w:val="hybridMultilevel"/>
    <w:tmpl w:val="7C7AE568"/>
    <w:lvl w:ilvl="0" w:tplc="A1F6E7BA">
      <w:start w:val="1"/>
      <w:numFmt w:val="lowerLetter"/>
      <w:lvlText w:val="(%1)"/>
      <w:lvlJc w:val="left"/>
      <w:pPr>
        <w:ind w:left="2345" w:hanging="780"/>
      </w:pPr>
      <w:rPr>
        <w:rFonts w:hint="default"/>
      </w:rPr>
    </w:lvl>
    <w:lvl w:ilvl="1" w:tplc="08090019">
      <w:start w:val="1"/>
      <w:numFmt w:val="lowerLetter"/>
      <w:lvlText w:val="%2."/>
      <w:lvlJc w:val="left"/>
      <w:pPr>
        <w:ind w:left="2645" w:hanging="360"/>
      </w:pPr>
    </w:lvl>
    <w:lvl w:ilvl="2" w:tplc="0809001B" w:tentative="1">
      <w:start w:val="1"/>
      <w:numFmt w:val="lowerRoman"/>
      <w:lvlText w:val="%3."/>
      <w:lvlJc w:val="right"/>
      <w:pPr>
        <w:ind w:left="3365" w:hanging="180"/>
      </w:pPr>
    </w:lvl>
    <w:lvl w:ilvl="3" w:tplc="0809000F" w:tentative="1">
      <w:start w:val="1"/>
      <w:numFmt w:val="decimal"/>
      <w:lvlText w:val="%4."/>
      <w:lvlJc w:val="left"/>
      <w:pPr>
        <w:ind w:left="4085" w:hanging="360"/>
      </w:pPr>
    </w:lvl>
    <w:lvl w:ilvl="4" w:tplc="08090019" w:tentative="1">
      <w:start w:val="1"/>
      <w:numFmt w:val="lowerLetter"/>
      <w:lvlText w:val="%5."/>
      <w:lvlJc w:val="left"/>
      <w:pPr>
        <w:ind w:left="4805" w:hanging="360"/>
      </w:pPr>
    </w:lvl>
    <w:lvl w:ilvl="5" w:tplc="0809001B" w:tentative="1">
      <w:start w:val="1"/>
      <w:numFmt w:val="lowerRoman"/>
      <w:lvlText w:val="%6."/>
      <w:lvlJc w:val="right"/>
      <w:pPr>
        <w:ind w:left="5525" w:hanging="180"/>
      </w:pPr>
    </w:lvl>
    <w:lvl w:ilvl="6" w:tplc="0809000F" w:tentative="1">
      <w:start w:val="1"/>
      <w:numFmt w:val="decimal"/>
      <w:lvlText w:val="%7."/>
      <w:lvlJc w:val="left"/>
      <w:pPr>
        <w:ind w:left="6245" w:hanging="360"/>
      </w:pPr>
    </w:lvl>
    <w:lvl w:ilvl="7" w:tplc="08090019" w:tentative="1">
      <w:start w:val="1"/>
      <w:numFmt w:val="lowerLetter"/>
      <w:lvlText w:val="%8."/>
      <w:lvlJc w:val="left"/>
      <w:pPr>
        <w:ind w:left="6965" w:hanging="360"/>
      </w:pPr>
    </w:lvl>
    <w:lvl w:ilvl="8" w:tplc="0809001B" w:tentative="1">
      <w:start w:val="1"/>
      <w:numFmt w:val="lowerRoman"/>
      <w:lvlText w:val="%9."/>
      <w:lvlJc w:val="right"/>
      <w:pPr>
        <w:ind w:left="7685" w:hanging="180"/>
      </w:pPr>
    </w:lvl>
  </w:abstractNum>
  <w:abstractNum w:abstractNumId="1" w15:restartNumberingAfterBreak="0">
    <w:nsid w:val="02633D56"/>
    <w:multiLevelType w:val="hybridMultilevel"/>
    <w:tmpl w:val="5B50721A"/>
    <w:lvl w:ilvl="0" w:tplc="88AC9C14">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 w15:restartNumberingAfterBreak="0">
    <w:nsid w:val="0713013F"/>
    <w:multiLevelType w:val="hybridMultilevel"/>
    <w:tmpl w:val="95F0A824"/>
    <w:lvl w:ilvl="0" w:tplc="62D01A8A">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3" w15:restartNumberingAfterBreak="0">
    <w:nsid w:val="0957127E"/>
    <w:multiLevelType w:val="hybridMultilevel"/>
    <w:tmpl w:val="437C400E"/>
    <w:lvl w:ilvl="0" w:tplc="70000BCE">
      <w:start w:val="1"/>
      <w:numFmt w:val="lowerLetter"/>
      <w:lvlText w:val="(%1)"/>
      <w:lvlJc w:val="left"/>
      <w:pPr>
        <w:ind w:left="2707" w:hanging="360"/>
      </w:pPr>
      <w:rPr>
        <w:rFonts w:hint="default"/>
      </w:rPr>
    </w:lvl>
    <w:lvl w:ilvl="1" w:tplc="08090019" w:tentative="1">
      <w:start w:val="1"/>
      <w:numFmt w:val="lowerLetter"/>
      <w:lvlText w:val="%2."/>
      <w:lvlJc w:val="left"/>
      <w:pPr>
        <w:ind w:left="3427" w:hanging="360"/>
      </w:pPr>
    </w:lvl>
    <w:lvl w:ilvl="2" w:tplc="0809001B" w:tentative="1">
      <w:start w:val="1"/>
      <w:numFmt w:val="lowerRoman"/>
      <w:lvlText w:val="%3."/>
      <w:lvlJc w:val="right"/>
      <w:pPr>
        <w:ind w:left="4147" w:hanging="180"/>
      </w:pPr>
    </w:lvl>
    <w:lvl w:ilvl="3" w:tplc="0809000F" w:tentative="1">
      <w:start w:val="1"/>
      <w:numFmt w:val="decimal"/>
      <w:lvlText w:val="%4."/>
      <w:lvlJc w:val="left"/>
      <w:pPr>
        <w:ind w:left="4867" w:hanging="360"/>
      </w:pPr>
    </w:lvl>
    <w:lvl w:ilvl="4" w:tplc="08090019" w:tentative="1">
      <w:start w:val="1"/>
      <w:numFmt w:val="lowerLetter"/>
      <w:lvlText w:val="%5."/>
      <w:lvlJc w:val="left"/>
      <w:pPr>
        <w:ind w:left="5587" w:hanging="360"/>
      </w:pPr>
    </w:lvl>
    <w:lvl w:ilvl="5" w:tplc="0809001B" w:tentative="1">
      <w:start w:val="1"/>
      <w:numFmt w:val="lowerRoman"/>
      <w:lvlText w:val="%6."/>
      <w:lvlJc w:val="right"/>
      <w:pPr>
        <w:ind w:left="6307" w:hanging="180"/>
      </w:pPr>
    </w:lvl>
    <w:lvl w:ilvl="6" w:tplc="0809000F" w:tentative="1">
      <w:start w:val="1"/>
      <w:numFmt w:val="decimal"/>
      <w:lvlText w:val="%7."/>
      <w:lvlJc w:val="left"/>
      <w:pPr>
        <w:ind w:left="7027" w:hanging="360"/>
      </w:pPr>
    </w:lvl>
    <w:lvl w:ilvl="7" w:tplc="08090019" w:tentative="1">
      <w:start w:val="1"/>
      <w:numFmt w:val="lowerLetter"/>
      <w:lvlText w:val="%8."/>
      <w:lvlJc w:val="left"/>
      <w:pPr>
        <w:ind w:left="7747" w:hanging="360"/>
      </w:pPr>
    </w:lvl>
    <w:lvl w:ilvl="8" w:tplc="0809001B" w:tentative="1">
      <w:start w:val="1"/>
      <w:numFmt w:val="lowerRoman"/>
      <w:lvlText w:val="%9."/>
      <w:lvlJc w:val="right"/>
      <w:pPr>
        <w:ind w:left="8467" w:hanging="180"/>
      </w:pPr>
    </w:lvl>
  </w:abstractNum>
  <w:abstractNum w:abstractNumId="4" w15:restartNumberingAfterBreak="0">
    <w:nsid w:val="0D843150"/>
    <w:multiLevelType w:val="hybridMultilevel"/>
    <w:tmpl w:val="29CE2FC0"/>
    <w:lvl w:ilvl="0" w:tplc="99F4CBF6">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5" w15:restartNumberingAfterBreak="0">
    <w:nsid w:val="12C96E8F"/>
    <w:multiLevelType w:val="hybridMultilevel"/>
    <w:tmpl w:val="9F68CAB4"/>
    <w:lvl w:ilvl="0" w:tplc="FB64E9AA">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6" w15:restartNumberingAfterBreak="0">
    <w:nsid w:val="150E5F21"/>
    <w:multiLevelType w:val="hybridMultilevel"/>
    <w:tmpl w:val="9822CA1C"/>
    <w:lvl w:ilvl="0" w:tplc="A6C43EFC">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7" w15:restartNumberingAfterBreak="0">
    <w:nsid w:val="15871FE8"/>
    <w:multiLevelType w:val="hybridMultilevel"/>
    <w:tmpl w:val="8E8E541A"/>
    <w:lvl w:ilvl="0" w:tplc="D356005E">
      <w:start w:val="1"/>
      <w:numFmt w:val="lowerLetter"/>
      <w:lvlText w:val="(%1)"/>
      <w:lvlJc w:val="left"/>
      <w:pPr>
        <w:ind w:left="2707" w:hanging="360"/>
      </w:pPr>
      <w:rPr>
        <w:rFonts w:hint="default"/>
      </w:rPr>
    </w:lvl>
    <w:lvl w:ilvl="1" w:tplc="08090019" w:tentative="1">
      <w:start w:val="1"/>
      <w:numFmt w:val="lowerLetter"/>
      <w:lvlText w:val="%2."/>
      <w:lvlJc w:val="left"/>
      <w:pPr>
        <w:ind w:left="3427" w:hanging="360"/>
      </w:pPr>
    </w:lvl>
    <w:lvl w:ilvl="2" w:tplc="0809001B" w:tentative="1">
      <w:start w:val="1"/>
      <w:numFmt w:val="lowerRoman"/>
      <w:lvlText w:val="%3."/>
      <w:lvlJc w:val="right"/>
      <w:pPr>
        <w:ind w:left="4147" w:hanging="180"/>
      </w:pPr>
    </w:lvl>
    <w:lvl w:ilvl="3" w:tplc="0809000F" w:tentative="1">
      <w:start w:val="1"/>
      <w:numFmt w:val="decimal"/>
      <w:lvlText w:val="%4."/>
      <w:lvlJc w:val="left"/>
      <w:pPr>
        <w:ind w:left="4867" w:hanging="360"/>
      </w:pPr>
    </w:lvl>
    <w:lvl w:ilvl="4" w:tplc="08090019" w:tentative="1">
      <w:start w:val="1"/>
      <w:numFmt w:val="lowerLetter"/>
      <w:lvlText w:val="%5."/>
      <w:lvlJc w:val="left"/>
      <w:pPr>
        <w:ind w:left="5587" w:hanging="360"/>
      </w:pPr>
    </w:lvl>
    <w:lvl w:ilvl="5" w:tplc="0809001B" w:tentative="1">
      <w:start w:val="1"/>
      <w:numFmt w:val="lowerRoman"/>
      <w:lvlText w:val="%6."/>
      <w:lvlJc w:val="right"/>
      <w:pPr>
        <w:ind w:left="6307" w:hanging="180"/>
      </w:pPr>
    </w:lvl>
    <w:lvl w:ilvl="6" w:tplc="0809000F" w:tentative="1">
      <w:start w:val="1"/>
      <w:numFmt w:val="decimal"/>
      <w:lvlText w:val="%7."/>
      <w:lvlJc w:val="left"/>
      <w:pPr>
        <w:ind w:left="7027" w:hanging="360"/>
      </w:pPr>
    </w:lvl>
    <w:lvl w:ilvl="7" w:tplc="08090019" w:tentative="1">
      <w:start w:val="1"/>
      <w:numFmt w:val="lowerLetter"/>
      <w:lvlText w:val="%8."/>
      <w:lvlJc w:val="left"/>
      <w:pPr>
        <w:ind w:left="7747" w:hanging="360"/>
      </w:pPr>
    </w:lvl>
    <w:lvl w:ilvl="8" w:tplc="0809001B" w:tentative="1">
      <w:start w:val="1"/>
      <w:numFmt w:val="lowerRoman"/>
      <w:lvlText w:val="%9."/>
      <w:lvlJc w:val="right"/>
      <w:pPr>
        <w:ind w:left="8467" w:hanging="180"/>
      </w:pPr>
    </w:lvl>
  </w:abstractNum>
  <w:abstractNum w:abstractNumId="8" w15:restartNumberingAfterBreak="0">
    <w:nsid w:val="16C83CC2"/>
    <w:multiLevelType w:val="hybridMultilevel"/>
    <w:tmpl w:val="C77C8A24"/>
    <w:lvl w:ilvl="0" w:tplc="39CA52AA">
      <w:start w:val="1"/>
      <w:numFmt w:val="lowerLetter"/>
      <w:lvlText w:val="(%1)"/>
      <w:lvlJc w:val="left"/>
      <w:pPr>
        <w:ind w:left="1562" w:hanging="78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9" w15:restartNumberingAfterBreak="0">
    <w:nsid w:val="1AFE294D"/>
    <w:multiLevelType w:val="hybridMultilevel"/>
    <w:tmpl w:val="64BE23E4"/>
    <w:lvl w:ilvl="0" w:tplc="C42693BE">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0" w15:restartNumberingAfterBreak="0">
    <w:nsid w:val="1F3561BF"/>
    <w:multiLevelType w:val="hybridMultilevel"/>
    <w:tmpl w:val="7F9C2556"/>
    <w:lvl w:ilvl="0" w:tplc="4ECA06DC">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1" w15:restartNumberingAfterBreak="0">
    <w:nsid w:val="22DF051B"/>
    <w:multiLevelType w:val="hybridMultilevel"/>
    <w:tmpl w:val="81FADE0E"/>
    <w:lvl w:ilvl="0" w:tplc="617ADD5A">
      <w:start w:val="1"/>
      <w:numFmt w:val="lowerLetter"/>
      <w:lvlText w:val="(%1)"/>
      <w:lvlJc w:val="left"/>
      <w:pPr>
        <w:ind w:left="1562" w:hanging="78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2" w15:restartNumberingAfterBreak="0">
    <w:nsid w:val="248F45C1"/>
    <w:multiLevelType w:val="hybridMultilevel"/>
    <w:tmpl w:val="C67E7442"/>
    <w:lvl w:ilvl="0" w:tplc="C77A387E">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3" w15:restartNumberingAfterBreak="0">
    <w:nsid w:val="25AC6723"/>
    <w:multiLevelType w:val="hybridMultilevel"/>
    <w:tmpl w:val="0826D7D4"/>
    <w:lvl w:ilvl="0" w:tplc="6346018E">
      <w:start w:val="1"/>
      <w:numFmt w:val="lowerRoman"/>
      <w:lvlText w:val="(%1)"/>
      <w:lvlJc w:val="left"/>
      <w:pPr>
        <w:ind w:left="2345" w:hanging="780"/>
      </w:pPr>
      <w:rPr>
        <w:rFonts w:hint="default"/>
      </w:rPr>
    </w:lvl>
    <w:lvl w:ilvl="1" w:tplc="04190019" w:tentative="1">
      <w:start w:val="1"/>
      <w:numFmt w:val="lowerLetter"/>
      <w:lvlText w:val="%2."/>
      <w:lvlJc w:val="left"/>
      <w:pPr>
        <w:ind w:left="2645" w:hanging="360"/>
      </w:pPr>
    </w:lvl>
    <w:lvl w:ilvl="2" w:tplc="0419001B" w:tentative="1">
      <w:start w:val="1"/>
      <w:numFmt w:val="lowerRoman"/>
      <w:lvlText w:val="%3."/>
      <w:lvlJc w:val="right"/>
      <w:pPr>
        <w:ind w:left="3365" w:hanging="180"/>
      </w:pPr>
    </w:lvl>
    <w:lvl w:ilvl="3" w:tplc="0419000F" w:tentative="1">
      <w:start w:val="1"/>
      <w:numFmt w:val="decimal"/>
      <w:lvlText w:val="%4."/>
      <w:lvlJc w:val="left"/>
      <w:pPr>
        <w:ind w:left="4085" w:hanging="360"/>
      </w:pPr>
    </w:lvl>
    <w:lvl w:ilvl="4" w:tplc="04190019" w:tentative="1">
      <w:start w:val="1"/>
      <w:numFmt w:val="lowerLetter"/>
      <w:lvlText w:val="%5."/>
      <w:lvlJc w:val="left"/>
      <w:pPr>
        <w:ind w:left="4805" w:hanging="360"/>
      </w:pPr>
    </w:lvl>
    <w:lvl w:ilvl="5" w:tplc="0419001B" w:tentative="1">
      <w:start w:val="1"/>
      <w:numFmt w:val="lowerRoman"/>
      <w:lvlText w:val="%6."/>
      <w:lvlJc w:val="right"/>
      <w:pPr>
        <w:ind w:left="5525" w:hanging="180"/>
      </w:pPr>
    </w:lvl>
    <w:lvl w:ilvl="6" w:tplc="0419000F" w:tentative="1">
      <w:start w:val="1"/>
      <w:numFmt w:val="decimal"/>
      <w:lvlText w:val="%7."/>
      <w:lvlJc w:val="left"/>
      <w:pPr>
        <w:ind w:left="6245" w:hanging="360"/>
      </w:pPr>
    </w:lvl>
    <w:lvl w:ilvl="7" w:tplc="04190019" w:tentative="1">
      <w:start w:val="1"/>
      <w:numFmt w:val="lowerLetter"/>
      <w:lvlText w:val="%8."/>
      <w:lvlJc w:val="left"/>
      <w:pPr>
        <w:ind w:left="6965" w:hanging="360"/>
      </w:pPr>
    </w:lvl>
    <w:lvl w:ilvl="8" w:tplc="0419001B" w:tentative="1">
      <w:start w:val="1"/>
      <w:numFmt w:val="lowerRoman"/>
      <w:lvlText w:val="%9."/>
      <w:lvlJc w:val="right"/>
      <w:pPr>
        <w:ind w:left="7685" w:hanging="180"/>
      </w:pPr>
    </w:lvl>
  </w:abstractNum>
  <w:abstractNum w:abstractNumId="14" w15:restartNumberingAfterBreak="0">
    <w:nsid w:val="268E5065"/>
    <w:multiLevelType w:val="hybridMultilevel"/>
    <w:tmpl w:val="947027B6"/>
    <w:lvl w:ilvl="0" w:tplc="58541A9E">
      <w:start w:val="1"/>
      <w:numFmt w:val="lowerRoman"/>
      <w:lvlText w:val="(%1)"/>
      <w:lvlJc w:val="left"/>
      <w:pPr>
        <w:ind w:left="2285" w:hanging="720"/>
      </w:pPr>
      <w:rPr>
        <w:rFonts w:hint="default"/>
      </w:rPr>
    </w:lvl>
    <w:lvl w:ilvl="1" w:tplc="04190019" w:tentative="1">
      <w:start w:val="1"/>
      <w:numFmt w:val="lowerLetter"/>
      <w:lvlText w:val="%2."/>
      <w:lvlJc w:val="left"/>
      <w:pPr>
        <w:ind w:left="2645" w:hanging="360"/>
      </w:pPr>
    </w:lvl>
    <w:lvl w:ilvl="2" w:tplc="0419001B" w:tentative="1">
      <w:start w:val="1"/>
      <w:numFmt w:val="lowerRoman"/>
      <w:lvlText w:val="%3."/>
      <w:lvlJc w:val="right"/>
      <w:pPr>
        <w:ind w:left="3365" w:hanging="180"/>
      </w:pPr>
    </w:lvl>
    <w:lvl w:ilvl="3" w:tplc="0419000F" w:tentative="1">
      <w:start w:val="1"/>
      <w:numFmt w:val="decimal"/>
      <w:lvlText w:val="%4."/>
      <w:lvlJc w:val="left"/>
      <w:pPr>
        <w:ind w:left="4085" w:hanging="360"/>
      </w:pPr>
    </w:lvl>
    <w:lvl w:ilvl="4" w:tplc="04190019" w:tentative="1">
      <w:start w:val="1"/>
      <w:numFmt w:val="lowerLetter"/>
      <w:lvlText w:val="%5."/>
      <w:lvlJc w:val="left"/>
      <w:pPr>
        <w:ind w:left="4805" w:hanging="360"/>
      </w:pPr>
    </w:lvl>
    <w:lvl w:ilvl="5" w:tplc="0419001B" w:tentative="1">
      <w:start w:val="1"/>
      <w:numFmt w:val="lowerRoman"/>
      <w:lvlText w:val="%6."/>
      <w:lvlJc w:val="right"/>
      <w:pPr>
        <w:ind w:left="5525" w:hanging="180"/>
      </w:pPr>
    </w:lvl>
    <w:lvl w:ilvl="6" w:tplc="0419000F" w:tentative="1">
      <w:start w:val="1"/>
      <w:numFmt w:val="decimal"/>
      <w:lvlText w:val="%7."/>
      <w:lvlJc w:val="left"/>
      <w:pPr>
        <w:ind w:left="6245" w:hanging="360"/>
      </w:pPr>
    </w:lvl>
    <w:lvl w:ilvl="7" w:tplc="04190019" w:tentative="1">
      <w:start w:val="1"/>
      <w:numFmt w:val="lowerLetter"/>
      <w:lvlText w:val="%8."/>
      <w:lvlJc w:val="left"/>
      <w:pPr>
        <w:ind w:left="6965" w:hanging="360"/>
      </w:pPr>
    </w:lvl>
    <w:lvl w:ilvl="8" w:tplc="0419001B" w:tentative="1">
      <w:start w:val="1"/>
      <w:numFmt w:val="lowerRoman"/>
      <w:lvlText w:val="%9."/>
      <w:lvlJc w:val="right"/>
      <w:pPr>
        <w:ind w:left="7685" w:hanging="180"/>
      </w:pPr>
    </w:lvl>
  </w:abstractNum>
  <w:abstractNum w:abstractNumId="15" w15:restartNumberingAfterBreak="0">
    <w:nsid w:val="27103F58"/>
    <w:multiLevelType w:val="hybridMultilevel"/>
    <w:tmpl w:val="C680907C"/>
    <w:lvl w:ilvl="0" w:tplc="4E568DA0">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6" w15:restartNumberingAfterBreak="0">
    <w:nsid w:val="282C6326"/>
    <w:multiLevelType w:val="hybridMultilevel"/>
    <w:tmpl w:val="E9867EF4"/>
    <w:lvl w:ilvl="0" w:tplc="55D2B8A4">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7" w15:restartNumberingAfterBreak="0">
    <w:nsid w:val="306123A6"/>
    <w:multiLevelType w:val="hybridMultilevel"/>
    <w:tmpl w:val="101C68BA"/>
    <w:lvl w:ilvl="0" w:tplc="28F0D35C">
      <w:start w:val="1"/>
      <w:numFmt w:val="lowerRoman"/>
      <w:lvlText w:val="(%1)"/>
      <w:lvlJc w:val="left"/>
      <w:pPr>
        <w:ind w:left="3072" w:hanging="720"/>
      </w:pPr>
      <w:rPr>
        <w:rFonts w:hint="default"/>
      </w:rPr>
    </w:lvl>
    <w:lvl w:ilvl="1" w:tplc="08090019" w:tentative="1">
      <w:start w:val="1"/>
      <w:numFmt w:val="lowerLetter"/>
      <w:lvlText w:val="%2."/>
      <w:lvlJc w:val="left"/>
      <w:pPr>
        <w:ind w:left="3432" w:hanging="360"/>
      </w:pPr>
    </w:lvl>
    <w:lvl w:ilvl="2" w:tplc="0809001B" w:tentative="1">
      <w:start w:val="1"/>
      <w:numFmt w:val="lowerRoman"/>
      <w:lvlText w:val="%3."/>
      <w:lvlJc w:val="right"/>
      <w:pPr>
        <w:ind w:left="4152" w:hanging="180"/>
      </w:pPr>
    </w:lvl>
    <w:lvl w:ilvl="3" w:tplc="0809000F" w:tentative="1">
      <w:start w:val="1"/>
      <w:numFmt w:val="decimal"/>
      <w:lvlText w:val="%4."/>
      <w:lvlJc w:val="left"/>
      <w:pPr>
        <w:ind w:left="4872" w:hanging="360"/>
      </w:pPr>
    </w:lvl>
    <w:lvl w:ilvl="4" w:tplc="08090019" w:tentative="1">
      <w:start w:val="1"/>
      <w:numFmt w:val="lowerLetter"/>
      <w:lvlText w:val="%5."/>
      <w:lvlJc w:val="left"/>
      <w:pPr>
        <w:ind w:left="5592" w:hanging="360"/>
      </w:pPr>
    </w:lvl>
    <w:lvl w:ilvl="5" w:tplc="0809001B" w:tentative="1">
      <w:start w:val="1"/>
      <w:numFmt w:val="lowerRoman"/>
      <w:lvlText w:val="%6."/>
      <w:lvlJc w:val="right"/>
      <w:pPr>
        <w:ind w:left="6312" w:hanging="180"/>
      </w:pPr>
    </w:lvl>
    <w:lvl w:ilvl="6" w:tplc="0809000F" w:tentative="1">
      <w:start w:val="1"/>
      <w:numFmt w:val="decimal"/>
      <w:lvlText w:val="%7."/>
      <w:lvlJc w:val="left"/>
      <w:pPr>
        <w:ind w:left="7032" w:hanging="360"/>
      </w:pPr>
    </w:lvl>
    <w:lvl w:ilvl="7" w:tplc="08090019" w:tentative="1">
      <w:start w:val="1"/>
      <w:numFmt w:val="lowerLetter"/>
      <w:lvlText w:val="%8."/>
      <w:lvlJc w:val="left"/>
      <w:pPr>
        <w:ind w:left="7752" w:hanging="360"/>
      </w:pPr>
    </w:lvl>
    <w:lvl w:ilvl="8" w:tplc="0809001B" w:tentative="1">
      <w:start w:val="1"/>
      <w:numFmt w:val="lowerRoman"/>
      <w:lvlText w:val="%9."/>
      <w:lvlJc w:val="right"/>
      <w:pPr>
        <w:ind w:left="8472" w:hanging="180"/>
      </w:pPr>
    </w:lvl>
  </w:abstractNum>
  <w:abstractNum w:abstractNumId="18" w15:restartNumberingAfterBreak="0">
    <w:nsid w:val="31CF07E0"/>
    <w:multiLevelType w:val="hybridMultilevel"/>
    <w:tmpl w:val="AF280370"/>
    <w:lvl w:ilvl="0" w:tplc="C334256A">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9" w15:restartNumberingAfterBreak="0">
    <w:nsid w:val="32226DD6"/>
    <w:multiLevelType w:val="hybridMultilevel"/>
    <w:tmpl w:val="330A8AB0"/>
    <w:lvl w:ilvl="0" w:tplc="C45CB362">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0" w15:restartNumberingAfterBreak="0">
    <w:nsid w:val="3417264B"/>
    <w:multiLevelType w:val="hybridMultilevel"/>
    <w:tmpl w:val="1CFE94EC"/>
    <w:lvl w:ilvl="0" w:tplc="002E3B58">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1" w15:restartNumberingAfterBreak="0">
    <w:nsid w:val="3CDF7F23"/>
    <w:multiLevelType w:val="hybridMultilevel"/>
    <w:tmpl w:val="0FA68F40"/>
    <w:lvl w:ilvl="0" w:tplc="291A1496">
      <w:start w:val="1"/>
      <w:numFmt w:val="lowerRoman"/>
      <w:lvlText w:val="(%1)"/>
      <w:lvlJc w:val="left"/>
      <w:pPr>
        <w:ind w:left="2345" w:hanging="780"/>
      </w:pPr>
      <w:rPr>
        <w:rFonts w:hint="default"/>
      </w:rPr>
    </w:lvl>
    <w:lvl w:ilvl="1" w:tplc="04190019" w:tentative="1">
      <w:start w:val="1"/>
      <w:numFmt w:val="lowerLetter"/>
      <w:lvlText w:val="%2."/>
      <w:lvlJc w:val="left"/>
      <w:pPr>
        <w:ind w:left="2645" w:hanging="360"/>
      </w:pPr>
    </w:lvl>
    <w:lvl w:ilvl="2" w:tplc="0419001B" w:tentative="1">
      <w:start w:val="1"/>
      <w:numFmt w:val="lowerRoman"/>
      <w:lvlText w:val="%3."/>
      <w:lvlJc w:val="right"/>
      <w:pPr>
        <w:ind w:left="3365" w:hanging="180"/>
      </w:pPr>
    </w:lvl>
    <w:lvl w:ilvl="3" w:tplc="0419000F" w:tentative="1">
      <w:start w:val="1"/>
      <w:numFmt w:val="decimal"/>
      <w:lvlText w:val="%4."/>
      <w:lvlJc w:val="left"/>
      <w:pPr>
        <w:ind w:left="4085" w:hanging="360"/>
      </w:pPr>
    </w:lvl>
    <w:lvl w:ilvl="4" w:tplc="04190019" w:tentative="1">
      <w:start w:val="1"/>
      <w:numFmt w:val="lowerLetter"/>
      <w:lvlText w:val="%5."/>
      <w:lvlJc w:val="left"/>
      <w:pPr>
        <w:ind w:left="4805" w:hanging="360"/>
      </w:pPr>
    </w:lvl>
    <w:lvl w:ilvl="5" w:tplc="0419001B" w:tentative="1">
      <w:start w:val="1"/>
      <w:numFmt w:val="lowerRoman"/>
      <w:lvlText w:val="%6."/>
      <w:lvlJc w:val="right"/>
      <w:pPr>
        <w:ind w:left="5525" w:hanging="180"/>
      </w:pPr>
    </w:lvl>
    <w:lvl w:ilvl="6" w:tplc="0419000F" w:tentative="1">
      <w:start w:val="1"/>
      <w:numFmt w:val="decimal"/>
      <w:lvlText w:val="%7."/>
      <w:lvlJc w:val="left"/>
      <w:pPr>
        <w:ind w:left="6245" w:hanging="360"/>
      </w:pPr>
    </w:lvl>
    <w:lvl w:ilvl="7" w:tplc="04190019" w:tentative="1">
      <w:start w:val="1"/>
      <w:numFmt w:val="lowerLetter"/>
      <w:lvlText w:val="%8."/>
      <w:lvlJc w:val="left"/>
      <w:pPr>
        <w:ind w:left="6965" w:hanging="360"/>
      </w:pPr>
    </w:lvl>
    <w:lvl w:ilvl="8" w:tplc="0419001B" w:tentative="1">
      <w:start w:val="1"/>
      <w:numFmt w:val="lowerRoman"/>
      <w:lvlText w:val="%9."/>
      <w:lvlJc w:val="right"/>
      <w:pPr>
        <w:ind w:left="7685" w:hanging="180"/>
      </w:pPr>
    </w:lvl>
  </w:abstractNum>
  <w:abstractNum w:abstractNumId="22" w15:restartNumberingAfterBreak="0">
    <w:nsid w:val="3DD274AC"/>
    <w:multiLevelType w:val="hybridMultilevel"/>
    <w:tmpl w:val="FE465BD8"/>
    <w:lvl w:ilvl="0" w:tplc="21F65658">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3" w15:restartNumberingAfterBreak="0">
    <w:nsid w:val="3F875C88"/>
    <w:multiLevelType w:val="hybridMultilevel"/>
    <w:tmpl w:val="5BB6C4C8"/>
    <w:lvl w:ilvl="0" w:tplc="16F2BE8A">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4" w15:restartNumberingAfterBreak="0">
    <w:nsid w:val="420869A8"/>
    <w:multiLevelType w:val="hybridMultilevel"/>
    <w:tmpl w:val="BF5CD406"/>
    <w:lvl w:ilvl="0" w:tplc="DD34BB6C">
      <w:start w:val="1"/>
      <w:numFmt w:val="lowerRoman"/>
      <w:lvlText w:val="(%1)"/>
      <w:lvlJc w:val="left"/>
      <w:pPr>
        <w:ind w:left="5052" w:hanging="720"/>
      </w:pPr>
      <w:rPr>
        <w:rFonts w:hint="default"/>
      </w:rPr>
    </w:lvl>
    <w:lvl w:ilvl="1" w:tplc="08090019" w:tentative="1">
      <w:start w:val="1"/>
      <w:numFmt w:val="lowerLetter"/>
      <w:lvlText w:val="%2."/>
      <w:lvlJc w:val="left"/>
      <w:pPr>
        <w:ind w:left="5412" w:hanging="360"/>
      </w:pPr>
    </w:lvl>
    <w:lvl w:ilvl="2" w:tplc="0809001B" w:tentative="1">
      <w:start w:val="1"/>
      <w:numFmt w:val="lowerRoman"/>
      <w:lvlText w:val="%3."/>
      <w:lvlJc w:val="right"/>
      <w:pPr>
        <w:ind w:left="6132" w:hanging="180"/>
      </w:pPr>
    </w:lvl>
    <w:lvl w:ilvl="3" w:tplc="0809000F" w:tentative="1">
      <w:start w:val="1"/>
      <w:numFmt w:val="decimal"/>
      <w:lvlText w:val="%4."/>
      <w:lvlJc w:val="left"/>
      <w:pPr>
        <w:ind w:left="6852" w:hanging="360"/>
      </w:pPr>
    </w:lvl>
    <w:lvl w:ilvl="4" w:tplc="08090019" w:tentative="1">
      <w:start w:val="1"/>
      <w:numFmt w:val="lowerLetter"/>
      <w:lvlText w:val="%5."/>
      <w:lvlJc w:val="left"/>
      <w:pPr>
        <w:ind w:left="7572" w:hanging="360"/>
      </w:pPr>
    </w:lvl>
    <w:lvl w:ilvl="5" w:tplc="0809001B" w:tentative="1">
      <w:start w:val="1"/>
      <w:numFmt w:val="lowerRoman"/>
      <w:lvlText w:val="%6."/>
      <w:lvlJc w:val="right"/>
      <w:pPr>
        <w:ind w:left="8292" w:hanging="180"/>
      </w:pPr>
    </w:lvl>
    <w:lvl w:ilvl="6" w:tplc="0809000F" w:tentative="1">
      <w:start w:val="1"/>
      <w:numFmt w:val="decimal"/>
      <w:lvlText w:val="%7."/>
      <w:lvlJc w:val="left"/>
      <w:pPr>
        <w:ind w:left="9012" w:hanging="360"/>
      </w:pPr>
    </w:lvl>
    <w:lvl w:ilvl="7" w:tplc="08090019" w:tentative="1">
      <w:start w:val="1"/>
      <w:numFmt w:val="lowerLetter"/>
      <w:lvlText w:val="%8."/>
      <w:lvlJc w:val="left"/>
      <w:pPr>
        <w:ind w:left="9732" w:hanging="360"/>
      </w:pPr>
    </w:lvl>
    <w:lvl w:ilvl="8" w:tplc="0809001B" w:tentative="1">
      <w:start w:val="1"/>
      <w:numFmt w:val="lowerRoman"/>
      <w:lvlText w:val="%9."/>
      <w:lvlJc w:val="right"/>
      <w:pPr>
        <w:ind w:left="10452" w:hanging="180"/>
      </w:pPr>
    </w:lvl>
  </w:abstractNum>
  <w:abstractNum w:abstractNumId="25" w15:restartNumberingAfterBreak="0">
    <w:nsid w:val="4322279D"/>
    <w:multiLevelType w:val="hybridMultilevel"/>
    <w:tmpl w:val="7556CA50"/>
    <w:lvl w:ilvl="0" w:tplc="25E882B2">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6" w15:restartNumberingAfterBreak="0">
    <w:nsid w:val="441809F6"/>
    <w:multiLevelType w:val="hybridMultilevel"/>
    <w:tmpl w:val="E57C51F4"/>
    <w:lvl w:ilvl="0" w:tplc="6F66F566">
      <w:start w:val="1"/>
      <w:numFmt w:val="lowerRoman"/>
      <w:lvlText w:val="(%1)"/>
      <w:lvlJc w:val="left"/>
      <w:pPr>
        <w:ind w:left="2285" w:hanging="720"/>
      </w:pPr>
      <w:rPr>
        <w:rFonts w:hint="default"/>
      </w:rPr>
    </w:lvl>
    <w:lvl w:ilvl="1" w:tplc="04190019" w:tentative="1">
      <w:start w:val="1"/>
      <w:numFmt w:val="lowerLetter"/>
      <w:lvlText w:val="%2."/>
      <w:lvlJc w:val="left"/>
      <w:pPr>
        <w:ind w:left="2645" w:hanging="360"/>
      </w:pPr>
    </w:lvl>
    <w:lvl w:ilvl="2" w:tplc="0419001B" w:tentative="1">
      <w:start w:val="1"/>
      <w:numFmt w:val="lowerRoman"/>
      <w:lvlText w:val="%3."/>
      <w:lvlJc w:val="right"/>
      <w:pPr>
        <w:ind w:left="3365" w:hanging="180"/>
      </w:pPr>
    </w:lvl>
    <w:lvl w:ilvl="3" w:tplc="0419000F" w:tentative="1">
      <w:start w:val="1"/>
      <w:numFmt w:val="decimal"/>
      <w:lvlText w:val="%4."/>
      <w:lvlJc w:val="left"/>
      <w:pPr>
        <w:ind w:left="4085" w:hanging="360"/>
      </w:pPr>
    </w:lvl>
    <w:lvl w:ilvl="4" w:tplc="04190019" w:tentative="1">
      <w:start w:val="1"/>
      <w:numFmt w:val="lowerLetter"/>
      <w:lvlText w:val="%5."/>
      <w:lvlJc w:val="left"/>
      <w:pPr>
        <w:ind w:left="4805" w:hanging="360"/>
      </w:pPr>
    </w:lvl>
    <w:lvl w:ilvl="5" w:tplc="0419001B" w:tentative="1">
      <w:start w:val="1"/>
      <w:numFmt w:val="lowerRoman"/>
      <w:lvlText w:val="%6."/>
      <w:lvlJc w:val="right"/>
      <w:pPr>
        <w:ind w:left="5525" w:hanging="180"/>
      </w:pPr>
    </w:lvl>
    <w:lvl w:ilvl="6" w:tplc="0419000F" w:tentative="1">
      <w:start w:val="1"/>
      <w:numFmt w:val="decimal"/>
      <w:lvlText w:val="%7."/>
      <w:lvlJc w:val="left"/>
      <w:pPr>
        <w:ind w:left="6245" w:hanging="360"/>
      </w:pPr>
    </w:lvl>
    <w:lvl w:ilvl="7" w:tplc="04190019" w:tentative="1">
      <w:start w:val="1"/>
      <w:numFmt w:val="lowerLetter"/>
      <w:lvlText w:val="%8."/>
      <w:lvlJc w:val="left"/>
      <w:pPr>
        <w:ind w:left="6965" w:hanging="360"/>
      </w:pPr>
    </w:lvl>
    <w:lvl w:ilvl="8" w:tplc="0419001B" w:tentative="1">
      <w:start w:val="1"/>
      <w:numFmt w:val="lowerRoman"/>
      <w:lvlText w:val="%9."/>
      <w:lvlJc w:val="right"/>
      <w:pPr>
        <w:ind w:left="7685" w:hanging="180"/>
      </w:pPr>
    </w:lvl>
  </w:abstractNum>
  <w:abstractNum w:abstractNumId="27" w15:restartNumberingAfterBreak="0">
    <w:nsid w:val="44984367"/>
    <w:multiLevelType w:val="hybridMultilevel"/>
    <w:tmpl w:val="E3C6CEA6"/>
    <w:lvl w:ilvl="0" w:tplc="F27ACEA4">
      <w:start w:val="1"/>
      <w:numFmt w:val="lowerLetter"/>
      <w:lvlText w:val="(%1)"/>
      <w:lvlJc w:val="left"/>
      <w:pPr>
        <w:ind w:left="4046" w:hanging="36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28" w15:restartNumberingAfterBreak="0">
    <w:nsid w:val="471B1B2B"/>
    <w:multiLevelType w:val="hybridMultilevel"/>
    <w:tmpl w:val="1DE8BB16"/>
    <w:lvl w:ilvl="0" w:tplc="30EAE4B8">
      <w:start w:val="1"/>
      <w:numFmt w:val="lowerRoman"/>
      <w:lvlText w:val="(%1)"/>
      <w:lvlJc w:val="left"/>
      <w:pPr>
        <w:ind w:left="2198" w:hanging="780"/>
      </w:pPr>
      <w:rPr>
        <w:rFonts w:hint="default"/>
      </w:rPr>
    </w:lvl>
    <w:lvl w:ilvl="1" w:tplc="04190019" w:tentative="1">
      <w:start w:val="1"/>
      <w:numFmt w:val="lowerLetter"/>
      <w:lvlText w:val="%2."/>
      <w:lvlJc w:val="left"/>
      <w:pPr>
        <w:ind w:left="2645" w:hanging="360"/>
      </w:pPr>
    </w:lvl>
    <w:lvl w:ilvl="2" w:tplc="0419001B" w:tentative="1">
      <w:start w:val="1"/>
      <w:numFmt w:val="lowerRoman"/>
      <w:lvlText w:val="%3."/>
      <w:lvlJc w:val="right"/>
      <w:pPr>
        <w:ind w:left="3365" w:hanging="180"/>
      </w:pPr>
    </w:lvl>
    <w:lvl w:ilvl="3" w:tplc="0419000F" w:tentative="1">
      <w:start w:val="1"/>
      <w:numFmt w:val="decimal"/>
      <w:lvlText w:val="%4."/>
      <w:lvlJc w:val="left"/>
      <w:pPr>
        <w:ind w:left="4085" w:hanging="360"/>
      </w:pPr>
    </w:lvl>
    <w:lvl w:ilvl="4" w:tplc="04190019" w:tentative="1">
      <w:start w:val="1"/>
      <w:numFmt w:val="lowerLetter"/>
      <w:lvlText w:val="%5."/>
      <w:lvlJc w:val="left"/>
      <w:pPr>
        <w:ind w:left="4805" w:hanging="360"/>
      </w:pPr>
    </w:lvl>
    <w:lvl w:ilvl="5" w:tplc="0419001B" w:tentative="1">
      <w:start w:val="1"/>
      <w:numFmt w:val="lowerRoman"/>
      <w:lvlText w:val="%6."/>
      <w:lvlJc w:val="right"/>
      <w:pPr>
        <w:ind w:left="5525" w:hanging="180"/>
      </w:pPr>
    </w:lvl>
    <w:lvl w:ilvl="6" w:tplc="0419000F" w:tentative="1">
      <w:start w:val="1"/>
      <w:numFmt w:val="decimal"/>
      <w:lvlText w:val="%7."/>
      <w:lvlJc w:val="left"/>
      <w:pPr>
        <w:ind w:left="6245" w:hanging="360"/>
      </w:pPr>
    </w:lvl>
    <w:lvl w:ilvl="7" w:tplc="04190019" w:tentative="1">
      <w:start w:val="1"/>
      <w:numFmt w:val="lowerLetter"/>
      <w:lvlText w:val="%8."/>
      <w:lvlJc w:val="left"/>
      <w:pPr>
        <w:ind w:left="6965" w:hanging="360"/>
      </w:pPr>
    </w:lvl>
    <w:lvl w:ilvl="8" w:tplc="0419001B" w:tentative="1">
      <w:start w:val="1"/>
      <w:numFmt w:val="lowerRoman"/>
      <w:lvlText w:val="%9."/>
      <w:lvlJc w:val="right"/>
      <w:pPr>
        <w:ind w:left="7685" w:hanging="180"/>
      </w:pPr>
    </w:lvl>
  </w:abstractNum>
  <w:abstractNum w:abstractNumId="29" w15:restartNumberingAfterBreak="0">
    <w:nsid w:val="478F7CBB"/>
    <w:multiLevelType w:val="hybridMultilevel"/>
    <w:tmpl w:val="CCC88A30"/>
    <w:lvl w:ilvl="0" w:tplc="70420160">
      <w:start w:val="1"/>
      <w:numFmt w:val="russianLower"/>
      <w:lvlText w:val="(%1)"/>
      <w:lvlJc w:val="left"/>
      <w:pPr>
        <w:ind w:left="1862" w:hanging="360"/>
      </w:pPr>
      <w:rPr>
        <w:rFonts w:hint="default"/>
      </w:rPr>
    </w:lvl>
    <w:lvl w:ilvl="1" w:tplc="04190019" w:tentative="1">
      <w:start w:val="1"/>
      <w:numFmt w:val="lowerLetter"/>
      <w:lvlText w:val="%2."/>
      <w:lvlJc w:val="left"/>
      <w:pPr>
        <w:ind w:left="2582" w:hanging="360"/>
      </w:pPr>
    </w:lvl>
    <w:lvl w:ilvl="2" w:tplc="0419001B" w:tentative="1">
      <w:start w:val="1"/>
      <w:numFmt w:val="lowerRoman"/>
      <w:lvlText w:val="%3."/>
      <w:lvlJc w:val="right"/>
      <w:pPr>
        <w:ind w:left="3302" w:hanging="180"/>
      </w:pPr>
    </w:lvl>
    <w:lvl w:ilvl="3" w:tplc="0419000F" w:tentative="1">
      <w:start w:val="1"/>
      <w:numFmt w:val="decimal"/>
      <w:lvlText w:val="%4."/>
      <w:lvlJc w:val="left"/>
      <w:pPr>
        <w:ind w:left="4022" w:hanging="360"/>
      </w:pPr>
    </w:lvl>
    <w:lvl w:ilvl="4" w:tplc="04190019" w:tentative="1">
      <w:start w:val="1"/>
      <w:numFmt w:val="lowerLetter"/>
      <w:lvlText w:val="%5."/>
      <w:lvlJc w:val="left"/>
      <w:pPr>
        <w:ind w:left="4742" w:hanging="360"/>
      </w:pPr>
    </w:lvl>
    <w:lvl w:ilvl="5" w:tplc="0419001B" w:tentative="1">
      <w:start w:val="1"/>
      <w:numFmt w:val="lowerRoman"/>
      <w:lvlText w:val="%6."/>
      <w:lvlJc w:val="right"/>
      <w:pPr>
        <w:ind w:left="5462" w:hanging="180"/>
      </w:pPr>
    </w:lvl>
    <w:lvl w:ilvl="6" w:tplc="0419000F" w:tentative="1">
      <w:start w:val="1"/>
      <w:numFmt w:val="decimal"/>
      <w:lvlText w:val="%7."/>
      <w:lvlJc w:val="left"/>
      <w:pPr>
        <w:ind w:left="6182" w:hanging="360"/>
      </w:pPr>
    </w:lvl>
    <w:lvl w:ilvl="7" w:tplc="04190019" w:tentative="1">
      <w:start w:val="1"/>
      <w:numFmt w:val="lowerLetter"/>
      <w:lvlText w:val="%8."/>
      <w:lvlJc w:val="left"/>
      <w:pPr>
        <w:ind w:left="6902" w:hanging="360"/>
      </w:pPr>
    </w:lvl>
    <w:lvl w:ilvl="8" w:tplc="0419001B" w:tentative="1">
      <w:start w:val="1"/>
      <w:numFmt w:val="lowerRoman"/>
      <w:lvlText w:val="%9."/>
      <w:lvlJc w:val="right"/>
      <w:pPr>
        <w:ind w:left="7622" w:hanging="180"/>
      </w:pPr>
    </w:lvl>
  </w:abstractNum>
  <w:abstractNum w:abstractNumId="30" w15:restartNumberingAfterBreak="0">
    <w:nsid w:val="47B70604"/>
    <w:multiLevelType w:val="hybridMultilevel"/>
    <w:tmpl w:val="62023CF6"/>
    <w:lvl w:ilvl="0" w:tplc="43B62672">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31" w15:restartNumberingAfterBreak="0">
    <w:nsid w:val="49E63E4B"/>
    <w:multiLevelType w:val="hybridMultilevel"/>
    <w:tmpl w:val="E6947570"/>
    <w:lvl w:ilvl="0" w:tplc="E32CBD26">
      <w:start w:val="1"/>
      <w:numFmt w:val="lowerRoman"/>
      <w:lvlText w:val="(%1)"/>
      <w:lvlJc w:val="left"/>
      <w:pPr>
        <w:ind w:left="2285" w:hanging="720"/>
      </w:pPr>
      <w:rPr>
        <w:rFonts w:hint="default"/>
      </w:rPr>
    </w:lvl>
    <w:lvl w:ilvl="1" w:tplc="04190019" w:tentative="1">
      <w:start w:val="1"/>
      <w:numFmt w:val="lowerLetter"/>
      <w:lvlText w:val="%2."/>
      <w:lvlJc w:val="left"/>
      <w:pPr>
        <w:ind w:left="2645" w:hanging="360"/>
      </w:pPr>
    </w:lvl>
    <w:lvl w:ilvl="2" w:tplc="0419001B" w:tentative="1">
      <w:start w:val="1"/>
      <w:numFmt w:val="lowerRoman"/>
      <w:lvlText w:val="%3."/>
      <w:lvlJc w:val="right"/>
      <w:pPr>
        <w:ind w:left="3365" w:hanging="180"/>
      </w:pPr>
    </w:lvl>
    <w:lvl w:ilvl="3" w:tplc="0419000F" w:tentative="1">
      <w:start w:val="1"/>
      <w:numFmt w:val="decimal"/>
      <w:lvlText w:val="%4."/>
      <w:lvlJc w:val="left"/>
      <w:pPr>
        <w:ind w:left="4085" w:hanging="360"/>
      </w:pPr>
    </w:lvl>
    <w:lvl w:ilvl="4" w:tplc="04190019" w:tentative="1">
      <w:start w:val="1"/>
      <w:numFmt w:val="lowerLetter"/>
      <w:lvlText w:val="%5."/>
      <w:lvlJc w:val="left"/>
      <w:pPr>
        <w:ind w:left="4805" w:hanging="360"/>
      </w:pPr>
    </w:lvl>
    <w:lvl w:ilvl="5" w:tplc="0419001B" w:tentative="1">
      <w:start w:val="1"/>
      <w:numFmt w:val="lowerRoman"/>
      <w:lvlText w:val="%6."/>
      <w:lvlJc w:val="right"/>
      <w:pPr>
        <w:ind w:left="5525" w:hanging="180"/>
      </w:pPr>
    </w:lvl>
    <w:lvl w:ilvl="6" w:tplc="0419000F" w:tentative="1">
      <w:start w:val="1"/>
      <w:numFmt w:val="decimal"/>
      <w:lvlText w:val="%7."/>
      <w:lvlJc w:val="left"/>
      <w:pPr>
        <w:ind w:left="6245" w:hanging="360"/>
      </w:pPr>
    </w:lvl>
    <w:lvl w:ilvl="7" w:tplc="04190019" w:tentative="1">
      <w:start w:val="1"/>
      <w:numFmt w:val="lowerLetter"/>
      <w:lvlText w:val="%8."/>
      <w:lvlJc w:val="left"/>
      <w:pPr>
        <w:ind w:left="6965" w:hanging="360"/>
      </w:pPr>
    </w:lvl>
    <w:lvl w:ilvl="8" w:tplc="0419001B" w:tentative="1">
      <w:start w:val="1"/>
      <w:numFmt w:val="lowerRoman"/>
      <w:lvlText w:val="%9."/>
      <w:lvlJc w:val="right"/>
      <w:pPr>
        <w:ind w:left="7685" w:hanging="180"/>
      </w:pPr>
    </w:lvl>
  </w:abstractNum>
  <w:abstractNum w:abstractNumId="32" w15:restartNumberingAfterBreak="0">
    <w:nsid w:val="4A2C453C"/>
    <w:multiLevelType w:val="hybridMultilevel"/>
    <w:tmpl w:val="BC0CA844"/>
    <w:lvl w:ilvl="0" w:tplc="F11092DE">
      <w:start w:val="1"/>
      <w:numFmt w:val="lowerLetter"/>
      <w:lvlText w:val="(%1)"/>
      <w:lvlJc w:val="left"/>
      <w:pPr>
        <w:ind w:left="1925" w:hanging="360"/>
      </w:pPr>
      <w:rPr>
        <w:rFonts w:hint="default"/>
      </w:rPr>
    </w:lvl>
    <w:lvl w:ilvl="1" w:tplc="04190019" w:tentative="1">
      <w:start w:val="1"/>
      <w:numFmt w:val="lowerLetter"/>
      <w:lvlText w:val="%2."/>
      <w:lvlJc w:val="left"/>
      <w:pPr>
        <w:ind w:left="2645" w:hanging="360"/>
      </w:pPr>
    </w:lvl>
    <w:lvl w:ilvl="2" w:tplc="0419001B" w:tentative="1">
      <w:start w:val="1"/>
      <w:numFmt w:val="lowerRoman"/>
      <w:lvlText w:val="%3."/>
      <w:lvlJc w:val="right"/>
      <w:pPr>
        <w:ind w:left="3365" w:hanging="180"/>
      </w:pPr>
    </w:lvl>
    <w:lvl w:ilvl="3" w:tplc="0419000F" w:tentative="1">
      <w:start w:val="1"/>
      <w:numFmt w:val="decimal"/>
      <w:lvlText w:val="%4."/>
      <w:lvlJc w:val="left"/>
      <w:pPr>
        <w:ind w:left="4085" w:hanging="360"/>
      </w:pPr>
    </w:lvl>
    <w:lvl w:ilvl="4" w:tplc="04190019" w:tentative="1">
      <w:start w:val="1"/>
      <w:numFmt w:val="lowerLetter"/>
      <w:lvlText w:val="%5."/>
      <w:lvlJc w:val="left"/>
      <w:pPr>
        <w:ind w:left="4805" w:hanging="360"/>
      </w:pPr>
    </w:lvl>
    <w:lvl w:ilvl="5" w:tplc="0419001B" w:tentative="1">
      <w:start w:val="1"/>
      <w:numFmt w:val="lowerRoman"/>
      <w:lvlText w:val="%6."/>
      <w:lvlJc w:val="right"/>
      <w:pPr>
        <w:ind w:left="5525" w:hanging="180"/>
      </w:pPr>
    </w:lvl>
    <w:lvl w:ilvl="6" w:tplc="0419000F" w:tentative="1">
      <w:start w:val="1"/>
      <w:numFmt w:val="decimal"/>
      <w:lvlText w:val="%7."/>
      <w:lvlJc w:val="left"/>
      <w:pPr>
        <w:ind w:left="6245" w:hanging="360"/>
      </w:pPr>
    </w:lvl>
    <w:lvl w:ilvl="7" w:tplc="04190019" w:tentative="1">
      <w:start w:val="1"/>
      <w:numFmt w:val="lowerLetter"/>
      <w:lvlText w:val="%8."/>
      <w:lvlJc w:val="left"/>
      <w:pPr>
        <w:ind w:left="6965" w:hanging="360"/>
      </w:pPr>
    </w:lvl>
    <w:lvl w:ilvl="8" w:tplc="0419001B" w:tentative="1">
      <w:start w:val="1"/>
      <w:numFmt w:val="lowerRoman"/>
      <w:lvlText w:val="%9."/>
      <w:lvlJc w:val="right"/>
      <w:pPr>
        <w:ind w:left="7685" w:hanging="180"/>
      </w:pPr>
    </w:lvl>
  </w:abstractNum>
  <w:abstractNum w:abstractNumId="33" w15:restartNumberingAfterBreak="0">
    <w:nsid w:val="4BF134B5"/>
    <w:multiLevelType w:val="hybridMultilevel"/>
    <w:tmpl w:val="197AC798"/>
    <w:lvl w:ilvl="0" w:tplc="E2764AEE">
      <w:start w:val="1"/>
      <w:numFmt w:val="lowerRoman"/>
      <w:lvlText w:val="(%1)"/>
      <w:lvlJc w:val="left"/>
      <w:pPr>
        <w:ind w:left="2345" w:hanging="780"/>
      </w:pPr>
      <w:rPr>
        <w:rFonts w:hint="default"/>
      </w:rPr>
    </w:lvl>
    <w:lvl w:ilvl="1" w:tplc="04190019" w:tentative="1">
      <w:start w:val="1"/>
      <w:numFmt w:val="lowerLetter"/>
      <w:lvlText w:val="%2."/>
      <w:lvlJc w:val="left"/>
      <w:pPr>
        <w:ind w:left="2645" w:hanging="360"/>
      </w:pPr>
    </w:lvl>
    <w:lvl w:ilvl="2" w:tplc="0419001B" w:tentative="1">
      <w:start w:val="1"/>
      <w:numFmt w:val="lowerRoman"/>
      <w:lvlText w:val="%3."/>
      <w:lvlJc w:val="right"/>
      <w:pPr>
        <w:ind w:left="3365" w:hanging="180"/>
      </w:pPr>
    </w:lvl>
    <w:lvl w:ilvl="3" w:tplc="0419000F" w:tentative="1">
      <w:start w:val="1"/>
      <w:numFmt w:val="decimal"/>
      <w:lvlText w:val="%4."/>
      <w:lvlJc w:val="left"/>
      <w:pPr>
        <w:ind w:left="4085" w:hanging="360"/>
      </w:pPr>
    </w:lvl>
    <w:lvl w:ilvl="4" w:tplc="04190019" w:tentative="1">
      <w:start w:val="1"/>
      <w:numFmt w:val="lowerLetter"/>
      <w:lvlText w:val="%5."/>
      <w:lvlJc w:val="left"/>
      <w:pPr>
        <w:ind w:left="4805" w:hanging="360"/>
      </w:pPr>
    </w:lvl>
    <w:lvl w:ilvl="5" w:tplc="0419001B" w:tentative="1">
      <w:start w:val="1"/>
      <w:numFmt w:val="lowerRoman"/>
      <w:lvlText w:val="%6."/>
      <w:lvlJc w:val="right"/>
      <w:pPr>
        <w:ind w:left="5525" w:hanging="180"/>
      </w:pPr>
    </w:lvl>
    <w:lvl w:ilvl="6" w:tplc="0419000F" w:tentative="1">
      <w:start w:val="1"/>
      <w:numFmt w:val="decimal"/>
      <w:lvlText w:val="%7."/>
      <w:lvlJc w:val="left"/>
      <w:pPr>
        <w:ind w:left="6245" w:hanging="360"/>
      </w:pPr>
    </w:lvl>
    <w:lvl w:ilvl="7" w:tplc="04190019" w:tentative="1">
      <w:start w:val="1"/>
      <w:numFmt w:val="lowerLetter"/>
      <w:lvlText w:val="%8."/>
      <w:lvlJc w:val="left"/>
      <w:pPr>
        <w:ind w:left="6965" w:hanging="360"/>
      </w:pPr>
    </w:lvl>
    <w:lvl w:ilvl="8" w:tplc="0419001B" w:tentative="1">
      <w:start w:val="1"/>
      <w:numFmt w:val="lowerRoman"/>
      <w:lvlText w:val="%9."/>
      <w:lvlJc w:val="right"/>
      <w:pPr>
        <w:ind w:left="7685" w:hanging="180"/>
      </w:pPr>
    </w:lvl>
  </w:abstractNum>
  <w:abstractNum w:abstractNumId="34" w15:restartNumberingAfterBreak="0">
    <w:nsid w:val="52C066EF"/>
    <w:multiLevelType w:val="hybridMultilevel"/>
    <w:tmpl w:val="76809E8A"/>
    <w:lvl w:ilvl="0" w:tplc="868E66F6">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35" w15:restartNumberingAfterBreak="0">
    <w:nsid w:val="59320A56"/>
    <w:multiLevelType w:val="hybridMultilevel"/>
    <w:tmpl w:val="214830FC"/>
    <w:lvl w:ilvl="0" w:tplc="963E45CC">
      <w:start w:val="1"/>
      <w:numFmt w:val="lowerLetter"/>
      <w:lvlText w:val="(%1)"/>
      <w:lvlJc w:val="left"/>
      <w:pPr>
        <w:ind w:left="1562" w:hanging="78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36" w15:restartNumberingAfterBreak="0">
    <w:nsid w:val="5BB31BA0"/>
    <w:multiLevelType w:val="hybridMultilevel"/>
    <w:tmpl w:val="B2B2002E"/>
    <w:lvl w:ilvl="0" w:tplc="FE1E4C18">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37" w15:restartNumberingAfterBreak="0">
    <w:nsid w:val="5C741D9F"/>
    <w:multiLevelType w:val="hybridMultilevel"/>
    <w:tmpl w:val="A3824D6E"/>
    <w:lvl w:ilvl="0" w:tplc="DCFE8D34">
      <w:start w:val="1"/>
      <w:numFmt w:val="lowerLetter"/>
      <w:lvlText w:val="(%1)"/>
      <w:lvlJc w:val="left"/>
      <w:pPr>
        <w:ind w:left="1562" w:hanging="78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38" w15:restartNumberingAfterBreak="0">
    <w:nsid w:val="6084666D"/>
    <w:multiLevelType w:val="hybridMultilevel"/>
    <w:tmpl w:val="5ABEB95A"/>
    <w:lvl w:ilvl="0" w:tplc="1186B06A">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39" w15:restartNumberingAfterBreak="0">
    <w:nsid w:val="609D3038"/>
    <w:multiLevelType w:val="hybridMultilevel"/>
    <w:tmpl w:val="A7DAF220"/>
    <w:lvl w:ilvl="0" w:tplc="C9622C10">
      <w:start w:val="1"/>
      <w:numFmt w:val="lowerLetter"/>
      <w:lvlText w:val="(%1)"/>
      <w:lvlJc w:val="left"/>
      <w:pPr>
        <w:ind w:left="5180" w:hanging="360"/>
      </w:pPr>
      <w:rPr>
        <w:rFonts w:hint="default"/>
      </w:rPr>
    </w:lvl>
    <w:lvl w:ilvl="1" w:tplc="08090019">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40" w15:restartNumberingAfterBreak="0">
    <w:nsid w:val="62505577"/>
    <w:multiLevelType w:val="hybridMultilevel"/>
    <w:tmpl w:val="F3408762"/>
    <w:lvl w:ilvl="0" w:tplc="45DA4142">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41" w15:restartNumberingAfterBreak="0">
    <w:nsid w:val="631D108C"/>
    <w:multiLevelType w:val="hybridMultilevel"/>
    <w:tmpl w:val="F89AB8F4"/>
    <w:lvl w:ilvl="0" w:tplc="7042016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BC718E"/>
    <w:multiLevelType w:val="hybridMultilevel"/>
    <w:tmpl w:val="A79C7FA4"/>
    <w:lvl w:ilvl="0" w:tplc="12FE056E">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43" w15:restartNumberingAfterBreak="0">
    <w:nsid w:val="79F16984"/>
    <w:multiLevelType w:val="hybridMultilevel"/>
    <w:tmpl w:val="1AFE0900"/>
    <w:lvl w:ilvl="0" w:tplc="F7E46752">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num w:numId="1">
    <w:abstractNumId w:val="39"/>
  </w:num>
  <w:num w:numId="2">
    <w:abstractNumId w:val="27"/>
  </w:num>
  <w:num w:numId="3">
    <w:abstractNumId w:val="7"/>
  </w:num>
  <w:num w:numId="4">
    <w:abstractNumId w:val="17"/>
  </w:num>
  <w:num w:numId="5">
    <w:abstractNumId w:val="0"/>
  </w:num>
  <w:num w:numId="6">
    <w:abstractNumId w:val="3"/>
  </w:num>
  <w:num w:numId="7">
    <w:abstractNumId w:val="24"/>
  </w:num>
  <w:num w:numId="8">
    <w:abstractNumId w:val="32"/>
  </w:num>
  <w:num w:numId="9">
    <w:abstractNumId w:val="41"/>
  </w:num>
  <w:num w:numId="10">
    <w:abstractNumId w:val="4"/>
  </w:num>
  <w:num w:numId="11">
    <w:abstractNumId w:val="43"/>
  </w:num>
  <w:num w:numId="12">
    <w:abstractNumId w:val="2"/>
  </w:num>
  <w:num w:numId="13">
    <w:abstractNumId w:val="37"/>
  </w:num>
  <w:num w:numId="14">
    <w:abstractNumId w:val="42"/>
  </w:num>
  <w:num w:numId="15">
    <w:abstractNumId w:val="12"/>
  </w:num>
  <w:num w:numId="16">
    <w:abstractNumId w:val="29"/>
  </w:num>
  <w:num w:numId="17">
    <w:abstractNumId w:val="16"/>
  </w:num>
  <w:num w:numId="18">
    <w:abstractNumId w:val="13"/>
  </w:num>
  <w:num w:numId="19">
    <w:abstractNumId w:val="21"/>
  </w:num>
  <w:num w:numId="20">
    <w:abstractNumId w:val="10"/>
  </w:num>
  <w:num w:numId="21">
    <w:abstractNumId w:val="23"/>
  </w:num>
  <w:num w:numId="22">
    <w:abstractNumId w:val="20"/>
  </w:num>
  <w:num w:numId="23">
    <w:abstractNumId w:val="18"/>
  </w:num>
  <w:num w:numId="24">
    <w:abstractNumId w:val="19"/>
  </w:num>
  <w:num w:numId="25">
    <w:abstractNumId w:val="26"/>
  </w:num>
  <w:num w:numId="26">
    <w:abstractNumId w:val="25"/>
  </w:num>
  <w:num w:numId="27">
    <w:abstractNumId w:val="1"/>
  </w:num>
  <w:num w:numId="28">
    <w:abstractNumId w:val="11"/>
  </w:num>
  <w:num w:numId="29">
    <w:abstractNumId w:val="14"/>
  </w:num>
  <w:num w:numId="30">
    <w:abstractNumId w:val="22"/>
  </w:num>
  <w:num w:numId="31">
    <w:abstractNumId w:val="30"/>
  </w:num>
  <w:num w:numId="32">
    <w:abstractNumId w:val="35"/>
  </w:num>
  <w:num w:numId="33">
    <w:abstractNumId w:val="40"/>
  </w:num>
  <w:num w:numId="34">
    <w:abstractNumId w:val="6"/>
  </w:num>
  <w:num w:numId="35">
    <w:abstractNumId w:val="9"/>
  </w:num>
  <w:num w:numId="36">
    <w:abstractNumId w:val="33"/>
  </w:num>
  <w:num w:numId="37">
    <w:abstractNumId w:val="36"/>
  </w:num>
  <w:num w:numId="38">
    <w:abstractNumId w:val="34"/>
  </w:num>
  <w:num w:numId="39">
    <w:abstractNumId w:val="31"/>
  </w:num>
  <w:num w:numId="40">
    <w:abstractNumId w:val="38"/>
  </w:num>
  <w:num w:numId="41">
    <w:abstractNumId w:val="28"/>
  </w:num>
  <w:num w:numId="42">
    <w:abstractNumId w:val="8"/>
  </w:num>
  <w:num w:numId="43">
    <w:abstractNumId w:val="5"/>
  </w:num>
  <w:num w:numId="4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968"/>
    <w:rsid w:val="000003CF"/>
    <w:rsid w:val="00001E55"/>
    <w:rsid w:val="0000452E"/>
    <w:rsid w:val="0001088B"/>
    <w:rsid w:val="000128DB"/>
    <w:rsid w:val="00012EC3"/>
    <w:rsid w:val="0001323B"/>
    <w:rsid w:val="00014C31"/>
    <w:rsid w:val="00014C49"/>
    <w:rsid w:val="000153CA"/>
    <w:rsid w:val="00015E5A"/>
    <w:rsid w:val="00016D45"/>
    <w:rsid w:val="000172B8"/>
    <w:rsid w:val="00017617"/>
    <w:rsid w:val="00017DF4"/>
    <w:rsid w:val="00017EB0"/>
    <w:rsid w:val="000234C7"/>
    <w:rsid w:val="00025F40"/>
    <w:rsid w:val="000271C5"/>
    <w:rsid w:val="000307A3"/>
    <w:rsid w:val="000310EA"/>
    <w:rsid w:val="00031F68"/>
    <w:rsid w:val="00032E8F"/>
    <w:rsid w:val="00033DDE"/>
    <w:rsid w:val="00041B3A"/>
    <w:rsid w:val="00042F13"/>
    <w:rsid w:val="00043C44"/>
    <w:rsid w:val="00044792"/>
    <w:rsid w:val="000449D4"/>
    <w:rsid w:val="00045D8B"/>
    <w:rsid w:val="00045EB8"/>
    <w:rsid w:val="00047253"/>
    <w:rsid w:val="000479F7"/>
    <w:rsid w:val="00051E11"/>
    <w:rsid w:val="00053141"/>
    <w:rsid w:val="000538E6"/>
    <w:rsid w:val="00057361"/>
    <w:rsid w:val="00057605"/>
    <w:rsid w:val="00057960"/>
    <w:rsid w:val="00061751"/>
    <w:rsid w:val="00061959"/>
    <w:rsid w:val="00061A1C"/>
    <w:rsid w:val="00062B70"/>
    <w:rsid w:val="00063AAC"/>
    <w:rsid w:val="00063C4C"/>
    <w:rsid w:val="000647EA"/>
    <w:rsid w:val="00064C36"/>
    <w:rsid w:val="00066422"/>
    <w:rsid w:val="00066A8F"/>
    <w:rsid w:val="000708B9"/>
    <w:rsid w:val="000718ED"/>
    <w:rsid w:val="00071D51"/>
    <w:rsid w:val="00072374"/>
    <w:rsid w:val="00073BA9"/>
    <w:rsid w:val="0007419A"/>
    <w:rsid w:val="00074231"/>
    <w:rsid w:val="000751B4"/>
    <w:rsid w:val="00075571"/>
    <w:rsid w:val="0007709F"/>
    <w:rsid w:val="0008164E"/>
    <w:rsid w:val="000862F5"/>
    <w:rsid w:val="00086BF6"/>
    <w:rsid w:val="0008779B"/>
    <w:rsid w:val="00091D6F"/>
    <w:rsid w:val="00094916"/>
    <w:rsid w:val="000953C3"/>
    <w:rsid w:val="0009741F"/>
    <w:rsid w:val="000A0F2B"/>
    <w:rsid w:val="000A3342"/>
    <w:rsid w:val="000A3CAF"/>
    <w:rsid w:val="000A5BB0"/>
    <w:rsid w:val="000B15B4"/>
    <w:rsid w:val="000B1A45"/>
    <w:rsid w:val="000B1A91"/>
    <w:rsid w:val="000B1EC6"/>
    <w:rsid w:val="000B2EB2"/>
    <w:rsid w:val="000B3E99"/>
    <w:rsid w:val="000B4350"/>
    <w:rsid w:val="000B4EC8"/>
    <w:rsid w:val="000B5BFD"/>
    <w:rsid w:val="000B61C3"/>
    <w:rsid w:val="000B7E6F"/>
    <w:rsid w:val="000C28B5"/>
    <w:rsid w:val="000C634A"/>
    <w:rsid w:val="000C6E37"/>
    <w:rsid w:val="000C75F2"/>
    <w:rsid w:val="000C7904"/>
    <w:rsid w:val="000C797A"/>
    <w:rsid w:val="000D0D29"/>
    <w:rsid w:val="000D1F25"/>
    <w:rsid w:val="000D2557"/>
    <w:rsid w:val="000D2C72"/>
    <w:rsid w:val="000D2CD2"/>
    <w:rsid w:val="000D3510"/>
    <w:rsid w:val="000D4CAC"/>
    <w:rsid w:val="000E0543"/>
    <w:rsid w:val="000E09EF"/>
    <w:rsid w:val="000E21F2"/>
    <w:rsid w:val="000E2B44"/>
    <w:rsid w:val="000E2EE9"/>
    <w:rsid w:val="000E35DC"/>
    <w:rsid w:val="000E4664"/>
    <w:rsid w:val="000E51F0"/>
    <w:rsid w:val="000E676C"/>
    <w:rsid w:val="000E6922"/>
    <w:rsid w:val="000E6AF9"/>
    <w:rsid w:val="000E773E"/>
    <w:rsid w:val="000F041D"/>
    <w:rsid w:val="000F68CE"/>
    <w:rsid w:val="00101528"/>
    <w:rsid w:val="00101573"/>
    <w:rsid w:val="0010219F"/>
    <w:rsid w:val="0010457E"/>
    <w:rsid w:val="001048ED"/>
    <w:rsid w:val="0011051F"/>
    <w:rsid w:val="00112708"/>
    <w:rsid w:val="00114947"/>
    <w:rsid w:val="00114A22"/>
    <w:rsid w:val="001176C4"/>
    <w:rsid w:val="00117E04"/>
    <w:rsid w:val="00121A31"/>
    <w:rsid w:val="00121E46"/>
    <w:rsid w:val="0012242E"/>
    <w:rsid w:val="0012255C"/>
    <w:rsid w:val="00123E71"/>
    <w:rsid w:val="0012490F"/>
    <w:rsid w:val="001319B0"/>
    <w:rsid w:val="0013221A"/>
    <w:rsid w:val="00132281"/>
    <w:rsid w:val="00132BBE"/>
    <w:rsid w:val="0013346D"/>
    <w:rsid w:val="00133F05"/>
    <w:rsid w:val="001353AF"/>
    <w:rsid w:val="00135534"/>
    <w:rsid w:val="0013619F"/>
    <w:rsid w:val="00140D0C"/>
    <w:rsid w:val="00140E69"/>
    <w:rsid w:val="00141084"/>
    <w:rsid w:val="00141CE9"/>
    <w:rsid w:val="0014284C"/>
    <w:rsid w:val="00144DC8"/>
    <w:rsid w:val="00146653"/>
    <w:rsid w:val="00146C0A"/>
    <w:rsid w:val="00147093"/>
    <w:rsid w:val="00147A99"/>
    <w:rsid w:val="001529CA"/>
    <w:rsid w:val="00155D2F"/>
    <w:rsid w:val="00156ACE"/>
    <w:rsid w:val="001576B3"/>
    <w:rsid w:val="001578C6"/>
    <w:rsid w:val="00160189"/>
    <w:rsid w:val="00160290"/>
    <w:rsid w:val="001606BD"/>
    <w:rsid w:val="00162283"/>
    <w:rsid w:val="0016570C"/>
    <w:rsid w:val="00165B02"/>
    <w:rsid w:val="001666D0"/>
    <w:rsid w:val="0016710A"/>
    <w:rsid w:val="001674AD"/>
    <w:rsid w:val="001676B6"/>
    <w:rsid w:val="00167CF1"/>
    <w:rsid w:val="00167E65"/>
    <w:rsid w:val="00170503"/>
    <w:rsid w:val="00170C7B"/>
    <w:rsid w:val="001735D2"/>
    <w:rsid w:val="00176162"/>
    <w:rsid w:val="00176A7A"/>
    <w:rsid w:val="001801B0"/>
    <w:rsid w:val="00182B8F"/>
    <w:rsid w:val="00182E39"/>
    <w:rsid w:val="00183183"/>
    <w:rsid w:val="001838E2"/>
    <w:rsid w:val="00183C2B"/>
    <w:rsid w:val="00185969"/>
    <w:rsid w:val="00187051"/>
    <w:rsid w:val="00187637"/>
    <w:rsid w:val="00190215"/>
    <w:rsid w:val="001904F5"/>
    <w:rsid w:val="0019069E"/>
    <w:rsid w:val="00194370"/>
    <w:rsid w:val="001A2D00"/>
    <w:rsid w:val="001A324A"/>
    <w:rsid w:val="001A43CA"/>
    <w:rsid w:val="001A43DE"/>
    <w:rsid w:val="001A4769"/>
    <w:rsid w:val="001A4C79"/>
    <w:rsid w:val="001B000E"/>
    <w:rsid w:val="001B10D6"/>
    <w:rsid w:val="001B1431"/>
    <w:rsid w:val="001B3338"/>
    <w:rsid w:val="001B539F"/>
    <w:rsid w:val="001B5BED"/>
    <w:rsid w:val="001B6BE5"/>
    <w:rsid w:val="001C1B5A"/>
    <w:rsid w:val="001C3055"/>
    <w:rsid w:val="001D1176"/>
    <w:rsid w:val="001D1B37"/>
    <w:rsid w:val="001D1CA8"/>
    <w:rsid w:val="001D1D18"/>
    <w:rsid w:val="001D1E2F"/>
    <w:rsid w:val="001D3F94"/>
    <w:rsid w:val="001D671F"/>
    <w:rsid w:val="001D756D"/>
    <w:rsid w:val="001D7E7E"/>
    <w:rsid w:val="001E076A"/>
    <w:rsid w:val="001E1433"/>
    <w:rsid w:val="001E18FC"/>
    <w:rsid w:val="001E1CE5"/>
    <w:rsid w:val="001E304C"/>
    <w:rsid w:val="001E500C"/>
    <w:rsid w:val="001E6159"/>
    <w:rsid w:val="001F1045"/>
    <w:rsid w:val="001F3836"/>
    <w:rsid w:val="001F3BD7"/>
    <w:rsid w:val="001F6915"/>
    <w:rsid w:val="00200C14"/>
    <w:rsid w:val="002012B5"/>
    <w:rsid w:val="00201599"/>
    <w:rsid w:val="00203975"/>
    <w:rsid w:val="002039A5"/>
    <w:rsid w:val="002053E7"/>
    <w:rsid w:val="00206110"/>
    <w:rsid w:val="00207685"/>
    <w:rsid w:val="00207E17"/>
    <w:rsid w:val="002103A1"/>
    <w:rsid w:val="0021041F"/>
    <w:rsid w:val="002138AC"/>
    <w:rsid w:val="002152EC"/>
    <w:rsid w:val="00216D60"/>
    <w:rsid w:val="0021715A"/>
    <w:rsid w:val="0022461F"/>
    <w:rsid w:val="002253B7"/>
    <w:rsid w:val="0022568C"/>
    <w:rsid w:val="0022658D"/>
    <w:rsid w:val="00226B0D"/>
    <w:rsid w:val="00235256"/>
    <w:rsid w:val="00235738"/>
    <w:rsid w:val="00235798"/>
    <w:rsid w:val="00236B16"/>
    <w:rsid w:val="00237050"/>
    <w:rsid w:val="0024037B"/>
    <w:rsid w:val="00241519"/>
    <w:rsid w:val="002421A8"/>
    <w:rsid w:val="0024442B"/>
    <w:rsid w:val="00245A32"/>
    <w:rsid w:val="002469B8"/>
    <w:rsid w:val="0024710D"/>
    <w:rsid w:val="0024719A"/>
    <w:rsid w:val="002502EB"/>
    <w:rsid w:val="00250A52"/>
    <w:rsid w:val="0025200E"/>
    <w:rsid w:val="00252573"/>
    <w:rsid w:val="002525A0"/>
    <w:rsid w:val="00253EF4"/>
    <w:rsid w:val="00254482"/>
    <w:rsid w:val="00254C54"/>
    <w:rsid w:val="002557BF"/>
    <w:rsid w:val="002565FC"/>
    <w:rsid w:val="00256DD9"/>
    <w:rsid w:val="00257CA2"/>
    <w:rsid w:val="002607F6"/>
    <w:rsid w:val="00260C3D"/>
    <w:rsid w:val="00264E7C"/>
    <w:rsid w:val="00265B8A"/>
    <w:rsid w:val="00266AB2"/>
    <w:rsid w:val="00266AE2"/>
    <w:rsid w:val="00267823"/>
    <w:rsid w:val="002721FC"/>
    <w:rsid w:val="002737BF"/>
    <w:rsid w:val="00274A9B"/>
    <w:rsid w:val="00274F92"/>
    <w:rsid w:val="002762FC"/>
    <w:rsid w:val="002776C2"/>
    <w:rsid w:val="0028056F"/>
    <w:rsid w:val="002817FF"/>
    <w:rsid w:val="00284B66"/>
    <w:rsid w:val="00286F1A"/>
    <w:rsid w:val="002876E8"/>
    <w:rsid w:val="0029068F"/>
    <w:rsid w:val="0029201A"/>
    <w:rsid w:val="002934CE"/>
    <w:rsid w:val="00294BCF"/>
    <w:rsid w:val="00295CC3"/>
    <w:rsid w:val="00296A43"/>
    <w:rsid w:val="00296AA3"/>
    <w:rsid w:val="002A2DD7"/>
    <w:rsid w:val="002A342B"/>
    <w:rsid w:val="002A4F2B"/>
    <w:rsid w:val="002A629D"/>
    <w:rsid w:val="002A74B5"/>
    <w:rsid w:val="002B51FE"/>
    <w:rsid w:val="002B5865"/>
    <w:rsid w:val="002B586A"/>
    <w:rsid w:val="002B5CB0"/>
    <w:rsid w:val="002C0246"/>
    <w:rsid w:val="002C0945"/>
    <w:rsid w:val="002C0B24"/>
    <w:rsid w:val="002C0E34"/>
    <w:rsid w:val="002C11E0"/>
    <w:rsid w:val="002C1428"/>
    <w:rsid w:val="002C1663"/>
    <w:rsid w:val="002C1BCE"/>
    <w:rsid w:val="002C2144"/>
    <w:rsid w:val="002C514F"/>
    <w:rsid w:val="002C6A62"/>
    <w:rsid w:val="002D0B45"/>
    <w:rsid w:val="002D1543"/>
    <w:rsid w:val="002D169C"/>
    <w:rsid w:val="002D2F10"/>
    <w:rsid w:val="002D3E91"/>
    <w:rsid w:val="002D626E"/>
    <w:rsid w:val="002D6C2C"/>
    <w:rsid w:val="002D6EB9"/>
    <w:rsid w:val="002D7D79"/>
    <w:rsid w:val="002E00D9"/>
    <w:rsid w:val="002E1FC9"/>
    <w:rsid w:val="002E2B31"/>
    <w:rsid w:val="002E32F9"/>
    <w:rsid w:val="002E380B"/>
    <w:rsid w:val="002E67D0"/>
    <w:rsid w:val="002F0CD5"/>
    <w:rsid w:val="002F4EE7"/>
    <w:rsid w:val="002F5E6E"/>
    <w:rsid w:val="002F64D6"/>
    <w:rsid w:val="002F6B82"/>
    <w:rsid w:val="002F707F"/>
    <w:rsid w:val="00301196"/>
    <w:rsid w:val="00301BA5"/>
    <w:rsid w:val="00302586"/>
    <w:rsid w:val="00302F44"/>
    <w:rsid w:val="00306BA9"/>
    <w:rsid w:val="00310E6C"/>
    <w:rsid w:val="00312B10"/>
    <w:rsid w:val="00312E0D"/>
    <w:rsid w:val="00313172"/>
    <w:rsid w:val="003137E5"/>
    <w:rsid w:val="00313B47"/>
    <w:rsid w:val="003203CE"/>
    <w:rsid w:val="0032090D"/>
    <w:rsid w:val="00321206"/>
    <w:rsid w:val="0032224C"/>
    <w:rsid w:val="00324959"/>
    <w:rsid w:val="00324BD0"/>
    <w:rsid w:val="003263AF"/>
    <w:rsid w:val="00327355"/>
    <w:rsid w:val="00330070"/>
    <w:rsid w:val="0033270F"/>
    <w:rsid w:val="00332D9F"/>
    <w:rsid w:val="00334A09"/>
    <w:rsid w:val="00336040"/>
    <w:rsid w:val="00337A9F"/>
    <w:rsid w:val="0034088B"/>
    <w:rsid w:val="00341964"/>
    <w:rsid w:val="0034225A"/>
    <w:rsid w:val="00342864"/>
    <w:rsid w:val="00342F97"/>
    <w:rsid w:val="00345A2A"/>
    <w:rsid w:val="0034749E"/>
    <w:rsid w:val="0034750C"/>
    <w:rsid w:val="00347830"/>
    <w:rsid w:val="003479EE"/>
    <w:rsid w:val="00351001"/>
    <w:rsid w:val="00351948"/>
    <w:rsid w:val="00352B16"/>
    <w:rsid w:val="00352C5E"/>
    <w:rsid w:val="0035354F"/>
    <w:rsid w:val="00354925"/>
    <w:rsid w:val="003557D9"/>
    <w:rsid w:val="0035693B"/>
    <w:rsid w:val="00361BC0"/>
    <w:rsid w:val="003629B7"/>
    <w:rsid w:val="003629C6"/>
    <w:rsid w:val="00362B6C"/>
    <w:rsid w:val="00364D35"/>
    <w:rsid w:val="00365509"/>
    <w:rsid w:val="003655EB"/>
    <w:rsid w:val="003657BC"/>
    <w:rsid w:val="00365D3C"/>
    <w:rsid w:val="00366385"/>
    <w:rsid w:val="003664FA"/>
    <w:rsid w:val="003670B8"/>
    <w:rsid w:val="0036741E"/>
    <w:rsid w:val="003678E0"/>
    <w:rsid w:val="00367B9A"/>
    <w:rsid w:val="0037163F"/>
    <w:rsid w:val="003719ED"/>
    <w:rsid w:val="00371AFB"/>
    <w:rsid w:val="00372C30"/>
    <w:rsid w:val="003731DA"/>
    <w:rsid w:val="00374B7B"/>
    <w:rsid w:val="00375185"/>
    <w:rsid w:val="003760D6"/>
    <w:rsid w:val="003766F4"/>
    <w:rsid w:val="003775A6"/>
    <w:rsid w:val="00380389"/>
    <w:rsid w:val="003810BD"/>
    <w:rsid w:val="0038142C"/>
    <w:rsid w:val="00384DE7"/>
    <w:rsid w:val="00385B19"/>
    <w:rsid w:val="003861A3"/>
    <w:rsid w:val="003877EE"/>
    <w:rsid w:val="00391F75"/>
    <w:rsid w:val="00393807"/>
    <w:rsid w:val="00394340"/>
    <w:rsid w:val="003971BC"/>
    <w:rsid w:val="00397946"/>
    <w:rsid w:val="00397CD3"/>
    <w:rsid w:val="003A0237"/>
    <w:rsid w:val="003A1547"/>
    <w:rsid w:val="003A24C8"/>
    <w:rsid w:val="003A2597"/>
    <w:rsid w:val="003A2F2C"/>
    <w:rsid w:val="003A31FE"/>
    <w:rsid w:val="003A404A"/>
    <w:rsid w:val="003A4668"/>
    <w:rsid w:val="003A50ED"/>
    <w:rsid w:val="003A5C0C"/>
    <w:rsid w:val="003A62A2"/>
    <w:rsid w:val="003A73C7"/>
    <w:rsid w:val="003A787D"/>
    <w:rsid w:val="003B0F07"/>
    <w:rsid w:val="003B1506"/>
    <w:rsid w:val="003B27A4"/>
    <w:rsid w:val="003B3501"/>
    <w:rsid w:val="003B366F"/>
    <w:rsid w:val="003B3D48"/>
    <w:rsid w:val="003B533A"/>
    <w:rsid w:val="003C0E69"/>
    <w:rsid w:val="003C1234"/>
    <w:rsid w:val="003C144C"/>
    <w:rsid w:val="003C32E1"/>
    <w:rsid w:val="003C3EED"/>
    <w:rsid w:val="003C5E8C"/>
    <w:rsid w:val="003C6A54"/>
    <w:rsid w:val="003C6BCD"/>
    <w:rsid w:val="003C7B33"/>
    <w:rsid w:val="003D1338"/>
    <w:rsid w:val="003D1A5A"/>
    <w:rsid w:val="003D3151"/>
    <w:rsid w:val="003D3EED"/>
    <w:rsid w:val="003D4EBC"/>
    <w:rsid w:val="003D5001"/>
    <w:rsid w:val="003D58BA"/>
    <w:rsid w:val="003D6406"/>
    <w:rsid w:val="003E21DE"/>
    <w:rsid w:val="003E2C8C"/>
    <w:rsid w:val="003E760A"/>
    <w:rsid w:val="003F00C5"/>
    <w:rsid w:val="003F25C4"/>
    <w:rsid w:val="003F3FF8"/>
    <w:rsid w:val="003F62AF"/>
    <w:rsid w:val="003F6B69"/>
    <w:rsid w:val="00400DC1"/>
    <w:rsid w:val="00401CD7"/>
    <w:rsid w:val="00403689"/>
    <w:rsid w:val="00405464"/>
    <w:rsid w:val="00405513"/>
    <w:rsid w:val="00405F75"/>
    <w:rsid w:val="0040773B"/>
    <w:rsid w:val="0041069C"/>
    <w:rsid w:val="004114F4"/>
    <w:rsid w:val="004118C8"/>
    <w:rsid w:val="00411ACD"/>
    <w:rsid w:val="00411D23"/>
    <w:rsid w:val="00412857"/>
    <w:rsid w:val="004129FD"/>
    <w:rsid w:val="00413039"/>
    <w:rsid w:val="0041471C"/>
    <w:rsid w:val="00415880"/>
    <w:rsid w:val="00416D6F"/>
    <w:rsid w:val="00420FAA"/>
    <w:rsid w:val="00421D65"/>
    <w:rsid w:val="004241C0"/>
    <w:rsid w:val="00426BAC"/>
    <w:rsid w:val="00426C72"/>
    <w:rsid w:val="004311CD"/>
    <w:rsid w:val="00431661"/>
    <w:rsid w:val="00432602"/>
    <w:rsid w:val="00434A7C"/>
    <w:rsid w:val="0043766C"/>
    <w:rsid w:val="004410FF"/>
    <w:rsid w:val="004417C4"/>
    <w:rsid w:val="0044380B"/>
    <w:rsid w:val="004439A0"/>
    <w:rsid w:val="0044425E"/>
    <w:rsid w:val="00444D2F"/>
    <w:rsid w:val="00444D37"/>
    <w:rsid w:val="00450E87"/>
    <w:rsid w:val="00450ECF"/>
    <w:rsid w:val="00451281"/>
    <w:rsid w:val="004513D5"/>
    <w:rsid w:val="00451AE0"/>
    <w:rsid w:val="00451C28"/>
    <w:rsid w:val="00451CEB"/>
    <w:rsid w:val="004525A8"/>
    <w:rsid w:val="00453752"/>
    <w:rsid w:val="004539CD"/>
    <w:rsid w:val="004544F1"/>
    <w:rsid w:val="00454895"/>
    <w:rsid w:val="0045535E"/>
    <w:rsid w:val="00455C5B"/>
    <w:rsid w:val="00456315"/>
    <w:rsid w:val="0045727F"/>
    <w:rsid w:val="0046248D"/>
    <w:rsid w:val="004663A0"/>
    <w:rsid w:val="00466C2E"/>
    <w:rsid w:val="00466D3B"/>
    <w:rsid w:val="0046762C"/>
    <w:rsid w:val="00470C37"/>
    <w:rsid w:val="004746DA"/>
    <w:rsid w:val="00475542"/>
    <w:rsid w:val="00475A83"/>
    <w:rsid w:val="004766E2"/>
    <w:rsid w:val="004802C2"/>
    <w:rsid w:val="00480BA2"/>
    <w:rsid w:val="00481C32"/>
    <w:rsid w:val="004834D7"/>
    <w:rsid w:val="004846AF"/>
    <w:rsid w:val="00484D0E"/>
    <w:rsid w:val="004860A1"/>
    <w:rsid w:val="004914FA"/>
    <w:rsid w:val="0049187C"/>
    <w:rsid w:val="00492768"/>
    <w:rsid w:val="004929DA"/>
    <w:rsid w:val="00492FBF"/>
    <w:rsid w:val="00495C0B"/>
    <w:rsid w:val="00496C5D"/>
    <w:rsid w:val="004A0580"/>
    <w:rsid w:val="004A0E6F"/>
    <w:rsid w:val="004A2BB8"/>
    <w:rsid w:val="004A4651"/>
    <w:rsid w:val="004A4B71"/>
    <w:rsid w:val="004A55C3"/>
    <w:rsid w:val="004B025A"/>
    <w:rsid w:val="004B0DBC"/>
    <w:rsid w:val="004B23CA"/>
    <w:rsid w:val="004B2C5E"/>
    <w:rsid w:val="004B5A21"/>
    <w:rsid w:val="004B7DF7"/>
    <w:rsid w:val="004C0AC5"/>
    <w:rsid w:val="004C1B1A"/>
    <w:rsid w:val="004C4F29"/>
    <w:rsid w:val="004C5DEE"/>
    <w:rsid w:val="004C728B"/>
    <w:rsid w:val="004C7B6E"/>
    <w:rsid w:val="004C7DB9"/>
    <w:rsid w:val="004D05B9"/>
    <w:rsid w:val="004D0715"/>
    <w:rsid w:val="004D1A31"/>
    <w:rsid w:val="004D279B"/>
    <w:rsid w:val="004D283B"/>
    <w:rsid w:val="004D2F3F"/>
    <w:rsid w:val="004D3CC5"/>
    <w:rsid w:val="004D54E4"/>
    <w:rsid w:val="004E0147"/>
    <w:rsid w:val="004E0501"/>
    <w:rsid w:val="004E0A26"/>
    <w:rsid w:val="004E1DC5"/>
    <w:rsid w:val="004E2419"/>
    <w:rsid w:val="004F05E4"/>
    <w:rsid w:val="004F0DA5"/>
    <w:rsid w:val="004F2105"/>
    <w:rsid w:val="004F2670"/>
    <w:rsid w:val="004F2746"/>
    <w:rsid w:val="004F2AAD"/>
    <w:rsid w:val="004F2AD4"/>
    <w:rsid w:val="004F3EBA"/>
    <w:rsid w:val="004F561D"/>
    <w:rsid w:val="004F6034"/>
    <w:rsid w:val="004F62E4"/>
    <w:rsid w:val="004F731B"/>
    <w:rsid w:val="004F7367"/>
    <w:rsid w:val="004F76D9"/>
    <w:rsid w:val="004F7AED"/>
    <w:rsid w:val="004F7D79"/>
    <w:rsid w:val="00500800"/>
    <w:rsid w:val="00500D65"/>
    <w:rsid w:val="00503077"/>
    <w:rsid w:val="00503267"/>
    <w:rsid w:val="005032AE"/>
    <w:rsid w:val="005040B7"/>
    <w:rsid w:val="0050414D"/>
    <w:rsid w:val="005058A2"/>
    <w:rsid w:val="00505F14"/>
    <w:rsid w:val="005061A5"/>
    <w:rsid w:val="00506D6C"/>
    <w:rsid w:val="00507460"/>
    <w:rsid w:val="005078EC"/>
    <w:rsid w:val="0051181A"/>
    <w:rsid w:val="0051668D"/>
    <w:rsid w:val="005175E3"/>
    <w:rsid w:val="00520A8E"/>
    <w:rsid w:val="00521837"/>
    <w:rsid w:val="00521F8D"/>
    <w:rsid w:val="00523836"/>
    <w:rsid w:val="00526EDF"/>
    <w:rsid w:val="005270A6"/>
    <w:rsid w:val="00527880"/>
    <w:rsid w:val="00527C68"/>
    <w:rsid w:val="0053028D"/>
    <w:rsid w:val="005306B3"/>
    <w:rsid w:val="0053071D"/>
    <w:rsid w:val="00531390"/>
    <w:rsid w:val="00533798"/>
    <w:rsid w:val="00536299"/>
    <w:rsid w:val="00536C50"/>
    <w:rsid w:val="005408A0"/>
    <w:rsid w:val="00542453"/>
    <w:rsid w:val="00542BF0"/>
    <w:rsid w:val="00542FA1"/>
    <w:rsid w:val="005436E0"/>
    <w:rsid w:val="00544C02"/>
    <w:rsid w:val="0055186D"/>
    <w:rsid w:val="00553CD2"/>
    <w:rsid w:val="0055549E"/>
    <w:rsid w:val="0056158C"/>
    <w:rsid w:val="005616E0"/>
    <w:rsid w:val="00562223"/>
    <w:rsid w:val="005624B1"/>
    <w:rsid w:val="0056275D"/>
    <w:rsid w:val="00562B43"/>
    <w:rsid w:val="00566E5C"/>
    <w:rsid w:val="005714BA"/>
    <w:rsid w:val="00573240"/>
    <w:rsid w:val="0057415E"/>
    <w:rsid w:val="00576E81"/>
    <w:rsid w:val="0057748C"/>
    <w:rsid w:val="0058040D"/>
    <w:rsid w:val="00581ECD"/>
    <w:rsid w:val="00582A4F"/>
    <w:rsid w:val="005839AC"/>
    <w:rsid w:val="00583C1D"/>
    <w:rsid w:val="00583CA3"/>
    <w:rsid w:val="00583D37"/>
    <w:rsid w:val="00585760"/>
    <w:rsid w:val="00585E46"/>
    <w:rsid w:val="00586D1A"/>
    <w:rsid w:val="00591525"/>
    <w:rsid w:val="00591811"/>
    <w:rsid w:val="00591B66"/>
    <w:rsid w:val="00592135"/>
    <w:rsid w:val="00592F23"/>
    <w:rsid w:val="00593828"/>
    <w:rsid w:val="00595580"/>
    <w:rsid w:val="00595D8B"/>
    <w:rsid w:val="00596043"/>
    <w:rsid w:val="005963A2"/>
    <w:rsid w:val="005A0FBD"/>
    <w:rsid w:val="005A117C"/>
    <w:rsid w:val="005A1CD8"/>
    <w:rsid w:val="005A29AA"/>
    <w:rsid w:val="005A2C38"/>
    <w:rsid w:val="005A2C47"/>
    <w:rsid w:val="005A2D38"/>
    <w:rsid w:val="005A7B15"/>
    <w:rsid w:val="005A7E07"/>
    <w:rsid w:val="005B059F"/>
    <w:rsid w:val="005B1B6C"/>
    <w:rsid w:val="005B57A4"/>
    <w:rsid w:val="005B62E1"/>
    <w:rsid w:val="005C036E"/>
    <w:rsid w:val="005C12FE"/>
    <w:rsid w:val="005C3C95"/>
    <w:rsid w:val="005C6427"/>
    <w:rsid w:val="005C6458"/>
    <w:rsid w:val="005C653C"/>
    <w:rsid w:val="005C686E"/>
    <w:rsid w:val="005C6AD0"/>
    <w:rsid w:val="005C6BD2"/>
    <w:rsid w:val="005C75B5"/>
    <w:rsid w:val="005C7916"/>
    <w:rsid w:val="005D2C7B"/>
    <w:rsid w:val="005D2F09"/>
    <w:rsid w:val="005D4710"/>
    <w:rsid w:val="005D4A66"/>
    <w:rsid w:val="005D5230"/>
    <w:rsid w:val="005E2633"/>
    <w:rsid w:val="005E3726"/>
    <w:rsid w:val="005E57BE"/>
    <w:rsid w:val="005F0572"/>
    <w:rsid w:val="005F1A91"/>
    <w:rsid w:val="005F1B9E"/>
    <w:rsid w:val="005F1EE6"/>
    <w:rsid w:val="005F54B9"/>
    <w:rsid w:val="005F6DB1"/>
    <w:rsid w:val="005F7281"/>
    <w:rsid w:val="005F7A7F"/>
    <w:rsid w:val="00603405"/>
    <w:rsid w:val="00604373"/>
    <w:rsid w:val="0060510E"/>
    <w:rsid w:val="00606BF1"/>
    <w:rsid w:val="0060782D"/>
    <w:rsid w:val="00611D34"/>
    <w:rsid w:val="0061206D"/>
    <w:rsid w:val="006120DE"/>
    <w:rsid w:val="00614F74"/>
    <w:rsid w:val="006174F7"/>
    <w:rsid w:val="00621F06"/>
    <w:rsid w:val="00627F49"/>
    <w:rsid w:val="00630B1C"/>
    <w:rsid w:val="00632CF9"/>
    <w:rsid w:val="00632FA8"/>
    <w:rsid w:val="006364C8"/>
    <w:rsid w:val="006366B1"/>
    <w:rsid w:val="00636F49"/>
    <w:rsid w:val="00637236"/>
    <w:rsid w:val="006408B0"/>
    <w:rsid w:val="00640C0C"/>
    <w:rsid w:val="00642805"/>
    <w:rsid w:val="00642B2F"/>
    <w:rsid w:val="0064327A"/>
    <w:rsid w:val="00643B6A"/>
    <w:rsid w:val="00643CBC"/>
    <w:rsid w:val="00643F04"/>
    <w:rsid w:val="00644227"/>
    <w:rsid w:val="0064569F"/>
    <w:rsid w:val="00645E47"/>
    <w:rsid w:val="006462F6"/>
    <w:rsid w:val="00646746"/>
    <w:rsid w:val="006467A2"/>
    <w:rsid w:val="006529F5"/>
    <w:rsid w:val="00654C62"/>
    <w:rsid w:val="00654D70"/>
    <w:rsid w:val="00656996"/>
    <w:rsid w:val="00656FED"/>
    <w:rsid w:val="006579BB"/>
    <w:rsid w:val="00662E1C"/>
    <w:rsid w:val="0066321E"/>
    <w:rsid w:val="0066336F"/>
    <w:rsid w:val="006634F7"/>
    <w:rsid w:val="00664E3E"/>
    <w:rsid w:val="00667D23"/>
    <w:rsid w:val="006725A1"/>
    <w:rsid w:val="0067408B"/>
    <w:rsid w:val="006743F2"/>
    <w:rsid w:val="00674CF5"/>
    <w:rsid w:val="00675A85"/>
    <w:rsid w:val="006762D1"/>
    <w:rsid w:val="0067716E"/>
    <w:rsid w:val="0067753B"/>
    <w:rsid w:val="00677B8A"/>
    <w:rsid w:val="00682000"/>
    <w:rsid w:val="00682B9D"/>
    <w:rsid w:val="00682BD4"/>
    <w:rsid w:val="006839FD"/>
    <w:rsid w:val="006840F2"/>
    <w:rsid w:val="0068425C"/>
    <w:rsid w:val="00684740"/>
    <w:rsid w:val="006873B1"/>
    <w:rsid w:val="00687677"/>
    <w:rsid w:val="00687D2B"/>
    <w:rsid w:val="006930AA"/>
    <w:rsid w:val="006945BC"/>
    <w:rsid w:val="006979C5"/>
    <w:rsid w:val="006A0577"/>
    <w:rsid w:val="006A422E"/>
    <w:rsid w:val="006A4559"/>
    <w:rsid w:val="006A5798"/>
    <w:rsid w:val="006A6645"/>
    <w:rsid w:val="006A674F"/>
    <w:rsid w:val="006A6CCF"/>
    <w:rsid w:val="006B13BC"/>
    <w:rsid w:val="006B1578"/>
    <w:rsid w:val="006B277B"/>
    <w:rsid w:val="006B2936"/>
    <w:rsid w:val="006B37CD"/>
    <w:rsid w:val="006B449A"/>
    <w:rsid w:val="006B7B30"/>
    <w:rsid w:val="006C09B4"/>
    <w:rsid w:val="006C1195"/>
    <w:rsid w:val="006C30F0"/>
    <w:rsid w:val="006C5B51"/>
    <w:rsid w:val="006C6CB9"/>
    <w:rsid w:val="006C6D13"/>
    <w:rsid w:val="006D0453"/>
    <w:rsid w:val="006D0F61"/>
    <w:rsid w:val="006D16C0"/>
    <w:rsid w:val="006D3F67"/>
    <w:rsid w:val="006D59D7"/>
    <w:rsid w:val="006D5C84"/>
    <w:rsid w:val="006D6769"/>
    <w:rsid w:val="006D7956"/>
    <w:rsid w:val="006E2B76"/>
    <w:rsid w:val="006E399A"/>
    <w:rsid w:val="006E4E66"/>
    <w:rsid w:val="006E62C1"/>
    <w:rsid w:val="006F1877"/>
    <w:rsid w:val="006F22EB"/>
    <w:rsid w:val="006F25B2"/>
    <w:rsid w:val="006F2657"/>
    <w:rsid w:val="006F3FEA"/>
    <w:rsid w:val="006F4910"/>
    <w:rsid w:val="006F7453"/>
    <w:rsid w:val="006F7B2A"/>
    <w:rsid w:val="00700B21"/>
    <w:rsid w:val="00703E33"/>
    <w:rsid w:val="00705579"/>
    <w:rsid w:val="00705E4E"/>
    <w:rsid w:val="00707AD1"/>
    <w:rsid w:val="00711A01"/>
    <w:rsid w:val="00711AA9"/>
    <w:rsid w:val="0071589E"/>
    <w:rsid w:val="00716DFC"/>
    <w:rsid w:val="00720DC5"/>
    <w:rsid w:val="007213EA"/>
    <w:rsid w:val="0072467B"/>
    <w:rsid w:val="00725464"/>
    <w:rsid w:val="00725841"/>
    <w:rsid w:val="00725C6F"/>
    <w:rsid w:val="00726106"/>
    <w:rsid w:val="00726891"/>
    <w:rsid w:val="0072738A"/>
    <w:rsid w:val="00730672"/>
    <w:rsid w:val="00730FF1"/>
    <w:rsid w:val="007348A4"/>
    <w:rsid w:val="00734D54"/>
    <w:rsid w:val="00735450"/>
    <w:rsid w:val="00735572"/>
    <w:rsid w:val="00736422"/>
    <w:rsid w:val="00736846"/>
    <w:rsid w:val="00736E53"/>
    <w:rsid w:val="00750634"/>
    <w:rsid w:val="00751B97"/>
    <w:rsid w:val="00751D49"/>
    <w:rsid w:val="00752F01"/>
    <w:rsid w:val="00753F7B"/>
    <w:rsid w:val="00754792"/>
    <w:rsid w:val="00754A64"/>
    <w:rsid w:val="0075579B"/>
    <w:rsid w:val="007626F5"/>
    <w:rsid w:val="00763017"/>
    <w:rsid w:val="007633F4"/>
    <w:rsid w:val="007636B3"/>
    <w:rsid w:val="00763AAE"/>
    <w:rsid w:val="007653FA"/>
    <w:rsid w:val="00765A26"/>
    <w:rsid w:val="00765C50"/>
    <w:rsid w:val="00766A68"/>
    <w:rsid w:val="007679AB"/>
    <w:rsid w:val="00770FFE"/>
    <w:rsid w:val="00772D5D"/>
    <w:rsid w:val="007738FB"/>
    <w:rsid w:val="00777EE5"/>
    <w:rsid w:val="00781EB1"/>
    <w:rsid w:val="00781FCC"/>
    <w:rsid w:val="00782BEF"/>
    <w:rsid w:val="00783AB6"/>
    <w:rsid w:val="00783F93"/>
    <w:rsid w:val="00784447"/>
    <w:rsid w:val="00784A85"/>
    <w:rsid w:val="00786E89"/>
    <w:rsid w:val="00786F5D"/>
    <w:rsid w:val="00787A25"/>
    <w:rsid w:val="00791829"/>
    <w:rsid w:val="00791E17"/>
    <w:rsid w:val="00792E9F"/>
    <w:rsid w:val="00793CBD"/>
    <w:rsid w:val="00794828"/>
    <w:rsid w:val="0079793D"/>
    <w:rsid w:val="007A06BE"/>
    <w:rsid w:val="007A08EC"/>
    <w:rsid w:val="007A3E9F"/>
    <w:rsid w:val="007A4771"/>
    <w:rsid w:val="007B0A75"/>
    <w:rsid w:val="007B0E29"/>
    <w:rsid w:val="007B229A"/>
    <w:rsid w:val="007B355D"/>
    <w:rsid w:val="007B647E"/>
    <w:rsid w:val="007B6A37"/>
    <w:rsid w:val="007B7C23"/>
    <w:rsid w:val="007C235D"/>
    <w:rsid w:val="007C24A7"/>
    <w:rsid w:val="007C2525"/>
    <w:rsid w:val="007C37CB"/>
    <w:rsid w:val="007C59C0"/>
    <w:rsid w:val="007C601E"/>
    <w:rsid w:val="007C66C8"/>
    <w:rsid w:val="007C6E9B"/>
    <w:rsid w:val="007C7652"/>
    <w:rsid w:val="007C7DA5"/>
    <w:rsid w:val="007D07D3"/>
    <w:rsid w:val="007D0ADC"/>
    <w:rsid w:val="007D2629"/>
    <w:rsid w:val="007D2E89"/>
    <w:rsid w:val="007D40C6"/>
    <w:rsid w:val="007D4BCC"/>
    <w:rsid w:val="007D61AE"/>
    <w:rsid w:val="007D62F4"/>
    <w:rsid w:val="007D6AD7"/>
    <w:rsid w:val="007D71B7"/>
    <w:rsid w:val="007E1378"/>
    <w:rsid w:val="007E36FB"/>
    <w:rsid w:val="007E3C4F"/>
    <w:rsid w:val="007E49EC"/>
    <w:rsid w:val="007E5277"/>
    <w:rsid w:val="007E6E67"/>
    <w:rsid w:val="007E6FF8"/>
    <w:rsid w:val="007E715E"/>
    <w:rsid w:val="007E74D6"/>
    <w:rsid w:val="007E7F78"/>
    <w:rsid w:val="007F024B"/>
    <w:rsid w:val="007F17EB"/>
    <w:rsid w:val="007F2271"/>
    <w:rsid w:val="007F2B55"/>
    <w:rsid w:val="007F3284"/>
    <w:rsid w:val="007F44BA"/>
    <w:rsid w:val="007F4653"/>
    <w:rsid w:val="0080029F"/>
    <w:rsid w:val="008018A4"/>
    <w:rsid w:val="00801B84"/>
    <w:rsid w:val="00802DDD"/>
    <w:rsid w:val="00804C2A"/>
    <w:rsid w:val="008068E7"/>
    <w:rsid w:val="00807C10"/>
    <w:rsid w:val="008104C6"/>
    <w:rsid w:val="0081120C"/>
    <w:rsid w:val="00814194"/>
    <w:rsid w:val="00814954"/>
    <w:rsid w:val="00815E92"/>
    <w:rsid w:val="0082090A"/>
    <w:rsid w:val="008223A3"/>
    <w:rsid w:val="0082318A"/>
    <w:rsid w:val="008237E1"/>
    <w:rsid w:val="0082489F"/>
    <w:rsid w:val="00824E31"/>
    <w:rsid w:val="00831AD1"/>
    <w:rsid w:val="00832D98"/>
    <w:rsid w:val="00832DE5"/>
    <w:rsid w:val="00832F51"/>
    <w:rsid w:val="008346FC"/>
    <w:rsid w:val="008349AA"/>
    <w:rsid w:val="00836336"/>
    <w:rsid w:val="008425F6"/>
    <w:rsid w:val="00843365"/>
    <w:rsid w:val="00843AD6"/>
    <w:rsid w:val="008477ED"/>
    <w:rsid w:val="00851B5F"/>
    <w:rsid w:val="00851FB3"/>
    <w:rsid w:val="00853B57"/>
    <w:rsid w:val="00853F35"/>
    <w:rsid w:val="00855588"/>
    <w:rsid w:val="00855835"/>
    <w:rsid w:val="00855E2B"/>
    <w:rsid w:val="00856CC2"/>
    <w:rsid w:val="00862548"/>
    <w:rsid w:val="00866442"/>
    <w:rsid w:val="00866454"/>
    <w:rsid w:val="00871240"/>
    <w:rsid w:val="00873B19"/>
    <w:rsid w:val="00874C3B"/>
    <w:rsid w:val="00874EFF"/>
    <w:rsid w:val="008770B9"/>
    <w:rsid w:val="008811B9"/>
    <w:rsid w:val="008818EF"/>
    <w:rsid w:val="00881FC1"/>
    <w:rsid w:val="008841FA"/>
    <w:rsid w:val="0088460E"/>
    <w:rsid w:val="00885841"/>
    <w:rsid w:val="00886280"/>
    <w:rsid w:val="00886575"/>
    <w:rsid w:val="008915B6"/>
    <w:rsid w:val="00892E42"/>
    <w:rsid w:val="00894BF3"/>
    <w:rsid w:val="008955D6"/>
    <w:rsid w:val="00897025"/>
    <w:rsid w:val="008A11AE"/>
    <w:rsid w:val="008A2396"/>
    <w:rsid w:val="008A245C"/>
    <w:rsid w:val="008A25D4"/>
    <w:rsid w:val="008A52F2"/>
    <w:rsid w:val="008A63D5"/>
    <w:rsid w:val="008A79D7"/>
    <w:rsid w:val="008B077C"/>
    <w:rsid w:val="008B0DF6"/>
    <w:rsid w:val="008B14D4"/>
    <w:rsid w:val="008B1843"/>
    <w:rsid w:val="008B18A2"/>
    <w:rsid w:val="008B1F1A"/>
    <w:rsid w:val="008B2B14"/>
    <w:rsid w:val="008B3843"/>
    <w:rsid w:val="008B3A67"/>
    <w:rsid w:val="008B3DB4"/>
    <w:rsid w:val="008B3DDE"/>
    <w:rsid w:val="008B49B0"/>
    <w:rsid w:val="008B521C"/>
    <w:rsid w:val="008B5455"/>
    <w:rsid w:val="008C1E58"/>
    <w:rsid w:val="008C1F73"/>
    <w:rsid w:val="008C2409"/>
    <w:rsid w:val="008C2504"/>
    <w:rsid w:val="008C49AE"/>
    <w:rsid w:val="008C5916"/>
    <w:rsid w:val="008C7C1E"/>
    <w:rsid w:val="008D1E3E"/>
    <w:rsid w:val="008D31D8"/>
    <w:rsid w:val="008D4A6C"/>
    <w:rsid w:val="008D500B"/>
    <w:rsid w:val="008D5313"/>
    <w:rsid w:val="008D53DF"/>
    <w:rsid w:val="008D5E62"/>
    <w:rsid w:val="008D6549"/>
    <w:rsid w:val="008D7B5E"/>
    <w:rsid w:val="008E010D"/>
    <w:rsid w:val="008E1891"/>
    <w:rsid w:val="008E240A"/>
    <w:rsid w:val="008E272B"/>
    <w:rsid w:val="008E2BE4"/>
    <w:rsid w:val="008E58E8"/>
    <w:rsid w:val="008E659E"/>
    <w:rsid w:val="008F0AC1"/>
    <w:rsid w:val="008F2002"/>
    <w:rsid w:val="008F2B48"/>
    <w:rsid w:val="008F3FE5"/>
    <w:rsid w:val="008F66D9"/>
    <w:rsid w:val="008F699E"/>
    <w:rsid w:val="008F7CF9"/>
    <w:rsid w:val="00900CD5"/>
    <w:rsid w:val="00900F3D"/>
    <w:rsid w:val="0090142B"/>
    <w:rsid w:val="0090174B"/>
    <w:rsid w:val="009030F0"/>
    <w:rsid w:val="00903197"/>
    <w:rsid w:val="009042D1"/>
    <w:rsid w:val="00904801"/>
    <w:rsid w:val="0090654F"/>
    <w:rsid w:val="00906A6F"/>
    <w:rsid w:val="00906BEC"/>
    <w:rsid w:val="0090775B"/>
    <w:rsid w:val="00911268"/>
    <w:rsid w:val="009122CD"/>
    <w:rsid w:val="0091236B"/>
    <w:rsid w:val="00912D35"/>
    <w:rsid w:val="00913DF5"/>
    <w:rsid w:val="00914045"/>
    <w:rsid w:val="00914F2C"/>
    <w:rsid w:val="00916CE0"/>
    <w:rsid w:val="00916E47"/>
    <w:rsid w:val="00921579"/>
    <w:rsid w:val="00921D42"/>
    <w:rsid w:val="00922765"/>
    <w:rsid w:val="00922F0A"/>
    <w:rsid w:val="00923A1C"/>
    <w:rsid w:val="00924D20"/>
    <w:rsid w:val="00925669"/>
    <w:rsid w:val="00932028"/>
    <w:rsid w:val="00932EC2"/>
    <w:rsid w:val="009338D8"/>
    <w:rsid w:val="00934B65"/>
    <w:rsid w:val="009372AA"/>
    <w:rsid w:val="009379FB"/>
    <w:rsid w:val="00937CED"/>
    <w:rsid w:val="00940D29"/>
    <w:rsid w:val="00941797"/>
    <w:rsid w:val="00941BBF"/>
    <w:rsid w:val="00942176"/>
    <w:rsid w:val="00942A77"/>
    <w:rsid w:val="00943B4F"/>
    <w:rsid w:val="00943C3D"/>
    <w:rsid w:val="009443FA"/>
    <w:rsid w:val="00944BA4"/>
    <w:rsid w:val="0094513D"/>
    <w:rsid w:val="00945CD1"/>
    <w:rsid w:val="009475CD"/>
    <w:rsid w:val="00954DDE"/>
    <w:rsid w:val="009559ED"/>
    <w:rsid w:val="009569A8"/>
    <w:rsid w:val="009574F9"/>
    <w:rsid w:val="009624AD"/>
    <w:rsid w:val="00964370"/>
    <w:rsid w:val="00964EDD"/>
    <w:rsid w:val="0096664C"/>
    <w:rsid w:val="0096712E"/>
    <w:rsid w:val="009672B3"/>
    <w:rsid w:val="0096742F"/>
    <w:rsid w:val="00967483"/>
    <w:rsid w:val="00967737"/>
    <w:rsid w:val="009678AF"/>
    <w:rsid w:val="00967FB7"/>
    <w:rsid w:val="0097054E"/>
    <w:rsid w:val="00970CDB"/>
    <w:rsid w:val="0097275A"/>
    <w:rsid w:val="0097462A"/>
    <w:rsid w:val="0097547F"/>
    <w:rsid w:val="009758E7"/>
    <w:rsid w:val="00975937"/>
    <w:rsid w:val="00976797"/>
    <w:rsid w:val="0098049C"/>
    <w:rsid w:val="009804C4"/>
    <w:rsid w:val="009810E9"/>
    <w:rsid w:val="00982BA1"/>
    <w:rsid w:val="009837FA"/>
    <w:rsid w:val="00984193"/>
    <w:rsid w:val="00984576"/>
    <w:rsid w:val="00984A53"/>
    <w:rsid w:val="00984D59"/>
    <w:rsid w:val="009853EB"/>
    <w:rsid w:val="009865AF"/>
    <w:rsid w:val="00986739"/>
    <w:rsid w:val="00990580"/>
    <w:rsid w:val="009905DF"/>
    <w:rsid w:val="00991561"/>
    <w:rsid w:val="00993C92"/>
    <w:rsid w:val="00994F0F"/>
    <w:rsid w:val="00995182"/>
    <w:rsid w:val="00995A2B"/>
    <w:rsid w:val="00995EB4"/>
    <w:rsid w:val="0099714C"/>
    <w:rsid w:val="009977A2"/>
    <w:rsid w:val="00997C28"/>
    <w:rsid w:val="00997C71"/>
    <w:rsid w:val="009A11B4"/>
    <w:rsid w:val="009A2C5C"/>
    <w:rsid w:val="009A3194"/>
    <w:rsid w:val="009A50FD"/>
    <w:rsid w:val="009A546A"/>
    <w:rsid w:val="009A5FD1"/>
    <w:rsid w:val="009A64E9"/>
    <w:rsid w:val="009A77C3"/>
    <w:rsid w:val="009A7D38"/>
    <w:rsid w:val="009B157D"/>
    <w:rsid w:val="009B1C50"/>
    <w:rsid w:val="009B2AD0"/>
    <w:rsid w:val="009B39CF"/>
    <w:rsid w:val="009B3D51"/>
    <w:rsid w:val="009B50E4"/>
    <w:rsid w:val="009B5655"/>
    <w:rsid w:val="009B617F"/>
    <w:rsid w:val="009B66DE"/>
    <w:rsid w:val="009B67F6"/>
    <w:rsid w:val="009B6E6B"/>
    <w:rsid w:val="009C0510"/>
    <w:rsid w:val="009C0BBF"/>
    <w:rsid w:val="009C16A6"/>
    <w:rsid w:val="009C1B3F"/>
    <w:rsid w:val="009C2081"/>
    <w:rsid w:val="009C35AD"/>
    <w:rsid w:val="009C4FC2"/>
    <w:rsid w:val="009C54FC"/>
    <w:rsid w:val="009C5D09"/>
    <w:rsid w:val="009C7205"/>
    <w:rsid w:val="009D009A"/>
    <w:rsid w:val="009D262F"/>
    <w:rsid w:val="009D266E"/>
    <w:rsid w:val="009D300D"/>
    <w:rsid w:val="009D36F2"/>
    <w:rsid w:val="009D5877"/>
    <w:rsid w:val="009D5929"/>
    <w:rsid w:val="009D6635"/>
    <w:rsid w:val="009D7797"/>
    <w:rsid w:val="009D7B60"/>
    <w:rsid w:val="009E0942"/>
    <w:rsid w:val="009E0E9C"/>
    <w:rsid w:val="009E27D0"/>
    <w:rsid w:val="009E55A5"/>
    <w:rsid w:val="009E5A85"/>
    <w:rsid w:val="009E630A"/>
    <w:rsid w:val="009E6B28"/>
    <w:rsid w:val="009E70E7"/>
    <w:rsid w:val="009E74A3"/>
    <w:rsid w:val="009E7FE7"/>
    <w:rsid w:val="009F1579"/>
    <w:rsid w:val="009F18F0"/>
    <w:rsid w:val="009F1BBA"/>
    <w:rsid w:val="009F1E8E"/>
    <w:rsid w:val="009F4609"/>
    <w:rsid w:val="009F4F5B"/>
    <w:rsid w:val="009F5577"/>
    <w:rsid w:val="009F76B3"/>
    <w:rsid w:val="009F7A99"/>
    <w:rsid w:val="009F7C8A"/>
    <w:rsid w:val="00A00032"/>
    <w:rsid w:val="00A00888"/>
    <w:rsid w:val="00A01671"/>
    <w:rsid w:val="00A020B8"/>
    <w:rsid w:val="00A02A3B"/>
    <w:rsid w:val="00A055C0"/>
    <w:rsid w:val="00A063F6"/>
    <w:rsid w:val="00A06E35"/>
    <w:rsid w:val="00A10D3A"/>
    <w:rsid w:val="00A12000"/>
    <w:rsid w:val="00A16E6E"/>
    <w:rsid w:val="00A21BBF"/>
    <w:rsid w:val="00A21C50"/>
    <w:rsid w:val="00A2200D"/>
    <w:rsid w:val="00A22530"/>
    <w:rsid w:val="00A22E4F"/>
    <w:rsid w:val="00A23430"/>
    <w:rsid w:val="00A2669C"/>
    <w:rsid w:val="00A2712B"/>
    <w:rsid w:val="00A2719F"/>
    <w:rsid w:val="00A30265"/>
    <w:rsid w:val="00A30782"/>
    <w:rsid w:val="00A3299A"/>
    <w:rsid w:val="00A33754"/>
    <w:rsid w:val="00A33F33"/>
    <w:rsid w:val="00A34477"/>
    <w:rsid w:val="00A349DA"/>
    <w:rsid w:val="00A34BF4"/>
    <w:rsid w:val="00A353C3"/>
    <w:rsid w:val="00A35DF0"/>
    <w:rsid w:val="00A35E6E"/>
    <w:rsid w:val="00A3742B"/>
    <w:rsid w:val="00A37D3E"/>
    <w:rsid w:val="00A40C98"/>
    <w:rsid w:val="00A42227"/>
    <w:rsid w:val="00A42D14"/>
    <w:rsid w:val="00A43314"/>
    <w:rsid w:val="00A43464"/>
    <w:rsid w:val="00A44186"/>
    <w:rsid w:val="00A44DB3"/>
    <w:rsid w:val="00A4512B"/>
    <w:rsid w:val="00A4533B"/>
    <w:rsid w:val="00A4608B"/>
    <w:rsid w:val="00A51FAC"/>
    <w:rsid w:val="00A534B2"/>
    <w:rsid w:val="00A54F4B"/>
    <w:rsid w:val="00A55638"/>
    <w:rsid w:val="00A56847"/>
    <w:rsid w:val="00A60E57"/>
    <w:rsid w:val="00A6172A"/>
    <w:rsid w:val="00A67FA9"/>
    <w:rsid w:val="00A72A35"/>
    <w:rsid w:val="00A7334C"/>
    <w:rsid w:val="00A73D9D"/>
    <w:rsid w:val="00A7421B"/>
    <w:rsid w:val="00A747D5"/>
    <w:rsid w:val="00A74A10"/>
    <w:rsid w:val="00A76E38"/>
    <w:rsid w:val="00A77B8D"/>
    <w:rsid w:val="00A77FB4"/>
    <w:rsid w:val="00A80ECF"/>
    <w:rsid w:val="00A82867"/>
    <w:rsid w:val="00A82F94"/>
    <w:rsid w:val="00A83438"/>
    <w:rsid w:val="00A83E08"/>
    <w:rsid w:val="00A8472A"/>
    <w:rsid w:val="00A85085"/>
    <w:rsid w:val="00A857CD"/>
    <w:rsid w:val="00A85DBB"/>
    <w:rsid w:val="00A876BE"/>
    <w:rsid w:val="00A8787A"/>
    <w:rsid w:val="00A878FA"/>
    <w:rsid w:val="00A87CD3"/>
    <w:rsid w:val="00A90475"/>
    <w:rsid w:val="00A9085E"/>
    <w:rsid w:val="00A91BE8"/>
    <w:rsid w:val="00A934C1"/>
    <w:rsid w:val="00A94047"/>
    <w:rsid w:val="00A946A2"/>
    <w:rsid w:val="00A95386"/>
    <w:rsid w:val="00A9771A"/>
    <w:rsid w:val="00AA0E8D"/>
    <w:rsid w:val="00AA13ED"/>
    <w:rsid w:val="00AA1DAC"/>
    <w:rsid w:val="00AA2C48"/>
    <w:rsid w:val="00AA2D1A"/>
    <w:rsid w:val="00AA35AD"/>
    <w:rsid w:val="00AA3600"/>
    <w:rsid w:val="00AA3A19"/>
    <w:rsid w:val="00AA3CE9"/>
    <w:rsid w:val="00AA3EDD"/>
    <w:rsid w:val="00AA6465"/>
    <w:rsid w:val="00AA6905"/>
    <w:rsid w:val="00AA6E83"/>
    <w:rsid w:val="00AA7B45"/>
    <w:rsid w:val="00AB12DC"/>
    <w:rsid w:val="00AB186E"/>
    <w:rsid w:val="00AB2CCB"/>
    <w:rsid w:val="00AB3E12"/>
    <w:rsid w:val="00AB3F39"/>
    <w:rsid w:val="00AB73AD"/>
    <w:rsid w:val="00AB7E9C"/>
    <w:rsid w:val="00AC0555"/>
    <w:rsid w:val="00AC1E45"/>
    <w:rsid w:val="00AC2235"/>
    <w:rsid w:val="00AC2C17"/>
    <w:rsid w:val="00AC2E1C"/>
    <w:rsid w:val="00AC4681"/>
    <w:rsid w:val="00AC7668"/>
    <w:rsid w:val="00AD0BE1"/>
    <w:rsid w:val="00AD2968"/>
    <w:rsid w:val="00AD3072"/>
    <w:rsid w:val="00AD471F"/>
    <w:rsid w:val="00AD5020"/>
    <w:rsid w:val="00AD5CC4"/>
    <w:rsid w:val="00AD6081"/>
    <w:rsid w:val="00AD6FB0"/>
    <w:rsid w:val="00AE1BCB"/>
    <w:rsid w:val="00AE20BB"/>
    <w:rsid w:val="00AE24BB"/>
    <w:rsid w:val="00AE2B72"/>
    <w:rsid w:val="00AE2C86"/>
    <w:rsid w:val="00AE3C71"/>
    <w:rsid w:val="00AE3E1C"/>
    <w:rsid w:val="00AE427A"/>
    <w:rsid w:val="00AE5041"/>
    <w:rsid w:val="00AE53BA"/>
    <w:rsid w:val="00AE68F9"/>
    <w:rsid w:val="00AE6D8E"/>
    <w:rsid w:val="00AF1311"/>
    <w:rsid w:val="00AF172F"/>
    <w:rsid w:val="00AF2322"/>
    <w:rsid w:val="00AF242F"/>
    <w:rsid w:val="00AF58AF"/>
    <w:rsid w:val="00AF7496"/>
    <w:rsid w:val="00B00073"/>
    <w:rsid w:val="00B01182"/>
    <w:rsid w:val="00B016BC"/>
    <w:rsid w:val="00B02E07"/>
    <w:rsid w:val="00B048F0"/>
    <w:rsid w:val="00B04B94"/>
    <w:rsid w:val="00B04BDB"/>
    <w:rsid w:val="00B0587C"/>
    <w:rsid w:val="00B15C92"/>
    <w:rsid w:val="00B2034C"/>
    <w:rsid w:val="00B2329E"/>
    <w:rsid w:val="00B24027"/>
    <w:rsid w:val="00B24103"/>
    <w:rsid w:val="00B246A8"/>
    <w:rsid w:val="00B24ADF"/>
    <w:rsid w:val="00B24EF9"/>
    <w:rsid w:val="00B25901"/>
    <w:rsid w:val="00B26CC6"/>
    <w:rsid w:val="00B30F5F"/>
    <w:rsid w:val="00B33140"/>
    <w:rsid w:val="00B33F5C"/>
    <w:rsid w:val="00B34101"/>
    <w:rsid w:val="00B368AE"/>
    <w:rsid w:val="00B369CF"/>
    <w:rsid w:val="00B375A5"/>
    <w:rsid w:val="00B37C51"/>
    <w:rsid w:val="00B40611"/>
    <w:rsid w:val="00B41A40"/>
    <w:rsid w:val="00B424DA"/>
    <w:rsid w:val="00B4295A"/>
    <w:rsid w:val="00B451C5"/>
    <w:rsid w:val="00B475DB"/>
    <w:rsid w:val="00B479EB"/>
    <w:rsid w:val="00B47A7B"/>
    <w:rsid w:val="00B50ACC"/>
    <w:rsid w:val="00B515AB"/>
    <w:rsid w:val="00B535A0"/>
    <w:rsid w:val="00B5634C"/>
    <w:rsid w:val="00B56396"/>
    <w:rsid w:val="00B56411"/>
    <w:rsid w:val="00B60F06"/>
    <w:rsid w:val="00B625AB"/>
    <w:rsid w:val="00B62925"/>
    <w:rsid w:val="00B643A3"/>
    <w:rsid w:val="00B6529D"/>
    <w:rsid w:val="00B65AC1"/>
    <w:rsid w:val="00B65DCB"/>
    <w:rsid w:val="00B65F5F"/>
    <w:rsid w:val="00B65FDF"/>
    <w:rsid w:val="00B6625D"/>
    <w:rsid w:val="00B66D1F"/>
    <w:rsid w:val="00B67B41"/>
    <w:rsid w:val="00B70362"/>
    <w:rsid w:val="00B73637"/>
    <w:rsid w:val="00B738BF"/>
    <w:rsid w:val="00B748AB"/>
    <w:rsid w:val="00B76490"/>
    <w:rsid w:val="00B7734C"/>
    <w:rsid w:val="00B802F4"/>
    <w:rsid w:val="00B80D82"/>
    <w:rsid w:val="00B82E25"/>
    <w:rsid w:val="00B83D55"/>
    <w:rsid w:val="00B843E8"/>
    <w:rsid w:val="00B84577"/>
    <w:rsid w:val="00B851B5"/>
    <w:rsid w:val="00B853BC"/>
    <w:rsid w:val="00B8689A"/>
    <w:rsid w:val="00B86993"/>
    <w:rsid w:val="00B86B6B"/>
    <w:rsid w:val="00B8779D"/>
    <w:rsid w:val="00B878E6"/>
    <w:rsid w:val="00B87955"/>
    <w:rsid w:val="00B914AB"/>
    <w:rsid w:val="00B91701"/>
    <w:rsid w:val="00B939F2"/>
    <w:rsid w:val="00B94654"/>
    <w:rsid w:val="00B954EE"/>
    <w:rsid w:val="00B96CD5"/>
    <w:rsid w:val="00B97DFA"/>
    <w:rsid w:val="00BA0571"/>
    <w:rsid w:val="00BA0CE8"/>
    <w:rsid w:val="00BA3BE7"/>
    <w:rsid w:val="00BA5ABD"/>
    <w:rsid w:val="00BB1234"/>
    <w:rsid w:val="00BB18BD"/>
    <w:rsid w:val="00BB3232"/>
    <w:rsid w:val="00BB4024"/>
    <w:rsid w:val="00BB5AFB"/>
    <w:rsid w:val="00BB5CCF"/>
    <w:rsid w:val="00BB5E3C"/>
    <w:rsid w:val="00BC25A9"/>
    <w:rsid w:val="00BC2B9B"/>
    <w:rsid w:val="00BC46F3"/>
    <w:rsid w:val="00BC6A8B"/>
    <w:rsid w:val="00BC6AFE"/>
    <w:rsid w:val="00BD0C49"/>
    <w:rsid w:val="00BD0DF2"/>
    <w:rsid w:val="00BD1F91"/>
    <w:rsid w:val="00BD2BAC"/>
    <w:rsid w:val="00BD2CE5"/>
    <w:rsid w:val="00BD7856"/>
    <w:rsid w:val="00BD7BF1"/>
    <w:rsid w:val="00BD7F71"/>
    <w:rsid w:val="00BE0AA8"/>
    <w:rsid w:val="00BE1061"/>
    <w:rsid w:val="00BE121A"/>
    <w:rsid w:val="00BE3013"/>
    <w:rsid w:val="00BE3232"/>
    <w:rsid w:val="00BE32E4"/>
    <w:rsid w:val="00BE42A0"/>
    <w:rsid w:val="00BE5DDC"/>
    <w:rsid w:val="00BE5F1A"/>
    <w:rsid w:val="00BF3F33"/>
    <w:rsid w:val="00BF46B1"/>
    <w:rsid w:val="00BF5FF5"/>
    <w:rsid w:val="00C017CD"/>
    <w:rsid w:val="00C0188D"/>
    <w:rsid w:val="00C02079"/>
    <w:rsid w:val="00C025CC"/>
    <w:rsid w:val="00C034FB"/>
    <w:rsid w:val="00C03F4D"/>
    <w:rsid w:val="00C047CC"/>
    <w:rsid w:val="00C05A36"/>
    <w:rsid w:val="00C0694C"/>
    <w:rsid w:val="00C06ACA"/>
    <w:rsid w:val="00C10E18"/>
    <w:rsid w:val="00C13DD3"/>
    <w:rsid w:val="00C14EF7"/>
    <w:rsid w:val="00C15441"/>
    <w:rsid w:val="00C159F9"/>
    <w:rsid w:val="00C15C7A"/>
    <w:rsid w:val="00C15E24"/>
    <w:rsid w:val="00C165DB"/>
    <w:rsid w:val="00C17AF8"/>
    <w:rsid w:val="00C21082"/>
    <w:rsid w:val="00C217FF"/>
    <w:rsid w:val="00C244FE"/>
    <w:rsid w:val="00C253BE"/>
    <w:rsid w:val="00C25ED7"/>
    <w:rsid w:val="00C25F1D"/>
    <w:rsid w:val="00C26B6D"/>
    <w:rsid w:val="00C26B73"/>
    <w:rsid w:val="00C26CE5"/>
    <w:rsid w:val="00C2708F"/>
    <w:rsid w:val="00C3063F"/>
    <w:rsid w:val="00C3067C"/>
    <w:rsid w:val="00C31F8C"/>
    <w:rsid w:val="00C32504"/>
    <w:rsid w:val="00C34635"/>
    <w:rsid w:val="00C3572B"/>
    <w:rsid w:val="00C35EB9"/>
    <w:rsid w:val="00C365F1"/>
    <w:rsid w:val="00C36636"/>
    <w:rsid w:val="00C36944"/>
    <w:rsid w:val="00C3701F"/>
    <w:rsid w:val="00C37FAB"/>
    <w:rsid w:val="00C41EF0"/>
    <w:rsid w:val="00C4230E"/>
    <w:rsid w:val="00C441CC"/>
    <w:rsid w:val="00C44381"/>
    <w:rsid w:val="00C44E6E"/>
    <w:rsid w:val="00C453A9"/>
    <w:rsid w:val="00C45AC1"/>
    <w:rsid w:val="00C45C90"/>
    <w:rsid w:val="00C45D37"/>
    <w:rsid w:val="00C47E8A"/>
    <w:rsid w:val="00C50B23"/>
    <w:rsid w:val="00C51301"/>
    <w:rsid w:val="00C51ECC"/>
    <w:rsid w:val="00C51FDB"/>
    <w:rsid w:val="00C52420"/>
    <w:rsid w:val="00C53486"/>
    <w:rsid w:val="00C53521"/>
    <w:rsid w:val="00C55143"/>
    <w:rsid w:val="00C5716B"/>
    <w:rsid w:val="00C577C1"/>
    <w:rsid w:val="00C6103E"/>
    <w:rsid w:val="00C61DCF"/>
    <w:rsid w:val="00C620D6"/>
    <w:rsid w:val="00C63518"/>
    <w:rsid w:val="00C64967"/>
    <w:rsid w:val="00C674F5"/>
    <w:rsid w:val="00C67977"/>
    <w:rsid w:val="00C70D27"/>
    <w:rsid w:val="00C70E62"/>
    <w:rsid w:val="00C71592"/>
    <w:rsid w:val="00C7448A"/>
    <w:rsid w:val="00C75EB0"/>
    <w:rsid w:val="00C778D6"/>
    <w:rsid w:val="00C77BC8"/>
    <w:rsid w:val="00C81B3D"/>
    <w:rsid w:val="00C834BA"/>
    <w:rsid w:val="00C8355E"/>
    <w:rsid w:val="00C857A7"/>
    <w:rsid w:val="00C8799A"/>
    <w:rsid w:val="00C901D9"/>
    <w:rsid w:val="00C91777"/>
    <w:rsid w:val="00C91B57"/>
    <w:rsid w:val="00C92991"/>
    <w:rsid w:val="00C93E19"/>
    <w:rsid w:val="00C94795"/>
    <w:rsid w:val="00C951BE"/>
    <w:rsid w:val="00CA0456"/>
    <w:rsid w:val="00CA2B11"/>
    <w:rsid w:val="00CA3FC8"/>
    <w:rsid w:val="00CA6B35"/>
    <w:rsid w:val="00CA70EE"/>
    <w:rsid w:val="00CB0C59"/>
    <w:rsid w:val="00CB1644"/>
    <w:rsid w:val="00CB2281"/>
    <w:rsid w:val="00CB3A16"/>
    <w:rsid w:val="00CB5D14"/>
    <w:rsid w:val="00CB690E"/>
    <w:rsid w:val="00CB7446"/>
    <w:rsid w:val="00CC0D5E"/>
    <w:rsid w:val="00CC6AF1"/>
    <w:rsid w:val="00CC6DCD"/>
    <w:rsid w:val="00CD169C"/>
    <w:rsid w:val="00CD1837"/>
    <w:rsid w:val="00CD3637"/>
    <w:rsid w:val="00CD3A66"/>
    <w:rsid w:val="00CD4ABB"/>
    <w:rsid w:val="00CD6107"/>
    <w:rsid w:val="00CD74AB"/>
    <w:rsid w:val="00CD7A5B"/>
    <w:rsid w:val="00CE01B5"/>
    <w:rsid w:val="00CE05BC"/>
    <w:rsid w:val="00CE0707"/>
    <w:rsid w:val="00CE0A77"/>
    <w:rsid w:val="00CE1592"/>
    <w:rsid w:val="00CE19B0"/>
    <w:rsid w:val="00CE1BB6"/>
    <w:rsid w:val="00CE22DC"/>
    <w:rsid w:val="00CE2609"/>
    <w:rsid w:val="00CE3DA3"/>
    <w:rsid w:val="00CE42B6"/>
    <w:rsid w:val="00CE4B3C"/>
    <w:rsid w:val="00CE60A0"/>
    <w:rsid w:val="00CF0908"/>
    <w:rsid w:val="00CF14A7"/>
    <w:rsid w:val="00CF1729"/>
    <w:rsid w:val="00CF1D9F"/>
    <w:rsid w:val="00CF3438"/>
    <w:rsid w:val="00CF3489"/>
    <w:rsid w:val="00CF37EA"/>
    <w:rsid w:val="00CF3D88"/>
    <w:rsid w:val="00CF4118"/>
    <w:rsid w:val="00CF60B7"/>
    <w:rsid w:val="00D0061C"/>
    <w:rsid w:val="00D00D94"/>
    <w:rsid w:val="00D0275B"/>
    <w:rsid w:val="00D028F8"/>
    <w:rsid w:val="00D03178"/>
    <w:rsid w:val="00D03C47"/>
    <w:rsid w:val="00D04EA2"/>
    <w:rsid w:val="00D0515F"/>
    <w:rsid w:val="00D11EA5"/>
    <w:rsid w:val="00D11F1F"/>
    <w:rsid w:val="00D122BE"/>
    <w:rsid w:val="00D1316E"/>
    <w:rsid w:val="00D13800"/>
    <w:rsid w:val="00D16812"/>
    <w:rsid w:val="00D16C37"/>
    <w:rsid w:val="00D1703B"/>
    <w:rsid w:val="00D21CF4"/>
    <w:rsid w:val="00D22547"/>
    <w:rsid w:val="00D23004"/>
    <w:rsid w:val="00D24F0F"/>
    <w:rsid w:val="00D27D17"/>
    <w:rsid w:val="00D27E77"/>
    <w:rsid w:val="00D321C9"/>
    <w:rsid w:val="00D340E2"/>
    <w:rsid w:val="00D4070B"/>
    <w:rsid w:val="00D425F1"/>
    <w:rsid w:val="00D4388B"/>
    <w:rsid w:val="00D442B3"/>
    <w:rsid w:val="00D44730"/>
    <w:rsid w:val="00D4516F"/>
    <w:rsid w:val="00D452C4"/>
    <w:rsid w:val="00D47F5A"/>
    <w:rsid w:val="00D5161E"/>
    <w:rsid w:val="00D53A8E"/>
    <w:rsid w:val="00D54363"/>
    <w:rsid w:val="00D543E3"/>
    <w:rsid w:val="00D553B7"/>
    <w:rsid w:val="00D568A2"/>
    <w:rsid w:val="00D57019"/>
    <w:rsid w:val="00D610B6"/>
    <w:rsid w:val="00D613E4"/>
    <w:rsid w:val="00D62B3E"/>
    <w:rsid w:val="00D644D4"/>
    <w:rsid w:val="00D64539"/>
    <w:rsid w:val="00D654DE"/>
    <w:rsid w:val="00D67EB9"/>
    <w:rsid w:val="00D70145"/>
    <w:rsid w:val="00D70638"/>
    <w:rsid w:val="00D70699"/>
    <w:rsid w:val="00D709F9"/>
    <w:rsid w:val="00D71689"/>
    <w:rsid w:val="00D7176B"/>
    <w:rsid w:val="00D72878"/>
    <w:rsid w:val="00D72A3D"/>
    <w:rsid w:val="00D72B3F"/>
    <w:rsid w:val="00D743BA"/>
    <w:rsid w:val="00D745FC"/>
    <w:rsid w:val="00D74C0F"/>
    <w:rsid w:val="00D7724A"/>
    <w:rsid w:val="00D778BA"/>
    <w:rsid w:val="00D77B37"/>
    <w:rsid w:val="00D800AC"/>
    <w:rsid w:val="00D800E7"/>
    <w:rsid w:val="00D8086B"/>
    <w:rsid w:val="00D80A5A"/>
    <w:rsid w:val="00D811AE"/>
    <w:rsid w:val="00D83158"/>
    <w:rsid w:val="00D838D6"/>
    <w:rsid w:val="00D84534"/>
    <w:rsid w:val="00D84677"/>
    <w:rsid w:val="00D84CDD"/>
    <w:rsid w:val="00D85425"/>
    <w:rsid w:val="00D85E72"/>
    <w:rsid w:val="00D86E79"/>
    <w:rsid w:val="00D93426"/>
    <w:rsid w:val="00D9396E"/>
    <w:rsid w:val="00D948FF"/>
    <w:rsid w:val="00D96AF3"/>
    <w:rsid w:val="00D9718B"/>
    <w:rsid w:val="00DA2C3B"/>
    <w:rsid w:val="00DA32DA"/>
    <w:rsid w:val="00DA4BC1"/>
    <w:rsid w:val="00DA5F6E"/>
    <w:rsid w:val="00DA7A09"/>
    <w:rsid w:val="00DA7C22"/>
    <w:rsid w:val="00DB0F52"/>
    <w:rsid w:val="00DB2A39"/>
    <w:rsid w:val="00DB3026"/>
    <w:rsid w:val="00DB3574"/>
    <w:rsid w:val="00DB3ADC"/>
    <w:rsid w:val="00DB3F21"/>
    <w:rsid w:val="00DB464E"/>
    <w:rsid w:val="00DB5171"/>
    <w:rsid w:val="00DB7619"/>
    <w:rsid w:val="00DB79EF"/>
    <w:rsid w:val="00DC0C15"/>
    <w:rsid w:val="00DC0DD7"/>
    <w:rsid w:val="00DC1411"/>
    <w:rsid w:val="00DC18BA"/>
    <w:rsid w:val="00DC198B"/>
    <w:rsid w:val="00DC3936"/>
    <w:rsid w:val="00DC4EFF"/>
    <w:rsid w:val="00DC6EEE"/>
    <w:rsid w:val="00DD4AD1"/>
    <w:rsid w:val="00DD72D9"/>
    <w:rsid w:val="00DD74EC"/>
    <w:rsid w:val="00DE0EF7"/>
    <w:rsid w:val="00DE2E75"/>
    <w:rsid w:val="00DE2F3B"/>
    <w:rsid w:val="00DE5D2F"/>
    <w:rsid w:val="00DE5ECE"/>
    <w:rsid w:val="00DE6D1F"/>
    <w:rsid w:val="00DF0788"/>
    <w:rsid w:val="00DF1203"/>
    <w:rsid w:val="00DF2160"/>
    <w:rsid w:val="00DF22EF"/>
    <w:rsid w:val="00DF2B5E"/>
    <w:rsid w:val="00DF48AB"/>
    <w:rsid w:val="00DF5CF8"/>
    <w:rsid w:val="00E002E4"/>
    <w:rsid w:val="00E017C1"/>
    <w:rsid w:val="00E02ACD"/>
    <w:rsid w:val="00E03D0A"/>
    <w:rsid w:val="00E0497A"/>
    <w:rsid w:val="00E056A5"/>
    <w:rsid w:val="00E05A8A"/>
    <w:rsid w:val="00E0649F"/>
    <w:rsid w:val="00E1095F"/>
    <w:rsid w:val="00E1174A"/>
    <w:rsid w:val="00E11E39"/>
    <w:rsid w:val="00E13369"/>
    <w:rsid w:val="00E1364D"/>
    <w:rsid w:val="00E14DDE"/>
    <w:rsid w:val="00E15D95"/>
    <w:rsid w:val="00E20CA0"/>
    <w:rsid w:val="00E20CED"/>
    <w:rsid w:val="00E21731"/>
    <w:rsid w:val="00E22F62"/>
    <w:rsid w:val="00E23D1D"/>
    <w:rsid w:val="00E23E98"/>
    <w:rsid w:val="00E24B67"/>
    <w:rsid w:val="00E30D6E"/>
    <w:rsid w:val="00E3184E"/>
    <w:rsid w:val="00E32F0E"/>
    <w:rsid w:val="00E3389B"/>
    <w:rsid w:val="00E35131"/>
    <w:rsid w:val="00E35E5C"/>
    <w:rsid w:val="00E35F91"/>
    <w:rsid w:val="00E36C69"/>
    <w:rsid w:val="00E42003"/>
    <w:rsid w:val="00E42C0E"/>
    <w:rsid w:val="00E43259"/>
    <w:rsid w:val="00E45938"/>
    <w:rsid w:val="00E46579"/>
    <w:rsid w:val="00E46E2E"/>
    <w:rsid w:val="00E47029"/>
    <w:rsid w:val="00E50771"/>
    <w:rsid w:val="00E53183"/>
    <w:rsid w:val="00E537C1"/>
    <w:rsid w:val="00E54655"/>
    <w:rsid w:val="00E55055"/>
    <w:rsid w:val="00E55070"/>
    <w:rsid w:val="00E571B1"/>
    <w:rsid w:val="00E57CD1"/>
    <w:rsid w:val="00E61388"/>
    <w:rsid w:val="00E63C91"/>
    <w:rsid w:val="00E65681"/>
    <w:rsid w:val="00E66053"/>
    <w:rsid w:val="00E66582"/>
    <w:rsid w:val="00E66744"/>
    <w:rsid w:val="00E66B24"/>
    <w:rsid w:val="00E70C33"/>
    <w:rsid w:val="00E752FF"/>
    <w:rsid w:val="00E75D46"/>
    <w:rsid w:val="00E76181"/>
    <w:rsid w:val="00E76219"/>
    <w:rsid w:val="00E77745"/>
    <w:rsid w:val="00E80247"/>
    <w:rsid w:val="00E80793"/>
    <w:rsid w:val="00E8265F"/>
    <w:rsid w:val="00E83BF9"/>
    <w:rsid w:val="00E8576D"/>
    <w:rsid w:val="00E85C55"/>
    <w:rsid w:val="00E861D2"/>
    <w:rsid w:val="00E87772"/>
    <w:rsid w:val="00E90A08"/>
    <w:rsid w:val="00E9148B"/>
    <w:rsid w:val="00E93162"/>
    <w:rsid w:val="00E93290"/>
    <w:rsid w:val="00E936A1"/>
    <w:rsid w:val="00E93B41"/>
    <w:rsid w:val="00E93C4C"/>
    <w:rsid w:val="00E94C0C"/>
    <w:rsid w:val="00E95187"/>
    <w:rsid w:val="00E960A2"/>
    <w:rsid w:val="00E97F4A"/>
    <w:rsid w:val="00EA03FB"/>
    <w:rsid w:val="00EA1CD4"/>
    <w:rsid w:val="00EA205B"/>
    <w:rsid w:val="00EA2590"/>
    <w:rsid w:val="00EA6062"/>
    <w:rsid w:val="00EA6323"/>
    <w:rsid w:val="00EB0068"/>
    <w:rsid w:val="00EB0913"/>
    <w:rsid w:val="00EB15ED"/>
    <w:rsid w:val="00EB2E7D"/>
    <w:rsid w:val="00EB3B45"/>
    <w:rsid w:val="00EB6C21"/>
    <w:rsid w:val="00EC085F"/>
    <w:rsid w:val="00EC0906"/>
    <w:rsid w:val="00EC10BD"/>
    <w:rsid w:val="00EC1A99"/>
    <w:rsid w:val="00EC3BCC"/>
    <w:rsid w:val="00EC7D32"/>
    <w:rsid w:val="00ED0FFB"/>
    <w:rsid w:val="00ED3023"/>
    <w:rsid w:val="00ED3B19"/>
    <w:rsid w:val="00ED4964"/>
    <w:rsid w:val="00ED540B"/>
    <w:rsid w:val="00ED576E"/>
    <w:rsid w:val="00ED6697"/>
    <w:rsid w:val="00ED74A6"/>
    <w:rsid w:val="00ED7EE5"/>
    <w:rsid w:val="00EE1212"/>
    <w:rsid w:val="00EE35B0"/>
    <w:rsid w:val="00EE4564"/>
    <w:rsid w:val="00EE48F6"/>
    <w:rsid w:val="00EE5980"/>
    <w:rsid w:val="00EE7482"/>
    <w:rsid w:val="00EF0F5C"/>
    <w:rsid w:val="00EF2608"/>
    <w:rsid w:val="00EF360C"/>
    <w:rsid w:val="00EF51DD"/>
    <w:rsid w:val="00EF615C"/>
    <w:rsid w:val="00EF6189"/>
    <w:rsid w:val="00EF6CD9"/>
    <w:rsid w:val="00F037BD"/>
    <w:rsid w:val="00F042EC"/>
    <w:rsid w:val="00F050D4"/>
    <w:rsid w:val="00F054AB"/>
    <w:rsid w:val="00F0691E"/>
    <w:rsid w:val="00F076BE"/>
    <w:rsid w:val="00F07A47"/>
    <w:rsid w:val="00F10C9E"/>
    <w:rsid w:val="00F11488"/>
    <w:rsid w:val="00F12ED1"/>
    <w:rsid w:val="00F13C0A"/>
    <w:rsid w:val="00F1502E"/>
    <w:rsid w:val="00F157AB"/>
    <w:rsid w:val="00F15F4E"/>
    <w:rsid w:val="00F1761F"/>
    <w:rsid w:val="00F20C03"/>
    <w:rsid w:val="00F23853"/>
    <w:rsid w:val="00F239AC"/>
    <w:rsid w:val="00F24B96"/>
    <w:rsid w:val="00F2597D"/>
    <w:rsid w:val="00F25D90"/>
    <w:rsid w:val="00F27A27"/>
    <w:rsid w:val="00F31FD6"/>
    <w:rsid w:val="00F3228E"/>
    <w:rsid w:val="00F32B93"/>
    <w:rsid w:val="00F33526"/>
    <w:rsid w:val="00F3376E"/>
    <w:rsid w:val="00F34ECE"/>
    <w:rsid w:val="00F40571"/>
    <w:rsid w:val="00F40C96"/>
    <w:rsid w:val="00F420DA"/>
    <w:rsid w:val="00F468E2"/>
    <w:rsid w:val="00F47A22"/>
    <w:rsid w:val="00F51BA5"/>
    <w:rsid w:val="00F5328A"/>
    <w:rsid w:val="00F53A0D"/>
    <w:rsid w:val="00F55306"/>
    <w:rsid w:val="00F55952"/>
    <w:rsid w:val="00F56FEA"/>
    <w:rsid w:val="00F57E7E"/>
    <w:rsid w:val="00F60735"/>
    <w:rsid w:val="00F62323"/>
    <w:rsid w:val="00F64CB9"/>
    <w:rsid w:val="00F650E2"/>
    <w:rsid w:val="00F6560E"/>
    <w:rsid w:val="00F70BDB"/>
    <w:rsid w:val="00F7130A"/>
    <w:rsid w:val="00F7466B"/>
    <w:rsid w:val="00F74F9F"/>
    <w:rsid w:val="00F758AF"/>
    <w:rsid w:val="00F762AA"/>
    <w:rsid w:val="00F76542"/>
    <w:rsid w:val="00F76B20"/>
    <w:rsid w:val="00F82A3C"/>
    <w:rsid w:val="00F834F0"/>
    <w:rsid w:val="00F83DD2"/>
    <w:rsid w:val="00F865B6"/>
    <w:rsid w:val="00F86935"/>
    <w:rsid w:val="00F86A27"/>
    <w:rsid w:val="00F87E42"/>
    <w:rsid w:val="00F90378"/>
    <w:rsid w:val="00F96F22"/>
    <w:rsid w:val="00F97368"/>
    <w:rsid w:val="00FA074E"/>
    <w:rsid w:val="00FA0F83"/>
    <w:rsid w:val="00FA1858"/>
    <w:rsid w:val="00FA21AB"/>
    <w:rsid w:val="00FA25F5"/>
    <w:rsid w:val="00FA332E"/>
    <w:rsid w:val="00FA359D"/>
    <w:rsid w:val="00FA3F20"/>
    <w:rsid w:val="00FA4BD4"/>
    <w:rsid w:val="00FA54EA"/>
    <w:rsid w:val="00FA6A02"/>
    <w:rsid w:val="00FB0413"/>
    <w:rsid w:val="00FB18ED"/>
    <w:rsid w:val="00FB1A56"/>
    <w:rsid w:val="00FB1D37"/>
    <w:rsid w:val="00FB1E96"/>
    <w:rsid w:val="00FB3359"/>
    <w:rsid w:val="00FB4A40"/>
    <w:rsid w:val="00FB4C74"/>
    <w:rsid w:val="00FB5A19"/>
    <w:rsid w:val="00FB5A7D"/>
    <w:rsid w:val="00FB6153"/>
    <w:rsid w:val="00FB68AF"/>
    <w:rsid w:val="00FB6EBC"/>
    <w:rsid w:val="00FB74C1"/>
    <w:rsid w:val="00FB7514"/>
    <w:rsid w:val="00FB79F7"/>
    <w:rsid w:val="00FC25A6"/>
    <w:rsid w:val="00FC25F7"/>
    <w:rsid w:val="00FC3E12"/>
    <w:rsid w:val="00FC5E12"/>
    <w:rsid w:val="00FC6911"/>
    <w:rsid w:val="00FD0A06"/>
    <w:rsid w:val="00FD47B3"/>
    <w:rsid w:val="00FD6780"/>
    <w:rsid w:val="00FD6FBA"/>
    <w:rsid w:val="00FD7064"/>
    <w:rsid w:val="00FE2370"/>
    <w:rsid w:val="00FE2CD3"/>
    <w:rsid w:val="00FE6DBE"/>
    <w:rsid w:val="00FE70C9"/>
    <w:rsid w:val="00FE7773"/>
    <w:rsid w:val="00FF06D9"/>
    <w:rsid w:val="00FF21E9"/>
    <w:rsid w:val="00FF4ED3"/>
    <w:rsid w:val="00FF53D8"/>
    <w:rsid w:val="00FF5C97"/>
    <w:rsid w:val="00FF71CD"/>
    <w:rsid w:val="00FF7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Straight Arrow Connector 30"/>
        <o:r id="V:Rule2" type="connector" idref="#Straight Arrow Connector 9"/>
        <o:r id="V:Rule3" type="connector" idref="#Straight Arrow Connector 10"/>
        <o:r id="V:Rule4" type="arc" idref="#_x0000_s1145"/>
        <o:r id="V:Rule5" type="connector" idref="#Straight Arrow Connector 9"/>
        <o:r id="V:Rule6" type="connector" idref="#Straight Arrow Connector 9"/>
        <o:r id="V:Rule7" type="connector" idref="#Straight Arrow Connector 9"/>
        <o:r id="V:Rule8" type="connector" idref="#Straight Arrow Connector 9"/>
        <o:r id="V:Rule9" type="connector" idref="#Straight Arrow Connector 45"/>
        <o:r id="V:Rule10" type="connector" idref="#Straight Arrow Connector 45"/>
        <o:r id="V:Rule11" type="connector" idref="#Straight Arrow Connector 45"/>
        <o:r id="V:Rule12" type="connector" idref="#Straight Arrow Connector 45"/>
        <o:r id="V:Rule13" type="connector" idref="#Straight Arrow Connector 45"/>
        <o:r id="V:Rule14" type="connector" idref="#_x0000_s1144"/>
      </o:rules>
    </o:shapelayout>
  </w:shapeDefaults>
  <w:decimalSymbol w:val=","/>
  <w:listSeparator w:val=";"/>
  <w14:defaultImageDpi w14:val="96"/>
  <w15:chartTrackingRefBased/>
  <w15:docId w15:val="{77711FAE-34A1-4CB1-8B9E-420060BB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517"/>
    <w:rPr>
      <w:sz w:val="24"/>
      <w:szCs w:val="24"/>
      <w:lang w:val="en-GB" w:eastAsia="en-US"/>
    </w:rPr>
  </w:style>
  <w:style w:type="character" w:default="1" w:styleId="a0">
    <w:name w:val="Default Paragraph Font"/>
    <w:uiPriority w:val="1"/>
    <w:semiHidden/>
    <w:rsid w:val="00A7451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rsid w:val="00184EE0"/>
    <w:pPr>
      <w:tabs>
        <w:tab w:val="left" w:pos="4253"/>
      </w:tabs>
      <w:spacing w:before="100" w:after="100"/>
      <w:jc w:val="both"/>
    </w:pPr>
    <w:rPr>
      <w:sz w:val="19"/>
      <w:lang w:val="en-US" w:eastAsia="en-US"/>
    </w:rPr>
  </w:style>
  <w:style w:type="paragraph" w:customStyle="1" w:styleId="IASBNormalnpara">
    <w:name w:val="IASB Normal npara"/>
    <w:basedOn w:val="IASBNormal"/>
    <w:rsid w:val="003F6914"/>
    <w:pPr>
      <w:tabs>
        <w:tab w:val="clear" w:pos="4253"/>
      </w:tabs>
      <w:spacing w:after="0"/>
      <w:ind w:left="782" w:hanging="782"/>
    </w:pPr>
  </w:style>
  <w:style w:type="paragraph" w:customStyle="1" w:styleId="IASBSectionTitle1Ind">
    <w:name w:val="IASB Section Title 1 Ind"/>
    <w:basedOn w:val="a"/>
    <w:rsid w:val="005A1600"/>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a"/>
    <w:rsid w:val="005A1600"/>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a"/>
    <w:rsid w:val="005A1600"/>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rsid w:val="005A1600"/>
    <w:pPr>
      <w:spacing w:before="240"/>
      <w:ind w:left="782"/>
    </w:pPr>
  </w:style>
  <w:style w:type="paragraph" w:customStyle="1" w:styleId="IASBSectionTitle3NonInd">
    <w:name w:val="IASB Section Title 3 NonInd"/>
    <w:basedOn w:val="a"/>
    <w:rsid w:val="005A1600"/>
    <w:pPr>
      <w:keepNext/>
      <w:keepLines/>
      <w:spacing w:before="300" w:after="200"/>
    </w:pPr>
    <w:rPr>
      <w:rFonts w:ascii="Arial" w:hAnsi="Arial" w:cs="Arial"/>
      <w:b/>
      <w:sz w:val="22"/>
      <w:szCs w:val="20"/>
      <w:lang w:val="en-US"/>
    </w:rPr>
  </w:style>
  <w:style w:type="paragraph" w:customStyle="1" w:styleId="IASBSectionTitle3Ind">
    <w:name w:val="IASB Section Title 3 Ind"/>
    <w:basedOn w:val="IASBSectionTitle3NonInd"/>
    <w:rsid w:val="005A1600"/>
    <w:pPr>
      <w:spacing w:before="240"/>
      <w:ind w:left="782"/>
    </w:pPr>
  </w:style>
  <w:style w:type="paragraph" w:customStyle="1" w:styleId="IASBSectionTitle4NonInd">
    <w:name w:val="IASB Section Title 4 NonInd"/>
    <w:basedOn w:val="a"/>
    <w:rsid w:val="005A1600"/>
    <w:pPr>
      <w:keepNext/>
      <w:keepLines/>
      <w:spacing w:before="300" w:after="200"/>
    </w:pPr>
    <w:rPr>
      <w:rFonts w:ascii="Arial" w:hAnsi="Arial" w:cs="Arial"/>
      <w:i/>
      <w:sz w:val="22"/>
      <w:szCs w:val="20"/>
      <w:lang w:val="en-US"/>
    </w:rPr>
  </w:style>
  <w:style w:type="paragraph" w:customStyle="1" w:styleId="IASBSectionTitle4Ind">
    <w:name w:val="IASB Section Title 4 Ind"/>
    <w:basedOn w:val="IASBSectionTitle4NonInd"/>
    <w:rsid w:val="005A1600"/>
    <w:pPr>
      <w:ind w:left="782"/>
    </w:pPr>
  </w:style>
  <w:style w:type="paragraph" w:customStyle="1" w:styleId="IASBSectionTitle5NonInd">
    <w:name w:val="IASB Section Title 5 NonInd"/>
    <w:basedOn w:val="a"/>
    <w:rsid w:val="005A1600"/>
    <w:pPr>
      <w:keepNext/>
      <w:keepLines/>
      <w:spacing w:before="300" w:after="200"/>
    </w:pPr>
    <w:rPr>
      <w:rFonts w:ascii="Arial" w:hAnsi="Arial" w:cs="Arial"/>
      <w:b/>
      <w:sz w:val="20"/>
      <w:szCs w:val="20"/>
      <w:lang w:val="en-US"/>
    </w:rPr>
  </w:style>
  <w:style w:type="paragraph" w:customStyle="1" w:styleId="IASBSectionTitle5Ind">
    <w:name w:val="IASB Section Title 5 Ind"/>
    <w:basedOn w:val="IASBSectionTitle5NonInd"/>
    <w:rsid w:val="005A1600"/>
    <w:pPr>
      <w:ind w:left="782"/>
    </w:pPr>
  </w:style>
  <w:style w:type="paragraph" w:customStyle="1" w:styleId="IASBSectionTitle6NonInd">
    <w:name w:val="IASB Section Title 6 NonInd"/>
    <w:basedOn w:val="IASBSectionTitle5NonInd"/>
    <w:rsid w:val="00C8465C"/>
    <w:rPr>
      <w:b w:val="0"/>
      <w:i/>
    </w:rPr>
  </w:style>
  <w:style w:type="paragraph" w:customStyle="1" w:styleId="IASBSectionTitle6Ind">
    <w:name w:val="IASB Section Title 6 Ind"/>
    <w:basedOn w:val="IASBSectionTitle6NonInd"/>
    <w:rsid w:val="00C8465C"/>
    <w:pPr>
      <w:ind w:left="782"/>
    </w:pPr>
  </w:style>
  <w:style w:type="paragraph" w:customStyle="1" w:styleId="IASBTitle">
    <w:name w:val="IASB Title"/>
    <w:rsid w:val="00424540"/>
    <w:pPr>
      <w:keepNext/>
      <w:keepLines/>
      <w:spacing w:before="300" w:after="400"/>
    </w:pPr>
    <w:rPr>
      <w:rFonts w:cs="Arial"/>
      <w:sz w:val="36"/>
      <w:lang w:val="en-US" w:eastAsia="en-US"/>
    </w:rPr>
  </w:style>
  <w:style w:type="paragraph" w:customStyle="1" w:styleId="IASBNormalnparaL1">
    <w:name w:val="IASB Normal nparaL1"/>
    <w:basedOn w:val="IASBNormalnpara"/>
    <w:rsid w:val="00225741"/>
    <w:pPr>
      <w:ind w:left="1564"/>
    </w:pPr>
  </w:style>
  <w:style w:type="paragraph" w:customStyle="1" w:styleId="IASBNormalnparaP">
    <w:name w:val="IASB Normal nparaP"/>
    <w:basedOn w:val="IASBNormal"/>
    <w:rsid w:val="00225741"/>
    <w:pPr>
      <w:ind w:left="782"/>
    </w:pPr>
  </w:style>
  <w:style w:type="paragraph" w:customStyle="1" w:styleId="IASBIdentifier">
    <w:name w:val="IASB Identifier"/>
    <w:basedOn w:val="IASBTitle"/>
    <w:rsid w:val="005D06EB"/>
    <w:pPr>
      <w:spacing w:after="200"/>
    </w:pPr>
    <w:rPr>
      <w:rFonts w:ascii="Arial" w:hAnsi="Arial"/>
      <w:b/>
      <w:sz w:val="23"/>
    </w:rPr>
  </w:style>
  <w:style w:type="paragraph" w:customStyle="1" w:styleId="IASBTOCPrimary">
    <w:name w:val="IASB TOC Primary"/>
    <w:basedOn w:val="a"/>
    <w:rsid w:val="005D06EB"/>
    <w:pPr>
      <w:tabs>
        <w:tab w:val="right" w:pos="8647"/>
      </w:tabs>
      <w:spacing w:before="100" w:after="100"/>
    </w:pPr>
    <w:rPr>
      <w:rFonts w:ascii="Arial" w:hAnsi="Arial" w:cs="Arial"/>
      <w:b/>
      <w:caps/>
      <w:sz w:val="18"/>
      <w:szCs w:val="20"/>
      <w:lang w:val="en-US"/>
    </w:rPr>
  </w:style>
  <w:style w:type="paragraph" w:customStyle="1" w:styleId="IASBTOCParagraph">
    <w:name w:val="IASB TOC Paragraph"/>
    <w:basedOn w:val="a"/>
    <w:rsid w:val="005D06EB"/>
    <w:pPr>
      <w:spacing w:before="30" w:after="30"/>
    </w:pPr>
    <w:rPr>
      <w:rFonts w:ascii="Arial" w:hAnsi="Arial" w:cs="Arial"/>
      <w:i/>
      <w:sz w:val="18"/>
      <w:szCs w:val="20"/>
      <w:lang w:val="en-US"/>
    </w:rPr>
  </w:style>
  <w:style w:type="paragraph" w:customStyle="1" w:styleId="IASBTOCSecondary">
    <w:name w:val="IASB TOC Secondary"/>
    <w:basedOn w:val="a"/>
    <w:rsid w:val="005D06EB"/>
    <w:pPr>
      <w:tabs>
        <w:tab w:val="right" w:pos="8647"/>
      </w:tabs>
      <w:spacing w:before="30" w:after="30"/>
    </w:pPr>
    <w:rPr>
      <w:rFonts w:ascii="Arial" w:hAnsi="Arial" w:cs="Arial"/>
      <w:b/>
      <w:sz w:val="18"/>
      <w:szCs w:val="20"/>
      <w:lang w:val="en-US"/>
    </w:rPr>
  </w:style>
  <w:style w:type="paragraph" w:customStyle="1" w:styleId="IASBTOCTertiary">
    <w:name w:val="IASB TOC Tertiary"/>
    <w:basedOn w:val="a"/>
    <w:rsid w:val="005D06EB"/>
    <w:pPr>
      <w:tabs>
        <w:tab w:val="right" w:pos="8647"/>
      </w:tabs>
      <w:spacing w:before="30" w:after="30"/>
      <w:ind w:left="390"/>
    </w:pPr>
    <w:rPr>
      <w:rFonts w:ascii="Arial" w:hAnsi="Arial" w:cs="Arial"/>
      <w:sz w:val="18"/>
      <w:szCs w:val="20"/>
      <w:lang w:val="en-US"/>
    </w:rPr>
  </w:style>
  <w:style w:type="paragraph" w:customStyle="1" w:styleId="IASBTOCExternal">
    <w:name w:val="IASB TOC External"/>
    <w:basedOn w:val="a"/>
    <w:rsid w:val="005D06E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rPr>
  </w:style>
  <w:style w:type="paragraph" w:customStyle="1" w:styleId="IASBRubric">
    <w:name w:val="IASB Rubric"/>
    <w:basedOn w:val="IASBNormal"/>
    <w:rsid w:val="00F5722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F57224"/>
    <w:rPr>
      <w:i/>
    </w:rPr>
  </w:style>
  <w:style w:type="paragraph" w:customStyle="1" w:styleId="IASBBlockquote">
    <w:name w:val="IASB Blockquote"/>
    <w:basedOn w:val="IASBNormal"/>
    <w:rsid w:val="00550AE9"/>
    <w:pPr>
      <w:ind w:left="1565"/>
    </w:pPr>
    <w:rPr>
      <w:sz w:val="16"/>
    </w:rPr>
  </w:style>
  <w:style w:type="character" w:customStyle="1" w:styleId="IASBEduinsert">
    <w:name w:val="IASB Edu insert"/>
    <w:qFormat/>
    <w:rsid w:val="00EB08D7"/>
  </w:style>
  <w:style w:type="character" w:styleId="a3">
    <w:name w:val="footnote reference"/>
    <w:uiPriority w:val="99"/>
    <w:semiHidden/>
    <w:unhideWhenUsed/>
    <w:rsid w:val="00F57224"/>
    <w:rPr>
      <w:vertAlign w:val="superscript"/>
    </w:rPr>
  </w:style>
  <w:style w:type="paragraph" w:styleId="a4">
    <w:name w:val="footnote text"/>
    <w:basedOn w:val="IASBSectionTitle2Ind"/>
    <w:next w:val="IASBBlockquote"/>
    <w:link w:val="a5"/>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link w:val="a4"/>
    <w:uiPriority w:val="99"/>
    <w:semiHidden/>
    <w:rPr>
      <w:sz w:val="20"/>
      <w:szCs w:val="20"/>
      <w:lang w:eastAsia="en-US"/>
    </w:rPr>
  </w:style>
  <w:style w:type="paragraph" w:customStyle="1" w:styleId="IASBNormalL1">
    <w:name w:val="IASB Normal L1"/>
    <w:basedOn w:val="IASBNormalnpara"/>
    <w:rsid w:val="002F1EE3"/>
  </w:style>
  <w:style w:type="paragraph" w:styleId="a6">
    <w:name w:val="header"/>
    <w:basedOn w:val="a"/>
    <w:link w:val="a7"/>
    <w:uiPriority w:val="99"/>
    <w:rsid w:val="00EC6A1F"/>
    <w:pPr>
      <w:tabs>
        <w:tab w:val="center" w:pos="4320"/>
        <w:tab w:val="right" w:pos="8640"/>
      </w:tabs>
    </w:pPr>
  </w:style>
  <w:style w:type="character" w:customStyle="1" w:styleId="a7">
    <w:name w:val="Верхний колонтитул Знак"/>
    <w:link w:val="a6"/>
    <w:uiPriority w:val="99"/>
    <w:rPr>
      <w:sz w:val="24"/>
      <w:szCs w:val="24"/>
      <w:lang w:eastAsia="en-US"/>
    </w:rPr>
  </w:style>
  <w:style w:type="paragraph" w:styleId="a8">
    <w:name w:val="footer"/>
    <w:basedOn w:val="a"/>
    <w:link w:val="a9"/>
    <w:uiPriority w:val="99"/>
    <w:rsid w:val="00EC6A1F"/>
    <w:pPr>
      <w:tabs>
        <w:tab w:val="center" w:pos="4320"/>
        <w:tab w:val="right" w:pos="8640"/>
      </w:tabs>
    </w:pPr>
  </w:style>
  <w:style w:type="character" w:customStyle="1" w:styleId="a9">
    <w:name w:val="Нижний колонтитул Знак"/>
    <w:link w:val="a8"/>
    <w:uiPriority w:val="99"/>
    <w:rPr>
      <w:sz w:val="24"/>
      <w:szCs w:val="24"/>
      <w:lang w:eastAsia="en-US"/>
    </w:rPr>
  </w:style>
  <w:style w:type="paragraph" w:customStyle="1" w:styleId="IASBRubricL1">
    <w:name w:val="IASB RubricL1"/>
    <w:basedOn w:val="IASBRubric"/>
    <w:rsid w:val="00AE7B5D"/>
    <w:pPr>
      <w:ind w:left="782" w:hanging="782"/>
      <w:jc w:val="left"/>
    </w:pPr>
    <w:rPr>
      <w:lang w:eastAsia="en-GB"/>
    </w:rPr>
  </w:style>
  <w:style w:type="paragraph" w:customStyle="1" w:styleId="IASBRubricL2">
    <w:name w:val="IASB RubricL2"/>
    <w:basedOn w:val="IASBRubricL1"/>
    <w:rsid w:val="00AE7B5D"/>
    <w:pPr>
      <w:tabs>
        <w:tab w:val="left" w:pos="782"/>
      </w:tabs>
      <w:ind w:left="1565" w:hanging="1565"/>
    </w:pPr>
  </w:style>
  <w:style w:type="paragraph" w:customStyle="1" w:styleId="IASBRubricL3">
    <w:name w:val="IASB RubricL3"/>
    <w:basedOn w:val="IASBRubricL2"/>
    <w:rsid w:val="00AE7B5D"/>
    <w:pPr>
      <w:tabs>
        <w:tab w:val="clear" w:pos="782"/>
        <w:tab w:val="left" w:pos="1565"/>
      </w:tabs>
      <w:ind w:left="2347" w:hanging="2347"/>
    </w:pPr>
  </w:style>
  <w:style w:type="paragraph" w:customStyle="1" w:styleId="IASBNormalnparaL2">
    <w:name w:val="IASB Normal nparaL2"/>
    <w:basedOn w:val="IASBNormalnparaL1"/>
    <w:rsid w:val="00225741"/>
    <w:pPr>
      <w:ind w:left="2347"/>
    </w:pPr>
  </w:style>
  <w:style w:type="paragraph" w:customStyle="1" w:styleId="IASBNormalnparaL3">
    <w:name w:val="IASB Normal nparaL3"/>
    <w:basedOn w:val="IASBNormalnparaL2"/>
    <w:rsid w:val="00225741"/>
    <w:pPr>
      <w:ind w:left="3129"/>
    </w:pPr>
  </w:style>
  <w:style w:type="paragraph" w:customStyle="1" w:styleId="IASBNormalnparaL4">
    <w:name w:val="IASB Normal nparaL4"/>
    <w:basedOn w:val="IASBNormalnparaL3"/>
    <w:rsid w:val="00225741"/>
    <w:pPr>
      <w:ind w:left="3912"/>
    </w:pPr>
  </w:style>
  <w:style w:type="paragraph" w:customStyle="1" w:styleId="IASBNormalnparaL5">
    <w:name w:val="IASB Normal nparaL5"/>
    <w:basedOn w:val="IASBNormalnparaL4"/>
    <w:rsid w:val="00225741"/>
    <w:pPr>
      <w:ind w:left="4694"/>
    </w:pPr>
  </w:style>
  <w:style w:type="paragraph" w:customStyle="1" w:styleId="IASBNormalnparaL1P">
    <w:name w:val="IASB Normal nparaL1P"/>
    <w:basedOn w:val="IASBNormalnparaL2"/>
    <w:rsid w:val="00225741"/>
    <w:pPr>
      <w:ind w:left="1565" w:firstLine="0"/>
    </w:pPr>
  </w:style>
  <w:style w:type="paragraph" w:customStyle="1" w:styleId="IASBNormalnparaL2P">
    <w:name w:val="IASB Normal nparaL2P"/>
    <w:basedOn w:val="IASBNormalnparaL1P"/>
    <w:rsid w:val="00225741"/>
    <w:pPr>
      <w:ind w:left="2347"/>
    </w:pPr>
  </w:style>
  <w:style w:type="paragraph" w:customStyle="1" w:styleId="IASBNormalnparaL3P">
    <w:name w:val="IASB Normal nparaL3P"/>
    <w:basedOn w:val="IASBNormalnparaL2P"/>
    <w:rsid w:val="00225741"/>
    <w:pPr>
      <w:ind w:left="3130"/>
    </w:pPr>
  </w:style>
  <w:style w:type="paragraph" w:customStyle="1" w:styleId="IASBNormalnparaL4P">
    <w:name w:val="IASB Normal nparaL4P"/>
    <w:basedOn w:val="IASBNormalnparaL3P"/>
    <w:rsid w:val="00225741"/>
    <w:pPr>
      <w:ind w:left="3912"/>
    </w:pPr>
  </w:style>
  <w:style w:type="paragraph" w:customStyle="1" w:styleId="IASBNormalnparaL5P">
    <w:name w:val="IASB Normal nparaL5P"/>
    <w:basedOn w:val="IASBNormalnparaL4P"/>
    <w:rsid w:val="00225741"/>
    <w:pPr>
      <w:ind w:left="4751"/>
    </w:pPr>
  </w:style>
  <w:style w:type="paragraph" w:customStyle="1" w:styleId="IASBBlockquoteL1">
    <w:name w:val="IASB BlockquoteL1"/>
    <w:basedOn w:val="IASBBlockquote"/>
    <w:rsid w:val="00550AE9"/>
    <w:pPr>
      <w:ind w:left="2347" w:hanging="782"/>
    </w:pPr>
  </w:style>
  <w:style w:type="paragraph" w:customStyle="1" w:styleId="IASBBlockquoteL2">
    <w:name w:val="IASB BlockquoteL2"/>
    <w:basedOn w:val="IASBBlockquoteL1"/>
    <w:rsid w:val="00550AE9"/>
    <w:pPr>
      <w:ind w:left="3129"/>
    </w:pPr>
  </w:style>
  <w:style w:type="paragraph" w:customStyle="1" w:styleId="IASBNormalL2">
    <w:name w:val="IASB Normal L2"/>
    <w:basedOn w:val="IASBNormalL1"/>
    <w:rsid w:val="005B533E"/>
    <w:pPr>
      <w:ind w:left="1564"/>
    </w:pPr>
  </w:style>
  <w:style w:type="paragraph" w:customStyle="1" w:styleId="IASBTOCQuartery">
    <w:name w:val="IASB TOC Quartery"/>
    <w:basedOn w:val="IASBTOCTertiary"/>
    <w:rsid w:val="005D06EB"/>
    <w:pPr>
      <w:ind w:left="851"/>
    </w:pPr>
  </w:style>
  <w:style w:type="paragraph" w:customStyle="1" w:styleId="IASBNoteTitle">
    <w:name w:val="IASB Note Title"/>
    <w:basedOn w:val="IASBTOCPrimary"/>
    <w:rsid w:val="00A52AD8"/>
    <w:pPr>
      <w:jc w:val="center"/>
    </w:pPr>
    <w:rPr>
      <w:b w:val="0"/>
      <w:caps w:val="0"/>
      <w:sz w:val="24"/>
    </w:rPr>
  </w:style>
  <w:style w:type="paragraph" w:customStyle="1" w:styleId="IASBNormalL1P">
    <w:name w:val="IASB Normal L1P"/>
    <w:basedOn w:val="IASBNormalL1"/>
    <w:qFormat/>
    <w:rsid w:val="00A50330"/>
    <w:pPr>
      <w:ind w:firstLine="0"/>
    </w:pPr>
  </w:style>
  <w:style w:type="paragraph" w:customStyle="1" w:styleId="IASBNormalL2P">
    <w:name w:val="IASB Normal L2P"/>
    <w:basedOn w:val="IASBNormalL1P"/>
    <w:qFormat/>
    <w:rsid w:val="00A50330"/>
    <w:pPr>
      <w:ind w:left="1565"/>
    </w:pPr>
  </w:style>
  <w:style w:type="paragraph" w:customStyle="1" w:styleId="IASBNormalnparaC">
    <w:name w:val="IASB Normal nparaC"/>
    <w:basedOn w:val="IASBNormalnpara"/>
    <w:qFormat/>
    <w:rsid w:val="00B37F2B"/>
    <w:pPr>
      <w:spacing w:before="0"/>
    </w:pPr>
  </w:style>
  <w:style w:type="paragraph" w:customStyle="1" w:styleId="IASBEdupara">
    <w:name w:val="IASB Edu para"/>
    <w:basedOn w:val="IASBNormal"/>
    <w:qFormat/>
    <w:rsid w:val="00EB08D7"/>
  </w:style>
  <w:style w:type="paragraph" w:customStyle="1" w:styleId="IASBTableBoldTNR">
    <w:name w:val="IASB Table Bold TNR"/>
    <w:basedOn w:val="a"/>
    <w:qFormat/>
    <w:rsid w:val="003656D2"/>
    <w:pPr>
      <w:spacing w:before="120"/>
    </w:pPr>
    <w:rPr>
      <w:b/>
      <w:sz w:val="19"/>
      <w:szCs w:val="20"/>
      <w:lang w:eastAsia="en-GB"/>
    </w:rPr>
  </w:style>
  <w:style w:type="paragraph" w:customStyle="1" w:styleId="IASBTableHeaderTNR">
    <w:name w:val="IASB Table Header TNR"/>
    <w:basedOn w:val="a"/>
    <w:qFormat/>
    <w:rsid w:val="003656D2"/>
    <w:pPr>
      <w:keepNext/>
      <w:spacing w:before="120" w:after="200" w:line="276" w:lineRule="auto"/>
    </w:pPr>
    <w:rPr>
      <w:sz w:val="19"/>
      <w:szCs w:val="20"/>
      <w:lang w:eastAsia="en-GB"/>
    </w:rPr>
  </w:style>
  <w:style w:type="paragraph" w:customStyle="1" w:styleId="IASBTableTNR">
    <w:name w:val="IASB Table TNR"/>
    <w:basedOn w:val="a"/>
    <w:qFormat/>
    <w:rsid w:val="003656D2"/>
    <w:pPr>
      <w:spacing w:before="120"/>
    </w:pPr>
    <w:rPr>
      <w:sz w:val="19"/>
      <w:szCs w:val="20"/>
      <w:lang w:eastAsia="en-GB"/>
    </w:rPr>
  </w:style>
  <w:style w:type="paragraph" w:customStyle="1" w:styleId="IASBTableArial">
    <w:name w:val="IASB Table Arial"/>
    <w:basedOn w:val="a"/>
    <w:rsid w:val="00B90BDB"/>
    <w:pPr>
      <w:spacing w:before="120"/>
    </w:pPr>
    <w:rPr>
      <w:rFonts w:ascii="Arial" w:hAnsi="Arial"/>
      <w:sz w:val="18"/>
      <w:szCs w:val="20"/>
      <w:lang w:eastAsia="en-GB"/>
    </w:rPr>
  </w:style>
  <w:style w:type="paragraph" w:customStyle="1" w:styleId="IASBTableBoldArial">
    <w:name w:val="IASB Table Bold Arial"/>
    <w:basedOn w:val="IASBTableArial"/>
    <w:qFormat/>
    <w:rsid w:val="00B90BDB"/>
    <w:rPr>
      <w:b/>
    </w:rPr>
  </w:style>
  <w:style w:type="paragraph" w:customStyle="1" w:styleId="IASBTableHeaderArial">
    <w:name w:val="IASB Table Header Arial"/>
    <w:basedOn w:val="IASBTableArial"/>
    <w:qFormat/>
    <w:rsid w:val="00B90BDB"/>
    <w:pPr>
      <w:keepNext/>
      <w:spacing w:after="200" w:line="276" w:lineRule="auto"/>
    </w:pPr>
  </w:style>
  <w:style w:type="character" w:styleId="aa">
    <w:name w:val="endnote reference"/>
    <w:uiPriority w:val="99"/>
    <w:semiHidden/>
    <w:unhideWhenUsed/>
    <w:rsid w:val="00AD2968"/>
    <w:rPr>
      <w:vertAlign w:val="superscript"/>
    </w:rPr>
  </w:style>
  <w:style w:type="paragraph" w:styleId="ab">
    <w:name w:val="Balloon Text"/>
    <w:basedOn w:val="a"/>
    <w:link w:val="ac"/>
    <w:uiPriority w:val="99"/>
    <w:semiHidden/>
    <w:unhideWhenUsed/>
    <w:rsid w:val="00312B10"/>
    <w:rPr>
      <w:rFonts w:ascii="Tahoma" w:hAnsi="Tahoma" w:cs="Tahoma"/>
      <w:sz w:val="16"/>
      <w:szCs w:val="16"/>
    </w:rPr>
  </w:style>
  <w:style w:type="character" w:customStyle="1" w:styleId="ac">
    <w:name w:val="Текст выноски Знак"/>
    <w:link w:val="ab"/>
    <w:uiPriority w:val="99"/>
    <w:semiHidden/>
    <w:rsid w:val="00312B10"/>
    <w:rPr>
      <w:rFonts w:ascii="Tahoma" w:hAnsi="Tahoma" w:cs="Tahoma"/>
      <w:sz w:val="16"/>
      <w:szCs w:val="16"/>
      <w:lang w:eastAsia="en-US"/>
    </w:rPr>
  </w:style>
  <w:style w:type="character" w:styleId="ad">
    <w:name w:val="annotation reference"/>
    <w:uiPriority w:val="99"/>
    <w:semiHidden/>
    <w:unhideWhenUsed/>
    <w:rsid w:val="00873B19"/>
    <w:rPr>
      <w:sz w:val="16"/>
      <w:szCs w:val="16"/>
    </w:rPr>
  </w:style>
  <w:style w:type="paragraph" w:styleId="ae">
    <w:name w:val="annotation text"/>
    <w:basedOn w:val="a"/>
    <w:link w:val="af"/>
    <w:uiPriority w:val="99"/>
    <w:unhideWhenUsed/>
    <w:rsid w:val="00873B19"/>
    <w:rPr>
      <w:sz w:val="20"/>
      <w:szCs w:val="20"/>
    </w:rPr>
  </w:style>
  <w:style w:type="character" w:customStyle="1" w:styleId="af">
    <w:name w:val="Текст примечания Знак"/>
    <w:link w:val="ae"/>
    <w:uiPriority w:val="99"/>
    <w:rsid w:val="00873B19"/>
    <w:rPr>
      <w:lang w:val="en-GB" w:eastAsia="en-US"/>
    </w:rPr>
  </w:style>
  <w:style w:type="paragraph" w:styleId="af0">
    <w:name w:val="annotation subject"/>
    <w:basedOn w:val="ae"/>
    <w:next w:val="ae"/>
    <w:link w:val="af1"/>
    <w:uiPriority w:val="99"/>
    <w:semiHidden/>
    <w:unhideWhenUsed/>
    <w:rsid w:val="00873B19"/>
    <w:rPr>
      <w:b/>
      <w:bCs/>
    </w:rPr>
  </w:style>
  <w:style w:type="character" w:customStyle="1" w:styleId="af1">
    <w:name w:val="Тема примечания Знак"/>
    <w:link w:val="af0"/>
    <w:uiPriority w:val="99"/>
    <w:semiHidden/>
    <w:rsid w:val="00873B19"/>
    <w:rPr>
      <w:b/>
      <w:bCs/>
      <w:lang w:val="en-GB" w:eastAsia="en-US"/>
    </w:rPr>
  </w:style>
  <w:style w:type="character" w:customStyle="1" w:styleId="blk3">
    <w:name w:val="blk3"/>
    <w:rsid w:val="007D4BCC"/>
    <w:rPr>
      <w:vanish w:val="0"/>
      <w:webHidden w:val="0"/>
      <w:specVanish w:val="0"/>
    </w:rPr>
  </w:style>
  <w:style w:type="paragraph" w:styleId="af2">
    <w:name w:val="List Paragraph"/>
    <w:basedOn w:val="a"/>
    <w:uiPriority w:val="34"/>
    <w:qFormat/>
    <w:rsid w:val="007D4BCC"/>
    <w:pPr>
      <w:ind w:left="708"/>
    </w:pPr>
  </w:style>
  <w:style w:type="character" w:customStyle="1" w:styleId="definition">
    <w:name w:val="definition"/>
    <w:rsid w:val="007D4BCC"/>
  </w:style>
  <w:style w:type="paragraph" w:customStyle="1" w:styleId="tableindent">
    <w:name w:val="table indent"/>
    <w:basedOn w:val="a"/>
    <w:link w:val="tableindentChar"/>
    <w:uiPriority w:val="99"/>
    <w:rsid w:val="00E77745"/>
    <w:pPr>
      <w:overflowPunct w:val="0"/>
      <w:autoSpaceDE w:val="0"/>
      <w:autoSpaceDN w:val="0"/>
      <w:adjustRightInd w:val="0"/>
      <w:spacing w:line="240" w:lineRule="exact"/>
      <w:ind w:left="255" w:hanging="255"/>
      <w:textAlignment w:val="baseline"/>
    </w:pPr>
    <w:rPr>
      <w:rFonts w:ascii="EYInterstate Light" w:hAnsi="EYInterstate Light"/>
      <w:sz w:val="16"/>
      <w:szCs w:val="20"/>
    </w:rPr>
  </w:style>
  <w:style w:type="character" w:customStyle="1" w:styleId="tableindentChar">
    <w:name w:val="table indent Char"/>
    <w:link w:val="tableindent"/>
    <w:uiPriority w:val="99"/>
    <w:locked/>
    <w:rsid w:val="00E77745"/>
    <w:rPr>
      <w:rFonts w:ascii="EYInterstate Light" w:hAnsi="EYInterstate Light"/>
      <w:sz w:val="16"/>
      <w:lang w:val="en-GB" w:eastAsia="en-US"/>
    </w:rPr>
  </w:style>
  <w:style w:type="character" w:styleId="af3">
    <w:name w:val="Hyperlink"/>
    <w:uiPriority w:val="99"/>
    <w:unhideWhenUsed/>
    <w:rsid w:val="00B643A3"/>
    <w:rPr>
      <w:color w:val="0563C1"/>
      <w:u w:val="single"/>
    </w:rPr>
  </w:style>
  <w:style w:type="paragraph" w:customStyle="1" w:styleId="IASBFootnoteText">
    <w:name w:val="IASB Footnote Text"/>
    <w:basedOn w:val="IASBNormal"/>
    <w:rsid w:val="007C7DA5"/>
    <w:pPr>
      <w:tabs>
        <w:tab w:val="clear" w:pos="4253"/>
      </w:tabs>
      <w:spacing w:before="0" w:after="60"/>
      <w:ind w:left="284" w:hanging="284"/>
    </w:pPr>
    <w:rPr>
      <w:sz w:val="16"/>
      <w:lang w:val="en-GB" w:eastAsia="en-GB"/>
    </w:rPr>
  </w:style>
  <w:style w:type="character" w:customStyle="1" w:styleId="IASBFootnoteSign">
    <w:name w:val="IASB Footnote Sign"/>
    <w:rsid w:val="007C7DA5"/>
    <w:rPr>
      <w:sz w:val="16"/>
      <w:vertAlign w:val="superscript"/>
    </w:rPr>
  </w:style>
  <w:style w:type="paragraph" w:styleId="af4">
    <w:name w:val="Revision"/>
    <w:hidden/>
    <w:uiPriority w:val="99"/>
    <w:semiHidden/>
    <w:rsid w:val="007A477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92458">
      <w:bodyDiv w:val="1"/>
      <w:marLeft w:val="0"/>
      <w:marRight w:val="0"/>
      <w:marTop w:val="0"/>
      <w:marBottom w:val="0"/>
      <w:divBdr>
        <w:top w:val="none" w:sz="0" w:space="0" w:color="auto"/>
        <w:left w:val="none" w:sz="0" w:space="0" w:color="auto"/>
        <w:bottom w:val="none" w:sz="0" w:space="0" w:color="auto"/>
        <w:right w:val="none" w:sz="0" w:space="0" w:color="auto"/>
      </w:divBdr>
    </w:div>
    <w:div w:id="739256006">
      <w:bodyDiv w:val="1"/>
      <w:marLeft w:val="0"/>
      <w:marRight w:val="0"/>
      <w:marTop w:val="0"/>
      <w:marBottom w:val="0"/>
      <w:divBdr>
        <w:top w:val="none" w:sz="0" w:space="0" w:color="auto"/>
        <w:left w:val="none" w:sz="0" w:space="0" w:color="auto"/>
        <w:bottom w:val="none" w:sz="0" w:space="0" w:color="auto"/>
        <w:right w:val="none" w:sz="0" w:space="0" w:color="auto"/>
      </w:divBdr>
    </w:div>
    <w:div w:id="18206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2EB09-7B11-4220-AA4D-B8D63715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83786</Words>
  <Characters>477583</Characters>
  <Application>Microsoft Office Word</Application>
  <DocSecurity>0</DocSecurity>
  <Lines>3979</Lines>
  <Paragraphs>1120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IFRS</Company>
  <LinksUpToDate>false</LinksUpToDate>
  <CharactersWithSpaces>560249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Nicola</dc:creator>
  <cp:keywords/>
  <cp:lastModifiedBy>БАРИНОВА ГАЛИНА ВИКТОРОВНА</cp:lastModifiedBy>
  <cp:revision>2</cp:revision>
  <dcterms:created xsi:type="dcterms:W3CDTF">2022-01-25T12:03:00Z</dcterms:created>
  <dcterms:modified xsi:type="dcterms:W3CDTF">2022-01-25T12:03:00Z</dcterms:modified>
</cp:coreProperties>
</file>