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5812"/>
        <w:gridCol w:w="2551"/>
      </w:tblGrid>
      <w:tr w:rsidR="00A43EF3" w:rsidRPr="00E30757" w:rsidTr="009D22B1">
        <w:trPr>
          <w:trHeight w:val="841"/>
        </w:trPr>
        <w:tc>
          <w:tcPr>
            <w:tcW w:w="16018" w:type="dxa"/>
            <w:gridSpan w:val="4"/>
            <w:vAlign w:val="center"/>
          </w:tcPr>
          <w:p w:rsidR="00A43EF3" w:rsidRPr="00E30757" w:rsidRDefault="00D56990" w:rsidP="00E01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Особое мнение членов Общественного совета в отношении </w:t>
            </w:r>
            <w:r w:rsidR="00E016B3"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E016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016B3"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</w:t>
            </w:r>
            <w:r w:rsidR="00E016B3">
              <w:rPr>
                <w:rFonts w:ascii="Times New Roman" w:hAnsi="Times New Roman" w:cs="Times New Roman"/>
                <w:b/>
                <w:sz w:val="28"/>
                <w:szCs w:val="28"/>
              </w:rPr>
              <w:t>Минфина России</w:t>
            </w:r>
            <w:r w:rsidR="00E016B3"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реализации Концепции открытости федеральных органов исполнительной власти на 2022 год</w:t>
            </w:r>
            <w:r w:rsid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(далее – </w:t>
            </w:r>
            <w:r w:rsidR="00E016B3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плана</w:t>
            </w: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43EF3" w:rsidRPr="00E30757" w:rsidTr="009D22B1">
        <w:trPr>
          <w:trHeight w:val="827"/>
        </w:trPr>
        <w:tc>
          <w:tcPr>
            <w:tcW w:w="7655" w:type="dxa"/>
            <w:gridSpan w:val="2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5812" w:type="dxa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2551" w:type="dxa"/>
            <w:vAlign w:val="center"/>
          </w:tcPr>
          <w:p w:rsidR="00A43EF3" w:rsidRPr="00E30757" w:rsidRDefault="00A43EF3" w:rsidP="00A01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Ответственный департамент</w:t>
            </w:r>
          </w:p>
        </w:tc>
      </w:tr>
      <w:tr w:rsidR="000B3707" w:rsidRPr="00E30757" w:rsidTr="00665F75">
        <w:trPr>
          <w:trHeight w:val="287"/>
        </w:trPr>
        <w:tc>
          <w:tcPr>
            <w:tcW w:w="16018" w:type="dxa"/>
            <w:gridSpan w:val="4"/>
          </w:tcPr>
          <w:p w:rsidR="000B3707" w:rsidRPr="00E30757" w:rsidRDefault="00E016B3" w:rsidP="000B3707">
            <w:pPr>
              <w:rPr>
                <w:rFonts w:ascii="Times New Roman" w:hAnsi="Times New Roman" w:cs="Times New Roman"/>
                <w:b/>
              </w:rPr>
            </w:pPr>
            <w:r w:rsidRPr="00E016B3">
              <w:rPr>
                <w:rFonts w:ascii="Times New Roman" w:hAnsi="Times New Roman" w:cs="Times New Roman"/>
                <w:b/>
              </w:rPr>
              <w:t>Зверев С.А.</w:t>
            </w:r>
          </w:p>
        </w:tc>
      </w:tr>
      <w:tr w:rsidR="007A48BF" w:rsidRPr="00E30757" w:rsidTr="00F70FA4">
        <w:trPr>
          <w:trHeight w:val="850"/>
        </w:trPr>
        <w:tc>
          <w:tcPr>
            <w:tcW w:w="425" w:type="dxa"/>
          </w:tcPr>
          <w:p w:rsidR="007A48BF" w:rsidRPr="008E542B" w:rsidRDefault="00C10FF4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 xml:space="preserve">В предложенном документе полностью отсутствует тема финансовой грамотности, при том что программа по ней отдельно рассматривалась на ОС и публичный характер её реализация является,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в том числе, частью реализации концепции открытости Минфина.</w:t>
            </w:r>
          </w:p>
          <w:p w:rsidR="007A48BF" w:rsidRPr="008E542B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 xml:space="preserve">Я считаю, что на это необходимо обратить внимание коллег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и предложить внести изменения.</w:t>
            </w:r>
          </w:p>
        </w:tc>
        <w:tc>
          <w:tcPr>
            <w:tcW w:w="5812" w:type="dxa"/>
          </w:tcPr>
          <w:p w:rsidR="0022493B" w:rsidRPr="0022493B" w:rsidRDefault="0022493B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2493B">
              <w:rPr>
                <w:rFonts w:ascii="Times New Roman" w:hAnsi="Times New Roman" w:cs="Times New Roman"/>
              </w:rPr>
              <w:t xml:space="preserve">В настоящее время на официальном сайте </w:t>
            </w:r>
            <w:r>
              <w:rPr>
                <w:rFonts w:ascii="Times New Roman" w:hAnsi="Times New Roman" w:cs="Times New Roman"/>
              </w:rPr>
              <w:t>Минфина России</w:t>
            </w:r>
            <w:r w:rsidRPr="0022493B">
              <w:rPr>
                <w:rFonts w:ascii="Times New Roman" w:hAnsi="Times New Roman" w:cs="Times New Roman"/>
              </w:rPr>
              <w:t xml:space="preserve"> функционирует раздел, посвященный финансовой грамотности, в котором размещаются информационные материалы, связанные с деятельностью </w:t>
            </w:r>
            <w:r>
              <w:rPr>
                <w:rFonts w:ascii="Times New Roman" w:hAnsi="Times New Roman" w:cs="Times New Roman"/>
              </w:rPr>
              <w:t>Минфина России</w:t>
            </w:r>
            <w:r w:rsidRPr="00224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2493B">
              <w:rPr>
                <w:rFonts w:ascii="Times New Roman" w:hAnsi="Times New Roman" w:cs="Times New Roman"/>
              </w:rPr>
              <w:t xml:space="preserve">и иных организаций, принимающих участие в реализации Стратегии повышения финансовой грамотности </w:t>
            </w:r>
            <w:r>
              <w:rPr>
                <w:rFonts w:ascii="Times New Roman" w:hAnsi="Times New Roman" w:cs="Times New Roman"/>
              </w:rPr>
              <w:br/>
            </w:r>
            <w:r w:rsidRPr="0022493B">
              <w:rPr>
                <w:rFonts w:ascii="Times New Roman" w:hAnsi="Times New Roman" w:cs="Times New Roman"/>
              </w:rPr>
              <w:t xml:space="preserve">в Российской Федерации на 2017 – 2023 годы, утвержденной распоряжением Правительства Российской Федерации от 25 сентября 2017 г. № 2039-р </w:t>
            </w:r>
            <w:r>
              <w:rPr>
                <w:rFonts w:ascii="Times New Roman" w:hAnsi="Times New Roman" w:cs="Times New Roman"/>
              </w:rPr>
              <w:br/>
            </w:r>
            <w:r w:rsidRPr="0022493B">
              <w:rPr>
                <w:rFonts w:ascii="Times New Roman" w:hAnsi="Times New Roman" w:cs="Times New Roman"/>
              </w:rPr>
              <w:t>(далее – Стратегия).</w:t>
            </w:r>
          </w:p>
          <w:p w:rsidR="0022493B" w:rsidRPr="0022493B" w:rsidRDefault="0022493B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2493B">
              <w:rPr>
                <w:rFonts w:ascii="Times New Roman" w:hAnsi="Times New Roman" w:cs="Times New Roman"/>
              </w:rPr>
              <w:t xml:space="preserve">Вместе с тем в соответствии с детальным планом-графиком реализации государственной программы Российской Федерации «Управление государственными финансами и регулирование финансовых рынков» на 2021 год и на плановый период 2022 и 2023 годов, утвержденным приказом </w:t>
            </w:r>
            <w:r>
              <w:rPr>
                <w:rFonts w:ascii="Times New Roman" w:hAnsi="Times New Roman" w:cs="Times New Roman"/>
              </w:rPr>
              <w:t>Минфина России</w:t>
            </w:r>
            <w:r w:rsidRPr="0022493B">
              <w:rPr>
                <w:rFonts w:ascii="Times New Roman" w:hAnsi="Times New Roman" w:cs="Times New Roman"/>
              </w:rPr>
              <w:t xml:space="preserve"> от 19 января 2021 г. № 10 </w:t>
            </w:r>
            <w:r w:rsidRPr="0022493B">
              <w:rPr>
                <w:rFonts w:ascii="Times New Roman" w:hAnsi="Times New Roman" w:cs="Times New Roman"/>
              </w:rPr>
              <w:br/>
              <w:t xml:space="preserve">(с изменениями от 30 сентября 2021 г. № 416), в 2022 году будет создана новая версия официального сайта </w:t>
            </w:r>
            <w:r>
              <w:rPr>
                <w:rFonts w:ascii="Times New Roman" w:hAnsi="Times New Roman" w:cs="Times New Roman"/>
              </w:rPr>
              <w:t>Минфина России</w:t>
            </w:r>
            <w:r w:rsidRPr="0022493B">
              <w:rPr>
                <w:rFonts w:ascii="Times New Roman" w:hAnsi="Times New Roman" w:cs="Times New Roman"/>
              </w:rPr>
              <w:t xml:space="preserve">, включающая обновленный раздел, посвященный </w:t>
            </w:r>
            <w:r w:rsidRPr="0022493B">
              <w:rPr>
                <w:rFonts w:ascii="Times New Roman" w:hAnsi="Times New Roman" w:cs="Times New Roman"/>
              </w:rPr>
              <w:br/>
              <w:t xml:space="preserve">финансовой грамотности, в котором будет размещаться, </w:t>
            </w:r>
            <w:r w:rsidR="00B25D24">
              <w:rPr>
                <w:rFonts w:ascii="Times New Roman" w:hAnsi="Times New Roman" w:cs="Times New Roman"/>
              </w:rPr>
              <w:br/>
            </w:r>
            <w:r w:rsidRPr="0022493B">
              <w:rPr>
                <w:rFonts w:ascii="Times New Roman" w:hAnsi="Times New Roman" w:cs="Times New Roman"/>
              </w:rPr>
              <w:t>в том числе следующая информация:</w:t>
            </w:r>
          </w:p>
          <w:p w:rsidR="0022493B" w:rsidRPr="0022493B" w:rsidRDefault="0022493B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22493B">
              <w:rPr>
                <w:rFonts w:ascii="Times New Roman" w:hAnsi="Times New Roman" w:cs="Times New Roman"/>
              </w:rPr>
              <w:t>Стратегия;</w:t>
            </w:r>
          </w:p>
          <w:p w:rsidR="0022493B" w:rsidRPr="0022493B" w:rsidRDefault="0022493B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22493B">
              <w:rPr>
                <w:rFonts w:ascii="Times New Roman" w:hAnsi="Times New Roman" w:cs="Times New Roman"/>
              </w:rPr>
              <w:t>План мероприятий («дорожная карта») второго этапа реализации Стратегии на 2021 – 2023 годы;</w:t>
            </w:r>
          </w:p>
          <w:p w:rsidR="0022493B" w:rsidRPr="0022493B" w:rsidRDefault="0022493B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2493B">
              <w:rPr>
                <w:rFonts w:ascii="Times New Roman" w:hAnsi="Times New Roman" w:cs="Times New Roman"/>
              </w:rPr>
              <w:t>- доклады о ходе реализации в соответствующем году Стратегии;</w:t>
            </w:r>
          </w:p>
          <w:p w:rsidR="0022493B" w:rsidRPr="0022493B" w:rsidRDefault="003F32D8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22493B" w:rsidRPr="0022493B">
              <w:rPr>
                <w:rFonts w:ascii="Times New Roman" w:hAnsi="Times New Roman" w:cs="Times New Roman"/>
              </w:rPr>
              <w:t>информация о деятельности Межведомственной координационной комиссии по реализации Стратегии (далее – Комиссия), а также профильных комитетов, созданных при Комиссии;</w:t>
            </w:r>
          </w:p>
          <w:p w:rsidR="0022493B" w:rsidRPr="0022493B" w:rsidRDefault="003F32D8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22493B" w:rsidRPr="0022493B">
              <w:rPr>
                <w:rFonts w:ascii="Times New Roman" w:hAnsi="Times New Roman" w:cs="Times New Roman"/>
              </w:rPr>
              <w:t>гиперссылка на портал «Мои</w:t>
            </w:r>
            <w:r w:rsidR="0022493B">
              <w:rPr>
                <w:rFonts w:ascii="Times New Roman" w:hAnsi="Times New Roman" w:cs="Times New Roman"/>
              </w:rPr>
              <w:t>Ф</w:t>
            </w:r>
            <w:r w:rsidR="0022493B" w:rsidRPr="0022493B">
              <w:rPr>
                <w:rFonts w:ascii="Times New Roman" w:hAnsi="Times New Roman" w:cs="Times New Roman"/>
              </w:rPr>
              <w:t xml:space="preserve">инансы», поддерживаемый </w:t>
            </w:r>
            <w:r w:rsidR="0022493B">
              <w:rPr>
                <w:rFonts w:ascii="Times New Roman" w:hAnsi="Times New Roman" w:cs="Times New Roman"/>
              </w:rPr>
              <w:t>Минфином России</w:t>
            </w:r>
            <w:r w:rsidR="0022493B" w:rsidRPr="0022493B">
              <w:rPr>
                <w:rFonts w:ascii="Times New Roman" w:hAnsi="Times New Roman" w:cs="Times New Roman"/>
              </w:rPr>
              <w:t xml:space="preserve"> и содержащий </w:t>
            </w:r>
            <w:r w:rsidR="0022493B" w:rsidRPr="0022493B">
              <w:rPr>
                <w:rFonts w:ascii="Times New Roman" w:hAnsi="Times New Roman" w:cs="Times New Roman"/>
              </w:rPr>
              <w:lastRenderedPageBreak/>
              <w:t>информационно-просветительские материалы по тематике финансовой грамотности для различных целевых групп населения;</w:t>
            </w:r>
          </w:p>
          <w:p w:rsidR="0022493B" w:rsidRPr="0022493B" w:rsidRDefault="0022493B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22493B">
              <w:rPr>
                <w:rFonts w:ascii="Times New Roman" w:hAnsi="Times New Roman" w:cs="Times New Roman"/>
              </w:rPr>
              <w:t>перечень образовательных организаций высшего образования, на базе которых осуществляют деятельность федеральные методические центры повышения финансовой грамотности населения (включая соответствующие гиперссылки на страницы указанных организаций);</w:t>
            </w:r>
          </w:p>
          <w:p w:rsidR="0022493B" w:rsidRPr="0022493B" w:rsidRDefault="003F32D8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22493B" w:rsidRPr="0022493B">
              <w:rPr>
                <w:rFonts w:ascii="Times New Roman" w:hAnsi="Times New Roman" w:cs="Times New Roman"/>
              </w:rPr>
              <w:t xml:space="preserve">информация о Дирекции финансовой грамотности </w:t>
            </w:r>
            <w:r w:rsidR="0022493B" w:rsidRPr="0022493B">
              <w:rPr>
                <w:rFonts w:ascii="Times New Roman" w:hAnsi="Times New Roman" w:cs="Times New Roman"/>
              </w:rPr>
              <w:br/>
              <w:t>Научно-исследовательского финансового института Министерства финансов Российской Федерации, которая определена со стороны Министерства финансов Российской Федерации координатором реализации мероприятий Стратегии на 2021 – 2023 годы.</w:t>
            </w:r>
          </w:p>
          <w:p w:rsidR="007A48BF" w:rsidRPr="00E30757" w:rsidRDefault="0022493B" w:rsidP="0022493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2493B">
              <w:rPr>
                <w:rFonts w:ascii="Times New Roman" w:hAnsi="Times New Roman" w:cs="Times New Roman"/>
              </w:rPr>
              <w:t xml:space="preserve">Учитывая изложенное, информация о деятельности </w:t>
            </w:r>
            <w:r>
              <w:rPr>
                <w:rFonts w:ascii="Times New Roman" w:hAnsi="Times New Roman" w:cs="Times New Roman"/>
              </w:rPr>
              <w:t>Минфина России</w:t>
            </w:r>
            <w:r w:rsidRPr="0022493B">
              <w:rPr>
                <w:rFonts w:ascii="Times New Roman" w:hAnsi="Times New Roman" w:cs="Times New Roman"/>
              </w:rPr>
              <w:t xml:space="preserve"> и иных организаций, принимающих участие в реализации Стратегии, размещена в открытом доступе в информационно-телекоммуникационной сети «Интернет», в связи </w:t>
            </w:r>
            <w:r>
              <w:rPr>
                <w:rFonts w:ascii="Times New Roman" w:hAnsi="Times New Roman" w:cs="Times New Roman"/>
              </w:rPr>
              <w:t>с чем включение соответствующий мероприятий</w:t>
            </w:r>
            <w:r w:rsidRPr="0022493B">
              <w:rPr>
                <w:rFonts w:ascii="Times New Roman" w:hAnsi="Times New Roman" w:cs="Times New Roman"/>
              </w:rPr>
              <w:t xml:space="preserve"> </w:t>
            </w:r>
            <w:r w:rsidR="00BE71CA">
              <w:rPr>
                <w:rFonts w:ascii="Times New Roman" w:hAnsi="Times New Roman" w:cs="Times New Roman"/>
              </w:rPr>
              <w:t>в проект п</w:t>
            </w:r>
            <w:r w:rsidRPr="0022493B">
              <w:rPr>
                <w:rFonts w:ascii="Times New Roman" w:hAnsi="Times New Roman" w:cs="Times New Roman"/>
              </w:rPr>
              <w:t>лана не требуется.</w:t>
            </w:r>
          </w:p>
        </w:tc>
        <w:tc>
          <w:tcPr>
            <w:tcW w:w="2551" w:type="dxa"/>
          </w:tcPr>
          <w:p w:rsidR="0001270F" w:rsidRPr="00E30757" w:rsidRDefault="0001270F">
            <w:pPr>
              <w:rPr>
                <w:rFonts w:ascii="Times New Roman" w:hAnsi="Times New Roman" w:cs="Times New Roman"/>
              </w:rPr>
            </w:pPr>
            <w:r w:rsidRPr="0001270F">
              <w:rPr>
                <w:rFonts w:ascii="Times New Roman" w:hAnsi="Times New Roman" w:cs="Times New Roman"/>
              </w:rPr>
              <w:lastRenderedPageBreak/>
              <w:t>Департамент бюджетной политики в отраслях социальной сферы и науки</w:t>
            </w:r>
          </w:p>
        </w:tc>
      </w:tr>
      <w:tr w:rsidR="000B3707" w:rsidRPr="00E30757" w:rsidTr="00665F75">
        <w:tc>
          <w:tcPr>
            <w:tcW w:w="16018" w:type="dxa"/>
            <w:gridSpan w:val="4"/>
          </w:tcPr>
          <w:p w:rsidR="000B3707" w:rsidRPr="000B3707" w:rsidRDefault="00E016B3" w:rsidP="00100F27">
            <w:pPr>
              <w:tabs>
                <w:tab w:val="left" w:pos="979"/>
              </w:tabs>
              <w:rPr>
                <w:rFonts w:ascii="Times New Roman" w:hAnsi="Times New Roman" w:cs="Times New Roman"/>
                <w:b/>
              </w:rPr>
            </w:pPr>
            <w:r w:rsidRPr="00E016B3">
              <w:rPr>
                <w:rFonts w:ascii="Times New Roman" w:hAnsi="Times New Roman" w:cs="Times New Roman"/>
                <w:b/>
              </w:rPr>
              <w:t>Лисин В.С.</w:t>
            </w:r>
          </w:p>
        </w:tc>
      </w:tr>
      <w:tr w:rsidR="007A48BF" w:rsidRPr="00E30757" w:rsidTr="00F70FA4">
        <w:trPr>
          <w:trHeight w:val="1134"/>
        </w:trPr>
        <w:tc>
          <w:tcPr>
            <w:tcW w:w="425" w:type="dxa"/>
          </w:tcPr>
          <w:p w:rsidR="007A48BF" w:rsidRPr="00E30757" w:rsidRDefault="00C10FF4" w:rsidP="008E542B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 xml:space="preserve">Считаем необходимым предложить Минфину России выступить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 xml:space="preserve">с предложением к Аппарату Правительства Российской Федерации </w:t>
            </w:r>
            <w:r w:rsidR="0001270F"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о снятии поручения о необходимости ежегодной подготовки данного плана.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>По сути инициатива уже свернута, и подготовка Минфином России данного плана является формальностью.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>2.</w:t>
            </w:r>
            <w:r w:rsidRPr="00E016B3">
              <w:rPr>
                <w:rFonts w:ascii="Times New Roman" w:hAnsi="Times New Roman" w:cs="Times New Roman"/>
              </w:rPr>
              <w:tab/>
              <w:t xml:space="preserve">В случае, если Минфин России действительно заинтересован в реализации открытости в финансово-бюджетной сфере,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в которой он реализует регулирующие полномочия, то можно было бы рекомендовать построить план иным образом.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 xml:space="preserve">При составлении плана необходимо сосредоточиться на 2-5 конкретных инициативах в сфере прозрачности финансовой политики, описав конкретные предложения министерства и план действий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по их реализации.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>В качестве таких инициатив можно предложить (согласно лучшим мировым практикам стран-членов Open Government Partnership):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lastRenderedPageBreak/>
              <w:t xml:space="preserve">– партисипаторное бюджетирование – конкретные инициативы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по определению приоритетов расходования отдельных статей с помощью участия гражданского общества;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 xml:space="preserve">– прозрачность расходования налоговых поступлений - например,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в части НДФЛ (какая часть НДФЛ каждого человека в среднем затрачивается на какие нужды в %);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 xml:space="preserve">– открытые данные - перечисление конкретных наборов данных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и с</w:t>
            </w:r>
            <w:r>
              <w:rPr>
                <w:rFonts w:ascii="Times New Roman" w:hAnsi="Times New Roman" w:cs="Times New Roman"/>
              </w:rPr>
              <w:t>рока их подготовки и раскрытия;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 xml:space="preserve">– понятный бюджет - продолжение инициативы бюджета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 xml:space="preserve">для граждан с более подробным представлением проекта бюджета </w:t>
            </w:r>
            <w:r>
              <w:rPr>
                <w:rFonts w:ascii="Times New Roman" w:hAnsi="Times New Roman" w:cs="Times New Roman"/>
              </w:rPr>
              <w:br/>
            </w:r>
            <w:r w:rsidRPr="00E016B3">
              <w:rPr>
                <w:rFonts w:ascii="Times New Roman" w:hAnsi="Times New Roman" w:cs="Times New Roman"/>
              </w:rPr>
              <w:t>в понятной форме;</w:t>
            </w:r>
          </w:p>
          <w:p w:rsidR="00E016B3" w:rsidRPr="00E016B3" w:rsidRDefault="00E016B3" w:rsidP="00E016B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>– раскрытие результатов существенных налоговых изменений – описание того, как изменились поступления и на какие цели расходовались, какие результаты достигнуты и др.</w:t>
            </w:r>
          </w:p>
          <w:p w:rsidR="00FA3248" w:rsidRPr="00E30757" w:rsidRDefault="00E016B3" w:rsidP="00E016B3">
            <w:pPr>
              <w:ind w:firstLine="567"/>
              <w:rPr>
                <w:rFonts w:ascii="Times New Roman" w:hAnsi="Times New Roman" w:cs="Times New Roman"/>
              </w:rPr>
            </w:pPr>
            <w:r w:rsidRPr="00E016B3">
              <w:rPr>
                <w:rFonts w:ascii="Times New Roman" w:hAnsi="Times New Roman" w:cs="Times New Roman"/>
              </w:rPr>
              <w:t>В дополнение, в качестве примера можно рассмотреть план действий по открытости Канады (https://www.opengovpartnership.org/documents/canada-action-plan-2018-2020/f) или США (https://www.opengovpartnership.org/members/united-states/commitments/US0107/).</w:t>
            </w:r>
          </w:p>
        </w:tc>
        <w:tc>
          <w:tcPr>
            <w:tcW w:w="5812" w:type="dxa"/>
          </w:tcPr>
          <w:p w:rsidR="008E31A4" w:rsidRPr="008E31A4" w:rsidRDefault="008E31A4" w:rsidP="008E31A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2021</w:t>
            </w:r>
            <w:r w:rsidRPr="008E31A4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Минфином России</w:t>
            </w:r>
            <w:r w:rsidRPr="008E31A4">
              <w:rPr>
                <w:rFonts w:ascii="Times New Roman" w:hAnsi="Times New Roman" w:cs="Times New Roman"/>
              </w:rPr>
              <w:t xml:space="preserve"> продолжена работа </w:t>
            </w:r>
            <w:r>
              <w:rPr>
                <w:rFonts w:ascii="Times New Roman" w:hAnsi="Times New Roman" w:cs="Times New Roman"/>
              </w:rPr>
              <w:br/>
            </w:r>
            <w:r w:rsidRPr="008E31A4">
              <w:rPr>
                <w:rFonts w:ascii="Times New Roman" w:hAnsi="Times New Roman" w:cs="Times New Roman"/>
              </w:rPr>
              <w:t>по реализации принципов и механизмов (инструментов) открытости, предусмотренных Концепцией открытости федеральных органов исполнительной власти, утвержденной распоряжением Правительства Российской Федерации от 30.01.2014 № 93-р.</w:t>
            </w:r>
          </w:p>
          <w:p w:rsidR="008E31A4" w:rsidRDefault="008E31A4" w:rsidP="008E31A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в течение 2021</w:t>
            </w:r>
            <w:r w:rsidRPr="008E31A4">
              <w:rPr>
                <w:rFonts w:ascii="Times New Roman" w:hAnsi="Times New Roman" w:cs="Times New Roman"/>
              </w:rPr>
              <w:t xml:space="preserve"> года мероприятия, предусмотренные Планом </w:t>
            </w:r>
            <w:r>
              <w:rPr>
                <w:rFonts w:ascii="Times New Roman" w:hAnsi="Times New Roman" w:cs="Times New Roman"/>
              </w:rPr>
              <w:t>Минфина России</w:t>
            </w:r>
            <w:r w:rsidRPr="008E31A4">
              <w:rPr>
                <w:rFonts w:ascii="Times New Roman" w:hAnsi="Times New Roman" w:cs="Times New Roman"/>
              </w:rPr>
              <w:t xml:space="preserve"> по реализации Концепции открытости федеральных орган</w:t>
            </w:r>
            <w:r w:rsidR="00B25D24">
              <w:rPr>
                <w:rFonts w:ascii="Times New Roman" w:hAnsi="Times New Roman" w:cs="Times New Roman"/>
              </w:rPr>
              <w:t>ов исполнительной власти на 2021</w:t>
            </w:r>
            <w:r w:rsidRPr="008E31A4">
              <w:rPr>
                <w:rFonts w:ascii="Times New Roman" w:hAnsi="Times New Roman" w:cs="Times New Roman"/>
              </w:rPr>
              <w:t xml:space="preserve"> год, позволили поддержать ведущие позиции в рейтингах, формируемых в сфере открытости деятельности федеральных органов исполнительной власти.</w:t>
            </w:r>
          </w:p>
          <w:p w:rsidR="007A48BF" w:rsidRDefault="00F56BC3" w:rsidP="009E5AF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F56BC3">
              <w:rPr>
                <w:rFonts w:ascii="Times New Roman" w:hAnsi="Times New Roman" w:cs="Times New Roman"/>
              </w:rPr>
              <w:t>Счетная палата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(далее – Счетная палата)</w:t>
            </w:r>
            <w:r w:rsidRPr="00F56BC3">
              <w:rPr>
                <w:rFonts w:ascii="Times New Roman" w:hAnsi="Times New Roman" w:cs="Times New Roman"/>
              </w:rPr>
              <w:t xml:space="preserve"> совместно с АНО «Информационная культура» и Центром перспективных </w:t>
            </w:r>
            <w:r w:rsidRPr="00F56BC3">
              <w:rPr>
                <w:rFonts w:ascii="Times New Roman" w:hAnsi="Times New Roman" w:cs="Times New Roman"/>
              </w:rPr>
              <w:lastRenderedPageBreak/>
              <w:t>управленческих решений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31A4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t xml:space="preserve">проводят экспертный анализ и оценку уровня открытости федеральных органов исполнительной власти, по результатам которой публикуются доклад, рейтинг открытости федеральных органов исполнительной власти и рекомендации </w:t>
            </w:r>
            <w:r>
              <w:rPr>
                <w:rFonts w:ascii="Times New Roman" w:hAnsi="Times New Roman" w:cs="Times New Roman"/>
              </w:rPr>
              <w:br/>
              <w:t xml:space="preserve">по повышению уровня открытости. </w:t>
            </w:r>
            <w:r w:rsidR="009E5A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соответствии </w:t>
            </w:r>
            <w:r w:rsidR="009E5A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докладом Счетной палаты «Открытость государства </w:t>
            </w:r>
            <w:r>
              <w:rPr>
                <w:rFonts w:ascii="Times New Roman" w:hAnsi="Times New Roman" w:cs="Times New Roman"/>
              </w:rPr>
              <w:br/>
              <w:t>в России – 2020» Минфином России в 2020 году обеспечен средний уровень открытости «</w:t>
            </w:r>
            <w:r>
              <w:rPr>
                <w:rFonts w:ascii="Times New Roman" w:hAnsi="Times New Roman" w:cs="Times New Roman"/>
                <w:lang w:val="en-US"/>
              </w:rPr>
              <w:t>CBC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F56BC3">
              <w:rPr>
                <w:rFonts w:ascii="Times New Roman" w:hAnsi="Times New Roman" w:cs="Times New Roman"/>
              </w:rPr>
              <w:t xml:space="preserve">В октябре-декабре 2020 года Счетная палата провела серию методологических совещаний с ответственными за разные аспекты открытости сотрудниками </w:t>
            </w:r>
            <w:r>
              <w:rPr>
                <w:rFonts w:ascii="Times New Roman" w:hAnsi="Times New Roman" w:cs="Times New Roman"/>
              </w:rPr>
              <w:t>федеральных органов исполнительной власти</w:t>
            </w:r>
            <w:r w:rsidRPr="00F56BC3">
              <w:rPr>
                <w:rFonts w:ascii="Times New Roman" w:hAnsi="Times New Roman" w:cs="Times New Roman"/>
              </w:rPr>
              <w:t xml:space="preserve">. На них были подробно разобраны все критерии, по которым оценивалась открытость, а также лучшие практики ведомств. По итогам этих обсуждений </w:t>
            </w:r>
            <w:r>
              <w:rPr>
                <w:rFonts w:ascii="Times New Roman" w:hAnsi="Times New Roman" w:cs="Times New Roman"/>
              </w:rPr>
              <w:br/>
            </w:r>
            <w:r w:rsidRPr="00F56BC3">
              <w:rPr>
                <w:rFonts w:ascii="Times New Roman" w:hAnsi="Times New Roman" w:cs="Times New Roman"/>
              </w:rPr>
              <w:t>и с учетом предложений федеральных органов исполнительной власти методика исследования была дополнен</w:t>
            </w:r>
            <w:r>
              <w:rPr>
                <w:rFonts w:ascii="Times New Roman" w:hAnsi="Times New Roman" w:cs="Times New Roman"/>
              </w:rPr>
              <w:t>а.</w:t>
            </w:r>
            <w:r w:rsidR="009E5AF1">
              <w:rPr>
                <w:rFonts w:ascii="Times New Roman" w:hAnsi="Times New Roman" w:cs="Times New Roman"/>
              </w:rPr>
              <w:t xml:space="preserve"> Так, Минфином России в 2021 году обеспечен высокий уровень открытости «</w:t>
            </w:r>
            <w:r w:rsidR="009E5AF1">
              <w:rPr>
                <w:rFonts w:ascii="Times New Roman" w:hAnsi="Times New Roman" w:cs="Times New Roman"/>
                <w:lang w:val="en-US"/>
              </w:rPr>
              <w:t>AAB</w:t>
            </w:r>
            <w:r w:rsidR="009E5AF1">
              <w:rPr>
                <w:rFonts w:ascii="Times New Roman" w:hAnsi="Times New Roman" w:cs="Times New Roman"/>
              </w:rPr>
              <w:t>».</w:t>
            </w:r>
          </w:p>
          <w:p w:rsidR="009E5AF1" w:rsidRPr="009E5AF1" w:rsidRDefault="009E5AF1" w:rsidP="009E5AF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E5AF1">
              <w:rPr>
                <w:rFonts w:ascii="Times New Roman" w:hAnsi="Times New Roman" w:cs="Times New Roman"/>
              </w:rPr>
              <w:t xml:space="preserve">ажной характеристикой следующего этапа открытости является усиление координации этой работы </w:t>
            </w:r>
            <w:r>
              <w:rPr>
                <w:rFonts w:ascii="Times New Roman" w:hAnsi="Times New Roman" w:cs="Times New Roman"/>
              </w:rPr>
              <w:br/>
            </w:r>
            <w:r w:rsidRPr="009E5AF1">
              <w:rPr>
                <w:rFonts w:ascii="Times New Roman" w:hAnsi="Times New Roman" w:cs="Times New Roman"/>
              </w:rPr>
              <w:t>со стороны Правительства</w:t>
            </w:r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9E5A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  <w:t>В соответствии с докладом</w:t>
            </w:r>
            <w:r w:rsidRPr="009E5AF1">
              <w:rPr>
                <w:rFonts w:ascii="Times New Roman" w:hAnsi="Times New Roman" w:cs="Times New Roman"/>
              </w:rPr>
              <w:t xml:space="preserve"> «Открытость государства </w:t>
            </w:r>
            <w:r>
              <w:rPr>
                <w:rFonts w:ascii="Times New Roman" w:hAnsi="Times New Roman" w:cs="Times New Roman"/>
              </w:rPr>
              <w:br/>
            </w:r>
            <w:r w:rsidRPr="009E5AF1">
              <w:rPr>
                <w:rFonts w:ascii="Times New Roman" w:hAnsi="Times New Roman" w:cs="Times New Roman"/>
              </w:rPr>
              <w:t xml:space="preserve">в России – 2019», общепризнанным в мировой практике подходом к развитию открытости является «централизация» открытости, координация этой работы </w:t>
            </w:r>
            <w:r>
              <w:rPr>
                <w:rFonts w:ascii="Times New Roman" w:hAnsi="Times New Roman" w:cs="Times New Roman"/>
              </w:rPr>
              <w:br/>
            </w:r>
            <w:r w:rsidRPr="009E5AF1">
              <w:rPr>
                <w:rFonts w:ascii="Times New Roman" w:hAnsi="Times New Roman" w:cs="Times New Roman"/>
              </w:rPr>
              <w:t>на уровне всего правительства, с учетом разных требований по открытости для разных ведомств.</w:t>
            </w:r>
          </w:p>
          <w:p w:rsidR="00714188" w:rsidRPr="009E5AF1" w:rsidRDefault="009E5AF1" w:rsidP="008E31A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концепция открытости федеральных органов исполнительной власти в настоящее время </w:t>
            </w:r>
            <w:r>
              <w:rPr>
                <w:rFonts w:ascii="Times New Roman" w:hAnsi="Times New Roman" w:cs="Times New Roman"/>
              </w:rPr>
              <w:br/>
              <w:t xml:space="preserve">не теряет свою актуальность и </w:t>
            </w:r>
            <w:r w:rsidR="00714188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t>реализуется Минфином России в целях повышения уровня открытости.</w:t>
            </w:r>
          </w:p>
        </w:tc>
        <w:tc>
          <w:tcPr>
            <w:tcW w:w="2551" w:type="dxa"/>
          </w:tcPr>
          <w:p w:rsidR="00F82602" w:rsidRPr="00FA3248" w:rsidRDefault="00EA62D1" w:rsidP="00E0126B">
            <w:pPr>
              <w:rPr>
                <w:rFonts w:ascii="Times New Roman" w:hAnsi="Times New Roman" w:cs="Times New Roman"/>
              </w:rPr>
            </w:pPr>
            <w:r w:rsidRPr="00EA62D1">
              <w:rPr>
                <w:rFonts w:ascii="Times New Roman" w:hAnsi="Times New Roman" w:cs="Times New Roman"/>
              </w:rPr>
              <w:lastRenderedPageBreak/>
              <w:t xml:space="preserve">Департамент </w:t>
            </w:r>
            <w:r w:rsidR="00E0126B">
              <w:rPr>
                <w:rFonts w:ascii="Times New Roman" w:hAnsi="Times New Roman" w:cs="Times New Roman"/>
              </w:rPr>
              <w:t>проектного управления и развития персонала</w:t>
            </w:r>
            <w:bookmarkStart w:id="0" w:name="_GoBack"/>
            <w:bookmarkEnd w:id="0"/>
          </w:p>
        </w:tc>
      </w:tr>
    </w:tbl>
    <w:p w:rsidR="00E212D6" w:rsidRPr="00E30757" w:rsidRDefault="00E212D6" w:rsidP="00A716AE">
      <w:pPr>
        <w:rPr>
          <w:rFonts w:ascii="Times New Roman" w:hAnsi="Times New Roman" w:cs="Times New Roman"/>
        </w:rPr>
      </w:pPr>
    </w:p>
    <w:sectPr w:rsidR="00E212D6" w:rsidRPr="00E30757" w:rsidSect="007A48BF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46" w:rsidRDefault="00E02646" w:rsidP="0011609E">
      <w:pPr>
        <w:spacing w:after="0" w:line="240" w:lineRule="auto"/>
      </w:pPr>
      <w:r>
        <w:separator/>
      </w:r>
    </w:p>
  </w:endnote>
  <w:endnote w:type="continuationSeparator" w:id="0">
    <w:p w:rsidR="00E02646" w:rsidRDefault="00E02646" w:rsidP="001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46" w:rsidRDefault="00E02646" w:rsidP="0011609E">
      <w:pPr>
        <w:spacing w:after="0" w:line="240" w:lineRule="auto"/>
      </w:pPr>
      <w:r>
        <w:separator/>
      </w:r>
    </w:p>
  </w:footnote>
  <w:footnote w:type="continuationSeparator" w:id="0">
    <w:p w:rsidR="00E02646" w:rsidRDefault="00E02646" w:rsidP="001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6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09E" w:rsidRPr="0011609E" w:rsidRDefault="0011609E">
        <w:pPr>
          <w:pStyle w:val="a6"/>
          <w:jc w:val="center"/>
          <w:rPr>
            <w:rFonts w:ascii="Times New Roman" w:hAnsi="Times New Roman" w:cs="Times New Roman"/>
          </w:rPr>
        </w:pPr>
        <w:r w:rsidRPr="0011609E">
          <w:rPr>
            <w:rFonts w:ascii="Times New Roman" w:hAnsi="Times New Roman" w:cs="Times New Roman"/>
          </w:rPr>
          <w:fldChar w:fldCharType="begin"/>
        </w:r>
        <w:r w:rsidRPr="0011609E">
          <w:rPr>
            <w:rFonts w:ascii="Times New Roman" w:hAnsi="Times New Roman" w:cs="Times New Roman"/>
          </w:rPr>
          <w:instrText>PAGE   \* MERGEFORMAT</w:instrText>
        </w:r>
        <w:r w:rsidRPr="0011609E">
          <w:rPr>
            <w:rFonts w:ascii="Times New Roman" w:hAnsi="Times New Roman" w:cs="Times New Roman"/>
          </w:rPr>
          <w:fldChar w:fldCharType="separate"/>
        </w:r>
        <w:r w:rsidR="00E0126B">
          <w:rPr>
            <w:rFonts w:ascii="Times New Roman" w:hAnsi="Times New Roman" w:cs="Times New Roman"/>
            <w:noProof/>
          </w:rPr>
          <w:t>2</w:t>
        </w:r>
        <w:r w:rsidRPr="0011609E">
          <w:rPr>
            <w:rFonts w:ascii="Times New Roman" w:hAnsi="Times New Roman" w:cs="Times New Roman"/>
          </w:rPr>
          <w:fldChar w:fldCharType="end"/>
        </w:r>
      </w:p>
    </w:sdtContent>
  </w:sdt>
  <w:p w:rsidR="0011609E" w:rsidRDefault="00116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C"/>
    <w:rsid w:val="0001270F"/>
    <w:rsid w:val="000954A1"/>
    <w:rsid w:val="000B3707"/>
    <w:rsid w:val="000B4F99"/>
    <w:rsid w:val="00100F27"/>
    <w:rsid w:val="0011609E"/>
    <w:rsid w:val="00120999"/>
    <w:rsid w:val="001776A6"/>
    <w:rsid w:val="001E7E9B"/>
    <w:rsid w:val="001F0CC0"/>
    <w:rsid w:val="0022493B"/>
    <w:rsid w:val="00287770"/>
    <w:rsid w:val="002A38B4"/>
    <w:rsid w:val="00323C57"/>
    <w:rsid w:val="0032797D"/>
    <w:rsid w:val="00384806"/>
    <w:rsid w:val="00386C58"/>
    <w:rsid w:val="00394346"/>
    <w:rsid w:val="003C0123"/>
    <w:rsid w:val="003F32D8"/>
    <w:rsid w:val="004F0C38"/>
    <w:rsid w:val="005606E1"/>
    <w:rsid w:val="005E11D1"/>
    <w:rsid w:val="00661895"/>
    <w:rsid w:val="00665F75"/>
    <w:rsid w:val="00690D0E"/>
    <w:rsid w:val="006A3958"/>
    <w:rsid w:val="006F0936"/>
    <w:rsid w:val="00714188"/>
    <w:rsid w:val="00733B44"/>
    <w:rsid w:val="007A48BF"/>
    <w:rsid w:val="007D704F"/>
    <w:rsid w:val="007E221A"/>
    <w:rsid w:val="007E779F"/>
    <w:rsid w:val="00881AF8"/>
    <w:rsid w:val="008A1D6C"/>
    <w:rsid w:val="008D3724"/>
    <w:rsid w:val="008E31A4"/>
    <w:rsid w:val="008E542B"/>
    <w:rsid w:val="00920B37"/>
    <w:rsid w:val="00920B90"/>
    <w:rsid w:val="00966ACD"/>
    <w:rsid w:val="009C707F"/>
    <w:rsid w:val="009D22B1"/>
    <w:rsid w:val="009D71DB"/>
    <w:rsid w:val="009E11D6"/>
    <w:rsid w:val="009E5AF1"/>
    <w:rsid w:val="00A01104"/>
    <w:rsid w:val="00A02C56"/>
    <w:rsid w:val="00A4029B"/>
    <w:rsid w:val="00A43EF3"/>
    <w:rsid w:val="00A716AE"/>
    <w:rsid w:val="00AA26BB"/>
    <w:rsid w:val="00AA4B85"/>
    <w:rsid w:val="00B25D24"/>
    <w:rsid w:val="00B424DD"/>
    <w:rsid w:val="00BD6DD4"/>
    <w:rsid w:val="00BE5A8C"/>
    <w:rsid w:val="00BE71CA"/>
    <w:rsid w:val="00C10FF4"/>
    <w:rsid w:val="00CB1A36"/>
    <w:rsid w:val="00CC61C6"/>
    <w:rsid w:val="00CD45CD"/>
    <w:rsid w:val="00CD5B3C"/>
    <w:rsid w:val="00CE56E9"/>
    <w:rsid w:val="00CE5948"/>
    <w:rsid w:val="00CF6B25"/>
    <w:rsid w:val="00D34143"/>
    <w:rsid w:val="00D56990"/>
    <w:rsid w:val="00D97D81"/>
    <w:rsid w:val="00DD2E31"/>
    <w:rsid w:val="00DF5C67"/>
    <w:rsid w:val="00E0126B"/>
    <w:rsid w:val="00E016B3"/>
    <w:rsid w:val="00E02646"/>
    <w:rsid w:val="00E212D6"/>
    <w:rsid w:val="00E30757"/>
    <w:rsid w:val="00EA62D1"/>
    <w:rsid w:val="00F15BE8"/>
    <w:rsid w:val="00F56BC3"/>
    <w:rsid w:val="00F70FA4"/>
    <w:rsid w:val="00F71ED5"/>
    <w:rsid w:val="00F8260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B621"/>
  <w15:chartTrackingRefBased/>
  <w15:docId w15:val="{5A58FB3D-85F0-4B8B-9EE6-FFF6EBF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9E"/>
  </w:style>
  <w:style w:type="paragraph" w:styleId="a8">
    <w:name w:val="footer"/>
    <w:basedOn w:val="a"/>
    <w:link w:val="a9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9E"/>
  </w:style>
  <w:style w:type="paragraph" w:styleId="aa">
    <w:name w:val="footnote text"/>
    <w:basedOn w:val="a"/>
    <w:link w:val="ab"/>
    <w:uiPriority w:val="99"/>
    <w:semiHidden/>
    <w:unhideWhenUsed/>
    <w:rsid w:val="00B424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24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24DD"/>
    <w:rPr>
      <w:vertAlign w:val="superscript"/>
    </w:rPr>
  </w:style>
  <w:style w:type="character" w:styleId="ad">
    <w:name w:val="Hyperlink"/>
    <w:basedOn w:val="a0"/>
    <w:uiPriority w:val="99"/>
    <w:unhideWhenUsed/>
    <w:rsid w:val="00FA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CB73-36B1-4381-B972-1EE81802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Мартынов Артем Викторович</cp:lastModifiedBy>
  <cp:revision>52</cp:revision>
  <cp:lastPrinted>2021-12-16T08:15:00Z</cp:lastPrinted>
  <dcterms:created xsi:type="dcterms:W3CDTF">2020-07-16T11:40:00Z</dcterms:created>
  <dcterms:modified xsi:type="dcterms:W3CDTF">2021-12-16T09:02:00Z</dcterms:modified>
</cp:coreProperties>
</file>