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42" w:rsidRPr="00D95E0F" w:rsidRDefault="00B329BD" w:rsidP="00176D42">
      <w:pPr>
        <w:autoSpaceDE w:val="0"/>
        <w:autoSpaceDN w:val="0"/>
        <w:adjustRightInd w:val="0"/>
        <w:spacing w:after="0" w:line="240" w:lineRule="auto"/>
        <w:ind w:firstLine="540"/>
        <w:jc w:val="center"/>
        <w:rPr>
          <w:rFonts w:ascii="Times New Roman" w:hAnsi="Times New Roman"/>
          <w:b/>
          <w:sz w:val="28"/>
          <w:szCs w:val="28"/>
        </w:rPr>
      </w:pPr>
      <w:r w:rsidRPr="00D95E0F">
        <w:rPr>
          <w:rFonts w:ascii="Times New Roman" w:hAnsi="Times New Roman"/>
          <w:b/>
          <w:sz w:val="28"/>
          <w:szCs w:val="28"/>
        </w:rPr>
        <w:t xml:space="preserve">Аналитический доклад по показателям информации по </w:t>
      </w:r>
      <w:r w:rsidR="00176D42" w:rsidRPr="00D95E0F">
        <w:rPr>
          <w:rFonts w:ascii="Times New Roman" w:hAnsi="Times New Roman"/>
          <w:b/>
          <w:sz w:val="28"/>
          <w:szCs w:val="28"/>
        </w:rPr>
        <w:t>стат</w:t>
      </w:r>
      <w:r w:rsidR="00394040" w:rsidRPr="00D95E0F">
        <w:rPr>
          <w:rFonts w:ascii="Times New Roman" w:hAnsi="Times New Roman"/>
          <w:b/>
          <w:sz w:val="28"/>
          <w:szCs w:val="28"/>
        </w:rPr>
        <w:t xml:space="preserve">истике государственных финансов </w:t>
      </w:r>
      <w:r w:rsidR="00CD32C9" w:rsidRPr="00D95E0F">
        <w:rPr>
          <w:rFonts w:ascii="Times New Roman" w:hAnsi="Times New Roman"/>
          <w:b/>
          <w:sz w:val="28"/>
          <w:szCs w:val="28"/>
        </w:rPr>
        <w:t>за 20</w:t>
      </w:r>
      <w:r w:rsidR="00FC7D90">
        <w:rPr>
          <w:rFonts w:ascii="Times New Roman" w:hAnsi="Times New Roman"/>
          <w:b/>
          <w:sz w:val="28"/>
          <w:szCs w:val="28"/>
        </w:rPr>
        <w:t>20</w:t>
      </w:r>
      <w:r w:rsidR="00CD32C9" w:rsidRPr="00D95E0F">
        <w:rPr>
          <w:rFonts w:ascii="Times New Roman" w:hAnsi="Times New Roman"/>
          <w:b/>
          <w:sz w:val="28"/>
          <w:szCs w:val="28"/>
        </w:rPr>
        <w:t xml:space="preserve"> год </w:t>
      </w:r>
      <w:r w:rsidR="00394040" w:rsidRPr="00D95E0F">
        <w:rPr>
          <w:rFonts w:ascii="Times New Roman" w:hAnsi="Times New Roman"/>
          <w:b/>
          <w:sz w:val="28"/>
          <w:szCs w:val="28"/>
        </w:rPr>
        <w:t xml:space="preserve">с учетом включения организаций (отдельных корпоративных и отдельных унитарных </w:t>
      </w:r>
      <w:r w:rsidR="00EF6018">
        <w:rPr>
          <w:rFonts w:ascii="Times New Roman" w:hAnsi="Times New Roman"/>
          <w:b/>
          <w:sz w:val="28"/>
          <w:szCs w:val="28"/>
        </w:rPr>
        <w:t>юридических лиц</w:t>
      </w:r>
      <w:r w:rsidR="00394040" w:rsidRPr="00D95E0F">
        <w:rPr>
          <w:rFonts w:ascii="Times New Roman" w:hAnsi="Times New Roman"/>
          <w:b/>
          <w:sz w:val="28"/>
          <w:szCs w:val="28"/>
        </w:rPr>
        <w:t>)</w:t>
      </w:r>
    </w:p>
    <w:p w:rsidR="00176D42" w:rsidRDefault="00176D42" w:rsidP="00176D42">
      <w:pPr>
        <w:autoSpaceDE w:val="0"/>
        <w:autoSpaceDN w:val="0"/>
        <w:adjustRightInd w:val="0"/>
        <w:spacing w:after="0" w:line="240" w:lineRule="auto"/>
        <w:ind w:firstLine="540"/>
        <w:jc w:val="center"/>
        <w:rPr>
          <w:rFonts w:ascii="Times New Roman" w:hAnsi="Times New Roman"/>
          <w:b/>
          <w:sz w:val="28"/>
          <w:szCs w:val="28"/>
        </w:rPr>
      </w:pPr>
    </w:p>
    <w:p w:rsidR="00176D42" w:rsidRPr="005837EE" w:rsidRDefault="005837EE" w:rsidP="005837EE">
      <w:pPr>
        <w:jc w:val="center"/>
        <w:rPr>
          <w:rFonts w:ascii="Times New Roman" w:eastAsia="Times New Roman" w:hAnsi="Times New Roman"/>
          <w:b/>
          <w:bCs/>
          <w:sz w:val="28"/>
          <w:szCs w:val="28"/>
          <w:lang w:eastAsia="ru-RU"/>
        </w:rPr>
      </w:pPr>
      <w:r w:rsidRPr="005837EE">
        <w:rPr>
          <w:rFonts w:ascii="Times New Roman" w:eastAsia="Times New Roman" w:hAnsi="Times New Roman"/>
          <w:b/>
          <w:bCs/>
          <w:sz w:val="28"/>
          <w:szCs w:val="28"/>
          <w:lang w:eastAsia="ru-RU"/>
        </w:rPr>
        <w:t>1.</w:t>
      </w:r>
      <w:r>
        <w:rPr>
          <w:rFonts w:ascii="Times New Roman" w:hAnsi="Times New Roman"/>
          <w:b/>
          <w:sz w:val="28"/>
          <w:szCs w:val="28"/>
        </w:rPr>
        <w:t xml:space="preserve"> </w:t>
      </w:r>
      <w:r w:rsidR="00176D42" w:rsidRPr="005837EE">
        <w:rPr>
          <w:rFonts w:ascii="Times New Roman" w:hAnsi="Times New Roman"/>
          <w:b/>
          <w:sz w:val="28"/>
          <w:szCs w:val="28"/>
        </w:rPr>
        <w:t>Правовое регулирование вопросов</w:t>
      </w:r>
      <w:r w:rsidRPr="005837EE">
        <w:rPr>
          <w:rFonts w:ascii="Times New Roman" w:hAnsi="Times New Roman"/>
          <w:b/>
          <w:sz w:val="28"/>
          <w:szCs w:val="28"/>
        </w:rPr>
        <w:t xml:space="preserve"> </w:t>
      </w:r>
      <w:r w:rsidR="00176D42" w:rsidRPr="005837EE">
        <w:rPr>
          <w:rFonts w:ascii="Times New Roman" w:hAnsi="Times New Roman"/>
          <w:b/>
          <w:sz w:val="28"/>
          <w:szCs w:val="28"/>
        </w:rPr>
        <w:t xml:space="preserve">формирования </w:t>
      </w:r>
      <w:r>
        <w:rPr>
          <w:rFonts w:ascii="Times New Roman" w:hAnsi="Times New Roman"/>
          <w:b/>
          <w:sz w:val="28"/>
          <w:szCs w:val="28"/>
        </w:rPr>
        <w:br/>
      </w:r>
      <w:r w:rsidRPr="005837EE">
        <w:rPr>
          <w:rFonts w:ascii="Times New Roman" w:eastAsia="Times New Roman" w:hAnsi="Times New Roman"/>
          <w:b/>
          <w:bCs/>
          <w:sz w:val="28"/>
          <w:szCs w:val="28"/>
          <w:lang w:eastAsia="ru-RU"/>
        </w:rPr>
        <w:t xml:space="preserve">информации по </w:t>
      </w:r>
      <w:r w:rsidR="00176D42" w:rsidRPr="005837EE">
        <w:rPr>
          <w:rFonts w:ascii="Times New Roman" w:eastAsia="Times New Roman" w:hAnsi="Times New Roman"/>
          <w:b/>
          <w:bCs/>
          <w:sz w:val="28"/>
          <w:szCs w:val="28"/>
          <w:lang w:eastAsia="ru-RU"/>
        </w:rPr>
        <w:t>статистик</w:t>
      </w:r>
      <w:r w:rsidRPr="005837EE">
        <w:rPr>
          <w:rFonts w:ascii="Times New Roman" w:eastAsia="Times New Roman" w:hAnsi="Times New Roman"/>
          <w:b/>
          <w:bCs/>
          <w:sz w:val="28"/>
          <w:szCs w:val="28"/>
          <w:lang w:eastAsia="ru-RU"/>
        </w:rPr>
        <w:t>е</w:t>
      </w:r>
      <w:r w:rsidR="00176D42" w:rsidRPr="005837EE">
        <w:rPr>
          <w:rFonts w:ascii="Times New Roman" w:eastAsia="Times New Roman" w:hAnsi="Times New Roman"/>
          <w:b/>
          <w:bCs/>
          <w:sz w:val="28"/>
          <w:szCs w:val="28"/>
          <w:lang w:eastAsia="ru-RU"/>
        </w:rPr>
        <w:t xml:space="preserve"> государственных финансов</w:t>
      </w:r>
    </w:p>
    <w:p w:rsidR="00176D42" w:rsidRPr="00195A22" w:rsidRDefault="00176D42" w:rsidP="00176D42">
      <w:pPr>
        <w:autoSpaceDE w:val="0"/>
        <w:autoSpaceDN w:val="0"/>
        <w:adjustRightInd w:val="0"/>
        <w:spacing w:after="0" w:line="240" w:lineRule="auto"/>
        <w:ind w:firstLine="540"/>
        <w:jc w:val="center"/>
        <w:rPr>
          <w:rFonts w:ascii="Times New Roman" w:hAnsi="Times New Roman"/>
          <w:b/>
          <w:sz w:val="28"/>
          <w:szCs w:val="28"/>
        </w:rPr>
      </w:pPr>
    </w:p>
    <w:p w:rsidR="00176D42" w:rsidRDefault="00D95E0F"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У</w:t>
      </w:r>
      <w:r w:rsidR="00176D42" w:rsidRPr="001D0BB8">
        <w:rPr>
          <w:rFonts w:ascii="Times New Roman" w:hAnsi="Times New Roman"/>
          <w:sz w:val="28"/>
          <w:szCs w:val="28"/>
        </w:rPr>
        <w:t>становлени</w:t>
      </w:r>
      <w:r>
        <w:rPr>
          <w:rFonts w:ascii="Times New Roman" w:hAnsi="Times New Roman"/>
          <w:sz w:val="28"/>
          <w:szCs w:val="28"/>
        </w:rPr>
        <w:t>е</w:t>
      </w:r>
      <w:r w:rsidR="00176D42" w:rsidRPr="001D0BB8">
        <w:rPr>
          <w:rFonts w:ascii="Times New Roman" w:hAnsi="Times New Roman"/>
          <w:sz w:val="28"/>
          <w:szCs w:val="28"/>
        </w:rPr>
        <w:t xml:space="preserve"> методологии </w:t>
      </w:r>
      <w:r w:rsidR="00176D42" w:rsidRPr="00D55873">
        <w:rPr>
          <w:rFonts w:ascii="Times New Roman" w:hAnsi="Times New Roman"/>
          <w:sz w:val="28"/>
          <w:szCs w:val="28"/>
        </w:rPr>
        <w:t xml:space="preserve">порядка формирования информации </w:t>
      </w:r>
      <w:r w:rsidR="003F70E1">
        <w:rPr>
          <w:rFonts w:ascii="Times New Roman" w:hAnsi="Times New Roman"/>
          <w:sz w:val="28"/>
          <w:szCs w:val="28"/>
        </w:rPr>
        <w:br/>
      </w:r>
      <w:r w:rsidR="00176D42" w:rsidRPr="00D55873">
        <w:rPr>
          <w:rFonts w:ascii="Times New Roman" w:hAnsi="Times New Roman"/>
          <w:sz w:val="28"/>
          <w:szCs w:val="28"/>
        </w:rPr>
        <w:t>по статистике государственных финансов</w:t>
      </w:r>
      <w:r>
        <w:rPr>
          <w:rFonts w:ascii="Times New Roman" w:hAnsi="Times New Roman"/>
          <w:sz w:val="28"/>
          <w:szCs w:val="28"/>
        </w:rPr>
        <w:t xml:space="preserve"> осуществляется Министерством финансов Российской Федерации на основании</w:t>
      </w:r>
      <w:r w:rsidRPr="001D0BB8">
        <w:rPr>
          <w:rFonts w:ascii="Times New Roman" w:hAnsi="Times New Roman"/>
          <w:sz w:val="28"/>
          <w:szCs w:val="28"/>
        </w:rPr>
        <w:t xml:space="preserve"> стать</w:t>
      </w:r>
      <w:r>
        <w:rPr>
          <w:rFonts w:ascii="Times New Roman" w:hAnsi="Times New Roman"/>
          <w:sz w:val="28"/>
          <w:szCs w:val="28"/>
        </w:rPr>
        <w:t>и</w:t>
      </w:r>
      <w:r w:rsidRPr="001D0BB8">
        <w:rPr>
          <w:rFonts w:ascii="Times New Roman" w:hAnsi="Times New Roman"/>
          <w:sz w:val="28"/>
          <w:szCs w:val="28"/>
        </w:rPr>
        <w:t xml:space="preserve"> 165 Бюджетного кодекса Российс</w:t>
      </w:r>
      <w:r w:rsidR="003F70E1">
        <w:rPr>
          <w:rFonts w:ascii="Times New Roman" w:hAnsi="Times New Roman"/>
          <w:sz w:val="28"/>
          <w:szCs w:val="28"/>
        </w:rPr>
        <w:t>кой Федерации (далее –</w:t>
      </w:r>
      <w:r w:rsidRPr="001D0BB8">
        <w:rPr>
          <w:rFonts w:ascii="Times New Roman" w:hAnsi="Times New Roman"/>
          <w:sz w:val="28"/>
          <w:szCs w:val="28"/>
        </w:rPr>
        <w:t xml:space="preserve"> БК РФ)</w:t>
      </w:r>
      <w:r>
        <w:rPr>
          <w:rFonts w:ascii="Times New Roman" w:hAnsi="Times New Roman"/>
          <w:sz w:val="28"/>
          <w:szCs w:val="28"/>
        </w:rPr>
        <w:t>.</w:t>
      </w:r>
    </w:p>
    <w:p w:rsidR="00176D42" w:rsidRDefault="00D95E0F"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Составление и представление </w:t>
      </w:r>
      <w:r w:rsidRPr="00D95E0F">
        <w:rPr>
          <w:rFonts w:ascii="Times New Roman" w:hAnsi="Times New Roman"/>
          <w:sz w:val="28"/>
          <w:szCs w:val="28"/>
        </w:rPr>
        <w:t>информаци</w:t>
      </w:r>
      <w:r>
        <w:rPr>
          <w:rFonts w:ascii="Times New Roman" w:hAnsi="Times New Roman"/>
          <w:sz w:val="28"/>
          <w:szCs w:val="28"/>
        </w:rPr>
        <w:t>и</w:t>
      </w:r>
      <w:r w:rsidRPr="00D95E0F">
        <w:rPr>
          <w:rFonts w:ascii="Times New Roman" w:hAnsi="Times New Roman"/>
          <w:sz w:val="28"/>
          <w:szCs w:val="28"/>
        </w:rPr>
        <w:t xml:space="preserve"> по статистике</w:t>
      </w:r>
      <w:r>
        <w:rPr>
          <w:rFonts w:ascii="Times New Roman" w:hAnsi="Times New Roman"/>
          <w:sz w:val="28"/>
          <w:szCs w:val="28"/>
        </w:rPr>
        <w:t xml:space="preserve"> государственных финансов </w:t>
      </w:r>
      <w:r w:rsidR="00150C44">
        <w:rPr>
          <w:rFonts w:ascii="Times New Roman" w:hAnsi="Times New Roman"/>
          <w:sz w:val="28"/>
        </w:rPr>
        <w:t xml:space="preserve">(далее – Информация по СГФ) </w:t>
      </w:r>
      <w:r>
        <w:rPr>
          <w:rFonts w:ascii="Times New Roman" w:hAnsi="Times New Roman"/>
          <w:sz w:val="28"/>
          <w:szCs w:val="28"/>
        </w:rPr>
        <w:t xml:space="preserve">осуществляется Федеральным казначейством на основании </w:t>
      </w:r>
      <w:r w:rsidR="00176D42" w:rsidRPr="001D0BB8">
        <w:rPr>
          <w:rFonts w:ascii="Times New Roman" w:hAnsi="Times New Roman"/>
          <w:sz w:val="28"/>
          <w:szCs w:val="28"/>
        </w:rPr>
        <w:t>статьи 166</w:t>
      </w:r>
      <w:r>
        <w:rPr>
          <w:rFonts w:ascii="Times New Roman" w:hAnsi="Times New Roman"/>
          <w:sz w:val="28"/>
          <w:szCs w:val="28"/>
        </w:rPr>
        <w:t>.1</w:t>
      </w:r>
      <w:r w:rsidR="00176D42" w:rsidRPr="001D0BB8">
        <w:rPr>
          <w:rFonts w:ascii="Times New Roman" w:hAnsi="Times New Roman"/>
          <w:sz w:val="28"/>
          <w:szCs w:val="28"/>
        </w:rPr>
        <w:t xml:space="preserve"> БК </w:t>
      </w:r>
      <w:r w:rsidR="002C53AE">
        <w:rPr>
          <w:rFonts w:ascii="Times New Roman" w:hAnsi="Times New Roman"/>
          <w:sz w:val="28"/>
          <w:szCs w:val="28"/>
        </w:rPr>
        <w:t>РФ</w:t>
      </w:r>
      <w:r>
        <w:rPr>
          <w:rFonts w:ascii="Times New Roman" w:hAnsi="Times New Roman"/>
          <w:sz w:val="28"/>
          <w:szCs w:val="28"/>
        </w:rPr>
        <w:t xml:space="preserve"> в соответствии с </w:t>
      </w:r>
      <w:r w:rsidR="00E0185B">
        <w:rPr>
          <w:rFonts w:ascii="Times New Roman" w:hAnsi="Times New Roman"/>
          <w:sz w:val="28"/>
          <w:szCs w:val="28"/>
        </w:rPr>
        <w:t>приказ</w:t>
      </w:r>
      <w:r w:rsidR="00DF0CED">
        <w:rPr>
          <w:rFonts w:ascii="Times New Roman" w:hAnsi="Times New Roman"/>
          <w:sz w:val="28"/>
          <w:szCs w:val="28"/>
        </w:rPr>
        <w:t>ами</w:t>
      </w:r>
      <w:r w:rsidR="00E0185B">
        <w:rPr>
          <w:rFonts w:ascii="Times New Roman" w:hAnsi="Times New Roman"/>
          <w:sz w:val="28"/>
          <w:szCs w:val="28"/>
        </w:rPr>
        <w:t xml:space="preserve"> Министерства финансов Российской Федерации </w:t>
      </w:r>
      <w:r w:rsidR="000B0292">
        <w:rPr>
          <w:rFonts w:ascii="Times New Roman" w:hAnsi="Times New Roman"/>
          <w:sz w:val="28"/>
          <w:szCs w:val="28"/>
        </w:rPr>
        <w:t xml:space="preserve">от </w:t>
      </w:r>
      <w:r w:rsidR="000B0292" w:rsidRPr="00E0185B">
        <w:rPr>
          <w:rFonts w:ascii="Times New Roman" w:hAnsi="Times New Roman"/>
          <w:sz w:val="28"/>
          <w:szCs w:val="28"/>
        </w:rPr>
        <w:t>30.11.2016</w:t>
      </w:r>
      <w:r w:rsidR="000B0292">
        <w:rPr>
          <w:rFonts w:ascii="Times New Roman" w:hAnsi="Times New Roman"/>
          <w:sz w:val="28"/>
          <w:szCs w:val="28"/>
        </w:rPr>
        <w:t xml:space="preserve"> </w:t>
      </w:r>
      <w:r w:rsidR="00150C44">
        <w:rPr>
          <w:rFonts w:ascii="Times New Roman" w:hAnsi="Times New Roman"/>
          <w:sz w:val="28"/>
          <w:szCs w:val="28"/>
        </w:rPr>
        <w:br/>
      </w:r>
      <w:r w:rsidR="000B0292">
        <w:rPr>
          <w:rFonts w:ascii="Times New Roman" w:hAnsi="Times New Roman"/>
          <w:sz w:val="28"/>
          <w:szCs w:val="28"/>
        </w:rPr>
        <w:t xml:space="preserve">№ 221н </w:t>
      </w:r>
      <w:r w:rsidR="00E0185B">
        <w:rPr>
          <w:rFonts w:ascii="Times New Roman" w:hAnsi="Times New Roman"/>
          <w:sz w:val="28"/>
          <w:szCs w:val="28"/>
        </w:rPr>
        <w:t>«</w:t>
      </w:r>
      <w:r w:rsidR="00E0185B" w:rsidRPr="00E0185B">
        <w:rPr>
          <w:rFonts w:ascii="Times New Roman" w:hAnsi="Times New Roman"/>
          <w:sz w:val="28"/>
          <w:szCs w:val="28"/>
        </w:rPr>
        <w:t>Об утверждении Порядка формирования информации по статистике государственных финансов</w:t>
      </w:r>
      <w:r w:rsidR="00DF0CED">
        <w:rPr>
          <w:rFonts w:ascii="Times New Roman" w:hAnsi="Times New Roman"/>
          <w:sz w:val="28"/>
          <w:szCs w:val="28"/>
        </w:rPr>
        <w:t>»</w:t>
      </w:r>
      <w:r w:rsidR="00DF0CED">
        <w:rPr>
          <w:rStyle w:val="af0"/>
          <w:rFonts w:ascii="Times New Roman" w:hAnsi="Times New Roman"/>
          <w:sz w:val="28"/>
          <w:szCs w:val="28"/>
        </w:rPr>
        <w:footnoteReference w:id="1"/>
      </w:r>
      <w:r w:rsidR="00695FDD">
        <w:rPr>
          <w:rFonts w:ascii="Times New Roman" w:hAnsi="Times New Roman"/>
          <w:sz w:val="28"/>
          <w:szCs w:val="28"/>
        </w:rPr>
        <w:t>, от 09.09.2021 №128н «</w:t>
      </w:r>
      <w:r w:rsidR="00695FDD" w:rsidRPr="00695FDD">
        <w:rPr>
          <w:rFonts w:ascii="Times New Roman" w:hAnsi="Times New Roman"/>
          <w:sz w:val="28"/>
          <w:szCs w:val="28"/>
        </w:rPr>
        <w:t xml:space="preserve">Об утверждении Порядка формирования информации по статистике государственных финансов и о признании утратившими силу приказа Министерства финансов Российской Федерации от 30 ноября 2016 г. </w:t>
      </w:r>
      <w:r w:rsidR="00695FDD">
        <w:rPr>
          <w:rFonts w:ascii="Times New Roman" w:hAnsi="Times New Roman"/>
          <w:sz w:val="28"/>
          <w:szCs w:val="28"/>
        </w:rPr>
        <w:t>№</w:t>
      </w:r>
      <w:r w:rsidR="00695FDD" w:rsidRPr="00695FDD">
        <w:rPr>
          <w:rFonts w:ascii="Times New Roman" w:hAnsi="Times New Roman"/>
          <w:sz w:val="28"/>
          <w:szCs w:val="28"/>
        </w:rPr>
        <w:t xml:space="preserve"> 221н и внесенных в него изменений</w:t>
      </w:r>
      <w:r w:rsidR="00695FDD">
        <w:rPr>
          <w:rFonts w:ascii="Times New Roman" w:hAnsi="Times New Roman"/>
          <w:sz w:val="28"/>
          <w:szCs w:val="28"/>
        </w:rPr>
        <w:t>»</w:t>
      </w:r>
      <w:r w:rsidR="005F6B4F">
        <w:rPr>
          <w:rStyle w:val="af0"/>
          <w:rFonts w:ascii="Times New Roman" w:hAnsi="Times New Roman"/>
          <w:sz w:val="28"/>
          <w:szCs w:val="28"/>
        </w:rPr>
        <w:footnoteReference w:id="2"/>
      </w:r>
      <w:r w:rsidR="007D2EBD">
        <w:rPr>
          <w:rFonts w:ascii="Times New Roman" w:hAnsi="Times New Roman"/>
          <w:sz w:val="28"/>
          <w:szCs w:val="28"/>
        </w:rPr>
        <w:t xml:space="preserve"> </w:t>
      </w:r>
      <w:r w:rsidR="00150C44">
        <w:rPr>
          <w:rFonts w:ascii="Times New Roman" w:hAnsi="Times New Roman"/>
          <w:sz w:val="28"/>
          <w:szCs w:val="28"/>
        </w:rPr>
        <w:br/>
      </w:r>
      <w:r w:rsidR="007D2EBD">
        <w:rPr>
          <w:rFonts w:ascii="Times New Roman" w:hAnsi="Times New Roman"/>
          <w:sz w:val="28"/>
          <w:szCs w:val="28"/>
        </w:rPr>
        <w:t>(далее – Порядок № 128н)</w:t>
      </w:r>
      <w:r w:rsidR="00176D42">
        <w:rPr>
          <w:rFonts w:ascii="Times New Roman" w:hAnsi="Times New Roman"/>
          <w:sz w:val="28"/>
          <w:szCs w:val="28"/>
        </w:rPr>
        <w:t>.</w:t>
      </w:r>
    </w:p>
    <w:p w:rsidR="00436D0A" w:rsidRPr="000B0292" w:rsidRDefault="00436D0A" w:rsidP="00436D0A">
      <w:pPr>
        <w:spacing w:after="0"/>
        <w:ind w:firstLine="567"/>
        <w:jc w:val="both"/>
        <w:rPr>
          <w:rFonts w:ascii="Times New Roman" w:hAnsi="Times New Roman"/>
          <w:sz w:val="28"/>
        </w:rPr>
      </w:pPr>
      <w:r>
        <w:rPr>
          <w:rFonts w:ascii="Times New Roman" w:hAnsi="Times New Roman"/>
          <w:sz w:val="28"/>
        </w:rPr>
        <w:t xml:space="preserve">В целях формирования </w:t>
      </w:r>
      <w:r w:rsidR="00150C44">
        <w:rPr>
          <w:rFonts w:ascii="Times New Roman" w:hAnsi="Times New Roman"/>
          <w:sz w:val="28"/>
        </w:rPr>
        <w:t>И</w:t>
      </w:r>
      <w:r w:rsidR="00150C44" w:rsidRPr="00436D0A">
        <w:rPr>
          <w:rFonts w:ascii="Times New Roman" w:hAnsi="Times New Roman"/>
          <w:sz w:val="28"/>
        </w:rPr>
        <w:t xml:space="preserve">нформации </w:t>
      </w:r>
      <w:r w:rsidRPr="00436D0A">
        <w:rPr>
          <w:rFonts w:ascii="Times New Roman" w:hAnsi="Times New Roman"/>
          <w:sz w:val="28"/>
        </w:rPr>
        <w:t xml:space="preserve">по </w:t>
      </w:r>
      <w:r w:rsidR="00150C44">
        <w:rPr>
          <w:rFonts w:ascii="Times New Roman" w:hAnsi="Times New Roman"/>
          <w:sz w:val="28"/>
        </w:rPr>
        <w:t xml:space="preserve">СГФ </w:t>
      </w:r>
      <w:r w:rsidRPr="00436D0A">
        <w:rPr>
          <w:rFonts w:ascii="Times New Roman" w:hAnsi="Times New Roman"/>
          <w:sz w:val="28"/>
        </w:rPr>
        <w:t>за 20</w:t>
      </w:r>
      <w:r w:rsidR="00DF0CED">
        <w:rPr>
          <w:rFonts w:ascii="Times New Roman" w:hAnsi="Times New Roman"/>
          <w:sz w:val="28"/>
        </w:rPr>
        <w:t>20</w:t>
      </w:r>
      <w:r w:rsidRPr="00436D0A">
        <w:rPr>
          <w:rFonts w:ascii="Times New Roman" w:hAnsi="Times New Roman"/>
          <w:sz w:val="28"/>
        </w:rPr>
        <w:t xml:space="preserve"> год</w:t>
      </w:r>
      <w:r>
        <w:rPr>
          <w:rFonts w:ascii="Times New Roman" w:hAnsi="Times New Roman"/>
          <w:sz w:val="28"/>
        </w:rPr>
        <w:t xml:space="preserve"> Министерством финансов Российской Федерации разработана и размещена на официальном сайте Министерства финансов Российской Федерации </w:t>
      </w:r>
      <w:r w:rsidR="00F67138">
        <w:rPr>
          <w:rFonts w:ascii="Times New Roman" w:hAnsi="Times New Roman"/>
          <w:sz w:val="28"/>
        </w:rPr>
        <w:t>(</w:t>
      </w:r>
      <w:r w:rsidR="00F67138" w:rsidRPr="00195923">
        <w:rPr>
          <w:rFonts w:ascii="Times New Roman" w:hAnsi="Times New Roman"/>
          <w:sz w:val="28"/>
        </w:rPr>
        <w:t>https://minfin.gov.ru/</w:t>
      </w:r>
      <w:r w:rsidR="00F67138">
        <w:rPr>
          <w:rFonts w:ascii="Times New Roman" w:hAnsi="Times New Roman"/>
          <w:sz w:val="28"/>
        </w:rPr>
        <w:t xml:space="preserve">) </w:t>
      </w:r>
      <w:r>
        <w:rPr>
          <w:rFonts w:ascii="Times New Roman" w:hAnsi="Times New Roman"/>
          <w:sz w:val="28"/>
          <w:szCs w:val="28"/>
        </w:rPr>
        <w:t>справочно-информационн</w:t>
      </w:r>
      <w:r w:rsidR="004238DE">
        <w:rPr>
          <w:rFonts w:ascii="Times New Roman" w:hAnsi="Times New Roman"/>
          <w:sz w:val="28"/>
          <w:szCs w:val="28"/>
        </w:rPr>
        <w:t>ая</w:t>
      </w:r>
      <w:r>
        <w:rPr>
          <w:rFonts w:ascii="Times New Roman" w:hAnsi="Times New Roman"/>
          <w:sz w:val="28"/>
          <w:szCs w:val="28"/>
        </w:rPr>
        <w:t xml:space="preserve"> баз</w:t>
      </w:r>
      <w:r w:rsidR="004238DE">
        <w:rPr>
          <w:rFonts w:ascii="Times New Roman" w:hAnsi="Times New Roman"/>
          <w:sz w:val="28"/>
          <w:szCs w:val="28"/>
        </w:rPr>
        <w:t>а,</w:t>
      </w:r>
      <w:r>
        <w:rPr>
          <w:rFonts w:ascii="Times New Roman" w:hAnsi="Times New Roman"/>
          <w:sz w:val="28"/>
          <w:szCs w:val="28"/>
        </w:rPr>
        <w:t xml:space="preserve"> </w:t>
      </w:r>
      <w:r w:rsidR="004238DE">
        <w:rPr>
          <w:rFonts w:ascii="Times New Roman" w:hAnsi="Times New Roman"/>
          <w:sz w:val="28"/>
          <w:szCs w:val="28"/>
        </w:rPr>
        <w:t xml:space="preserve">включающая </w:t>
      </w:r>
      <w:r w:rsidRPr="007564AD">
        <w:rPr>
          <w:rFonts w:ascii="Times New Roman" w:hAnsi="Times New Roman"/>
          <w:sz w:val="28"/>
          <w:szCs w:val="28"/>
        </w:rPr>
        <w:t>таблиц</w:t>
      </w:r>
      <w:r w:rsidR="004238DE">
        <w:rPr>
          <w:rFonts w:ascii="Times New Roman" w:hAnsi="Times New Roman"/>
          <w:sz w:val="28"/>
          <w:szCs w:val="28"/>
        </w:rPr>
        <w:t>ы</w:t>
      </w:r>
      <w:r w:rsidRPr="007564AD">
        <w:rPr>
          <w:rFonts w:ascii="Times New Roman" w:hAnsi="Times New Roman"/>
          <w:sz w:val="28"/>
          <w:szCs w:val="28"/>
        </w:rPr>
        <w:t xml:space="preserve"> соответствия показателей </w:t>
      </w:r>
      <w:r w:rsidR="004238DE">
        <w:rPr>
          <w:rFonts w:ascii="Times New Roman" w:hAnsi="Times New Roman"/>
          <w:sz w:val="28"/>
          <w:szCs w:val="28"/>
        </w:rPr>
        <w:t>статистики государственных финансов</w:t>
      </w:r>
      <w:r w:rsidRPr="007564AD">
        <w:rPr>
          <w:rFonts w:ascii="Times New Roman" w:hAnsi="Times New Roman"/>
          <w:sz w:val="28"/>
          <w:szCs w:val="28"/>
        </w:rPr>
        <w:t xml:space="preserve"> </w:t>
      </w:r>
      <w:r w:rsidR="00A7273A">
        <w:rPr>
          <w:rFonts w:ascii="Times New Roman" w:hAnsi="Times New Roman"/>
          <w:sz w:val="28"/>
          <w:szCs w:val="28"/>
        </w:rPr>
        <w:t xml:space="preserve">(далее – СГФ) </w:t>
      </w:r>
      <w:r w:rsidRPr="007564AD">
        <w:rPr>
          <w:rFonts w:ascii="Times New Roman" w:hAnsi="Times New Roman"/>
          <w:sz w:val="28"/>
          <w:szCs w:val="28"/>
        </w:rPr>
        <w:t>показателям бухгалтерской (финансовой) отчетности Российской Федерации</w:t>
      </w:r>
      <w:r w:rsidR="00F67138">
        <w:rPr>
          <w:rFonts w:ascii="Times New Roman" w:hAnsi="Times New Roman"/>
          <w:sz w:val="28"/>
          <w:szCs w:val="28"/>
        </w:rPr>
        <w:t>.</w:t>
      </w:r>
    </w:p>
    <w:p w:rsidR="000B0292" w:rsidRDefault="004238DE" w:rsidP="00F6713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В целях расширения охвата данных для формирования Информации по СГФ </w:t>
      </w:r>
      <w:r w:rsidR="009C7CBF" w:rsidRPr="001D0BB8">
        <w:rPr>
          <w:rFonts w:ascii="Times New Roman" w:hAnsi="Times New Roman"/>
          <w:sz w:val="28"/>
          <w:szCs w:val="28"/>
        </w:rPr>
        <w:t>использ</w:t>
      </w:r>
      <w:r w:rsidR="009C7CBF">
        <w:rPr>
          <w:rFonts w:ascii="Times New Roman" w:hAnsi="Times New Roman"/>
          <w:sz w:val="28"/>
          <w:szCs w:val="28"/>
        </w:rPr>
        <w:t>уются</w:t>
      </w:r>
      <w:r w:rsidRPr="001D0BB8">
        <w:rPr>
          <w:rFonts w:ascii="Times New Roman" w:hAnsi="Times New Roman"/>
          <w:sz w:val="28"/>
          <w:szCs w:val="28"/>
        </w:rPr>
        <w:t xml:space="preserve"> функциональны</w:t>
      </w:r>
      <w:r w:rsidR="009C7CBF">
        <w:rPr>
          <w:rFonts w:ascii="Times New Roman" w:hAnsi="Times New Roman"/>
          <w:sz w:val="28"/>
          <w:szCs w:val="28"/>
        </w:rPr>
        <w:t>е</w:t>
      </w:r>
      <w:r w:rsidRPr="001D0BB8">
        <w:rPr>
          <w:rFonts w:ascii="Times New Roman" w:hAnsi="Times New Roman"/>
          <w:sz w:val="28"/>
          <w:szCs w:val="28"/>
        </w:rPr>
        <w:t xml:space="preserve"> возможност</w:t>
      </w:r>
      <w:r w:rsidR="009C7CBF">
        <w:rPr>
          <w:rFonts w:ascii="Times New Roman" w:hAnsi="Times New Roman"/>
          <w:sz w:val="28"/>
          <w:szCs w:val="28"/>
        </w:rPr>
        <w:t>и</w:t>
      </w:r>
      <w:r w:rsidRPr="001D0BB8">
        <w:rPr>
          <w:rFonts w:ascii="Times New Roman" w:hAnsi="Times New Roman"/>
          <w:sz w:val="28"/>
          <w:szCs w:val="28"/>
        </w:rPr>
        <w:t xml:space="preserve"> Государственного информационного ресурса бухгалтерской (финансовой) отчетности юридических лиц (ГИРБО)</w:t>
      </w:r>
      <w:r>
        <w:rPr>
          <w:rFonts w:ascii="Times New Roman" w:hAnsi="Times New Roman"/>
          <w:sz w:val="28"/>
          <w:szCs w:val="28"/>
        </w:rPr>
        <w:t>.</w:t>
      </w:r>
    </w:p>
    <w:p w:rsidR="005F6B4F" w:rsidRDefault="005F6B4F">
      <w:pPr>
        <w:spacing w:after="160" w:line="259" w:lineRule="auto"/>
        <w:rPr>
          <w:rFonts w:ascii="Times New Roman" w:hAnsi="Times New Roman"/>
          <w:b/>
          <w:sz w:val="28"/>
          <w:szCs w:val="28"/>
        </w:rPr>
      </w:pPr>
      <w:r>
        <w:rPr>
          <w:rFonts w:ascii="Times New Roman" w:hAnsi="Times New Roman"/>
          <w:b/>
          <w:sz w:val="28"/>
          <w:szCs w:val="28"/>
        </w:rPr>
        <w:br w:type="page"/>
      </w:r>
    </w:p>
    <w:p w:rsidR="00E0185B" w:rsidRDefault="00E0185B" w:rsidP="00E0185B">
      <w:pPr>
        <w:autoSpaceDE w:val="0"/>
        <w:autoSpaceDN w:val="0"/>
        <w:adjustRightInd w:val="0"/>
        <w:spacing w:after="0"/>
        <w:ind w:firstLine="567"/>
        <w:jc w:val="center"/>
        <w:rPr>
          <w:rFonts w:ascii="Times New Roman" w:hAnsi="Times New Roman"/>
          <w:b/>
          <w:sz w:val="28"/>
          <w:szCs w:val="28"/>
        </w:rPr>
      </w:pPr>
      <w:r>
        <w:rPr>
          <w:rFonts w:ascii="Times New Roman" w:hAnsi="Times New Roman"/>
          <w:b/>
          <w:sz w:val="28"/>
          <w:szCs w:val="28"/>
        </w:rPr>
        <w:t xml:space="preserve">2. Методологическое обеспечение формирования </w:t>
      </w:r>
      <w:r w:rsidR="00175441">
        <w:rPr>
          <w:rFonts w:ascii="Times New Roman" w:hAnsi="Times New Roman"/>
          <w:b/>
          <w:sz w:val="28"/>
          <w:szCs w:val="28"/>
        </w:rPr>
        <w:br/>
        <w:t>И</w:t>
      </w:r>
      <w:r>
        <w:rPr>
          <w:rFonts w:ascii="Times New Roman" w:hAnsi="Times New Roman"/>
          <w:b/>
          <w:sz w:val="28"/>
          <w:szCs w:val="28"/>
        </w:rPr>
        <w:t>нформации</w:t>
      </w:r>
      <w:r w:rsidR="00175441">
        <w:rPr>
          <w:rFonts w:ascii="Times New Roman" w:hAnsi="Times New Roman"/>
          <w:b/>
          <w:sz w:val="28"/>
          <w:szCs w:val="28"/>
        </w:rPr>
        <w:t xml:space="preserve"> </w:t>
      </w:r>
      <w:r>
        <w:rPr>
          <w:rFonts w:ascii="Times New Roman" w:hAnsi="Times New Roman"/>
          <w:b/>
          <w:sz w:val="28"/>
          <w:szCs w:val="28"/>
        </w:rPr>
        <w:t xml:space="preserve">по </w:t>
      </w:r>
      <w:r w:rsidR="00175441">
        <w:rPr>
          <w:rFonts w:ascii="Times New Roman" w:hAnsi="Times New Roman"/>
          <w:b/>
          <w:sz w:val="28"/>
          <w:szCs w:val="28"/>
        </w:rPr>
        <w:t>СГФ</w:t>
      </w:r>
    </w:p>
    <w:p w:rsidR="0038559F" w:rsidRDefault="0038559F" w:rsidP="0038559F">
      <w:pPr>
        <w:pStyle w:val="ab"/>
        <w:ind w:left="0" w:firstLine="0"/>
        <w:jc w:val="center"/>
        <w:rPr>
          <w:rFonts w:ascii="Times New Roman" w:hAnsi="Times New Roman" w:cs="Times New Roman"/>
          <w:b/>
          <w:sz w:val="28"/>
        </w:rPr>
      </w:pPr>
    </w:p>
    <w:p w:rsidR="0038559F" w:rsidRPr="00AE0267" w:rsidRDefault="00F67138"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Методологическое</w:t>
      </w:r>
      <w:r w:rsidR="0038559F" w:rsidRPr="00AE0267">
        <w:rPr>
          <w:rFonts w:ascii="Times New Roman" w:hAnsi="Times New Roman"/>
          <w:sz w:val="28"/>
          <w:szCs w:val="28"/>
        </w:rPr>
        <w:t xml:space="preserve"> обеспечени</w:t>
      </w:r>
      <w:r>
        <w:rPr>
          <w:rFonts w:ascii="Times New Roman" w:hAnsi="Times New Roman"/>
          <w:sz w:val="28"/>
          <w:szCs w:val="28"/>
        </w:rPr>
        <w:t>е</w:t>
      </w:r>
      <w:r w:rsidR="0038559F" w:rsidRPr="00AE0267">
        <w:rPr>
          <w:rFonts w:ascii="Times New Roman" w:hAnsi="Times New Roman"/>
          <w:sz w:val="28"/>
          <w:szCs w:val="28"/>
        </w:rPr>
        <w:t xml:space="preserve"> работы по формированию </w:t>
      </w:r>
      <w:r w:rsidR="0038559F">
        <w:rPr>
          <w:rFonts w:ascii="Times New Roman" w:hAnsi="Times New Roman"/>
          <w:sz w:val="28"/>
          <w:szCs w:val="28"/>
        </w:rPr>
        <w:t>Информации по СГФ</w:t>
      </w:r>
      <w:r w:rsidR="0038559F" w:rsidRPr="00AE0267">
        <w:rPr>
          <w:rFonts w:ascii="Times New Roman" w:hAnsi="Times New Roman"/>
          <w:sz w:val="28"/>
          <w:szCs w:val="28"/>
        </w:rPr>
        <w:t xml:space="preserve"> </w:t>
      </w:r>
      <w:r>
        <w:rPr>
          <w:rFonts w:ascii="Times New Roman" w:hAnsi="Times New Roman"/>
          <w:sz w:val="28"/>
          <w:szCs w:val="28"/>
        </w:rPr>
        <w:t>за 20</w:t>
      </w:r>
      <w:r w:rsidR="005F6B4F">
        <w:rPr>
          <w:rFonts w:ascii="Times New Roman" w:hAnsi="Times New Roman"/>
          <w:sz w:val="28"/>
          <w:szCs w:val="28"/>
        </w:rPr>
        <w:t>20</w:t>
      </w:r>
      <w:r>
        <w:rPr>
          <w:rFonts w:ascii="Times New Roman" w:hAnsi="Times New Roman"/>
          <w:sz w:val="28"/>
          <w:szCs w:val="28"/>
        </w:rPr>
        <w:t xml:space="preserve"> год осуществлялось </w:t>
      </w:r>
      <w:r w:rsidR="0038559F" w:rsidRPr="00AE0267">
        <w:rPr>
          <w:rFonts w:ascii="Times New Roman" w:hAnsi="Times New Roman"/>
          <w:sz w:val="28"/>
          <w:szCs w:val="28"/>
        </w:rPr>
        <w:t xml:space="preserve">Министерством финансов Российской Федерации </w:t>
      </w:r>
      <w:r w:rsidR="0038559F">
        <w:rPr>
          <w:rFonts w:ascii="Times New Roman" w:hAnsi="Times New Roman"/>
          <w:sz w:val="28"/>
          <w:szCs w:val="28"/>
        </w:rPr>
        <w:t>в</w:t>
      </w:r>
      <w:r w:rsidR="0038559F" w:rsidRPr="00AE0267">
        <w:rPr>
          <w:rFonts w:ascii="Times New Roman" w:hAnsi="Times New Roman"/>
          <w:sz w:val="28"/>
          <w:szCs w:val="28"/>
        </w:rPr>
        <w:t xml:space="preserve"> 20</w:t>
      </w:r>
      <w:r w:rsidR="0038559F">
        <w:rPr>
          <w:rFonts w:ascii="Times New Roman" w:hAnsi="Times New Roman"/>
          <w:sz w:val="28"/>
          <w:szCs w:val="28"/>
        </w:rPr>
        <w:t>2</w:t>
      </w:r>
      <w:r w:rsidR="005F6B4F">
        <w:rPr>
          <w:rFonts w:ascii="Times New Roman" w:hAnsi="Times New Roman"/>
          <w:sz w:val="28"/>
          <w:szCs w:val="28"/>
        </w:rPr>
        <w:t>1</w:t>
      </w:r>
      <w:r w:rsidR="0038559F" w:rsidRPr="00AE0267">
        <w:rPr>
          <w:rFonts w:ascii="Times New Roman" w:hAnsi="Times New Roman"/>
          <w:sz w:val="28"/>
          <w:szCs w:val="28"/>
        </w:rPr>
        <w:t xml:space="preserve"> год</w:t>
      </w:r>
      <w:r w:rsidR="0038559F">
        <w:rPr>
          <w:rFonts w:ascii="Times New Roman" w:hAnsi="Times New Roman"/>
          <w:sz w:val="28"/>
          <w:szCs w:val="28"/>
        </w:rPr>
        <w:t>у</w:t>
      </w:r>
      <w:r w:rsidR="0038559F" w:rsidRPr="00AE0267">
        <w:rPr>
          <w:rFonts w:ascii="Times New Roman" w:hAnsi="Times New Roman"/>
          <w:sz w:val="28"/>
          <w:szCs w:val="28"/>
        </w:rPr>
        <w:t xml:space="preserve"> </w:t>
      </w:r>
      <w:r>
        <w:rPr>
          <w:rFonts w:ascii="Times New Roman" w:hAnsi="Times New Roman"/>
          <w:sz w:val="28"/>
          <w:szCs w:val="28"/>
        </w:rPr>
        <w:t>посредством</w:t>
      </w:r>
      <w:r w:rsidR="0038559F" w:rsidRPr="00AE0267">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формировани</w:t>
      </w:r>
      <w:r w:rsidR="00F67138">
        <w:rPr>
          <w:rFonts w:ascii="Times New Roman" w:hAnsi="Times New Roman"/>
          <w:sz w:val="28"/>
          <w:szCs w:val="28"/>
        </w:rPr>
        <w:t>я</w:t>
      </w:r>
      <w:r>
        <w:rPr>
          <w:rFonts w:ascii="Times New Roman" w:hAnsi="Times New Roman"/>
          <w:sz w:val="28"/>
          <w:szCs w:val="28"/>
        </w:rPr>
        <w:t xml:space="preserve"> справочно-информационной базы</w:t>
      </w:r>
      <w:r w:rsidR="00F67138">
        <w:rPr>
          <w:rFonts w:ascii="Times New Roman" w:hAnsi="Times New Roman"/>
          <w:sz w:val="28"/>
          <w:szCs w:val="28"/>
        </w:rPr>
        <w:t>, включающей</w:t>
      </w:r>
      <w:r>
        <w:rPr>
          <w:rFonts w:ascii="Times New Roman" w:hAnsi="Times New Roman"/>
          <w:sz w:val="28"/>
          <w:szCs w:val="28"/>
        </w:rPr>
        <w:t xml:space="preserve"> переходны</w:t>
      </w:r>
      <w:r w:rsidR="00F67138">
        <w:rPr>
          <w:rFonts w:ascii="Times New Roman" w:hAnsi="Times New Roman"/>
          <w:sz w:val="28"/>
          <w:szCs w:val="28"/>
        </w:rPr>
        <w:t>е</w:t>
      </w:r>
      <w:r>
        <w:rPr>
          <w:rFonts w:ascii="Times New Roman" w:hAnsi="Times New Roman"/>
          <w:sz w:val="28"/>
          <w:szCs w:val="28"/>
        </w:rPr>
        <w:t xml:space="preserve"> таблиц</w:t>
      </w:r>
      <w:r w:rsidR="00F67138">
        <w:rPr>
          <w:rFonts w:ascii="Times New Roman" w:hAnsi="Times New Roman"/>
          <w:sz w:val="28"/>
          <w:szCs w:val="28"/>
        </w:rPr>
        <w:t>ы</w:t>
      </w:r>
      <w:r>
        <w:rPr>
          <w:rFonts w:ascii="Times New Roman" w:hAnsi="Times New Roman"/>
          <w:sz w:val="28"/>
          <w:szCs w:val="28"/>
        </w:rPr>
        <w:t xml:space="preserve"> по формированию Информации</w:t>
      </w:r>
      <w:r w:rsidR="00C07E23">
        <w:rPr>
          <w:rFonts w:ascii="Times New Roman" w:hAnsi="Times New Roman"/>
          <w:sz w:val="28"/>
          <w:szCs w:val="28"/>
        </w:rPr>
        <w:t xml:space="preserve"> по СГФ за 20</w:t>
      </w:r>
      <w:r w:rsidR="00B40262">
        <w:rPr>
          <w:rFonts w:ascii="Times New Roman" w:hAnsi="Times New Roman"/>
          <w:sz w:val="28"/>
          <w:szCs w:val="28"/>
        </w:rPr>
        <w:t>20</w:t>
      </w:r>
      <w:r w:rsidR="00C07E23">
        <w:rPr>
          <w:rFonts w:ascii="Times New Roman" w:hAnsi="Times New Roman"/>
          <w:sz w:val="28"/>
          <w:szCs w:val="28"/>
        </w:rPr>
        <w:t xml:space="preserve"> год</w:t>
      </w:r>
      <w:r>
        <w:rPr>
          <w:rFonts w:ascii="Times New Roman" w:hAnsi="Times New Roman"/>
          <w:sz w:val="28"/>
          <w:szCs w:val="28"/>
        </w:rPr>
        <w:t>, составленны</w:t>
      </w:r>
      <w:r w:rsidR="00F67138">
        <w:rPr>
          <w:rFonts w:ascii="Times New Roman" w:hAnsi="Times New Roman"/>
          <w:sz w:val="28"/>
          <w:szCs w:val="28"/>
        </w:rPr>
        <w:t>е</w:t>
      </w:r>
      <w:r>
        <w:rPr>
          <w:rFonts w:ascii="Times New Roman" w:hAnsi="Times New Roman"/>
          <w:sz w:val="28"/>
          <w:szCs w:val="28"/>
        </w:rPr>
        <w:t xml:space="preserve"> на основании бюджетной (бухгалтерской)</w:t>
      </w:r>
      <w:r w:rsidR="00C07E23">
        <w:rPr>
          <w:rFonts w:ascii="Times New Roman" w:hAnsi="Times New Roman"/>
          <w:sz w:val="28"/>
          <w:szCs w:val="28"/>
        </w:rPr>
        <w:t xml:space="preserve"> </w:t>
      </w:r>
      <w:r>
        <w:rPr>
          <w:rFonts w:ascii="Times New Roman" w:hAnsi="Times New Roman"/>
          <w:sz w:val="28"/>
          <w:szCs w:val="28"/>
        </w:rPr>
        <w:t>и бухгалтерской (финансовой) отчетности</w:t>
      </w:r>
      <w:r w:rsidR="0044429D">
        <w:rPr>
          <w:rFonts w:ascii="Times New Roman" w:hAnsi="Times New Roman"/>
          <w:sz w:val="28"/>
          <w:szCs w:val="28"/>
        </w:rPr>
        <w:t xml:space="preserve"> в</w:t>
      </w:r>
      <w:r>
        <w:rPr>
          <w:rFonts w:ascii="Times New Roman" w:hAnsi="Times New Roman"/>
          <w:sz w:val="28"/>
          <w:szCs w:val="28"/>
        </w:rPr>
        <w:t xml:space="preserve"> соответстви</w:t>
      </w:r>
      <w:r w:rsidR="0044429D">
        <w:rPr>
          <w:rFonts w:ascii="Times New Roman" w:hAnsi="Times New Roman"/>
          <w:sz w:val="28"/>
          <w:szCs w:val="28"/>
        </w:rPr>
        <w:t>и с</w:t>
      </w:r>
      <w:r>
        <w:rPr>
          <w:rFonts w:ascii="Times New Roman" w:hAnsi="Times New Roman"/>
          <w:sz w:val="28"/>
          <w:szCs w:val="28"/>
        </w:rPr>
        <w:t xml:space="preserve"> показателям</w:t>
      </w:r>
      <w:r w:rsidR="00611D0C">
        <w:rPr>
          <w:rFonts w:ascii="Times New Roman" w:hAnsi="Times New Roman"/>
          <w:sz w:val="28"/>
          <w:szCs w:val="28"/>
        </w:rPr>
        <w:t>и</w:t>
      </w:r>
      <w:r>
        <w:rPr>
          <w:rFonts w:ascii="Times New Roman" w:hAnsi="Times New Roman"/>
          <w:sz w:val="28"/>
          <w:szCs w:val="28"/>
        </w:rPr>
        <w:t xml:space="preserve"> </w:t>
      </w:r>
      <w:r w:rsidRPr="00A7273A">
        <w:rPr>
          <w:rFonts w:ascii="Times New Roman" w:hAnsi="Times New Roman"/>
          <w:sz w:val="28"/>
          <w:szCs w:val="28"/>
        </w:rPr>
        <w:t>СГФ</w:t>
      </w:r>
      <w:r>
        <w:rPr>
          <w:rFonts w:ascii="Times New Roman" w:hAnsi="Times New Roman"/>
          <w:sz w:val="28"/>
          <w:szCs w:val="28"/>
        </w:rPr>
        <w:t xml:space="preserve"> согласно методологии, установленной Руководством </w:t>
      </w:r>
      <w:r w:rsidRPr="001D0BB8">
        <w:rPr>
          <w:rFonts w:ascii="Times New Roman" w:hAnsi="Times New Roman"/>
          <w:sz w:val="28"/>
          <w:szCs w:val="28"/>
        </w:rPr>
        <w:t>СГФ-2014</w:t>
      </w:r>
      <w:r>
        <w:rPr>
          <w:rFonts w:ascii="Times New Roman" w:hAnsi="Times New Roman"/>
          <w:sz w:val="28"/>
          <w:szCs w:val="28"/>
        </w:rPr>
        <w:t xml:space="preserve"> Международного валютного фонда (МВФ)</w:t>
      </w:r>
      <w:r w:rsidR="00323051">
        <w:rPr>
          <w:rFonts w:ascii="Times New Roman" w:hAnsi="Times New Roman"/>
          <w:sz w:val="28"/>
          <w:szCs w:val="28"/>
        </w:rPr>
        <w:t>;</w:t>
      </w:r>
    </w:p>
    <w:p w:rsidR="00C07E23"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рассмотрени</w:t>
      </w:r>
      <w:r w:rsidR="00F67138">
        <w:rPr>
          <w:rFonts w:ascii="Times New Roman" w:hAnsi="Times New Roman"/>
          <w:sz w:val="28"/>
          <w:szCs w:val="28"/>
        </w:rPr>
        <w:t>я</w:t>
      </w:r>
      <w:r>
        <w:rPr>
          <w:rFonts w:ascii="Times New Roman" w:hAnsi="Times New Roman"/>
          <w:sz w:val="28"/>
          <w:szCs w:val="28"/>
        </w:rPr>
        <w:t xml:space="preserve"> и согласовани</w:t>
      </w:r>
      <w:r w:rsidR="0044429D">
        <w:rPr>
          <w:rFonts w:ascii="Times New Roman" w:hAnsi="Times New Roman"/>
          <w:sz w:val="28"/>
          <w:szCs w:val="28"/>
        </w:rPr>
        <w:t>я</w:t>
      </w:r>
      <w:r>
        <w:rPr>
          <w:rFonts w:ascii="Times New Roman" w:hAnsi="Times New Roman"/>
          <w:sz w:val="28"/>
          <w:szCs w:val="28"/>
        </w:rPr>
        <w:t xml:space="preserve"> структуры данных годово</w:t>
      </w:r>
      <w:r w:rsidR="0084532A">
        <w:rPr>
          <w:rFonts w:ascii="Times New Roman" w:hAnsi="Times New Roman"/>
          <w:sz w:val="28"/>
          <w:szCs w:val="28"/>
        </w:rPr>
        <w:t>й Информации по СГФ за 20</w:t>
      </w:r>
      <w:r w:rsidR="00B40262">
        <w:rPr>
          <w:rFonts w:ascii="Times New Roman" w:hAnsi="Times New Roman"/>
          <w:sz w:val="28"/>
          <w:szCs w:val="28"/>
        </w:rPr>
        <w:t>20</w:t>
      </w:r>
      <w:r w:rsidR="0084532A">
        <w:rPr>
          <w:rFonts w:ascii="Times New Roman" w:hAnsi="Times New Roman"/>
          <w:sz w:val="28"/>
          <w:szCs w:val="28"/>
        </w:rPr>
        <w:t xml:space="preserve"> год, раскрываемой Федеральным казначейством</w:t>
      </w:r>
      <w:r w:rsidR="00C07E23">
        <w:rPr>
          <w:rFonts w:ascii="Times New Roman" w:hAnsi="Times New Roman"/>
          <w:sz w:val="28"/>
          <w:szCs w:val="28"/>
        </w:rPr>
        <w:t>;</w:t>
      </w:r>
    </w:p>
    <w:p w:rsidR="0038559F" w:rsidRDefault="005837EE"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w:t>
      </w:r>
      <w:r w:rsidR="00C07E23">
        <w:rPr>
          <w:rFonts w:ascii="Times New Roman" w:hAnsi="Times New Roman"/>
          <w:sz w:val="28"/>
          <w:szCs w:val="28"/>
        </w:rPr>
        <w:t>размещени</w:t>
      </w:r>
      <w:r w:rsidR="00EB6748">
        <w:rPr>
          <w:rFonts w:ascii="Times New Roman" w:hAnsi="Times New Roman"/>
          <w:sz w:val="28"/>
          <w:szCs w:val="28"/>
        </w:rPr>
        <w:t>я</w:t>
      </w:r>
      <w:r w:rsidR="00C07E23">
        <w:rPr>
          <w:rFonts w:ascii="Times New Roman" w:hAnsi="Times New Roman"/>
          <w:sz w:val="28"/>
          <w:szCs w:val="28"/>
        </w:rPr>
        <w:t xml:space="preserve"> </w:t>
      </w:r>
      <w:r w:rsidR="00C07E23" w:rsidRPr="00C07E23">
        <w:rPr>
          <w:rFonts w:ascii="Times New Roman" w:hAnsi="Times New Roman"/>
          <w:sz w:val="28"/>
          <w:szCs w:val="28"/>
        </w:rPr>
        <w:t xml:space="preserve">на официальном сайте Министерства финансов Российской Федерации в информационно-телекоммуникационной сети </w:t>
      </w:r>
      <w:r w:rsidR="00C07E23">
        <w:rPr>
          <w:rFonts w:ascii="Times New Roman" w:hAnsi="Times New Roman"/>
          <w:sz w:val="28"/>
          <w:szCs w:val="28"/>
        </w:rPr>
        <w:t>«</w:t>
      </w:r>
      <w:r w:rsidR="00C07E23" w:rsidRPr="00C07E23">
        <w:rPr>
          <w:rFonts w:ascii="Times New Roman" w:hAnsi="Times New Roman"/>
          <w:sz w:val="28"/>
          <w:szCs w:val="28"/>
        </w:rPr>
        <w:t>Интернет</w:t>
      </w:r>
      <w:r w:rsidR="00C07E23">
        <w:rPr>
          <w:rFonts w:ascii="Times New Roman" w:hAnsi="Times New Roman"/>
          <w:sz w:val="28"/>
          <w:szCs w:val="28"/>
        </w:rPr>
        <w:t>»</w:t>
      </w:r>
      <w:r w:rsidR="00C07E23" w:rsidRPr="00C07E23">
        <w:rPr>
          <w:rFonts w:ascii="Times New Roman" w:hAnsi="Times New Roman"/>
          <w:sz w:val="28"/>
          <w:szCs w:val="28"/>
        </w:rPr>
        <w:t xml:space="preserve"> в рубрике </w:t>
      </w:r>
      <w:r w:rsidR="00C07E23">
        <w:rPr>
          <w:rFonts w:ascii="Times New Roman" w:hAnsi="Times New Roman"/>
          <w:sz w:val="28"/>
          <w:szCs w:val="28"/>
        </w:rPr>
        <w:t>«</w:t>
      </w:r>
      <w:r w:rsidR="00C07E23" w:rsidRPr="00C07E23">
        <w:rPr>
          <w:rFonts w:ascii="Times New Roman" w:hAnsi="Times New Roman"/>
          <w:sz w:val="28"/>
          <w:szCs w:val="28"/>
        </w:rPr>
        <w:t>Статистика государственных финансов</w:t>
      </w:r>
      <w:r w:rsidR="00C07E23">
        <w:rPr>
          <w:rFonts w:ascii="Times New Roman" w:hAnsi="Times New Roman"/>
          <w:sz w:val="28"/>
          <w:szCs w:val="28"/>
        </w:rPr>
        <w:t>»</w:t>
      </w:r>
      <w:r>
        <w:rPr>
          <w:rFonts w:ascii="Times New Roman" w:hAnsi="Times New Roman"/>
          <w:sz w:val="28"/>
          <w:szCs w:val="28"/>
        </w:rPr>
        <w:t xml:space="preserve"> </w:t>
      </w:r>
      <w:r w:rsidRPr="00C07E23">
        <w:rPr>
          <w:rFonts w:ascii="Times New Roman" w:hAnsi="Times New Roman"/>
          <w:sz w:val="28"/>
          <w:szCs w:val="28"/>
        </w:rPr>
        <w:t>перечня респондентов сектора государственного управления и государственного сектора</w:t>
      </w:r>
      <w:r w:rsidR="0038559F">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С целью </w:t>
      </w:r>
      <w:proofErr w:type="spellStart"/>
      <w:r>
        <w:rPr>
          <w:rFonts w:ascii="Times New Roman" w:hAnsi="Times New Roman"/>
          <w:sz w:val="28"/>
          <w:szCs w:val="28"/>
        </w:rPr>
        <w:t>переклассификации</w:t>
      </w:r>
      <w:proofErr w:type="spellEnd"/>
      <w:r>
        <w:rPr>
          <w:rFonts w:ascii="Times New Roman" w:hAnsi="Times New Roman"/>
          <w:sz w:val="28"/>
          <w:szCs w:val="28"/>
        </w:rPr>
        <w:t xml:space="preserve"> данных бюджетной (бухгалтерской) </w:t>
      </w:r>
      <w:r>
        <w:rPr>
          <w:rFonts w:ascii="Times New Roman" w:hAnsi="Times New Roman"/>
          <w:sz w:val="28"/>
          <w:szCs w:val="28"/>
        </w:rPr>
        <w:br/>
        <w:t xml:space="preserve">и бухгалтерской (финансовой) отчетности для получения классификационных категорий, предусмотренных Руководством </w:t>
      </w:r>
      <w:r w:rsidRPr="001D0BB8">
        <w:rPr>
          <w:rFonts w:ascii="Times New Roman" w:hAnsi="Times New Roman"/>
          <w:sz w:val="28"/>
          <w:szCs w:val="28"/>
        </w:rPr>
        <w:t>СГФ-2014</w:t>
      </w:r>
      <w:r>
        <w:rPr>
          <w:rFonts w:ascii="Times New Roman" w:hAnsi="Times New Roman"/>
          <w:sz w:val="28"/>
          <w:szCs w:val="28"/>
        </w:rPr>
        <w:t>, сформированы и утверждены таблицы соответствия (переходные таблицы), в том числе:</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таблиц</w:t>
      </w:r>
      <w:r w:rsidR="006701EE">
        <w:rPr>
          <w:rFonts w:ascii="Times New Roman" w:hAnsi="Times New Roman"/>
          <w:sz w:val="28"/>
          <w:szCs w:val="28"/>
        </w:rPr>
        <w:t>ы</w:t>
      </w:r>
      <w:r>
        <w:rPr>
          <w:rFonts w:ascii="Times New Roman" w:hAnsi="Times New Roman"/>
          <w:sz w:val="28"/>
          <w:szCs w:val="28"/>
        </w:rPr>
        <w:t xml:space="preserve"> соответствия показателей бюджетной классификации Российской Федерации (кодов классификации доходов, кодов классификации расходов, кодов классификации источников финансирования дефицитов</w:t>
      </w:r>
      <w:r w:rsidR="006701EE">
        <w:rPr>
          <w:rFonts w:ascii="Times New Roman" w:hAnsi="Times New Roman"/>
          <w:sz w:val="28"/>
          <w:szCs w:val="28"/>
        </w:rPr>
        <w:t xml:space="preserve"> бюджетов</w:t>
      </w:r>
      <w:r>
        <w:rPr>
          <w:rFonts w:ascii="Times New Roman" w:hAnsi="Times New Roman"/>
          <w:sz w:val="28"/>
          <w:szCs w:val="28"/>
        </w:rPr>
        <w:t>, кодов статей (подстатей) классификации операций сектора государственного управления (КОСГУ)</w:t>
      </w:r>
      <w:r w:rsidR="00E01E12">
        <w:rPr>
          <w:rFonts w:ascii="Times New Roman" w:hAnsi="Times New Roman"/>
          <w:sz w:val="28"/>
          <w:szCs w:val="28"/>
        </w:rPr>
        <w:t>)</w:t>
      </w:r>
      <w:r>
        <w:rPr>
          <w:rFonts w:ascii="Times New Roman" w:hAnsi="Times New Roman"/>
          <w:sz w:val="28"/>
          <w:szCs w:val="28"/>
        </w:rPr>
        <w:t xml:space="preserve"> показателям </w:t>
      </w:r>
      <w:r w:rsidRPr="00A7273A">
        <w:rPr>
          <w:rFonts w:ascii="Times New Roman" w:hAnsi="Times New Roman"/>
          <w:sz w:val="28"/>
          <w:szCs w:val="28"/>
        </w:rPr>
        <w:t>СГФ</w:t>
      </w:r>
      <w:r>
        <w:rPr>
          <w:rFonts w:ascii="Times New Roman" w:hAnsi="Times New Roman"/>
          <w:sz w:val="28"/>
          <w:szCs w:val="28"/>
        </w:rPr>
        <w:t xml:space="preserve"> для подгото</w:t>
      </w:r>
      <w:r w:rsidR="006701EE">
        <w:rPr>
          <w:rFonts w:ascii="Times New Roman" w:hAnsi="Times New Roman"/>
          <w:sz w:val="28"/>
          <w:szCs w:val="28"/>
        </w:rPr>
        <w:t>вки годового отчета за 20</w:t>
      </w:r>
      <w:r w:rsidR="00B40262">
        <w:rPr>
          <w:rFonts w:ascii="Times New Roman" w:hAnsi="Times New Roman"/>
          <w:sz w:val="28"/>
          <w:szCs w:val="28"/>
        </w:rPr>
        <w:t>20</w:t>
      </w:r>
      <w:r w:rsidR="006701EE">
        <w:rPr>
          <w:rFonts w:ascii="Times New Roman" w:hAnsi="Times New Roman"/>
          <w:sz w:val="28"/>
          <w:szCs w:val="28"/>
        </w:rPr>
        <w:t xml:space="preserve"> год</w:t>
      </w:r>
      <w:r>
        <w:rPr>
          <w:rFonts w:ascii="Times New Roman" w:hAnsi="Times New Roman"/>
          <w:sz w:val="28"/>
          <w:szCs w:val="28"/>
        </w:rPr>
        <w:t>;</w:t>
      </w:r>
    </w:p>
    <w:p w:rsidR="00F85261" w:rsidRDefault="00F85261" w:rsidP="00F8526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таблиц</w:t>
      </w:r>
      <w:r w:rsidR="006701EE">
        <w:rPr>
          <w:rFonts w:ascii="Times New Roman" w:hAnsi="Times New Roman"/>
          <w:sz w:val="28"/>
          <w:szCs w:val="28"/>
        </w:rPr>
        <w:t>ы</w:t>
      </w:r>
      <w:r>
        <w:rPr>
          <w:rFonts w:ascii="Times New Roman" w:hAnsi="Times New Roman"/>
          <w:sz w:val="28"/>
          <w:szCs w:val="28"/>
        </w:rPr>
        <w:t xml:space="preserve"> соответствия показателей СГФ показателям бухгалтерской (финансовой) отчетности Российской Федерации</w:t>
      </w:r>
      <w:r>
        <w:rPr>
          <w:rStyle w:val="af0"/>
          <w:rFonts w:ascii="Times New Roman" w:hAnsi="Times New Roman"/>
          <w:sz w:val="28"/>
          <w:szCs w:val="28"/>
        </w:rPr>
        <w:footnoteReference w:id="3"/>
      </w:r>
      <w:r>
        <w:rPr>
          <w:rFonts w:ascii="Times New Roman" w:hAnsi="Times New Roman"/>
          <w:sz w:val="28"/>
          <w:szCs w:val="28"/>
        </w:rPr>
        <w:t xml:space="preserve"> при формировании Информации по СГФ за 20</w:t>
      </w:r>
      <w:r w:rsidR="00B40262">
        <w:rPr>
          <w:rFonts w:ascii="Times New Roman" w:hAnsi="Times New Roman"/>
          <w:sz w:val="28"/>
          <w:szCs w:val="28"/>
        </w:rPr>
        <w:t>20</w:t>
      </w:r>
      <w:r>
        <w:rPr>
          <w:rFonts w:ascii="Times New Roman" w:hAnsi="Times New Roman"/>
          <w:sz w:val="28"/>
          <w:szCs w:val="28"/>
        </w:rPr>
        <w:t xml:space="preserve"> год по сектору государственного управления:</w:t>
      </w:r>
    </w:p>
    <w:p w:rsidR="00F8526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1) </w:t>
      </w:r>
      <w:r w:rsidR="006701EE">
        <w:rPr>
          <w:rFonts w:ascii="Times New Roman" w:hAnsi="Times New Roman"/>
          <w:sz w:val="28"/>
          <w:szCs w:val="28"/>
        </w:rPr>
        <w:t>Т</w:t>
      </w:r>
      <w:r w:rsidRPr="003428A1">
        <w:rPr>
          <w:rFonts w:ascii="Times New Roman" w:hAnsi="Times New Roman"/>
          <w:sz w:val="28"/>
          <w:szCs w:val="28"/>
        </w:rPr>
        <w:t xml:space="preserve">аблица соответствия </w:t>
      </w:r>
      <w:r w:rsidR="00705473" w:rsidRPr="00053624">
        <w:rPr>
          <w:rFonts w:ascii="Times New Roman" w:hAnsi="Times New Roman"/>
          <w:sz w:val="28"/>
          <w:szCs w:val="28"/>
        </w:rPr>
        <w:t>показателей СГФ показ</w:t>
      </w:r>
      <w:r w:rsidR="00705473">
        <w:rPr>
          <w:rFonts w:ascii="Times New Roman" w:hAnsi="Times New Roman"/>
          <w:sz w:val="28"/>
          <w:szCs w:val="28"/>
        </w:rPr>
        <w:t>ателям бухгалтерской (финансово</w:t>
      </w:r>
      <w:r w:rsidR="00705473" w:rsidRPr="00053624">
        <w:rPr>
          <w:rFonts w:ascii="Times New Roman" w:hAnsi="Times New Roman"/>
          <w:sz w:val="28"/>
          <w:szCs w:val="28"/>
        </w:rPr>
        <w:t>й) отчетности Российской Федерации для формирования годовой отчетности</w:t>
      </w:r>
      <w:r w:rsidR="003F70E1">
        <w:rPr>
          <w:rFonts w:ascii="Times New Roman" w:hAnsi="Times New Roman"/>
          <w:sz w:val="28"/>
          <w:szCs w:val="28"/>
        </w:rPr>
        <w:t xml:space="preserve"> (Т</w:t>
      </w:r>
      <w:r w:rsidRPr="003428A1">
        <w:rPr>
          <w:rFonts w:ascii="Times New Roman" w:hAnsi="Times New Roman"/>
          <w:sz w:val="28"/>
          <w:szCs w:val="28"/>
        </w:rPr>
        <w:t>аблица 1 «Доходы»);</w:t>
      </w:r>
    </w:p>
    <w:p w:rsidR="00F85261" w:rsidRPr="003428A1" w:rsidRDefault="00F85261" w:rsidP="00F8526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w:t>
      </w:r>
      <w:r w:rsidRPr="003428A1">
        <w:rPr>
          <w:rFonts w:ascii="Times New Roman" w:hAnsi="Times New Roman"/>
          <w:sz w:val="28"/>
          <w:szCs w:val="28"/>
        </w:rPr>
        <w:t xml:space="preserve">) Таблица соответствия </w:t>
      </w:r>
      <w:r w:rsidR="00705473" w:rsidRPr="00053624">
        <w:rPr>
          <w:rFonts w:ascii="Times New Roman" w:hAnsi="Times New Roman"/>
          <w:sz w:val="28"/>
          <w:szCs w:val="28"/>
        </w:rPr>
        <w:t>показателей СГФ показ</w:t>
      </w:r>
      <w:r w:rsidR="00705473">
        <w:rPr>
          <w:rFonts w:ascii="Times New Roman" w:hAnsi="Times New Roman"/>
          <w:sz w:val="28"/>
          <w:szCs w:val="28"/>
        </w:rPr>
        <w:t>ателям бухгалтерской (финансово</w:t>
      </w:r>
      <w:r w:rsidR="00705473" w:rsidRPr="00053624">
        <w:rPr>
          <w:rFonts w:ascii="Times New Roman" w:hAnsi="Times New Roman"/>
          <w:sz w:val="28"/>
          <w:szCs w:val="28"/>
        </w:rPr>
        <w:t>й) отчетности Российской Федерации для формирования годовой отчетности</w:t>
      </w:r>
      <w:r w:rsidR="003F70E1">
        <w:rPr>
          <w:rFonts w:ascii="Times New Roman" w:hAnsi="Times New Roman"/>
          <w:sz w:val="28"/>
          <w:szCs w:val="28"/>
        </w:rPr>
        <w:t xml:space="preserve"> (Т</w:t>
      </w:r>
      <w:r w:rsidRPr="003428A1">
        <w:rPr>
          <w:rFonts w:ascii="Times New Roman" w:hAnsi="Times New Roman"/>
          <w:sz w:val="28"/>
          <w:szCs w:val="28"/>
        </w:rPr>
        <w:t>аблица</w:t>
      </w:r>
      <w:r w:rsidR="000B0292">
        <w:rPr>
          <w:rFonts w:ascii="Times New Roman" w:hAnsi="Times New Roman"/>
          <w:sz w:val="28"/>
          <w:szCs w:val="28"/>
        </w:rPr>
        <w:t xml:space="preserve"> </w:t>
      </w:r>
      <w:r w:rsidRPr="003428A1">
        <w:rPr>
          <w:rFonts w:ascii="Times New Roman" w:hAnsi="Times New Roman"/>
          <w:sz w:val="28"/>
          <w:szCs w:val="28"/>
        </w:rPr>
        <w:t>2 «Расходы»);</w:t>
      </w:r>
    </w:p>
    <w:p w:rsidR="00F85261" w:rsidRPr="003428A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 xml:space="preserve">3) Таблица </w:t>
      </w:r>
      <w:r w:rsidR="00F35C50">
        <w:rPr>
          <w:rFonts w:ascii="Times New Roman" w:hAnsi="Times New Roman"/>
          <w:sz w:val="28"/>
          <w:szCs w:val="28"/>
        </w:rPr>
        <w:t xml:space="preserve">соответствия </w:t>
      </w:r>
      <w:r w:rsidR="00705473" w:rsidRPr="00053624">
        <w:rPr>
          <w:rFonts w:ascii="Times New Roman" w:hAnsi="Times New Roman"/>
          <w:sz w:val="28"/>
          <w:szCs w:val="28"/>
        </w:rPr>
        <w:t>показателей СГФ показ</w:t>
      </w:r>
      <w:r w:rsidR="00705473">
        <w:rPr>
          <w:rFonts w:ascii="Times New Roman" w:hAnsi="Times New Roman"/>
          <w:sz w:val="28"/>
          <w:szCs w:val="28"/>
        </w:rPr>
        <w:t>ателям бухгалтерской (финансово</w:t>
      </w:r>
      <w:r w:rsidR="00705473" w:rsidRPr="00053624">
        <w:rPr>
          <w:rFonts w:ascii="Times New Roman" w:hAnsi="Times New Roman"/>
          <w:sz w:val="28"/>
          <w:szCs w:val="28"/>
        </w:rPr>
        <w:t>й) отчетности Российской Федерации для формирования годовой отчетности</w:t>
      </w:r>
      <w:r w:rsidRPr="003428A1">
        <w:rPr>
          <w:rFonts w:ascii="Times New Roman" w:hAnsi="Times New Roman"/>
          <w:sz w:val="28"/>
          <w:szCs w:val="28"/>
        </w:rPr>
        <w:t xml:space="preserve"> (Таблица 3 «Операции с активами и обязательствами»);</w:t>
      </w:r>
    </w:p>
    <w:p w:rsidR="00F85261" w:rsidRPr="003428A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 xml:space="preserve">4) Таблица соответствия </w:t>
      </w:r>
      <w:r w:rsidR="00705473" w:rsidRPr="00053624">
        <w:rPr>
          <w:rFonts w:ascii="Times New Roman" w:hAnsi="Times New Roman"/>
          <w:sz w:val="28"/>
          <w:szCs w:val="28"/>
        </w:rPr>
        <w:t>показателей СГФ показ</w:t>
      </w:r>
      <w:r w:rsidR="00705473">
        <w:rPr>
          <w:rFonts w:ascii="Times New Roman" w:hAnsi="Times New Roman"/>
          <w:sz w:val="28"/>
          <w:szCs w:val="28"/>
        </w:rPr>
        <w:t>ателям бухгалтерской (финансово</w:t>
      </w:r>
      <w:r w:rsidR="00705473" w:rsidRPr="00053624">
        <w:rPr>
          <w:rFonts w:ascii="Times New Roman" w:hAnsi="Times New Roman"/>
          <w:sz w:val="28"/>
          <w:szCs w:val="28"/>
        </w:rPr>
        <w:t>й) отчетности Российской Федерации для формирования годовой отчетности</w:t>
      </w:r>
      <w:r w:rsidRPr="003428A1">
        <w:rPr>
          <w:rFonts w:ascii="Times New Roman" w:hAnsi="Times New Roman"/>
          <w:sz w:val="28"/>
          <w:szCs w:val="28"/>
        </w:rPr>
        <w:t xml:space="preserve"> (Таблица 4 «Холдинговая прибыль и убытки по активам и обязательствам»);</w:t>
      </w:r>
    </w:p>
    <w:p w:rsidR="00F85261" w:rsidRPr="00705473"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 xml:space="preserve">5) Таблица соответствия </w:t>
      </w:r>
      <w:r w:rsidR="00705473" w:rsidRPr="00053624">
        <w:rPr>
          <w:rFonts w:ascii="Times New Roman" w:hAnsi="Times New Roman"/>
          <w:sz w:val="28"/>
          <w:szCs w:val="28"/>
        </w:rPr>
        <w:t>показателей СГФ показ</w:t>
      </w:r>
      <w:r w:rsidR="00705473">
        <w:rPr>
          <w:rFonts w:ascii="Times New Roman" w:hAnsi="Times New Roman"/>
          <w:sz w:val="28"/>
          <w:szCs w:val="28"/>
        </w:rPr>
        <w:t>ателям бухгалтерской (</w:t>
      </w:r>
      <w:r w:rsidR="00705473" w:rsidRPr="00705473">
        <w:rPr>
          <w:rFonts w:ascii="Times New Roman" w:hAnsi="Times New Roman"/>
          <w:sz w:val="28"/>
          <w:szCs w:val="28"/>
        </w:rPr>
        <w:t>финансовой) отчетности Российской Федерации для формирования годовой отчетности</w:t>
      </w:r>
      <w:r w:rsidRPr="00705473">
        <w:rPr>
          <w:rFonts w:ascii="Times New Roman" w:hAnsi="Times New Roman"/>
          <w:sz w:val="28"/>
          <w:szCs w:val="28"/>
        </w:rPr>
        <w:t xml:space="preserve"> (Таблица 5 «Другие изменения в объеме активов и обязательств»)</w:t>
      </w:r>
      <w:r w:rsidR="00EB6748" w:rsidRPr="00705473">
        <w:rPr>
          <w:rFonts w:ascii="Times New Roman" w:hAnsi="Times New Roman"/>
          <w:sz w:val="28"/>
          <w:szCs w:val="28"/>
        </w:rPr>
        <w:t>;</w:t>
      </w:r>
    </w:p>
    <w:p w:rsidR="00F85261" w:rsidRPr="00705473" w:rsidRDefault="00F85261" w:rsidP="00F85261">
      <w:pPr>
        <w:autoSpaceDE w:val="0"/>
        <w:autoSpaceDN w:val="0"/>
        <w:adjustRightInd w:val="0"/>
        <w:spacing w:after="0"/>
        <w:ind w:firstLine="567"/>
        <w:jc w:val="both"/>
        <w:rPr>
          <w:rFonts w:ascii="Times New Roman" w:hAnsi="Times New Roman"/>
          <w:sz w:val="28"/>
          <w:szCs w:val="28"/>
        </w:rPr>
      </w:pPr>
      <w:r w:rsidRPr="00705473">
        <w:rPr>
          <w:rFonts w:ascii="Times New Roman" w:hAnsi="Times New Roman"/>
          <w:sz w:val="28"/>
          <w:szCs w:val="28"/>
        </w:rPr>
        <w:t xml:space="preserve">6) Таблица соответствия </w:t>
      </w:r>
      <w:r w:rsidR="00705473" w:rsidRPr="00705473">
        <w:rPr>
          <w:rFonts w:ascii="Times New Roman" w:hAnsi="Times New Roman"/>
          <w:sz w:val="28"/>
          <w:szCs w:val="28"/>
        </w:rPr>
        <w:t>показателей СГФ показателям бухгалтерской (финансовой) отчетности Российской Федерации для формирования годовой отчетности</w:t>
      </w:r>
      <w:r w:rsidRPr="00705473">
        <w:rPr>
          <w:rFonts w:ascii="Times New Roman" w:hAnsi="Times New Roman"/>
          <w:sz w:val="28"/>
          <w:szCs w:val="28"/>
        </w:rPr>
        <w:t xml:space="preserve"> (Таблица 6 «Баланс активов и пассивов»);</w:t>
      </w:r>
    </w:p>
    <w:p w:rsidR="00F85261" w:rsidRDefault="00F85261" w:rsidP="00F85261">
      <w:pPr>
        <w:autoSpaceDE w:val="0"/>
        <w:autoSpaceDN w:val="0"/>
        <w:adjustRightInd w:val="0"/>
        <w:spacing w:after="0"/>
        <w:ind w:firstLine="567"/>
        <w:jc w:val="both"/>
        <w:rPr>
          <w:rFonts w:ascii="Times New Roman" w:hAnsi="Times New Roman"/>
          <w:sz w:val="28"/>
          <w:szCs w:val="28"/>
        </w:rPr>
      </w:pPr>
      <w:r w:rsidRPr="00705473">
        <w:rPr>
          <w:rFonts w:ascii="Times New Roman" w:hAnsi="Times New Roman"/>
          <w:sz w:val="28"/>
          <w:szCs w:val="28"/>
        </w:rPr>
        <w:t>7) </w:t>
      </w:r>
      <w:r w:rsidR="003F70E1" w:rsidRPr="003F70E1">
        <w:rPr>
          <w:rFonts w:ascii="Times New Roman" w:hAnsi="Times New Roman"/>
          <w:sz w:val="28"/>
          <w:szCs w:val="28"/>
        </w:rPr>
        <w:t>Таблица соответствия показателей СГФ показателям бухгалтерской (финансовой) отчетности</w:t>
      </w:r>
      <w:r w:rsidR="003F70E1">
        <w:rPr>
          <w:rFonts w:ascii="Times New Roman" w:hAnsi="Times New Roman"/>
          <w:sz w:val="28"/>
          <w:szCs w:val="28"/>
        </w:rPr>
        <w:t xml:space="preserve"> </w:t>
      </w:r>
      <w:r w:rsidR="003F70E1" w:rsidRPr="00705473">
        <w:rPr>
          <w:rFonts w:ascii="Times New Roman" w:hAnsi="Times New Roman"/>
          <w:sz w:val="28"/>
          <w:szCs w:val="28"/>
        </w:rPr>
        <w:t>Российской Федерации для формирования годовой отчетности</w:t>
      </w:r>
      <w:r w:rsidRPr="003428A1">
        <w:rPr>
          <w:rFonts w:ascii="Times New Roman" w:hAnsi="Times New Roman"/>
          <w:sz w:val="28"/>
          <w:szCs w:val="28"/>
        </w:rPr>
        <w:t xml:space="preserve"> (Таблица 7 «Расходы по функциям КФОГУ»)</w:t>
      </w:r>
      <w:r>
        <w:rPr>
          <w:rFonts w:ascii="Times New Roman" w:hAnsi="Times New Roman"/>
          <w:sz w:val="28"/>
          <w:szCs w:val="28"/>
        </w:rPr>
        <w:t>;</w:t>
      </w:r>
    </w:p>
    <w:p w:rsidR="0038559F" w:rsidRPr="0011497D" w:rsidRDefault="0038559F" w:rsidP="0011497D">
      <w:pPr>
        <w:autoSpaceDE w:val="0"/>
        <w:autoSpaceDN w:val="0"/>
        <w:adjustRightInd w:val="0"/>
        <w:spacing w:after="0" w:line="240" w:lineRule="auto"/>
        <w:ind w:firstLine="567"/>
        <w:jc w:val="both"/>
        <w:rPr>
          <w:rFonts w:ascii="Times New Roman" w:eastAsiaTheme="minorHAnsi" w:hAnsi="Times New Roman"/>
          <w:sz w:val="28"/>
          <w:szCs w:val="28"/>
        </w:rPr>
      </w:pPr>
      <w:r w:rsidRPr="00BE39AA">
        <w:rPr>
          <w:rFonts w:ascii="Times New Roman" w:hAnsi="Times New Roman"/>
          <w:sz w:val="28"/>
          <w:szCs w:val="28"/>
        </w:rPr>
        <w:t xml:space="preserve">- </w:t>
      </w:r>
      <w:r w:rsidRPr="00316446">
        <w:rPr>
          <w:rFonts w:ascii="Times New Roman" w:hAnsi="Times New Roman"/>
          <w:sz w:val="28"/>
          <w:szCs w:val="28"/>
        </w:rPr>
        <w:t>таблиц</w:t>
      </w:r>
      <w:r w:rsidR="006701EE" w:rsidRPr="00316446">
        <w:rPr>
          <w:rFonts w:ascii="Times New Roman" w:hAnsi="Times New Roman"/>
          <w:sz w:val="28"/>
          <w:szCs w:val="28"/>
        </w:rPr>
        <w:t>ы</w:t>
      </w:r>
      <w:r w:rsidRPr="00316446">
        <w:rPr>
          <w:rFonts w:ascii="Times New Roman" w:hAnsi="Times New Roman"/>
          <w:sz w:val="28"/>
          <w:szCs w:val="28"/>
        </w:rPr>
        <w:t xml:space="preserve"> соответствия показателей </w:t>
      </w:r>
      <w:r w:rsidR="00E01E12" w:rsidRPr="00316446">
        <w:rPr>
          <w:rFonts w:ascii="Times New Roman" w:hAnsi="Times New Roman"/>
          <w:sz w:val="28"/>
          <w:szCs w:val="28"/>
        </w:rPr>
        <w:t>СГФ</w:t>
      </w:r>
      <w:r w:rsidR="00195923" w:rsidRPr="00316446">
        <w:rPr>
          <w:rFonts w:ascii="Times New Roman" w:hAnsi="Times New Roman"/>
          <w:sz w:val="28"/>
          <w:szCs w:val="28"/>
        </w:rPr>
        <w:t xml:space="preserve"> для целей формирования </w:t>
      </w:r>
      <w:r w:rsidR="006A646D">
        <w:rPr>
          <w:rFonts w:ascii="Times New Roman" w:hAnsi="Times New Roman"/>
          <w:sz w:val="28"/>
          <w:szCs w:val="28"/>
        </w:rPr>
        <w:t xml:space="preserve">Информации по </w:t>
      </w:r>
      <w:r w:rsidR="00195923" w:rsidRPr="00316446">
        <w:rPr>
          <w:rFonts w:ascii="Times New Roman" w:hAnsi="Times New Roman"/>
          <w:sz w:val="28"/>
          <w:szCs w:val="28"/>
        </w:rPr>
        <w:t>СГФ по сектору государственных нефинансовых корпораций для подготовки годового отчета за 20</w:t>
      </w:r>
      <w:r w:rsidR="00B40262">
        <w:rPr>
          <w:rFonts w:ascii="Times New Roman" w:hAnsi="Times New Roman"/>
          <w:sz w:val="28"/>
          <w:szCs w:val="28"/>
        </w:rPr>
        <w:t>20</w:t>
      </w:r>
      <w:r w:rsidR="00195923" w:rsidRPr="00316446">
        <w:rPr>
          <w:rFonts w:ascii="Times New Roman" w:hAnsi="Times New Roman"/>
          <w:sz w:val="28"/>
          <w:szCs w:val="28"/>
        </w:rPr>
        <w:t xml:space="preserve"> год показателям </w:t>
      </w:r>
      <w:r w:rsidRPr="00316446">
        <w:rPr>
          <w:rFonts w:ascii="Times New Roman" w:hAnsi="Times New Roman"/>
          <w:sz w:val="28"/>
          <w:szCs w:val="28"/>
        </w:rPr>
        <w:t xml:space="preserve">бухгалтерской отчетности, </w:t>
      </w:r>
      <w:r w:rsidR="006C7E29" w:rsidRPr="00316446">
        <w:rPr>
          <w:rFonts w:ascii="Times New Roman" w:hAnsi="Times New Roman"/>
          <w:sz w:val="28"/>
          <w:szCs w:val="28"/>
        </w:rPr>
        <w:t>установленной</w:t>
      </w:r>
      <w:r w:rsidRPr="00316446">
        <w:rPr>
          <w:rFonts w:ascii="Times New Roman" w:hAnsi="Times New Roman"/>
          <w:sz w:val="28"/>
          <w:szCs w:val="28"/>
        </w:rPr>
        <w:t xml:space="preserve"> приказом </w:t>
      </w:r>
      <w:r w:rsidR="0011497D" w:rsidRPr="00316446">
        <w:rPr>
          <w:rFonts w:ascii="Times New Roman" w:hAnsi="Times New Roman"/>
          <w:sz w:val="28"/>
          <w:szCs w:val="28"/>
        </w:rPr>
        <w:t>Министерства финансов Российской</w:t>
      </w:r>
      <w:r w:rsidR="0011497D">
        <w:rPr>
          <w:rFonts w:ascii="Times New Roman" w:hAnsi="Times New Roman"/>
          <w:sz w:val="28"/>
          <w:szCs w:val="28"/>
        </w:rPr>
        <w:t xml:space="preserve"> Федерации</w:t>
      </w:r>
      <w:r w:rsidR="0011497D" w:rsidRPr="0011497D">
        <w:rPr>
          <w:rFonts w:ascii="Times New Roman" w:hAnsi="Times New Roman"/>
          <w:sz w:val="28"/>
          <w:szCs w:val="28"/>
        </w:rPr>
        <w:t xml:space="preserve"> от 02.07.2010 </w:t>
      </w:r>
      <w:r w:rsidR="0011497D">
        <w:rPr>
          <w:rFonts w:ascii="Times New Roman" w:hAnsi="Times New Roman"/>
          <w:sz w:val="28"/>
          <w:szCs w:val="28"/>
        </w:rPr>
        <w:t>№</w:t>
      </w:r>
      <w:r w:rsidR="0011497D" w:rsidRPr="0011497D">
        <w:rPr>
          <w:rFonts w:ascii="Times New Roman" w:hAnsi="Times New Roman"/>
          <w:sz w:val="28"/>
          <w:szCs w:val="28"/>
        </w:rPr>
        <w:t xml:space="preserve"> 66н</w:t>
      </w:r>
      <w:r w:rsidR="0011497D">
        <w:rPr>
          <w:rFonts w:ascii="Times New Roman" w:hAnsi="Times New Roman"/>
          <w:sz w:val="28"/>
          <w:szCs w:val="28"/>
        </w:rPr>
        <w:t xml:space="preserve"> «</w:t>
      </w:r>
      <w:r w:rsidR="0011497D">
        <w:rPr>
          <w:rFonts w:ascii="Times New Roman" w:eastAsiaTheme="minorHAnsi" w:hAnsi="Times New Roman"/>
          <w:sz w:val="28"/>
          <w:szCs w:val="28"/>
        </w:rPr>
        <w:t>О формах бухгалтерской отчетности организаций»</w:t>
      </w:r>
      <w:r w:rsidRPr="00BE39AA">
        <w:rPr>
          <w:rFonts w:ascii="Times New Roman" w:hAnsi="Times New Roman"/>
          <w:sz w:val="28"/>
          <w:szCs w:val="28"/>
        </w:rPr>
        <w:t>:</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BE39AA">
        <w:rPr>
          <w:rFonts w:ascii="Times New Roman" w:hAnsi="Times New Roman"/>
          <w:sz w:val="28"/>
          <w:szCs w:val="28"/>
        </w:rPr>
        <w:t xml:space="preserve">1) </w:t>
      </w:r>
      <w:r w:rsidR="0011497D" w:rsidRPr="0011497D">
        <w:rPr>
          <w:rFonts w:ascii="Times New Roman" w:hAnsi="Times New Roman"/>
          <w:sz w:val="28"/>
          <w:szCs w:val="28"/>
        </w:rPr>
        <w:t>«</w:t>
      </w:r>
      <w:r w:rsidRPr="0011497D">
        <w:rPr>
          <w:rFonts w:ascii="Times New Roman" w:hAnsi="Times New Roman"/>
          <w:sz w:val="28"/>
          <w:szCs w:val="28"/>
        </w:rPr>
        <w:t>Отчет об источниках и использовании денежных средств</w:t>
      </w:r>
      <w:r w:rsidR="0011497D" w:rsidRPr="0011497D">
        <w:rPr>
          <w:rFonts w:ascii="Times New Roman" w:hAnsi="Times New Roman"/>
          <w:sz w:val="28"/>
          <w:szCs w:val="28"/>
        </w:rPr>
        <w:t>»</w:t>
      </w:r>
      <w:r w:rsidRPr="0011497D">
        <w:rPr>
          <w:rFonts w:ascii="Times New Roman" w:hAnsi="Times New Roman"/>
          <w:sz w:val="28"/>
          <w:szCs w:val="28"/>
        </w:rPr>
        <w:t>, увязанн</w:t>
      </w:r>
      <w:r w:rsidR="0011497D" w:rsidRPr="0011497D">
        <w:rPr>
          <w:rFonts w:ascii="Times New Roman" w:hAnsi="Times New Roman"/>
          <w:sz w:val="28"/>
          <w:szCs w:val="28"/>
        </w:rPr>
        <w:t>ый</w:t>
      </w:r>
      <w:r w:rsidRPr="0011497D">
        <w:rPr>
          <w:rFonts w:ascii="Times New Roman" w:hAnsi="Times New Roman"/>
          <w:sz w:val="28"/>
          <w:szCs w:val="28"/>
        </w:rPr>
        <w:t xml:space="preserve"> с показател</w:t>
      </w:r>
      <w:r w:rsidR="006C7E29">
        <w:rPr>
          <w:rFonts w:ascii="Times New Roman" w:hAnsi="Times New Roman"/>
          <w:sz w:val="28"/>
          <w:szCs w:val="28"/>
        </w:rPr>
        <w:t>ями</w:t>
      </w:r>
      <w:r w:rsidRPr="0011497D">
        <w:rPr>
          <w:rFonts w:ascii="Times New Roman" w:hAnsi="Times New Roman"/>
          <w:sz w:val="28"/>
          <w:szCs w:val="28"/>
        </w:rPr>
        <w:t xml:space="preserve"> «Отчет о движении денежных ср</w:t>
      </w:r>
      <w:r w:rsidR="006C7E29">
        <w:rPr>
          <w:rFonts w:ascii="Times New Roman" w:hAnsi="Times New Roman"/>
          <w:sz w:val="28"/>
          <w:szCs w:val="28"/>
        </w:rPr>
        <w:t>едств» (форма по ОКУД 0710005);</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2) Таблица 1 «Доходы», увязанная с показател</w:t>
      </w:r>
      <w:r w:rsidR="00195923">
        <w:rPr>
          <w:rFonts w:ascii="Times New Roman" w:hAnsi="Times New Roman"/>
          <w:sz w:val="28"/>
          <w:szCs w:val="28"/>
        </w:rPr>
        <w:t>ями</w:t>
      </w:r>
      <w:r w:rsidRPr="0011497D">
        <w:rPr>
          <w:rFonts w:ascii="Times New Roman" w:hAnsi="Times New Roman"/>
          <w:sz w:val="28"/>
          <w:szCs w:val="28"/>
        </w:rPr>
        <w:t xml:space="preserve"> «Отчет о финансовых результатах» (форма по ОКУД 0710002); </w:t>
      </w:r>
    </w:p>
    <w:p w:rsidR="00753E67"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3) Таблица 2 «Расходы», увязанная с показател</w:t>
      </w:r>
      <w:r w:rsidR="00195923">
        <w:rPr>
          <w:rFonts w:ascii="Times New Roman" w:hAnsi="Times New Roman"/>
          <w:sz w:val="28"/>
          <w:szCs w:val="28"/>
        </w:rPr>
        <w:t>ями</w:t>
      </w:r>
      <w:r w:rsidRPr="0011497D">
        <w:rPr>
          <w:rFonts w:ascii="Times New Roman" w:hAnsi="Times New Roman"/>
          <w:sz w:val="28"/>
          <w:szCs w:val="28"/>
        </w:rPr>
        <w:t xml:space="preserve"> «Отчет об изменениях капитала» (форма по ОКУД 0710003); </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4) Таблица 3 «Операции с активами и обязательствами» (в части расшифровки показателей «Чистые операции с активами и обязательствами</w:t>
      </w:r>
      <w:r w:rsidR="006C7E29" w:rsidRPr="0011497D">
        <w:rPr>
          <w:rFonts w:ascii="Times New Roman" w:hAnsi="Times New Roman"/>
          <w:sz w:val="28"/>
          <w:szCs w:val="28"/>
        </w:rPr>
        <w:t>»</w:t>
      </w:r>
      <w:r w:rsidRPr="0011497D">
        <w:rPr>
          <w:rFonts w:ascii="Times New Roman" w:hAnsi="Times New Roman"/>
          <w:sz w:val="28"/>
          <w:szCs w:val="28"/>
        </w:rPr>
        <w:t>), увязанная с показател</w:t>
      </w:r>
      <w:r w:rsidR="00195923">
        <w:rPr>
          <w:rFonts w:ascii="Times New Roman" w:hAnsi="Times New Roman"/>
          <w:sz w:val="28"/>
          <w:szCs w:val="28"/>
        </w:rPr>
        <w:t>ями</w:t>
      </w:r>
      <w:r w:rsidRPr="0011497D">
        <w:rPr>
          <w:rFonts w:ascii="Times New Roman" w:hAnsi="Times New Roman"/>
          <w:sz w:val="28"/>
          <w:szCs w:val="28"/>
        </w:rPr>
        <w:t xml:space="preserve"> «Бухгалтерский баланс» </w:t>
      </w:r>
      <w:r w:rsidR="006701EE" w:rsidRPr="0011497D">
        <w:rPr>
          <w:rFonts w:ascii="Times New Roman" w:hAnsi="Times New Roman"/>
          <w:sz w:val="28"/>
          <w:szCs w:val="28"/>
        </w:rPr>
        <w:t>(форма по ОКУД 0710001);</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 xml:space="preserve">5) Таблица 4 «Холдинговая прибыль и убытки по активам и обязательствам», увязанная с </w:t>
      </w:r>
      <w:r w:rsidR="00195923">
        <w:rPr>
          <w:rFonts w:ascii="Times New Roman" w:hAnsi="Times New Roman"/>
          <w:sz w:val="28"/>
          <w:szCs w:val="28"/>
        </w:rPr>
        <w:t>показателями</w:t>
      </w:r>
      <w:r w:rsidRPr="0011497D">
        <w:rPr>
          <w:rFonts w:ascii="Times New Roman" w:hAnsi="Times New Roman"/>
          <w:sz w:val="28"/>
          <w:szCs w:val="28"/>
        </w:rPr>
        <w:t xml:space="preserve"> «Отчет о финансовых результатах» (форма по ОКУД 0710002) и «Отчет о движении денежных средств» (форма по ОКУД 0710004); </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 xml:space="preserve">6) Таблица 5 «Другие изменения в объеме активов и обязательств» (в части расшифровки показателей «Изменения в чистой стоимости активов в связи </w:t>
      </w:r>
      <w:r w:rsidRPr="00705473">
        <w:rPr>
          <w:rFonts w:ascii="Times New Roman" w:hAnsi="Times New Roman"/>
          <w:sz w:val="28"/>
          <w:szCs w:val="28"/>
        </w:rPr>
        <w:t>с изменениями в объеме»), увязанная с показател</w:t>
      </w:r>
      <w:r w:rsidR="00195923" w:rsidRPr="00705473">
        <w:rPr>
          <w:rFonts w:ascii="Times New Roman" w:hAnsi="Times New Roman"/>
          <w:sz w:val="28"/>
          <w:szCs w:val="28"/>
        </w:rPr>
        <w:t>ями</w:t>
      </w:r>
      <w:r w:rsidRPr="00705473">
        <w:rPr>
          <w:rFonts w:ascii="Times New Roman" w:hAnsi="Times New Roman"/>
          <w:sz w:val="28"/>
          <w:szCs w:val="28"/>
        </w:rPr>
        <w:t xml:space="preserve"> «Бухгалтерский баланс» (</w:t>
      </w:r>
      <w:r w:rsidRPr="0011497D">
        <w:rPr>
          <w:rFonts w:ascii="Times New Roman" w:hAnsi="Times New Roman"/>
          <w:sz w:val="28"/>
          <w:szCs w:val="28"/>
        </w:rPr>
        <w:t>форма по ОКУД 0710001);</w:t>
      </w:r>
    </w:p>
    <w:p w:rsidR="0038559F"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7) Таблица 6 «Баланс активов и пассивов» (в части расшифровки показателей «Чистая стоимость активов»), увязанная с показате</w:t>
      </w:r>
      <w:r w:rsidR="00195923">
        <w:rPr>
          <w:rFonts w:ascii="Times New Roman" w:hAnsi="Times New Roman"/>
          <w:sz w:val="28"/>
          <w:szCs w:val="28"/>
        </w:rPr>
        <w:t>лями</w:t>
      </w:r>
      <w:r w:rsidRPr="0011497D">
        <w:rPr>
          <w:rFonts w:ascii="Times New Roman" w:hAnsi="Times New Roman"/>
          <w:sz w:val="28"/>
          <w:szCs w:val="28"/>
        </w:rPr>
        <w:t xml:space="preserve"> «Бухгалтерский баланс» (форма по ОКУД 0710001).</w:t>
      </w:r>
    </w:p>
    <w:p w:rsidR="0038559F" w:rsidRDefault="0038559F" w:rsidP="0038559F">
      <w:pPr>
        <w:autoSpaceDE w:val="0"/>
        <w:autoSpaceDN w:val="0"/>
        <w:adjustRightInd w:val="0"/>
        <w:spacing w:after="0"/>
        <w:ind w:firstLine="567"/>
        <w:jc w:val="both"/>
        <w:rPr>
          <w:rFonts w:ascii="Times New Roman" w:hAnsi="Times New Roman"/>
          <w:sz w:val="28"/>
          <w:szCs w:val="28"/>
        </w:rPr>
      </w:pPr>
    </w:p>
    <w:p w:rsidR="0038559F" w:rsidRPr="00E73A52" w:rsidRDefault="0038559F" w:rsidP="0038559F">
      <w:pPr>
        <w:pStyle w:val="ab"/>
        <w:tabs>
          <w:tab w:val="left" w:pos="567"/>
        </w:tabs>
        <w:ind w:left="709" w:firstLine="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E73A52">
        <w:rPr>
          <w:rFonts w:ascii="Times New Roman" w:hAnsi="Times New Roman" w:cs="Times New Roman"/>
          <w:b/>
          <w:sz w:val="28"/>
          <w:szCs w:val="28"/>
        </w:rPr>
        <w:t xml:space="preserve">Формирование </w:t>
      </w:r>
      <w:r>
        <w:rPr>
          <w:rFonts w:ascii="Times New Roman" w:hAnsi="Times New Roman" w:cs="Times New Roman"/>
          <w:b/>
          <w:sz w:val="28"/>
          <w:szCs w:val="28"/>
        </w:rPr>
        <w:t>И</w:t>
      </w:r>
      <w:r w:rsidRPr="00E73A52">
        <w:rPr>
          <w:rFonts w:ascii="Times New Roman" w:hAnsi="Times New Roman" w:cs="Times New Roman"/>
          <w:b/>
          <w:sz w:val="28"/>
          <w:szCs w:val="28"/>
        </w:rPr>
        <w:t>нформации по СГФ по расширенному сектору государственного управления по итогам 20</w:t>
      </w:r>
      <w:r w:rsidR="00FC7D90">
        <w:rPr>
          <w:rFonts w:ascii="Times New Roman" w:hAnsi="Times New Roman" w:cs="Times New Roman"/>
          <w:b/>
          <w:sz w:val="28"/>
          <w:szCs w:val="28"/>
        </w:rPr>
        <w:t>20</w:t>
      </w:r>
      <w:r w:rsidRPr="00E73A52">
        <w:rPr>
          <w:rFonts w:ascii="Times New Roman" w:hAnsi="Times New Roman" w:cs="Times New Roman"/>
          <w:b/>
          <w:sz w:val="28"/>
          <w:szCs w:val="28"/>
        </w:rPr>
        <w:t xml:space="preserve"> года</w:t>
      </w:r>
    </w:p>
    <w:p w:rsidR="0038559F" w:rsidRDefault="0038559F" w:rsidP="0038559F">
      <w:pPr>
        <w:pStyle w:val="ab"/>
        <w:tabs>
          <w:tab w:val="left" w:pos="709"/>
        </w:tabs>
        <w:ind w:left="0"/>
        <w:rPr>
          <w:rFonts w:ascii="Times New Roman" w:hAnsi="Times New Roman" w:cs="Times New Roman"/>
          <w:sz w:val="28"/>
          <w:szCs w:val="28"/>
        </w:rPr>
      </w:pP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И</w:t>
      </w:r>
      <w:r w:rsidRPr="00D814DC">
        <w:rPr>
          <w:rFonts w:ascii="Times New Roman" w:hAnsi="Times New Roman"/>
          <w:sz w:val="28"/>
          <w:szCs w:val="28"/>
        </w:rPr>
        <w:t xml:space="preserve">нформация по СГФ </w:t>
      </w:r>
      <w:r w:rsidR="00A010A7">
        <w:rPr>
          <w:rFonts w:ascii="Times New Roman" w:hAnsi="Times New Roman"/>
          <w:sz w:val="28"/>
          <w:szCs w:val="28"/>
        </w:rPr>
        <w:t>за 20</w:t>
      </w:r>
      <w:r w:rsidR="00B40262">
        <w:rPr>
          <w:rFonts w:ascii="Times New Roman" w:hAnsi="Times New Roman"/>
          <w:sz w:val="28"/>
          <w:szCs w:val="28"/>
        </w:rPr>
        <w:t>20</w:t>
      </w:r>
      <w:r w:rsidR="00A010A7">
        <w:rPr>
          <w:rFonts w:ascii="Times New Roman" w:hAnsi="Times New Roman"/>
          <w:sz w:val="28"/>
          <w:szCs w:val="28"/>
        </w:rPr>
        <w:t xml:space="preserve"> год </w:t>
      </w:r>
      <w:r w:rsidRPr="00D814DC">
        <w:rPr>
          <w:rFonts w:ascii="Times New Roman" w:hAnsi="Times New Roman"/>
          <w:sz w:val="28"/>
          <w:szCs w:val="28"/>
        </w:rPr>
        <w:t xml:space="preserve">по </w:t>
      </w:r>
      <w:r w:rsidR="00A010A7">
        <w:rPr>
          <w:rFonts w:ascii="Times New Roman" w:hAnsi="Times New Roman"/>
          <w:sz w:val="28"/>
          <w:szCs w:val="28"/>
        </w:rPr>
        <w:t xml:space="preserve">расширенному </w:t>
      </w:r>
      <w:r w:rsidRPr="00D814DC">
        <w:rPr>
          <w:rFonts w:ascii="Times New Roman" w:hAnsi="Times New Roman"/>
          <w:sz w:val="28"/>
          <w:szCs w:val="28"/>
        </w:rPr>
        <w:t>сектору государственного управления</w:t>
      </w:r>
      <w:r>
        <w:rPr>
          <w:rFonts w:ascii="Times New Roman" w:hAnsi="Times New Roman"/>
          <w:sz w:val="28"/>
          <w:szCs w:val="28"/>
        </w:rPr>
        <w:t xml:space="preserve"> </w:t>
      </w:r>
      <w:r w:rsidR="00A010A7">
        <w:rPr>
          <w:rFonts w:ascii="Times New Roman" w:hAnsi="Times New Roman"/>
          <w:sz w:val="28"/>
          <w:szCs w:val="28"/>
        </w:rPr>
        <w:t>с</w:t>
      </w:r>
      <w:r w:rsidRPr="00D814DC">
        <w:rPr>
          <w:rFonts w:ascii="Times New Roman" w:hAnsi="Times New Roman"/>
          <w:sz w:val="28"/>
          <w:szCs w:val="28"/>
        </w:rPr>
        <w:t>формир</w:t>
      </w:r>
      <w:r w:rsidR="00A010A7">
        <w:rPr>
          <w:rFonts w:ascii="Times New Roman" w:hAnsi="Times New Roman"/>
          <w:sz w:val="28"/>
          <w:szCs w:val="28"/>
        </w:rPr>
        <w:t xml:space="preserve">ована в соответствии с пунктом 8 </w:t>
      </w:r>
      <w:r w:rsidR="00A010A7">
        <w:rPr>
          <w:rFonts w:ascii="Times New Roman" w:eastAsiaTheme="minorHAnsi" w:hAnsi="Times New Roman"/>
          <w:sz w:val="28"/>
          <w:szCs w:val="28"/>
        </w:rPr>
        <w:t xml:space="preserve">Порядка № </w:t>
      </w:r>
      <w:r w:rsidR="00B40262">
        <w:rPr>
          <w:rFonts w:ascii="Times New Roman" w:eastAsiaTheme="minorHAnsi" w:hAnsi="Times New Roman"/>
          <w:sz w:val="28"/>
          <w:szCs w:val="28"/>
        </w:rPr>
        <w:t>128</w:t>
      </w:r>
      <w:r w:rsidR="00A010A7">
        <w:rPr>
          <w:rFonts w:ascii="Times New Roman" w:eastAsiaTheme="minorHAnsi" w:hAnsi="Times New Roman"/>
          <w:sz w:val="28"/>
          <w:szCs w:val="28"/>
        </w:rPr>
        <w:t xml:space="preserve">н, </w:t>
      </w:r>
      <w:r w:rsidRPr="00D814DC">
        <w:rPr>
          <w:rFonts w:ascii="Times New Roman" w:hAnsi="Times New Roman"/>
          <w:sz w:val="28"/>
          <w:szCs w:val="28"/>
        </w:rPr>
        <w:t>на основе показателей</w:t>
      </w:r>
      <w:r>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бюджетной отчетности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003F70E1" w:rsidRPr="003F70E1">
        <w:rPr>
          <w:rFonts w:ascii="Times New Roman" w:hAnsi="Times New Roman"/>
          <w:sz w:val="28"/>
          <w:szCs w:val="28"/>
        </w:rPr>
        <w:t>государственны</w:t>
      </w:r>
      <w:r w:rsidR="00F35C50">
        <w:rPr>
          <w:rFonts w:ascii="Times New Roman" w:hAnsi="Times New Roman"/>
          <w:sz w:val="28"/>
          <w:szCs w:val="28"/>
        </w:rPr>
        <w:t>х</w:t>
      </w:r>
      <w:r w:rsidR="003F70E1" w:rsidRPr="003F70E1">
        <w:rPr>
          <w:rFonts w:ascii="Times New Roman" w:hAnsi="Times New Roman"/>
          <w:sz w:val="28"/>
          <w:szCs w:val="28"/>
        </w:rPr>
        <w:t xml:space="preserve"> (муниципальны</w:t>
      </w:r>
      <w:r w:rsidR="00F35C50">
        <w:rPr>
          <w:rFonts w:ascii="Times New Roman" w:hAnsi="Times New Roman"/>
          <w:sz w:val="28"/>
          <w:szCs w:val="28"/>
        </w:rPr>
        <w:t>х</w:t>
      </w:r>
      <w:r w:rsidR="003F70E1" w:rsidRPr="003F70E1">
        <w:rPr>
          <w:rFonts w:ascii="Times New Roman" w:hAnsi="Times New Roman"/>
          <w:sz w:val="28"/>
          <w:szCs w:val="28"/>
        </w:rPr>
        <w:t xml:space="preserve">) </w:t>
      </w:r>
      <w:r w:rsidR="00F35C50">
        <w:rPr>
          <w:rFonts w:ascii="Times New Roman" w:hAnsi="Times New Roman"/>
          <w:sz w:val="28"/>
          <w:szCs w:val="28"/>
        </w:rPr>
        <w:t xml:space="preserve">казенных </w:t>
      </w:r>
      <w:r w:rsidR="003F70E1" w:rsidRPr="003F70E1">
        <w:rPr>
          <w:rFonts w:ascii="Times New Roman" w:hAnsi="Times New Roman"/>
          <w:sz w:val="28"/>
          <w:szCs w:val="28"/>
        </w:rPr>
        <w:t>учреждени</w:t>
      </w:r>
      <w:r w:rsidR="00F35C50">
        <w:rPr>
          <w:rFonts w:ascii="Times New Roman" w:hAnsi="Times New Roman"/>
          <w:sz w:val="28"/>
          <w:szCs w:val="28"/>
        </w:rPr>
        <w:t>й</w:t>
      </w:r>
      <w:r w:rsidR="003F70E1" w:rsidRPr="003F70E1">
        <w:rPr>
          <w:rFonts w:ascii="Times New Roman" w:hAnsi="Times New Roman"/>
          <w:sz w:val="28"/>
          <w:szCs w:val="28"/>
        </w:rPr>
        <w:t>, в том числе находящи</w:t>
      </w:r>
      <w:r w:rsidR="00F35C50">
        <w:rPr>
          <w:rFonts w:ascii="Times New Roman" w:hAnsi="Times New Roman"/>
          <w:sz w:val="28"/>
          <w:szCs w:val="28"/>
        </w:rPr>
        <w:t>х</w:t>
      </w:r>
      <w:r w:rsidR="003F70E1" w:rsidRPr="003F70E1">
        <w:rPr>
          <w:rFonts w:ascii="Times New Roman" w:hAnsi="Times New Roman"/>
          <w:sz w:val="28"/>
          <w:szCs w:val="28"/>
        </w:rPr>
        <w:t>ся за пределами Российской Федерации</w:t>
      </w:r>
      <w:r w:rsidR="003F70E1">
        <w:rPr>
          <w:rFonts w:ascii="Times New Roman" w:hAnsi="Times New Roman"/>
          <w:sz w:val="28"/>
          <w:szCs w:val="28"/>
        </w:rPr>
        <w:t xml:space="preserve">, </w:t>
      </w:r>
      <w:r w:rsidR="003F70E1" w:rsidRPr="003F70E1">
        <w:rPr>
          <w:rFonts w:ascii="Times New Roman" w:hAnsi="Times New Roman"/>
          <w:sz w:val="28"/>
          <w:szCs w:val="28"/>
        </w:rPr>
        <w:t>ины</w:t>
      </w:r>
      <w:r w:rsidR="006A646D">
        <w:rPr>
          <w:rFonts w:ascii="Times New Roman" w:hAnsi="Times New Roman"/>
          <w:sz w:val="28"/>
          <w:szCs w:val="28"/>
        </w:rPr>
        <w:t>х</w:t>
      </w:r>
      <w:r w:rsidR="003F70E1" w:rsidRPr="003F70E1">
        <w:rPr>
          <w:rFonts w:ascii="Times New Roman" w:hAnsi="Times New Roman"/>
          <w:sz w:val="28"/>
          <w:szCs w:val="28"/>
        </w:rPr>
        <w:t xml:space="preserve"> юридически</w:t>
      </w:r>
      <w:r w:rsidR="006A646D">
        <w:rPr>
          <w:rFonts w:ascii="Times New Roman" w:hAnsi="Times New Roman"/>
          <w:sz w:val="28"/>
          <w:szCs w:val="28"/>
        </w:rPr>
        <w:t>х</w:t>
      </w:r>
      <w:r w:rsidR="003F70E1" w:rsidRPr="003F70E1">
        <w:rPr>
          <w:rFonts w:ascii="Times New Roman" w:hAnsi="Times New Roman"/>
          <w:sz w:val="28"/>
          <w:szCs w:val="28"/>
        </w:rPr>
        <w:t xml:space="preserve"> лиц, осуществляющи</w:t>
      </w:r>
      <w:r w:rsidR="006A646D">
        <w:rPr>
          <w:rFonts w:ascii="Times New Roman" w:hAnsi="Times New Roman"/>
          <w:sz w:val="28"/>
          <w:szCs w:val="28"/>
        </w:rPr>
        <w:t>х</w:t>
      </w:r>
      <w:r w:rsidR="003F70E1" w:rsidRPr="003F70E1">
        <w:rPr>
          <w:rFonts w:ascii="Times New Roman" w:hAnsi="Times New Roman"/>
          <w:sz w:val="28"/>
          <w:szCs w:val="28"/>
        </w:rPr>
        <w:t xml:space="preserve"> в соответствии с законодательством Российской Федерации бюджетные полномочия получателя бюджетных средств</w:t>
      </w:r>
      <w:r>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w:t>
      </w:r>
      <w:r w:rsidRPr="00D814DC">
        <w:rPr>
          <w:rFonts w:ascii="Times New Roman" w:hAnsi="Times New Roman"/>
          <w:sz w:val="28"/>
          <w:szCs w:val="28"/>
        </w:rPr>
        <w:t xml:space="preserve">бухгалтерской (финансовой) отчетности </w:t>
      </w:r>
      <w:r>
        <w:rPr>
          <w:rFonts w:ascii="Times New Roman" w:hAnsi="Times New Roman"/>
          <w:sz w:val="28"/>
          <w:szCs w:val="28"/>
        </w:rPr>
        <w:t>государственных (муниципальных) бюджетных и автономных учреждений</w:t>
      </w:r>
      <w:r w:rsidR="00F35C50">
        <w:rPr>
          <w:rFonts w:ascii="Times New Roman" w:hAnsi="Times New Roman"/>
          <w:sz w:val="28"/>
          <w:szCs w:val="28"/>
        </w:rPr>
        <w:t xml:space="preserve">, </w:t>
      </w:r>
      <w:r w:rsidR="00F35C50" w:rsidRPr="003F70E1">
        <w:rPr>
          <w:rFonts w:ascii="Times New Roman" w:hAnsi="Times New Roman"/>
          <w:sz w:val="28"/>
          <w:szCs w:val="28"/>
        </w:rPr>
        <w:t>в том числе находящи</w:t>
      </w:r>
      <w:r w:rsidR="00F35C50">
        <w:rPr>
          <w:rFonts w:ascii="Times New Roman" w:hAnsi="Times New Roman"/>
          <w:sz w:val="28"/>
          <w:szCs w:val="28"/>
        </w:rPr>
        <w:t>х</w:t>
      </w:r>
      <w:r w:rsidR="00F35C50" w:rsidRPr="003F70E1">
        <w:rPr>
          <w:rFonts w:ascii="Times New Roman" w:hAnsi="Times New Roman"/>
          <w:sz w:val="28"/>
          <w:szCs w:val="28"/>
        </w:rPr>
        <w:t>ся за пределами Российской Федерации</w:t>
      </w:r>
      <w:r>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Pr="00266649">
        <w:rPr>
          <w:rFonts w:ascii="Times New Roman" w:hAnsi="Times New Roman"/>
          <w:sz w:val="28"/>
          <w:szCs w:val="28"/>
        </w:rPr>
        <w:t xml:space="preserve"> бухгалтерской (финансовой) отчетности </w:t>
      </w:r>
      <w:r w:rsidR="00F35C50">
        <w:rPr>
          <w:rFonts w:ascii="Times New Roman" w:hAnsi="Times New Roman"/>
          <w:sz w:val="28"/>
          <w:szCs w:val="28"/>
        </w:rPr>
        <w:t>г</w:t>
      </w:r>
      <w:r w:rsidRPr="00266649">
        <w:rPr>
          <w:rFonts w:ascii="Times New Roman" w:hAnsi="Times New Roman"/>
          <w:sz w:val="28"/>
          <w:szCs w:val="28"/>
        </w:rPr>
        <w:t xml:space="preserve">осударственной корпорации </w:t>
      </w:r>
      <w:r w:rsidR="00F35C50">
        <w:rPr>
          <w:rFonts w:ascii="Times New Roman" w:hAnsi="Times New Roman"/>
          <w:sz w:val="28"/>
          <w:szCs w:val="28"/>
        </w:rPr>
        <w:t>–</w:t>
      </w:r>
      <w:r w:rsidRPr="00266649">
        <w:rPr>
          <w:rFonts w:ascii="Times New Roman" w:hAnsi="Times New Roman"/>
          <w:sz w:val="28"/>
          <w:szCs w:val="28"/>
        </w:rPr>
        <w:t>Фонд содействия реформированию жилищно-коммунального хозяйства</w:t>
      </w:r>
      <w:r w:rsidR="00F35C50">
        <w:rPr>
          <w:rFonts w:ascii="Times New Roman" w:hAnsi="Times New Roman"/>
          <w:sz w:val="28"/>
          <w:szCs w:val="28"/>
        </w:rPr>
        <w:t>,</w:t>
      </w:r>
      <w:r w:rsidRPr="00266649">
        <w:rPr>
          <w:rFonts w:ascii="Times New Roman" w:hAnsi="Times New Roman"/>
          <w:sz w:val="28"/>
          <w:szCs w:val="28"/>
        </w:rPr>
        <w:t xml:space="preserve"> Государственной компании </w:t>
      </w:r>
      <w:r>
        <w:rPr>
          <w:rFonts w:ascii="Times New Roman" w:hAnsi="Times New Roman"/>
          <w:sz w:val="28"/>
          <w:szCs w:val="28"/>
        </w:rPr>
        <w:t>«</w:t>
      </w:r>
      <w:r w:rsidRPr="00266649">
        <w:rPr>
          <w:rFonts w:ascii="Times New Roman" w:hAnsi="Times New Roman"/>
          <w:sz w:val="28"/>
          <w:szCs w:val="28"/>
        </w:rPr>
        <w:t>Российские автомобильные дороги</w:t>
      </w:r>
      <w:r>
        <w:rPr>
          <w:rFonts w:ascii="Times New Roman" w:hAnsi="Times New Roman"/>
          <w:sz w:val="28"/>
          <w:szCs w:val="28"/>
        </w:rPr>
        <w:t>»</w:t>
      </w:r>
      <w:r w:rsidR="003F70E1">
        <w:rPr>
          <w:rFonts w:ascii="Times New Roman" w:hAnsi="Times New Roman"/>
          <w:sz w:val="28"/>
          <w:szCs w:val="28"/>
        </w:rPr>
        <w:t xml:space="preserve">, </w:t>
      </w:r>
      <w:r w:rsidR="003F70E1" w:rsidRPr="003F70E1">
        <w:rPr>
          <w:rFonts w:ascii="Times New Roman" w:hAnsi="Times New Roman"/>
          <w:sz w:val="28"/>
          <w:szCs w:val="28"/>
        </w:rPr>
        <w:t xml:space="preserve">акционерного общества </w:t>
      </w:r>
      <w:r w:rsidR="003F70E1">
        <w:rPr>
          <w:rFonts w:ascii="Times New Roman" w:hAnsi="Times New Roman"/>
          <w:sz w:val="28"/>
          <w:szCs w:val="28"/>
        </w:rPr>
        <w:t>«</w:t>
      </w:r>
      <w:r w:rsidR="003F70E1" w:rsidRPr="003F70E1">
        <w:rPr>
          <w:rFonts w:ascii="Times New Roman" w:hAnsi="Times New Roman"/>
          <w:sz w:val="28"/>
          <w:szCs w:val="28"/>
        </w:rPr>
        <w:t>РОСНАНО</w:t>
      </w:r>
      <w:r w:rsidR="003F70E1">
        <w:rPr>
          <w:rFonts w:ascii="Times New Roman" w:hAnsi="Times New Roman"/>
          <w:sz w:val="28"/>
          <w:szCs w:val="28"/>
        </w:rPr>
        <w:t>»</w:t>
      </w:r>
      <w:r w:rsidRPr="00266649">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бухгалтерской (финансовой) отчетности </w:t>
      </w:r>
      <w:r w:rsidR="00D5022E" w:rsidRPr="0011497D">
        <w:rPr>
          <w:rFonts w:ascii="Times New Roman" w:hAnsi="Times New Roman"/>
          <w:sz w:val="28"/>
          <w:szCs w:val="28"/>
        </w:rPr>
        <w:t>отдельных</w:t>
      </w:r>
      <w:r w:rsidR="00D5022E" w:rsidRPr="0011497D">
        <w:rPr>
          <w:rStyle w:val="af0"/>
          <w:rFonts w:ascii="Times New Roman" w:hAnsi="Times New Roman"/>
          <w:sz w:val="28"/>
          <w:szCs w:val="28"/>
        </w:rPr>
        <w:footnoteReference w:id="4"/>
      </w:r>
      <w:r w:rsidR="00D5022E">
        <w:rPr>
          <w:rFonts w:ascii="Times New Roman" w:hAnsi="Times New Roman"/>
          <w:sz w:val="28"/>
          <w:szCs w:val="28"/>
        </w:rPr>
        <w:t xml:space="preserve"> </w:t>
      </w:r>
      <w:r>
        <w:rPr>
          <w:rFonts w:ascii="Times New Roman" w:hAnsi="Times New Roman"/>
          <w:sz w:val="28"/>
          <w:szCs w:val="28"/>
        </w:rPr>
        <w:t>корпоративных юридических лиц - резидентов Российской Федерации (за исключением юридических лиц, основным видом деятельности которых является производство товаров),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 разность между чистой прибылью (убытком) которых и суммой полученных целевых субсидий, предоставляемых из бюджетов бюджетной системы Российской Федерации, и (или) иных целевых безвозмездных поступлений от респондентов сект</w:t>
      </w:r>
      <w:r w:rsidR="00C538FD">
        <w:rPr>
          <w:rFonts w:ascii="Times New Roman" w:hAnsi="Times New Roman"/>
          <w:sz w:val="28"/>
          <w:szCs w:val="28"/>
        </w:rPr>
        <w:t>ора государственного управления</w:t>
      </w:r>
      <w:r>
        <w:rPr>
          <w:rFonts w:ascii="Times New Roman" w:hAnsi="Times New Roman"/>
          <w:sz w:val="28"/>
          <w:szCs w:val="28"/>
        </w:rPr>
        <w:t xml:space="preserve"> имеет отрицательную величину за каждый год из последних трех лет, или потребителями более 50 процентов производимой корпоративными юридическими лицами продукции, выполняемых работ (оказываемых услуг) являются респонденты сектора государственного управления, при условии, что корпоративное юридическое лицо не находится в стадии ликвидации (упразднения), или производство продукции, выполнение работ (оказание услуг) в каждом году из последних трех лет не осуществлялось;</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бухгалтерской (финансовой) отчетности </w:t>
      </w:r>
      <w:r w:rsidR="00D5022E" w:rsidRPr="0011497D">
        <w:rPr>
          <w:rFonts w:ascii="Times New Roman" w:hAnsi="Times New Roman"/>
          <w:sz w:val="28"/>
          <w:szCs w:val="28"/>
        </w:rPr>
        <w:t>отдельных</w:t>
      </w:r>
      <w:r w:rsidR="00D5022E" w:rsidRPr="0011497D">
        <w:rPr>
          <w:rStyle w:val="af0"/>
          <w:rFonts w:ascii="Times New Roman" w:hAnsi="Times New Roman"/>
          <w:sz w:val="28"/>
          <w:szCs w:val="28"/>
        </w:rPr>
        <w:footnoteReference w:id="5"/>
      </w:r>
      <w:r w:rsidR="00D5022E">
        <w:rPr>
          <w:rFonts w:ascii="Times New Roman" w:hAnsi="Times New Roman"/>
          <w:sz w:val="28"/>
          <w:szCs w:val="28"/>
        </w:rPr>
        <w:t xml:space="preserve"> </w:t>
      </w:r>
      <w:r>
        <w:rPr>
          <w:rFonts w:ascii="Times New Roman" w:hAnsi="Times New Roman"/>
          <w:sz w:val="28"/>
          <w:szCs w:val="28"/>
        </w:rPr>
        <w:t xml:space="preserve">унитарных юридических лиц (за исключением бухгалтерской (финансовой) отчетности государственных (муниципальных) учреждений), </w:t>
      </w:r>
      <w:r w:rsidR="00F35C50" w:rsidRPr="00F35C50">
        <w:rPr>
          <w:rFonts w:ascii="Times New Roman" w:hAnsi="Times New Roman"/>
          <w:sz w:val="28"/>
          <w:szCs w:val="28"/>
        </w:rPr>
        <w:t>учредителем которых являются публично-правовые образования</w:t>
      </w:r>
      <w:r>
        <w:rPr>
          <w:rFonts w:ascii="Times New Roman" w:hAnsi="Times New Roman"/>
          <w:sz w:val="28"/>
          <w:szCs w:val="28"/>
        </w:rPr>
        <w:t>, разность между чистой прибылью (убытком) которых и суммой полученных целевых субсидий, предоставляемых из бюджетов бюджетной системы Российской Федерации, и (или) иных целевых безвозмездных поступлений от респондентов сектора государственного управления имеет отрицательную величину за каждый год из последних трех лет</w:t>
      </w:r>
      <w:r w:rsidR="00C538FD">
        <w:rPr>
          <w:rFonts w:ascii="Times New Roman" w:hAnsi="Times New Roman"/>
          <w:sz w:val="28"/>
          <w:szCs w:val="28"/>
        </w:rPr>
        <w:t>,</w:t>
      </w:r>
      <w:r>
        <w:rPr>
          <w:rFonts w:ascii="Times New Roman" w:hAnsi="Times New Roman"/>
          <w:sz w:val="28"/>
          <w:szCs w:val="28"/>
        </w:rPr>
        <w:t xml:space="preserve"> или потребителями более 50 процентов производимых унитарными юридическими лицами продукции, выполняемых работ (оказываемых услуг) являются респонденты сектора государственного управления, при условии, что унитарное юридическое лицо не находится </w:t>
      </w:r>
      <w:r w:rsidR="00C538FD">
        <w:rPr>
          <w:rFonts w:ascii="Times New Roman" w:hAnsi="Times New Roman"/>
          <w:sz w:val="28"/>
          <w:szCs w:val="28"/>
        </w:rPr>
        <w:br/>
      </w:r>
      <w:r>
        <w:rPr>
          <w:rFonts w:ascii="Times New Roman" w:hAnsi="Times New Roman"/>
          <w:sz w:val="28"/>
          <w:szCs w:val="28"/>
        </w:rPr>
        <w:t>в стадии ликвидации (упразднения), или производство продукции, выполнение работ (оказание услуг) в каждом году из после</w:t>
      </w:r>
      <w:r w:rsidR="00D5022E">
        <w:rPr>
          <w:rFonts w:ascii="Times New Roman" w:hAnsi="Times New Roman"/>
          <w:sz w:val="28"/>
          <w:szCs w:val="28"/>
        </w:rPr>
        <w:t xml:space="preserve">дних трех лет </w:t>
      </w:r>
      <w:r w:rsidR="00C538FD">
        <w:rPr>
          <w:rFonts w:ascii="Times New Roman" w:hAnsi="Times New Roman"/>
          <w:sz w:val="28"/>
          <w:szCs w:val="28"/>
        </w:rPr>
        <w:br/>
      </w:r>
      <w:r w:rsidR="00D5022E">
        <w:rPr>
          <w:rFonts w:ascii="Times New Roman" w:hAnsi="Times New Roman"/>
          <w:sz w:val="28"/>
          <w:szCs w:val="28"/>
        </w:rPr>
        <w:t>не осуществлялось.</w:t>
      </w:r>
    </w:p>
    <w:p w:rsidR="0038559F" w:rsidRDefault="00D5022E"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О</w:t>
      </w:r>
      <w:r w:rsidR="0038559F">
        <w:rPr>
          <w:rFonts w:ascii="Times New Roman" w:hAnsi="Times New Roman"/>
          <w:sz w:val="28"/>
          <w:szCs w:val="28"/>
        </w:rPr>
        <w:t>тбор</w:t>
      </w:r>
      <w:r>
        <w:rPr>
          <w:rFonts w:ascii="Times New Roman" w:hAnsi="Times New Roman"/>
          <w:sz w:val="28"/>
          <w:szCs w:val="28"/>
        </w:rPr>
        <w:t xml:space="preserve"> корпоративных и унитарных юридических лиц</w:t>
      </w:r>
      <w:r w:rsidR="0038559F">
        <w:rPr>
          <w:rFonts w:ascii="Times New Roman" w:hAnsi="Times New Roman"/>
          <w:sz w:val="28"/>
          <w:szCs w:val="28"/>
        </w:rPr>
        <w:t xml:space="preserve"> осуществлялся </w:t>
      </w:r>
      <w:r w:rsidR="006263F0">
        <w:rPr>
          <w:rFonts w:ascii="Times New Roman" w:hAnsi="Times New Roman"/>
          <w:sz w:val="28"/>
          <w:szCs w:val="28"/>
        </w:rPr>
        <w:br/>
      </w:r>
      <w:r w:rsidR="0038559F">
        <w:rPr>
          <w:rFonts w:ascii="Times New Roman" w:hAnsi="Times New Roman"/>
          <w:sz w:val="28"/>
          <w:szCs w:val="28"/>
        </w:rPr>
        <w:t>в соответствии с</w:t>
      </w:r>
      <w:r w:rsidR="003F70E1">
        <w:rPr>
          <w:rFonts w:ascii="Times New Roman" w:hAnsi="Times New Roman"/>
          <w:sz w:val="28"/>
          <w:szCs w:val="28"/>
        </w:rPr>
        <w:t>о</w:t>
      </w:r>
      <w:r w:rsidR="0038559F">
        <w:rPr>
          <w:rFonts w:ascii="Times New Roman" w:hAnsi="Times New Roman"/>
          <w:sz w:val="28"/>
          <w:szCs w:val="28"/>
        </w:rPr>
        <w:t xml:space="preserve"> следующим</w:t>
      </w:r>
      <w:r w:rsidR="003F70E1">
        <w:rPr>
          <w:rFonts w:ascii="Times New Roman" w:hAnsi="Times New Roman"/>
          <w:sz w:val="28"/>
          <w:szCs w:val="28"/>
        </w:rPr>
        <w:t>и</w:t>
      </w:r>
      <w:r w:rsidR="0038559F">
        <w:rPr>
          <w:rFonts w:ascii="Times New Roman" w:hAnsi="Times New Roman"/>
          <w:sz w:val="28"/>
          <w:szCs w:val="28"/>
        </w:rPr>
        <w:t xml:space="preserve"> показателям</w:t>
      </w:r>
      <w:r w:rsidR="003F70E1">
        <w:rPr>
          <w:rFonts w:ascii="Times New Roman" w:hAnsi="Times New Roman"/>
          <w:sz w:val="28"/>
          <w:szCs w:val="28"/>
        </w:rPr>
        <w:t>и</w:t>
      </w:r>
      <w:r w:rsidR="0038559F">
        <w:rPr>
          <w:rFonts w:ascii="Times New Roman" w:hAnsi="Times New Roman"/>
          <w:sz w:val="28"/>
          <w:szCs w:val="28"/>
        </w:rPr>
        <w:t>:</w:t>
      </w:r>
    </w:p>
    <w:p w:rsidR="0038559F" w:rsidRDefault="00D5022E"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по коду ОКОПФ;</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по коду ОКФС;</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по коду ОКВЭД по признаку основного вида деятельности;</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проверка по величине целевых субсидий, предоставляемых из бюджетов бюджетной системы Российской Федерации, и (или) иных целевых безвозмездных поступлений от государственных органов (органов местного самоуправления), государственных и муниципальных учреждений;</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проверка по сумме продаж в пользу государственных органов (органов местного самоуправления), государственных и муниципальных учреждений.</w:t>
      </w:r>
    </w:p>
    <w:p w:rsidR="0038559F" w:rsidRDefault="007938B5"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И</w:t>
      </w:r>
      <w:r w:rsidR="0038559F">
        <w:rPr>
          <w:rFonts w:ascii="Times New Roman" w:hAnsi="Times New Roman"/>
          <w:sz w:val="28"/>
          <w:szCs w:val="28"/>
        </w:rPr>
        <w:t xml:space="preserve">сходя из анализа данных годовой </w:t>
      </w:r>
      <w:r w:rsidR="0038559F" w:rsidRPr="005A2A37">
        <w:rPr>
          <w:rFonts w:ascii="Times New Roman" w:hAnsi="Times New Roman"/>
          <w:sz w:val="28"/>
          <w:szCs w:val="28"/>
        </w:rPr>
        <w:t>бухгалтерской (финансовой) отчетности</w:t>
      </w:r>
      <w:r w:rsidR="0038559F">
        <w:rPr>
          <w:rFonts w:ascii="Times New Roman" w:hAnsi="Times New Roman"/>
          <w:sz w:val="28"/>
          <w:szCs w:val="28"/>
        </w:rPr>
        <w:t xml:space="preserve"> за 20</w:t>
      </w:r>
      <w:r w:rsidR="00B40262">
        <w:rPr>
          <w:rFonts w:ascii="Times New Roman" w:hAnsi="Times New Roman"/>
          <w:sz w:val="28"/>
          <w:szCs w:val="28"/>
        </w:rPr>
        <w:t>20</w:t>
      </w:r>
      <w:r w:rsidR="0038559F">
        <w:rPr>
          <w:rFonts w:ascii="Times New Roman" w:hAnsi="Times New Roman"/>
          <w:sz w:val="28"/>
          <w:szCs w:val="28"/>
        </w:rPr>
        <w:t xml:space="preserve"> год, </w:t>
      </w:r>
      <w:r w:rsidR="00A505FD">
        <w:rPr>
          <w:rFonts w:ascii="Times New Roman" w:hAnsi="Times New Roman"/>
          <w:sz w:val="28"/>
          <w:szCs w:val="28"/>
        </w:rPr>
        <w:t xml:space="preserve">в </w:t>
      </w:r>
      <w:r w:rsidR="0038559F">
        <w:rPr>
          <w:rFonts w:ascii="Times New Roman" w:hAnsi="Times New Roman"/>
          <w:sz w:val="28"/>
          <w:szCs w:val="28"/>
        </w:rPr>
        <w:t xml:space="preserve">расширенный сектор государственного управления </w:t>
      </w:r>
      <w:r w:rsidR="00A505FD">
        <w:rPr>
          <w:rFonts w:ascii="Times New Roman" w:hAnsi="Times New Roman"/>
          <w:sz w:val="28"/>
          <w:szCs w:val="28"/>
        </w:rPr>
        <w:t>вошли</w:t>
      </w:r>
      <w:r w:rsidR="0038559F">
        <w:rPr>
          <w:rFonts w:ascii="Times New Roman" w:hAnsi="Times New Roman"/>
          <w:sz w:val="28"/>
          <w:szCs w:val="28"/>
        </w:rPr>
        <w:t xml:space="preserve"> </w:t>
      </w:r>
      <w:r w:rsidR="0038559F" w:rsidRPr="006263F0">
        <w:rPr>
          <w:rFonts w:ascii="Times New Roman" w:hAnsi="Times New Roman"/>
          <w:sz w:val="28"/>
          <w:szCs w:val="28"/>
        </w:rPr>
        <w:t xml:space="preserve">16 </w:t>
      </w:r>
      <w:r w:rsidR="00A505FD">
        <w:rPr>
          <w:rFonts w:ascii="Times New Roman" w:hAnsi="Times New Roman"/>
          <w:sz w:val="28"/>
          <w:szCs w:val="28"/>
        </w:rPr>
        <w:t>корпоративных, унитарных юридических лиц</w:t>
      </w:r>
      <w:r w:rsidR="0038559F">
        <w:rPr>
          <w:rFonts w:ascii="Times New Roman" w:hAnsi="Times New Roman"/>
          <w:sz w:val="28"/>
          <w:szCs w:val="28"/>
        </w:rPr>
        <w:t xml:space="preserve"> (данные представлены в </w:t>
      </w:r>
      <w:r w:rsidR="003F70E1">
        <w:rPr>
          <w:rFonts w:ascii="Times New Roman" w:hAnsi="Times New Roman"/>
          <w:sz w:val="28"/>
          <w:szCs w:val="28"/>
        </w:rPr>
        <w:t>Т</w:t>
      </w:r>
      <w:r w:rsidR="0038559F">
        <w:rPr>
          <w:rFonts w:ascii="Times New Roman" w:hAnsi="Times New Roman"/>
          <w:sz w:val="28"/>
          <w:szCs w:val="28"/>
        </w:rPr>
        <w:t>аблице 1).</w:t>
      </w:r>
    </w:p>
    <w:p w:rsidR="00B0756F" w:rsidRDefault="007938B5" w:rsidP="00B0756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Данные юридические лица п</w:t>
      </w:r>
      <w:r w:rsidR="00B0756F">
        <w:rPr>
          <w:rFonts w:ascii="Times New Roman" w:hAnsi="Times New Roman"/>
          <w:sz w:val="28"/>
          <w:szCs w:val="28"/>
        </w:rPr>
        <w:t>о признаку убыточности</w:t>
      </w:r>
      <w:r w:rsidR="00B0756F" w:rsidRPr="00325BB1">
        <w:rPr>
          <w:rFonts w:ascii="Times New Roman" w:hAnsi="Times New Roman"/>
          <w:sz w:val="28"/>
          <w:szCs w:val="28"/>
          <w:vertAlign w:val="superscript"/>
        </w:rPr>
        <w:footnoteReference w:id="6"/>
      </w:r>
      <w:r w:rsidR="00B0756F">
        <w:rPr>
          <w:rFonts w:ascii="Times New Roman" w:hAnsi="Times New Roman"/>
          <w:sz w:val="28"/>
          <w:szCs w:val="28"/>
        </w:rPr>
        <w:t xml:space="preserve"> в соответствии </w:t>
      </w:r>
      <w:r w:rsidR="006263F0">
        <w:rPr>
          <w:rFonts w:ascii="Times New Roman" w:hAnsi="Times New Roman"/>
          <w:sz w:val="28"/>
          <w:szCs w:val="28"/>
        </w:rPr>
        <w:br/>
      </w:r>
      <w:r w:rsidR="00B0756F">
        <w:rPr>
          <w:rFonts w:ascii="Times New Roman" w:hAnsi="Times New Roman"/>
          <w:sz w:val="28"/>
          <w:szCs w:val="28"/>
        </w:rPr>
        <w:t>с положениями подпунктов «</w:t>
      </w:r>
      <w:r w:rsidR="00C538FD">
        <w:rPr>
          <w:rFonts w:ascii="Times New Roman" w:hAnsi="Times New Roman"/>
          <w:sz w:val="28"/>
          <w:szCs w:val="28"/>
        </w:rPr>
        <w:t>а</w:t>
      </w:r>
      <w:r w:rsidR="00B0756F">
        <w:rPr>
          <w:rFonts w:ascii="Times New Roman" w:hAnsi="Times New Roman"/>
          <w:sz w:val="28"/>
          <w:szCs w:val="28"/>
        </w:rPr>
        <w:t>» и «</w:t>
      </w:r>
      <w:r w:rsidR="00C538FD">
        <w:rPr>
          <w:rFonts w:ascii="Times New Roman" w:hAnsi="Times New Roman"/>
          <w:sz w:val="28"/>
          <w:szCs w:val="28"/>
        </w:rPr>
        <w:t>б</w:t>
      </w:r>
      <w:r w:rsidR="00B0756F">
        <w:rPr>
          <w:rFonts w:ascii="Times New Roman" w:hAnsi="Times New Roman"/>
          <w:sz w:val="28"/>
          <w:szCs w:val="28"/>
        </w:rPr>
        <w:t xml:space="preserve">» пункта 8 Порядка </w:t>
      </w:r>
      <w:r w:rsidR="007D2EBD">
        <w:rPr>
          <w:rFonts w:ascii="Times New Roman" w:hAnsi="Times New Roman"/>
          <w:sz w:val="28"/>
          <w:szCs w:val="28"/>
        </w:rPr>
        <w:t xml:space="preserve">№ 128н </w:t>
      </w:r>
      <w:r>
        <w:rPr>
          <w:rFonts w:ascii="Times New Roman" w:hAnsi="Times New Roman"/>
          <w:sz w:val="28"/>
          <w:szCs w:val="28"/>
        </w:rPr>
        <w:t xml:space="preserve">отнесены </w:t>
      </w:r>
      <w:r w:rsidR="006263F0">
        <w:rPr>
          <w:rFonts w:ascii="Times New Roman" w:hAnsi="Times New Roman"/>
          <w:sz w:val="28"/>
          <w:szCs w:val="28"/>
        </w:rPr>
        <w:br/>
      </w:r>
      <w:r w:rsidR="00B0756F">
        <w:rPr>
          <w:rFonts w:ascii="Times New Roman" w:hAnsi="Times New Roman"/>
          <w:sz w:val="28"/>
          <w:szCs w:val="28"/>
        </w:rPr>
        <w:t>к расширенному сектору государственного управления.</w:t>
      </w:r>
    </w:p>
    <w:p w:rsidR="00B0756F" w:rsidRDefault="00B0756F" w:rsidP="00B0756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Для расчета признака убыточности принят показатель строки 2400 «Чистая прибыль (убыток)</w:t>
      </w:r>
      <w:r w:rsidR="007938B5">
        <w:rPr>
          <w:rFonts w:ascii="Times New Roman" w:hAnsi="Times New Roman"/>
          <w:sz w:val="28"/>
          <w:szCs w:val="28"/>
        </w:rPr>
        <w:t>»</w:t>
      </w:r>
      <w:r>
        <w:rPr>
          <w:rFonts w:ascii="Times New Roman" w:hAnsi="Times New Roman"/>
          <w:sz w:val="28"/>
          <w:szCs w:val="28"/>
        </w:rPr>
        <w:t xml:space="preserve"> Отчета о финансовых результатах (форма </w:t>
      </w:r>
      <w:r w:rsidR="006263F0">
        <w:rPr>
          <w:rFonts w:ascii="Times New Roman" w:hAnsi="Times New Roman"/>
          <w:sz w:val="28"/>
          <w:szCs w:val="28"/>
        </w:rPr>
        <w:br/>
      </w:r>
      <w:r>
        <w:rPr>
          <w:rFonts w:ascii="Times New Roman" w:hAnsi="Times New Roman"/>
          <w:sz w:val="28"/>
          <w:szCs w:val="28"/>
        </w:rPr>
        <w:t>по ОКУД 0710002</w:t>
      </w:r>
      <w:r w:rsidR="009826D7">
        <w:rPr>
          <w:rFonts w:ascii="Times New Roman" w:hAnsi="Times New Roman"/>
          <w:sz w:val="28"/>
          <w:szCs w:val="28"/>
        </w:rPr>
        <w:t>), а также данные, указанные в п</w:t>
      </w:r>
      <w:r>
        <w:rPr>
          <w:rFonts w:ascii="Times New Roman" w:hAnsi="Times New Roman"/>
          <w:sz w:val="28"/>
          <w:szCs w:val="28"/>
        </w:rPr>
        <w:t xml:space="preserve">ояснениях к бухгалтерскому балансу и </w:t>
      </w:r>
      <w:r w:rsidR="009826D7">
        <w:rPr>
          <w:rFonts w:ascii="Times New Roman" w:hAnsi="Times New Roman"/>
          <w:sz w:val="28"/>
          <w:szCs w:val="28"/>
        </w:rPr>
        <w:t>отчету о финансовых результатах</w:t>
      </w:r>
      <w:r>
        <w:rPr>
          <w:rFonts w:ascii="Times New Roman" w:hAnsi="Times New Roman"/>
          <w:sz w:val="28"/>
          <w:szCs w:val="28"/>
        </w:rPr>
        <w:t>.</w:t>
      </w:r>
    </w:p>
    <w:p w:rsidR="00176D42" w:rsidRDefault="00176D42" w:rsidP="006F486A">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Сравнительный анализ состава юридических лиц,</w:t>
      </w:r>
      <w:r w:rsidRPr="005B5DE2">
        <w:rPr>
          <w:rFonts w:ascii="Times New Roman" w:hAnsi="Times New Roman"/>
          <w:sz w:val="28"/>
          <w:szCs w:val="28"/>
        </w:rPr>
        <w:t xml:space="preserve"> </w:t>
      </w:r>
      <w:r>
        <w:rPr>
          <w:rFonts w:ascii="Times New Roman" w:hAnsi="Times New Roman"/>
          <w:sz w:val="28"/>
          <w:szCs w:val="28"/>
        </w:rPr>
        <w:t xml:space="preserve">включенных </w:t>
      </w:r>
      <w:r w:rsidR="006263F0">
        <w:rPr>
          <w:rFonts w:ascii="Times New Roman" w:hAnsi="Times New Roman"/>
          <w:sz w:val="28"/>
          <w:szCs w:val="28"/>
        </w:rPr>
        <w:br/>
      </w:r>
      <w:r>
        <w:rPr>
          <w:rFonts w:ascii="Times New Roman" w:hAnsi="Times New Roman"/>
          <w:sz w:val="28"/>
          <w:szCs w:val="28"/>
        </w:rPr>
        <w:t xml:space="preserve">в </w:t>
      </w:r>
      <w:r w:rsidR="009826D7">
        <w:rPr>
          <w:rFonts w:ascii="Times New Roman" w:hAnsi="Times New Roman"/>
          <w:sz w:val="28"/>
          <w:szCs w:val="28"/>
        </w:rPr>
        <w:t xml:space="preserve">расширенный </w:t>
      </w:r>
      <w:r w:rsidRPr="00D81637">
        <w:rPr>
          <w:rFonts w:ascii="Times New Roman" w:hAnsi="Times New Roman"/>
          <w:sz w:val="28"/>
          <w:szCs w:val="28"/>
        </w:rPr>
        <w:t>сектор государственного управления</w:t>
      </w:r>
      <w:r>
        <w:rPr>
          <w:rFonts w:ascii="Times New Roman" w:hAnsi="Times New Roman"/>
          <w:sz w:val="28"/>
          <w:szCs w:val="28"/>
        </w:rPr>
        <w:t xml:space="preserve"> по итогам анализа годовой бухгалтерской (финансовой) отчетности за 201</w:t>
      </w:r>
      <w:r w:rsidR="008E2848" w:rsidRPr="008E2848">
        <w:rPr>
          <w:rFonts w:ascii="Times New Roman" w:hAnsi="Times New Roman"/>
          <w:sz w:val="28"/>
          <w:szCs w:val="28"/>
        </w:rPr>
        <w:t>8</w:t>
      </w:r>
      <w:r>
        <w:rPr>
          <w:rFonts w:ascii="Times New Roman" w:hAnsi="Times New Roman"/>
          <w:sz w:val="28"/>
          <w:szCs w:val="28"/>
        </w:rPr>
        <w:t xml:space="preserve"> год</w:t>
      </w:r>
      <w:r w:rsidR="006263F0">
        <w:rPr>
          <w:rFonts w:ascii="Times New Roman" w:hAnsi="Times New Roman"/>
          <w:sz w:val="28"/>
          <w:szCs w:val="28"/>
        </w:rPr>
        <w:t>,</w:t>
      </w:r>
      <w:r>
        <w:rPr>
          <w:rFonts w:ascii="Times New Roman" w:hAnsi="Times New Roman"/>
          <w:sz w:val="28"/>
          <w:szCs w:val="28"/>
        </w:rPr>
        <w:t xml:space="preserve"> за 201</w:t>
      </w:r>
      <w:r w:rsidR="008E2848" w:rsidRPr="008E2848">
        <w:rPr>
          <w:rFonts w:ascii="Times New Roman" w:hAnsi="Times New Roman"/>
          <w:sz w:val="28"/>
          <w:szCs w:val="28"/>
        </w:rPr>
        <w:t>9</w:t>
      </w:r>
      <w:r>
        <w:rPr>
          <w:rFonts w:ascii="Times New Roman" w:hAnsi="Times New Roman"/>
          <w:sz w:val="28"/>
          <w:szCs w:val="28"/>
        </w:rPr>
        <w:t xml:space="preserve"> год</w:t>
      </w:r>
      <w:r w:rsidR="006263F0">
        <w:rPr>
          <w:rFonts w:ascii="Times New Roman" w:hAnsi="Times New Roman"/>
          <w:sz w:val="28"/>
          <w:szCs w:val="28"/>
        </w:rPr>
        <w:t xml:space="preserve"> и по итогам анализа годовой бухгалтерской (финансовой) отчетности за 2020 год</w:t>
      </w:r>
      <w:r>
        <w:rPr>
          <w:rFonts w:ascii="Times New Roman" w:hAnsi="Times New Roman"/>
          <w:sz w:val="28"/>
          <w:szCs w:val="28"/>
        </w:rPr>
        <w:t xml:space="preserve">, </w:t>
      </w:r>
      <w:r w:rsidRPr="00D81637">
        <w:rPr>
          <w:rFonts w:ascii="Times New Roman" w:hAnsi="Times New Roman"/>
          <w:sz w:val="28"/>
          <w:szCs w:val="28"/>
        </w:rPr>
        <w:t xml:space="preserve">представлен </w:t>
      </w:r>
      <w:r>
        <w:rPr>
          <w:rFonts w:ascii="Times New Roman" w:hAnsi="Times New Roman"/>
          <w:sz w:val="28"/>
          <w:szCs w:val="28"/>
        </w:rPr>
        <w:t xml:space="preserve">в </w:t>
      </w:r>
      <w:r w:rsidR="003F70E1">
        <w:rPr>
          <w:rFonts w:ascii="Times New Roman" w:hAnsi="Times New Roman"/>
          <w:sz w:val="28"/>
          <w:szCs w:val="28"/>
        </w:rPr>
        <w:t>Т</w:t>
      </w:r>
      <w:r>
        <w:rPr>
          <w:rFonts w:ascii="Times New Roman" w:hAnsi="Times New Roman"/>
          <w:sz w:val="28"/>
          <w:szCs w:val="28"/>
        </w:rPr>
        <w:t xml:space="preserve">аблице </w:t>
      </w:r>
      <w:r w:rsidR="00B0756F">
        <w:rPr>
          <w:rFonts w:ascii="Times New Roman" w:hAnsi="Times New Roman"/>
          <w:sz w:val="28"/>
          <w:szCs w:val="28"/>
        </w:rPr>
        <w:t>1</w:t>
      </w:r>
      <w:r>
        <w:rPr>
          <w:rFonts w:ascii="Times New Roman" w:hAnsi="Times New Roman"/>
          <w:sz w:val="28"/>
          <w:szCs w:val="28"/>
        </w:rPr>
        <w:t>.</w:t>
      </w:r>
    </w:p>
    <w:p w:rsidR="00176D42" w:rsidRDefault="00176D42" w:rsidP="006F486A">
      <w:pPr>
        <w:autoSpaceDE w:val="0"/>
        <w:autoSpaceDN w:val="0"/>
        <w:adjustRightInd w:val="0"/>
        <w:spacing w:after="0"/>
        <w:ind w:firstLine="567"/>
        <w:jc w:val="both"/>
        <w:rPr>
          <w:rFonts w:ascii="Times New Roman" w:hAnsi="Times New Roman"/>
          <w:sz w:val="28"/>
          <w:szCs w:val="28"/>
        </w:rPr>
      </w:pPr>
    </w:p>
    <w:p w:rsidR="00B0756F" w:rsidRDefault="00B0756F">
      <w:pPr>
        <w:spacing w:after="160" w:line="259" w:lineRule="auto"/>
        <w:rPr>
          <w:rFonts w:ascii="Times New Roman" w:hAnsi="Times New Roman"/>
          <w:sz w:val="28"/>
          <w:szCs w:val="28"/>
        </w:rPr>
      </w:pPr>
      <w:r>
        <w:rPr>
          <w:rFonts w:ascii="Times New Roman" w:hAnsi="Times New Roman"/>
          <w:sz w:val="28"/>
          <w:szCs w:val="28"/>
        </w:rPr>
        <w:br w:type="page"/>
      </w:r>
    </w:p>
    <w:p w:rsidR="00176D42" w:rsidRDefault="00176D42" w:rsidP="00176D4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Таблица </w:t>
      </w:r>
      <w:r w:rsidR="00B0756F">
        <w:rPr>
          <w:rFonts w:ascii="Times New Roman" w:hAnsi="Times New Roman"/>
          <w:sz w:val="28"/>
          <w:szCs w:val="28"/>
        </w:rPr>
        <w:t>1</w:t>
      </w:r>
      <w:r w:rsidR="00243357">
        <w:rPr>
          <w:rFonts w:ascii="Times New Roman" w:hAnsi="Times New Roman"/>
          <w:sz w:val="28"/>
          <w:szCs w:val="28"/>
        </w:rPr>
        <w:t>.</w:t>
      </w:r>
      <w:r>
        <w:rPr>
          <w:rFonts w:ascii="Times New Roman" w:hAnsi="Times New Roman"/>
          <w:sz w:val="28"/>
          <w:szCs w:val="28"/>
        </w:rPr>
        <w:t xml:space="preserve"> Перечень юридических лиц, отнесенных к </w:t>
      </w:r>
      <w:r w:rsidR="003F70E1">
        <w:rPr>
          <w:rFonts w:ascii="Times New Roman" w:hAnsi="Times New Roman"/>
          <w:sz w:val="28"/>
          <w:szCs w:val="28"/>
        </w:rPr>
        <w:t xml:space="preserve">расширенному </w:t>
      </w:r>
      <w:r>
        <w:rPr>
          <w:rFonts w:ascii="Times New Roman" w:hAnsi="Times New Roman"/>
          <w:sz w:val="28"/>
          <w:szCs w:val="28"/>
        </w:rPr>
        <w:t>сектору государственного управления, по итогам анализа годовой бухгалтерской (финансовой) отчетности за 201</w:t>
      </w:r>
      <w:r w:rsidR="008E2848" w:rsidRPr="008E2848">
        <w:rPr>
          <w:rFonts w:ascii="Times New Roman" w:hAnsi="Times New Roman"/>
          <w:sz w:val="28"/>
          <w:szCs w:val="28"/>
        </w:rPr>
        <w:t>8</w:t>
      </w:r>
      <w:r>
        <w:rPr>
          <w:rFonts w:ascii="Times New Roman" w:hAnsi="Times New Roman"/>
          <w:sz w:val="28"/>
          <w:szCs w:val="28"/>
        </w:rPr>
        <w:t xml:space="preserve"> </w:t>
      </w:r>
      <w:r w:rsidR="006263F0">
        <w:rPr>
          <w:rFonts w:ascii="Times New Roman" w:hAnsi="Times New Roman"/>
          <w:sz w:val="28"/>
          <w:szCs w:val="28"/>
        </w:rPr>
        <w:t>– 2020 годы.</w:t>
      </w:r>
    </w:p>
    <w:p w:rsidR="00176D42" w:rsidRDefault="00176D42" w:rsidP="00176D42">
      <w:pPr>
        <w:autoSpaceDE w:val="0"/>
        <w:autoSpaceDN w:val="0"/>
        <w:adjustRightInd w:val="0"/>
        <w:spacing w:after="0"/>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503"/>
        <w:gridCol w:w="850"/>
        <w:gridCol w:w="992"/>
        <w:gridCol w:w="1053"/>
      </w:tblGrid>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w:t>
            </w:r>
            <w:r w:rsidRPr="00D5733F">
              <w:rPr>
                <w:rFonts w:ascii="Times New Roman" w:hAnsi="Times New Roman"/>
                <w:b/>
                <w:sz w:val="26"/>
                <w:szCs w:val="26"/>
              </w:rPr>
              <w:br/>
              <w:t>п/п</w:t>
            </w:r>
          </w:p>
        </w:tc>
        <w:tc>
          <w:tcPr>
            <w:tcW w:w="5503" w:type="dxa"/>
            <w:shd w:val="clear" w:color="auto" w:fill="auto"/>
          </w:tcPr>
          <w:p w:rsidR="006263F0" w:rsidRPr="00D5733F" w:rsidRDefault="006263F0"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Наименование юридического лица</w:t>
            </w:r>
          </w:p>
        </w:tc>
        <w:tc>
          <w:tcPr>
            <w:tcW w:w="850" w:type="dxa"/>
            <w:shd w:val="clear" w:color="auto" w:fill="auto"/>
          </w:tcPr>
          <w:p w:rsidR="006263F0" w:rsidRPr="00D5733F" w:rsidRDefault="006263F0" w:rsidP="008E2848">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201</w:t>
            </w:r>
            <w:r w:rsidRPr="00243357">
              <w:rPr>
                <w:rFonts w:ascii="Times New Roman" w:hAnsi="Times New Roman"/>
                <w:b/>
                <w:sz w:val="26"/>
                <w:szCs w:val="26"/>
              </w:rPr>
              <w:t>8</w:t>
            </w:r>
            <w:r w:rsidRPr="00D5733F">
              <w:rPr>
                <w:rFonts w:ascii="Times New Roman" w:hAnsi="Times New Roman"/>
                <w:b/>
                <w:sz w:val="26"/>
                <w:szCs w:val="26"/>
              </w:rPr>
              <w:t xml:space="preserve"> год</w:t>
            </w:r>
          </w:p>
        </w:tc>
        <w:tc>
          <w:tcPr>
            <w:tcW w:w="992" w:type="dxa"/>
            <w:shd w:val="clear" w:color="auto" w:fill="auto"/>
          </w:tcPr>
          <w:p w:rsidR="006263F0" w:rsidRPr="00D5733F" w:rsidRDefault="006263F0" w:rsidP="008E2848">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201</w:t>
            </w:r>
            <w:r w:rsidRPr="00243357">
              <w:rPr>
                <w:rFonts w:ascii="Times New Roman" w:hAnsi="Times New Roman"/>
                <w:b/>
                <w:sz w:val="26"/>
                <w:szCs w:val="26"/>
              </w:rPr>
              <w:t>9</w:t>
            </w:r>
            <w:r w:rsidRPr="00D5733F">
              <w:rPr>
                <w:rFonts w:ascii="Times New Roman" w:hAnsi="Times New Roman"/>
                <w:b/>
                <w:sz w:val="26"/>
                <w:szCs w:val="26"/>
              </w:rPr>
              <w:t xml:space="preserve"> год</w:t>
            </w:r>
          </w:p>
        </w:tc>
        <w:tc>
          <w:tcPr>
            <w:tcW w:w="1053" w:type="dxa"/>
          </w:tcPr>
          <w:p w:rsidR="006263F0" w:rsidRPr="00D5733F" w:rsidRDefault="006263F0" w:rsidP="008E2848">
            <w:pPr>
              <w:autoSpaceDE w:val="0"/>
              <w:autoSpaceDN w:val="0"/>
              <w:adjustRightInd w:val="0"/>
              <w:spacing w:after="0"/>
              <w:jc w:val="center"/>
              <w:rPr>
                <w:rFonts w:ascii="Times New Roman" w:hAnsi="Times New Roman"/>
                <w:b/>
                <w:sz w:val="26"/>
                <w:szCs w:val="26"/>
              </w:rPr>
            </w:pPr>
            <w:r>
              <w:rPr>
                <w:rFonts w:ascii="Times New Roman" w:hAnsi="Times New Roman"/>
                <w:b/>
                <w:sz w:val="26"/>
                <w:szCs w:val="26"/>
              </w:rPr>
              <w:t>2020 год</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1</w:t>
            </w:r>
          </w:p>
        </w:tc>
        <w:tc>
          <w:tcPr>
            <w:tcW w:w="5503" w:type="dxa"/>
            <w:shd w:val="clear" w:color="auto" w:fill="auto"/>
          </w:tcPr>
          <w:p w:rsidR="006263F0" w:rsidRPr="00D5733F" w:rsidRDefault="006263F0"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2</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3</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4</w:t>
            </w:r>
          </w:p>
        </w:tc>
        <w:tc>
          <w:tcPr>
            <w:tcW w:w="1053" w:type="dxa"/>
          </w:tcPr>
          <w:p w:rsidR="006263F0" w:rsidRPr="00D5733F" w:rsidRDefault="0033575A" w:rsidP="0038559F">
            <w:pPr>
              <w:autoSpaceDE w:val="0"/>
              <w:autoSpaceDN w:val="0"/>
              <w:adjustRightInd w:val="0"/>
              <w:spacing w:after="0"/>
              <w:jc w:val="center"/>
              <w:rPr>
                <w:rFonts w:ascii="Times New Roman" w:hAnsi="Times New Roman"/>
                <w:b/>
                <w:sz w:val="26"/>
                <w:szCs w:val="26"/>
              </w:rPr>
            </w:pPr>
            <w:r>
              <w:rPr>
                <w:rFonts w:ascii="Times New Roman" w:hAnsi="Times New Roman"/>
                <w:b/>
                <w:sz w:val="26"/>
                <w:szCs w:val="26"/>
              </w:rPr>
              <w:t>5</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«Объединенная судостроительная корпорация»</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2</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«Гарнизон»</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3</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Федеральное государственное унитарное предприятие «Администрация гражданских аэропортов (аэродромов)»</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4</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«Особые экономические зоны»</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5</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w:t>
            </w:r>
            <w:proofErr w:type="spellStart"/>
            <w:r w:rsidRPr="00D5733F">
              <w:rPr>
                <w:rFonts w:ascii="Times New Roman" w:hAnsi="Times New Roman" w:cs="Times New Roman"/>
                <w:sz w:val="26"/>
                <w:szCs w:val="26"/>
              </w:rPr>
              <w:t>Росагролизинг</w:t>
            </w:r>
            <w:proofErr w:type="spellEnd"/>
            <w:r w:rsidRPr="00D5733F">
              <w:rPr>
                <w:rFonts w:ascii="Times New Roman" w:hAnsi="Times New Roman" w:cs="Times New Roman"/>
                <w:sz w:val="26"/>
                <w:szCs w:val="26"/>
              </w:rPr>
              <w:t>»</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1053" w:type="dxa"/>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6</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Федеральное государственное унитарное предприятие «Горно-Химический Комбинат»</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7</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«Государственный космический научно-производственный центр имени М.В. Хруничева»</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8</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«Российская венчурная компания»</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9</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 xml:space="preserve">Государственное унитарное предприятие города Москвы «Московский ордена Ленина и ордена Трудового Красного Знамени метрополитен </w:t>
            </w:r>
            <w:r w:rsidRPr="00D5733F">
              <w:rPr>
                <w:rFonts w:ascii="Times New Roman" w:hAnsi="Times New Roman" w:cs="Times New Roman"/>
                <w:sz w:val="26"/>
                <w:szCs w:val="26"/>
              </w:rPr>
              <w:br/>
              <w:t>имени В.И. Ленина»</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10</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Непубличное акционерное общество «Центр передачи технологий строительного комплекса Краснодарского края «Омега»</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11</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«Ленина»</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12</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«Республиканская инвестиционная компания»</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13</w:t>
            </w:r>
          </w:p>
        </w:tc>
        <w:tc>
          <w:tcPr>
            <w:tcW w:w="5503" w:type="dxa"/>
            <w:shd w:val="clear" w:color="auto" w:fill="auto"/>
            <w:vAlign w:val="center"/>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«Корпорация развития»</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14</w:t>
            </w:r>
          </w:p>
        </w:tc>
        <w:tc>
          <w:tcPr>
            <w:tcW w:w="5503" w:type="dxa"/>
            <w:shd w:val="clear" w:color="auto" w:fill="auto"/>
            <w:vAlign w:val="center"/>
          </w:tcPr>
          <w:p w:rsidR="006263F0" w:rsidRPr="00D5733F" w:rsidRDefault="006263F0" w:rsidP="00D53FDC">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Публичное акционерное общество «Авиакомпания «</w:t>
            </w:r>
            <w:proofErr w:type="spellStart"/>
            <w:r w:rsidRPr="00D5733F">
              <w:rPr>
                <w:rFonts w:ascii="Times New Roman" w:hAnsi="Times New Roman" w:cs="Times New Roman"/>
                <w:sz w:val="26"/>
                <w:szCs w:val="26"/>
              </w:rPr>
              <w:t>Ютэйр</w:t>
            </w:r>
            <w:proofErr w:type="spellEnd"/>
            <w:r w:rsidRPr="00D5733F">
              <w:rPr>
                <w:rFonts w:ascii="Times New Roman" w:hAnsi="Times New Roman" w:cs="Times New Roman"/>
                <w:sz w:val="26"/>
                <w:szCs w:val="26"/>
              </w:rPr>
              <w:t>»</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1053" w:type="dxa"/>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15</w:t>
            </w:r>
          </w:p>
        </w:tc>
        <w:tc>
          <w:tcPr>
            <w:tcW w:w="5503" w:type="dxa"/>
            <w:shd w:val="clear" w:color="auto" w:fill="auto"/>
            <w:vAlign w:val="bottom"/>
          </w:tcPr>
          <w:p w:rsidR="006263F0" w:rsidRPr="00D5733F" w:rsidRDefault="006263F0"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color w:val="000000"/>
                <w:sz w:val="26"/>
                <w:szCs w:val="26"/>
              </w:rPr>
              <w:t>Казенное предприятие города Москвы «Управление гражданского строительства»</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053" w:type="dxa"/>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16</w:t>
            </w:r>
          </w:p>
        </w:tc>
        <w:tc>
          <w:tcPr>
            <w:tcW w:w="5503" w:type="dxa"/>
            <w:shd w:val="clear" w:color="auto" w:fill="auto"/>
            <w:vAlign w:val="center"/>
          </w:tcPr>
          <w:p w:rsidR="006263F0" w:rsidRPr="00D5733F" w:rsidRDefault="006263F0" w:rsidP="0038559F">
            <w:pPr>
              <w:spacing w:after="0" w:line="240" w:lineRule="auto"/>
              <w:rPr>
                <w:rFonts w:ascii="Times New Roman" w:eastAsia="Times New Roman" w:hAnsi="Times New Roman"/>
                <w:sz w:val="26"/>
                <w:szCs w:val="26"/>
                <w:lang w:eastAsia="ru-RU"/>
              </w:rPr>
            </w:pPr>
            <w:r w:rsidRPr="00EA59BB">
              <w:rPr>
                <w:rFonts w:ascii="Times New Roman" w:eastAsia="Times New Roman" w:hAnsi="Times New Roman"/>
                <w:sz w:val="26"/>
                <w:szCs w:val="26"/>
                <w:lang w:eastAsia="ru-RU"/>
              </w:rPr>
              <w:t>Федеральное государственное унитарное предприятие «Российская телевизионная и радиовещательная сеть»</w:t>
            </w:r>
          </w:p>
        </w:tc>
        <w:tc>
          <w:tcPr>
            <w:tcW w:w="850"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992"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1053" w:type="dxa"/>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Pr="00D5733F"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17</w:t>
            </w:r>
          </w:p>
        </w:tc>
        <w:tc>
          <w:tcPr>
            <w:tcW w:w="5503" w:type="dxa"/>
            <w:shd w:val="clear" w:color="auto" w:fill="auto"/>
            <w:vAlign w:val="center"/>
          </w:tcPr>
          <w:p w:rsidR="006263F0" w:rsidRPr="00EA59BB" w:rsidRDefault="006263F0" w:rsidP="0038559F">
            <w:pPr>
              <w:spacing w:after="0" w:line="240" w:lineRule="auto"/>
              <w:rPr>
                <w:rFonts w:ascii="Times New Roman" w:eastAsia="Times New Roman" w:hAnsi="Times New Roman"/>
                <w:sz w:val="26"/>
                <w:szCs w:val="26"/>
                <w:lang w:eastAsia="ru-RU"/>
              </w:rPr>
            </w:pPr>
            <w:r w:rsidRPr="00616625">
              <w:rPr>
                <w:rFonts w:ascii="Times New Roman" w:eastAsia="Times New Roman" w:hAnsi="Times New Roman"/>
                <w:sz w:val="26"/>
                <w:szCs w:val="26"/>
                <w:lang w:eastAsia="ru-RU"/>
              </w:rPr>
              <w:t>Акционерное общество «Объединенная энергетическая компания»</w:t>
            </w:r>
          </w:p>
        </w:tc>
        <w:tc>
          <w:tcPr>
            <w:tcW w:w="850" w:type="dxa"/>
            <w:shd w:val="clear" w:color="auto" w:fill="auto"/>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992" w:type="dxa"/>
            <w:shd w:val="clear" w:color="auto" w:fill="auto"/>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1053" w:type="dxa"/>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263F0" w:rsidRPr="00D5733F" w:rsidTr="0033575A">
        <w:tc>
          <w:tcPr>
            <w:tcW w:w="588" w:type="dxa"/>
            <w:shd w:val="clear" w:color="auto" w:fill="auto"/>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18</w:t>
            </w:r>
          </w:p>
        </w:tc>
        <w:tc>
          <w:tcPr>
            <w:tcW w:w="5503" w:type="dxa"/>
            <w:shd w:val="clear" w:color="auto" w:fill="auto"/>
            <w:vAlign w:val="center"/>
          </w:tcPr>
          <w:p w:rsidR="006263F0" w:rsidRPr="00616625" w:rsidRDefault="006263F0" w:rsidP="0038559F">
            <w:pPr>
              <w:spacing w:after="0" w:line="240" w:lineRule="auto"/>
              <w:rPr>
                <w:rFonts w:ascii="Times New Roman" w:eastAsia="Times New Roman" w:hAnsi="Times New Roman"/>
                <w:sz w:val="26"/>
                <w:szCs w:val="26"/>
                <w:lang w:eastAsia="ru-RU"/>
              </w:rPr>
            </w:pPr>
            <w:r w:rsidRPr="00EA59BB">
              <w:rPr>
                <w:rFonts w:ascii="Times New Roman" w:eastAsia="Times New Roman" w:hAnsi="Times New Roman"/>
                <w:color w:val="000000"/>
                <w:sz w:val="26"/>
                <w:szCs w:val="26"/>
                <w:lang w:eastAsia="ru-RU"/>
              </w:rPr>
              <w:t>Акционерное общество «Западный скоростной диаметр»</w:t>
            </w:r>
          </w:p>
        </w:tc>
        <w:tc>
          <w:tcPr>
            <w:tcW w:w="850" w:type="dxa"/>
            <w:shd w:val="clear" w:color="auto" w:fill="auto"/>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992" w:type="dxa"/>
            <w:shd w:val="clear" w:color="auto" w:fill="auto"/>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1053" w:type="dxa"/>
          </w:tcPr>
          <w:p w:rsidR="006263F0" w:rsidRDefault="006263F0"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bl>
    <w:p w:rsidR="00176D42" w:rsidRPr="00E73A52" w:rsidRDefault="00D53FDC" w:rsidP="00B0756F">
      <w:pPr>
        <w:spacing w:after="160" w:line="259" w:lineRule="auto"/>
        <w:jc w:val="center"/>
        <w:rPr>
          <w:rFonts w:ascii="Times New Roman" w:hAnsi="Times New Roman"/>
          <w:b/>
          <w:sz w:val="28"/>
          <w:szCs w:val="28"/>
        </w:rPr>
      </w:pPr>
      <w:r>
        <w:rPr>
          <w:rFonts w:ascii="Times New Roman" w:hAnsi="Times New Roman"/>
          <w:b/>
          <w:sz w:val="28"/>
          <w:szCs w:val="28"/>
        </w:rPr>
        <w:br w:type="page"/>
      </w:r>
      <w:r w:rsidR="00176D42">
        <w:rPr>
          <w:rFonts w:ascii="Times New Roman" w:hAnsi="Times New Roman"/>
          <w:b/>
          <w:sz w:val="28"/>
          <w:szCs w:val="28"/>
        </w:rPr>
        <w:t>4. </w:t>
      </w:r>
      <w:r w:rsidR="00176D42" w:rsidRPr="00E73A52">
        <w:rPr>
          <w:rFonts w:ascii="Times New Roman" w:hAnsi="Times New Roman"/>
          <w:b/>
          <w:sz w:val="28"/>
          <w:szCs w:val="28"/>
        </w:rPr>
        <w:t xml:space="preserve">Формирование </w:t>
      </w:r>
      <w:r w:rsidR="00176D42">
        <w:rPr>
          <w:rFonts w:ascii="Times New Roman" w:hAnsi="Times New Roman"/>
          <w:b/>
          <w:sz w:val="28"/>
          <w:szCs w:val="28"/>
        </w:rPr>
        <w:t>И</w:t>
      </w:r>
      <w:r w:rsidR="00176D42" w:rsidRPr="00E73A52">
        <w:rPr>
          <w:rFonts w:ascii="Times New Roman" w:hAnsi="Times New Roman"/>
          <w:b/>
          <w:sz w:val="28"/>
          <w:szCs w:val="28"/>
        </w:rPr>
        <w:t xml:space="preserve">нформации по </w:t>
      </w:r>
      <w:r w:rsidR="00176D42">
        <w:rPr>
          <w:rFonts w:ascii="Times New Roman" w:hAnsi="Times New Roman"/>
          <w:b/>
          <w:sz w:val="28"/>
          <w:szCs w:val="28"/>
        </w:rPr>
        <w:t xml:space="preserve">СГФ </w:t>
      </w:r>
      <w:r w:rsidR="009826D7">
        <w:rPr>
          <w:rFonts w:ascii="Times New Roman" w:hAnsi="Times New Roman"/>
          <w:b/>
          <w:sz w:val="28"/>
          <w:szCs w:val="28"/>
        </w:rPr>
        <w:t>за 20</w:t>
      </w:r>
      <w:r w:rsidR="00FC7D90">
        <w:rPr>
          <w:rFonts w:ascii="Times New Roman" w:hAnsi="Times New Roman"/>
          <w:b/>
          <w:sz w:val="28"/>
          <w:szCs w:val="28"/>
        </w:rPr>
        <w:t>20</w:t>
      </w:r>
      <w:r w:rsidR="009826D7">
        <w:rPr>
          <w:rFonts w:ascii="Times New Roman" w:hAnsi="Times New Roman"/>
          <w:b/>
          <w:sz w:val="28"/>
          <w:szCs w:val="28"/>
        </w:rPr>
        <w:t xml:space="preserve"> год </w:t>
      </w:r>
      <w:r w:rsidR="00AA0654">
        <w:rPr>
          <w:rFonts w:ascii="Times New Roman" w:hAnsi="Times New Roman"/>
          <w:b/>
          <w:sz w:val="28"/>
          <w:szCs w:val="28"/>
        </w:rPr>
        <w:br/>
      </w:r>
      <w:r w:rsidR="00176D42">
        <w:rPr>
          <w:rFonts w:ascii="Times New Roman" w:hAnsi="Times New Roman"/>
          <w:b/>
          <w:sz w:val="28"/>
          <w:szCs w:val="28"/>
        </w:rPr>
        <w:t>п</w:t>
      </w:r>
      <w:r w:rsidR="00176D42" w:rsidRPr="00E73A52">
        <w:rPr>
          <w:rFonts w:ascii="Times New Roman" w:hAnsi="Times New Roman"/>
          <w:b/>
          <w:sz w:val="28"/>
          <w:szCs w:val="28"/>
        </w:rPr>
        <w:t>о государственному сектору</w:t>
      </w:r>
    </w:p>
    <w:p w:rsidR="00176D42" w:rsidRDefault="00176D42" w:rsidP="00176D42">
      <w:pPr>
        <w:pStyle w:val="ab"/>
        <w:tabs>
          <w:tab w:val="left" w:pos="567"/>
        </w:tabs>
        <w:ind w:left="0" w:firstLine="567"/>
        <w:rPr>
          <w:rFonts w:ascii="Times New Roman" w:hAnsi="Times New Roman" w:cs="Times New Roman"/>
          <w:sz w:val="28"/>
          <w:szCs w:val="28"/>
        </w:rPr>
      </w:pPr>
    </w:p>
    <w:p w:rsidR="00176D42" w:rsidRDefault="00176D42"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Информация по СГФ </w:t>
      </w:r>
      <w:r w:rsidR="009826D7">
        <w:rPr>
          <w:rFonts w:ascii="Times New Roman" w:hAnsi="Times New Roman"/>
          <w:sz w:val="28"/>
          <w:szCs w:val="28"/>
        </w:rPr>
        <w:t>за 20</w:t>
      </w:r>
      <w:r w:rsidR="006263F0">
        <w:rPr>
          <w:rFonts w:ascii="Times New Roman" w:hAnsi="Times New Roman"/>
          <w:sz w:val="28"/>
          <w:szCs w:val="28"/>
        </w:rPr>
        <w:t>20</w:t>
      </w:r>
      <w:r w:rsidR="009826D7">
        <w:rPr>
          <w:rFonts w:ascii="Times New Roman" w:hAnsi="Times New Roman"/>
          <w:sz w:val="28"/>
          <w:szCs w:val="28"/>
        </w:rPr>
        <w:t xml:space="preserve"> год </w:t>
      </w:r>
      <w:r>
        <w:rPr>
          <w:rFonts w:ascii="Times New Roman" w:hAnsi="Times New Roman"/>
          <w:sz w:val="28"/>
          <w:szCs w:val="28"/>
        </w:rPr>
        <w:t xml:space="preserve">по государственному сектору </w:t>
      </w:r>
      <w:r w:rsidR="009826D7">
        <w:rPr>
          <w:rFonts w:ascii="Times New Roman" w:hAnsi="Times New Roman"/>
          <w:sz w:val="28"/>
          <w:szCs w:val="28"/>
        </w:rPr>
        <w:t>с</w:t>
      </w:r>
      <w:r>
        <w:rPr>
          <w:rFonts w:ascii="Times New Roman" w:hAnsi="Times New Roman"/>
          <w:sz w:val="28"/>
          <w:szCs w:val="28"/>
        </w:rPr>
        <w:t>формир</w:t>
      </w:r>
      <w:r w:rsidR="009826D7">
        <w:rPr>
          <w:rFonts w:ascii="Times New Roman" w:hAnsi="Times New Roman"/>
          <w:sz w:val="28"/>
          <w:szCs w:val="28"/>
        </w:rPr>
        <w:t>ована в соответствии с пункт</w:t>
      </w:r>
      <w:r w:rsidR="002E675E">
        <w:rPr>
          <w:rFonts w:ascii="Times New Roman" w:hAnsi="Times New Roman"/>
          <w:sz w:val="28"/>
          <w:szCs w:val="28"/>
        </w:rPr>
        <w:t>ом</w:t>
      </w:r>
      <w:r w:rsidR="009826D7">
        <w:rPr>
          <w:rFonts w:ascii="Times New Roman" w:hAnsi="Times New Roman"/>
          <w:sz w:val="28"/>
          <w:szCs w:val="28"/>
        </w:rPr>
        <w:t xml:space="preserve"> 9 Порядка </w:t>
      </w:r>
      <w:r w:rsidR="007D2EBD">
        <w:rPr>
          <w:rFonts w:ascii="Times New Roman" w:hAnsi="Times New Roman"/>
          <w:sz w:val="28"/>
          <w:szCs w:val="28"/>
        </w:rPr>
        <w:t xml:space="preserve">№ 128н </w:t>
      </w:r>
      <w:r>
        <w:rPr>
          <w:rFonts w:ascii="Times New Roman" w:hAnsi="Times New Roman"/>
          <w:sz w:val="28"/>
          <w:szCs w:val="28"/>
        </w:rPr>
        <w:t>на основе показателей годовой бухгалтерской (финансовой) отчетности респондентов</w:t>
      </w:r>
      <w:r w:rsidR="003F70E1">
        <w:rPr>
          <w:rFonts w:ascii="Times New Roman" w:hAnsi="Times New Roman"/>
          <w:sz w:val="28"/>
          <w:szCs w:val="28"/>
        </w:rPr>
        <w:t xml:space="preserve"> расширенного </w:t>
      </w:r>
      <w:r>
        <w:rPr>
          <w:rFonts w:ascii="Times New Roman" w:hAnsi="Times New Roman"/>
          <w:sz w:val="28"/>
          <w:szCs w:val="28"/>
        </w:rPr>
        <w:t>сектора государственного управления по годовой Информации по СГФ</w:t>
      </w:r>
      <w:r w:rsidR="009826D7">
        <w:rPr>
          <w:rFonts w:ascii="Times New Roman" w:hAnsi="Times New Roman"/>
          <w:sz w:val="28"/>
          <w:szCs w:val="28"/>
        </w:rPr>
        <w:t xml:space="preserve"> за 20</w:t>
      </w:r>
      <w:r w:rsidR="00FC7D90">
        <w:rPr>
          <w:rFonts w:ascii="Times New Roman" w:hAnsi="Times New Roman"/>
          <w:sz w:val="28"/>
          <w:szCs w:val="28"/>
        </w:rPr>
        <w:t>20</w:t>
      </w:r>
      <w:r w:rsidR="009826D7">
        <w:rPr>
          <w:rFonts w:ascii="Times New Roman" w:hAnsi="Times New Roman"/>
          <w:sz w:val="28"/>
          <w:szCs w:val="28"/>
        </w:rPr>
        <w:t xml:space="preserve"> год</w:t>
      </w:r>
      <w:r>
        <w:rPr>
          <w:rFonts w:ascii="Times New Roman" w:hAnsi="Times New Roman"/>
          <w:sz w:val="28"/>
          <w:szCs w:val="28"/>
        </w:rPr>
        <w:t>, предусмотренной пунктом 8 Порядка</w:t>
      </w:r>
      <w:r w:rsidR="007D2EBD">
        <w:rPr>
          <w:rFonts w:ascii="Times New Roman" w:hAnsi="Times New Roman"/>
          <w:sz w:val="28"/>
          <w:szCs w:val="28"/>
        </w:rPr>
        <w:t xml:space="preserve"> № 128н</w:t>
      </w:r>
      <w:r>
        <w:rPr>
          <w:rFonts w:ascii="Times New Roman" w:hAnsi="Times New Roman"/>
          <w:sz w:val="28"/>
          <w:szCs w:val="28"/>
        </w:rPr>
        <w:t>, а также на основе показателей:</w:t>
      </w:r>
    </w:p>
    <w:p w:rsidR="00176D42" w:rsidRDefault="00176D42"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годовой бухгалтерской (финансовой) отчетности </w:t>
      </w:r>
      <w:r w:rsidR="00A410E7">
        <w:rPr>
          <w:rFonts w:ascii="Times New Roman" w:hAnsi="Times New Roman"/>
          <w:sz w:val="28"/>
          <w:szCs w:val="28"/>
        </w:rPr>
        <w:t>отдельных</w:t>
      </w:r>
      <w:r w:rsidR="00F35C50" w:rsidRPr="00F35C50">
        <w:rPr>
          <w:rFonts w:ascii="Times New Roman" w:hAnsi="Times New Roman"/>
          <w:sz w:val="28"/>
          <w:szCs w:val="28"/>
          <w:vertAlign w:val="superscript"/>
        </w:rPr>
        <w:t>7</w:t>
      </w:r>
      <w:r w:rsidR="00A410E7">
        <w:rPr>
          <w:rFonts w:ascii="Times New Roman" w:hAnsi="Times New Roman"/>
          <w:sz w:val="28"/>
          <w:szCs w:val="28"/>
        </w:rPr>
        <w:t xml:space="preserve"> </w:t>
      </w:r>
      <w:r>
        <w:rPr>
          <w:rFonts w:ascii="Times New Roman" w:hAnsi="Times New Roman"/>
          <w:sz w:val="28"/>
          <w:szCs w:val="28"/>
        </w:rPr>
        <w:t>корпоративных юридических лиц, не указанных в подпункте «</w:t>
      </w:r>
      <w:r w:rsidR="00F35C50">
        <w:rPr>
          <w:rFonts w:ascii="Times New Roman" w:hAnsi="Times New Roman"/>
          <w:sz w:val="28"/>
          <w:szCs w:val="28"/>
        </w:rPr>
        <w:t>а</w:t>
      </w:r>
      <w:r>
        <w:rPr>
          <w:rFonts w:ascii="Times New Roman" w:hAnsi="Times New Roman"/>
          <w:sz w:val="28"/>
          <w:szCs w:val="28"/>
        </w:rPr>
        <w:t>» пункта 8 Порядка</w:t>
      </w:r>
      <w:r w:rsidR="007D2EBD">
        <w:rPr>
          <w:rFonts w:ascii="Times New Roman" w:hAnsi="Times New Roman"/>
          <w:sz w:val="28"/>
          <w:szCs w:val="28"/>
        </w:rPr>
        <w:t xml:space="preserve"> № 128н</w:t>
      </w:r>
      <w:r>
        <w:rPr>
          <w:rFonts w:ascii="Times New Roman" w:hAnsi="Times New Roman"/>
          <w:sz w:val="28"/>
          <w:szCs w:val="28"/>
        </w:rPr>
        <w:t>,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w:t>
      </w:r>
    </w:p>
    <w:p w:rsidR="00176D42" w:rsidRDefault="00176D42"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годовой бухгалтерской (финансовой) отчетности </w:t>
      </w:r>
      <w:r w:rsidR="00A410E7">
        <w:rPr>
          <w:rFonts w:ascii="Times New Roman" w:hAnsi="Times New Roman"/>
          <w:sz w:val="28"/>
          <w:szCs w:val="28"/>
        </w:rPr>
        <w:t>отдельных</w:t>
      </w:r>
      <w:r w:rsidR="00A410E7">
        <w:rPr>
          <w:rStyle w:val="af0"/>
          <w:rFonts w:ascii="Times New Roman" w:hAnsi="Times New Roman"/>
          <w:sz w:val="28"/>
          <w:szCs w:val="28"/>
        </w:rPr>
        <w:footnoteReference w:id="7"/>
      </w:r>
      <w:r w:rsidR="00A410E7">
        <w:rPr>
          <w:rFonts w:ascii="Times New Roman" w:hAnsi="Times New Roman"/>
          <w:sz w:val="28"/>
          <w:szCs w:val="28"/>
        </w:rPr>
        <w:t xml:space="preserve"> </w:t>
      </w:r>
      <w:r>
        <w:rPr>
          <w:rFonts w:ascii="Times New Roman" w:hAnsi="Times New Roman"/>
          <w:sz w:val="28"/>
          <w:szCs w:val="28"/>
        </w:rPr>
        <w:t>унитарных юридических лиц, не указанных в подпункте «</w:t>
      </w:r>
      <w:r w:rsidR="00F35C50">
        <w:rPr>
          <w:rFonts w:ascii="Times New Roman" w:hAnsi="Times New Roman"/>
          <w:sz w:val="28"/>
          <w:szCs w:val="28"/>
        </w:rPr>
        <w:t>б</w:t>
      </w:r>
      <w:r>
        <w:rPr>
          <w:rFonts w:ascii="Times New Roman" w:hAnsi="Times New Roman"/>
          <w:sz w:val="28"/>
          <w:szCs w:val="28"/>
        </w:rPr>
        <w:t>» пункта 8 Порядка</w:t>
      </w:r>
      <w:r w:rsidR="007D2EBD">
        <w:rPr>
          <w:rFonts w:ascii="Times New Roman" w:hAnsi="Times New Roman"/>
          <w:sz w:val="28"/>
          <w:szCs w:val="28"/>
        </w:rPr>
        <w:t xml:space="preserve"> № 128н</w:t>
      </w:r>
      <w:r>
        <w:rPr>
          <w:rFonts w:ascii="Times New Roman" w:hAnsi="Times New Roman"/>
          <w:sz w:val="28"/>
          <w:szCs w:val="28"/>
        </w:rPr>
        <w:t xml:space="preserve">, </w:t>
      </w:r>
      <w:r w:rsidR="00F35C50" w:rsidRPr="00F35C50">
        <w:rPr>
          <w:rFonts w:ascii="Times New Roman" w:hAnsi="Times New Roman"/>
          <w:sz w:val="28"/>
          <w:szCs w:val="28"/>
        </w:rPr>
        <w:t>учредителем которых являются публично-правовые образования</w:t>
      </w:r>
      <w:r>
        <w:rPr>
          <w:rFonts w:ascii="Times New Roman" w:hAnsi="Times New Roman"/>
          <w:sz w:val="28"/>
          <w:szCs w:val="28"/>
        </w:rPr>
        <w:t>.</w:t>
      </w:r>
    </w:p>
    <w:p w:rsidR="00176D42" w:rsidRDefault="009826D7"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Н</w:t>
      </w:r>
      <w:r w:rsidR="00176D42" w:rsidRPr="00D2306F">
        <w:rPr>
          <w:rFonts w:ascii="Times New Roman" w:hAnsi="Times New Roman"/>
          <w:sz w:val="28"/>
          <w:szCs w:val="28"/>
        </w:rPr>
        <w:t>а основании критериев, установленных пунктом 9 Порядка</w:t>
      </w:r>
      <w:r w:rsidR="007D2EBD">
        <w:rPr>
          <w:rFonts w:ascii="Times New Roman" w:hAnsi="Times New Roman"/>
          <w:sz w:val="28"/>
          <w:szCs w:val="28"/>
        </w:rPr>
        <w:t xml:space="preserve"> № 128н</w:t>
      </w:r>
      <w:r w:rsidR="00176D42" w:rsidRPr="00D2306F">
        <w:rPr>
          <w:rFonts w:ascii="Times New Roman" w:hAnsi="Times New Roman"/>
          <w:sz w:val="28"/>
          <w:szCs w:val="28"/>
        </w:rPr>
        <w:t>, исходя из анализа данных бухгалтерской (финансовой) отчетности за 20</w:t>
      </w:r>
      <w:r w:rsidR="00FC7D90">
        <w:rPr>
          <w:rFonts w:ascii="Times New Roman" w:hAnsi="Times New Roman"/>
          <w:sz w:val="28"/>
          <w:szCs w:val="28"/>
        </w:rPr>
        <w:t>20 год</w:t>
      </w:r>
      <w:r w:rsidR="00176D42" w:rsidRPr="00D2306F">
        <w:rPr>
          <w:rFonts w:ascii="Times New Roman" w:hAnsi="Times New Roman"/>
          <w:sz w:val="28"/>
          <w:szCs w:val="28"/>
        </w:rPr>
        <w:t xml:space="preserve">, </w:t>
      </w:r>
      <w:r w:rsidR="00176D42" w:rsidRPr="00495FBA">
        <w:rPr>
          <w:rFonts w:ascii="Times New Roman" w:hAnsi="Times New Roman"/>
          <w:sz w:val="28"/>
          <w:szCs w:val="28"/>
        </w:rPr>
        <w:t xml:space="preserve">показатели </w:t>
      </w:r>
      <w:r w:rsidR="00176D42" w:rsidRPr="001D0BB8">
        <w:rPr>
          <w:rFonts w:ascii="Times New Roman" w:hAnsi="Times New Roman"/>
          <w:sz w:val="28"/>
          <w:szCs w:val="28"/>
        </w:rPr>
        <w:t>бухгалтерской (финансовой) отчетности</w:t>
      </w:r>
      <w:r w:rsidR="00176D42" w:rsidRPr="00D2306F">
        <w:rPr>
          <w:rFonts w:ascii="Times New Roman" w:hAnsi="Times New Roman"/>
          <w:sz w:val="28"/>
          <w:szCs w:val="28"/>
        </w:rPr>
        <w:t xml:space="preserve"> </w:t>
      </w:r>
      <w:r w:rsidR="001C7E9F">
        <w:rPr>
          <w:rFonts w:ascii="Times New Roman" w:hAnsi="Times New Roman"/>
          <w:sz w:val="28"/>
          <w:szCs w:val="28"/>
        </w:rPr>
        <w:t>37</w:t>
      </w:r>
      <w:r w:rsidR="00176D42" w:rsidRPr="00D2306F">
        <w:rPr>
          <w:rFonts w:ascii="Times New Roman" w:hAnsi="Times New Roman"/>
          <w:sz w:val="28"/>
          <w:szCs w:val="28"/>
        </w:rPr>
        <w:t xml:space="preserve"> </w:t>
      </w:r>
      <w:r w:rsidR="00176D42">
        <w:rPr>
          <w:rFonts w:ascii="Times New Roman" w:hAnsi="Times New Roman"/>
          <w:sz w:val="28"/>
          <w:szCs w:val="28"/>
        </w:rPr>
        <w:t>юридических лиц</w:t>
      </w:r>
      <w:r w:rsidR="00176D42" w:rsidRPr="00D2306F">
        <w:rPr>
          <w:rFonts w:ascii="Times New Roman" w:hAnsi="Times New Roman"/>
          <w:sz w:val="28"/>
          <w:szCs w:val="28"/>
        </w:rPr>
        <w:t xml:space="preserve"> </w:t>
      </w:r>
      <w:r w:rsidR="00176D42" w:rsidRPr="001D0BB8">
        <w:rPr>
          <w:rFonts w:ascii="Times New Roman" w:hAnsi="Times New Roman"/>
          <w:sz w:val="28"/>
          <w:szCs w:val="28"/>
        </w:rPr>
        <w:t>включен</w:t>
      </w:r>
      <w:r>
        <w:rPr>
          <w:rFonts w:ascii="Times New Roman" w:hAnsi="Times New Roman"/>
          <w:sz w:val="28"/>
          <w:szCs w:val="28"/>
        </w:rPr>
        <w:t xml:space="preserve">ы </w:t>
      </w:r>
      <w:r w:rsidR="00176D42" w:rsidRPr="001D0BB8">
        <w:rPr>
          <w:rFonts w:ascii="Times New Roman" w:hAnsi="Times New Roman"/>
          <w:sz w:val="28"/>
          <w:szCs w:val="28"/>
        </w:rPr>
        <w:t xml:space="preserve">в состав годовой </w:t>
      </w:r>
      <w:r w:rsidR="00176D42">
        <w:rPr>
          <w:rFonts w:ascii="Times New Roman" w:hAnsi="Times New Roman"/>
          <w:sz w:val="28"/>
          <w:szCs w:val="28"/>
        </w:rPr>
        <w:t>И</w:t>
      </w:r>
      <w:r w:rsidR="00176D42" w:rsidRPr="001D0BB8">
        <w:rPr>
          <w:rFonts w:ascii="Times New Roman" w:hAnsi="Times New Roman"/>
          <w:sz w:val="28"/>
          <w:szCs w:val="28"/>
        </w:rPr>
        <w:t xml:space="preserve">нформации </w:t>
      </w:r>
      <w:r w:rsidR="00176D42">
        <w:rPr>
          <w:rFonts w:ascii="Times New Roman" w:hAnsi="Times New Roman"/>
          <w:sz w:val="28"/>
          <w:szCs w:val="28"/>
        </w:rPr>
        <w:t>по СГФ</w:t>
      </w:r>
      <w:r w:rsidR="00F35C50">
        <w:rPr>
          <w:rFonts w:ascii="Times New Roman" w:hAnsi="Times New Roman"/>
          <w:sz w:val="28"/>
          <w:szCs w:val="28"/>
        </w:rPr>
        <w:t xml:space="preserve"> за 2020</w:t>
      </w:r>
      <w:r w:rsidR="00176D42" w:rsidRPr="001D0BB8">
        <w:rPr>
          <w:rFonts w:ascii="Times New Roman" w:hAnsi="Times New Roman"/>
          <w:sz w:val="28"/>
          <w:szCs w:val="28"/>
        </w:rPr>
        <w:t xml:space="preserve"> год</w:t>
      </w:r>
      <w:r w:rsidR="00EA59BB">
        <w:rPr>
          <w:rFonts w:ascii="Times New Roman" w:hAnsi="Times New Roman"/>
          <w:sz w:val="28"/>
          <w:szCs w:val="28"/>
        </w:rPr>
        <w:t xml:space="preserve"> </w:t>
      </w:r>
      <w:r w:rsidR="00176D42" w:rsidRPr="001D0BB8">
        <w:rPr>
          <w:rFonts w:ascii="Times New Roman" w:hAnsi="Times New Roman"/>
          <w:sz w:val="28"/>
          <w:szCs w:val="28"/>
        </w:rPr>
        <w:t xml:space="preserve">по </w:t>
      </w:r>
      <w:r w:rsidR="00FC7D90">
        <w:rPr>
          <w:rFonts w:ascii="Times New Roman" w:hAnsi="Times New Roman"/>
          <w:sz w:val="28"/>
          <w:szCs w:val="28"/>
        </w:rPr>
        <w:t>г</w:t>
      </w:r>
      <w:r w:rsidR="00176D42" w:rsidRPr="00D2306F">
        <w:rPr>
          <w:rFonts w:ascii="Times New Roman" w:hAnsi="Times New Roman"/>
          <w:sz w:val="28"/>
          <w:szCs w:val="28"/>
        </w:rPr>
        <w:t>осударственному сектору</w:t>
      </w:r>
      <w:r w:rsidR="00176D42">
        <w:rPr>
          <w:rFonts w:ascii="Times New Roman" w:hAnsi="Times New Roman"/>
          <w:sz w:val="28"/>
          <w:szCs w:val="28"/>
        </w:rPr>
        <w:t xml:space="preserve"> </w:t>
      </w:r>
      <w:r w:rsidR="00176D42" w:rsidRPr="00D2306F">
        <w:rPr>
          <w:rFonts w:ascii="Times New Roman" w:hAnsi="Times New Roman"/>
          <w:sz w:val="28"/>
          <w:szCs w:val="28"/>
        </w:rPr>
        <w:t>(данные представлены</w:t>
      </w:r>
      <w:r w:rsidR="00176D42">
        <w:rPr>
          <w:rFonts w:ascii="Times New Roman" w:hAnsi="Times New Roman"/>
          <w:sz w:val="28"/>
          <w:szCs w:val="28"/>
        </w:rPr>
        <w:t xml:space="preserve"> </w:t>
      </w:r>
      <w:r w:rsidR="003F70E1">
        <w:rPr>
          <w:rFonts w:ascii="Times New Roman" w:hAnsi="Times New Roman"/>
          <w:sz w:val="28"/>
          <w:szCs w:val="28"/>
        </w:rPr>
        <w:t>в Т</w:t>
      </w:r>
      <w:r w:rsidR="00176D42" w:rsidRPr="00D2306F">
        <w:rPr>
          <w:rFonts w:ascii="Times New Roman" w:hAnsi="Times New Roman"/>
          <w:sz w:val="28"/>
          <w:szCs w:val="28"/>
        </w:rPr>
        <w:t xml:space="preserve">аблице </w:t>
      </w:r>
      <w:r w:rsidR="00B0756F">
        <w:rPr>
          <w:rFonts w:ascii="Times New Roman" w:hAnsi="Times New Roman"/>
          <w:sz w:val="28"/>
          <w:szCs w:val="28"/>
        </w:rPr>
        <w:t>2</w:t>
      </w:r>
      <w:r w:rsidR="00176D42" w:rsidRPr="00D2306F">
        <w:rPr>
          <w:rFonts w:ascii="Times New Roman" w:hAnsi="Times New Roman"/>
          <w:sz w:val="28"/>
          <w:szCs w:val="28"/>
        </w:rPr>
        <w:t>).</w:t>
      </w:r>
    </w:p>
    <w:p w:rsidR="00B21AFA" w:rsidRDefault="00B21AFA" w:rsidP="00705473">
      <w:pPr>
        <w:spacing w:after="0"/>
        <w:ind w:firstLine="567"/>
        <w:jc w:val="both"/>
        <w:rPr>
          <w:rFonts w:ascii="Times New Roman" w:hAnsi="Times New Roman"/>
          <w:sz w:val="28"/>
          <w:szCs w:val="28"/>
        </w:rPr>
      </w:pPr>
      <w:r>
        <w:rPr>
          <w:rFonts w:ascii="Times New Roman" w:hAnsi="Times New Roman"/>
          <w:sz w:val="28"/>
          <w:szCs w:val="28"/>
        </w:rPr>
        <w:t>Сравнительный анализ состава юридических лиц,</w:t>
      </w:r>
      <w:r w:rsidRPr="005B5DE2">
        <w:rPr>
          <w:rFonts w:ascii="Times New Roman" w:hAnsi="Times New Roman"/>
          <w:sz w:val="28"/>
          <w:szCs w:val="28"/>
        </w:rPr>
        <w:t xml:space="preserve"> </w:t>
      </w:r>
      <w:r>
        <w:rPr>
          <w:rFonts w:ascii="Times New Roman" w:hAnsi="Times New Roman"/>
          <w:sz w:val="28"/>
          <w:szCs w:val="28"/>
        </w:rPr>
        <w:t xml:space="preserve">включенных </w:t>
      </w:r>
      <w:r>
        <w:rPr>
          <w:rFonts w:ascii="Times New Roman" w:hAnsi="Times New Roman"/>
          <w:sz w:val="28"/>
          <w:szCs w:val="28"/>
        </w:rPr>
        <w:br/>
        <w:t xml:space="preserve">в </w:t>
      </w:r>
      <w:r w:rsidRPr="00D81637">
        <w:rPr>
          <w:rFonts w:ascii="Times New Roman" w:hAnsi="Times New Roman"/>
          <w:sz w:val="28"/>
          <w:szCs w:val="28"/>
        </w:rPr>
        <w:t>государственн</w:t>
      </w:r>
      <w:r>
        <w:rPr>
          <w:rFonts w:ascii="Times New Roman" w:hAnsi="Times New Roman"/>
          <w:sz w:val="28"/>
          <w:szCs w:val="28"/>
        </w:rPr>
        <w:t xml:space="preserve">ый </w:t>
      </w:r>
      <w:r w:rsidRPr="00705473">
        <w:rPr>
          <w:rFonts w:ascii="Times New Roman" w:hAnsi="Times New Roman"/>
          <w:sz w:val="28"/>
          <w:szCs w:val="28"/>
        </w:rPr>
        <w:t xml:space="preserve">сектор по итогам анализа годовой бухгалтерской (финансовой) отчетности за 2018 год и за 2019 год, </w:t>
      </w:r>
      <w:r w:rsidR="00705473" w:rsidRPr="00705473">
        <w:rPr>
          <w:rFonts w:ascii="Times New Roman" w:hAnsi="Times New Roman"/>
          <w:sz w:val="28"/>
          <w:szCs w:val="28"/>
        </w:rPr>
        <w:t xml:space="preserve">и по итогам анализа годовой бухгалтерской (финансовой) отчетности за 2020 год, представлен </w:t>
      </w:r>
      <w:r w:rsidR="002478E3">
        <w:rPr>
          <w:rFonts w:ascii="Times New Roman" w:hAnsi="Times New Roman"/>
          <w:sz w:val="28"/>
          <w:szCs w:val="28"/>
        </w:rPr>
        <w:br/>
      </w:r>
      <w:r w:rsidR="00705473" w:rsidRPr="00705473">
        <w:rPr>
          <w:rFonts w:ascii="Times New Roman" w:hAnsi="Times New Roman"/>
          <w:sz w:val="28"/>
          <w:szCs w:val="28"/>
        </w:rPr>
        <w:t xml:space="preserve">в </w:t>
      </w:r>
      <w:r w:rsidR="003F70E1">
        <w:rPr>
          <w:rFonts w:ascii="Times New Roman" w:hAnsi="Times New Roman"/>
          <w:sz w:val="28"/>
          <w:szCs w:val="28"/>
        </w:rPr>
        <w:t>Т</w:t>
      </w:r>
      <w:r w:rsidR="00705473" w:rsidRPr="00705473">
        <w:rPr>
          <w:rFonts w:ascii="Times New Roman" w:hAnsi="Times New Roman"/>
          <w:sz w:val="28"/>
          <w:szCs w:val="28"/>
        </w:rPr>
        <w:t>аблице 2</w:t>
      </w:r>
      <w:r w:rsidRPr="00705473">
        <w:rPr>
          <w:rFonts w:ascii="Times New Roman" w:hAnsi="Times New Roman"/>
          <w:sz w:val="28"/>
          <w:szCs w:val="28"/>
        </w:rPr>
        <w:t>.</w:t>
      </w:r>
    </w:p>
    <w:p w:rsidR="009826D7" w:rsidRPr="002478E3" w:rsidRDefault="009826D7">
      <w:pPr>
        <w:spacing w:after="160" w:line="259" w:lineRule="auto"/>
        <w:rPr>
          <w:rFonts w:ascii="Times New Roman" w:hAnsi="Times New Roman"/>
          <w:sz w:val="28"/>
          <w:szCs w:val="28"/>
        </w:rPr>
      </w:pPr>
    </w:p>
    <w:p w:rsidR="00705473" w:rsidRDefault="00705473">
      <w:pPr>
        <w:spacing w:after="160" w:line="259" w:lineRule="auto"/>
        <w:rPr>
          <w:rFonts w:ascii="Times New Roman" w:hAnsi="Times New Roman"/>
          <w:sz w:val="28"/>
          <w:szCs w:val="28"/>
        </w:rPr>
      </w:pPr>
      <w:r>
        <w:rPr>
          <w:rFonts w:ascii="Times New Roman" w:hAnsi="Times New Roman"/>
          <w:sz w:val="28"/>
          <w:szCs w:val="28"/>
        </w:rPr>
        <w:br w:type="page"/>
      </w:r>
    </w:p>
    <w:p w:rsidR="00176D42" w:rsidRPr="00AE7F5D" w:rsidRDefault="00176D42" w:rsidP="00176D42">
      <w:pPr>
        <w:jc w:val="both"/>
        <w:rPr>
          <w:rFonts w:ascii="Times New Roman" w:hAnsi="Times New Roman"/>
          <w:sz w:val="28"/>
          <w:szCs w:val="28"/>
        </w:rPr>
      </w:pPr>
      <w:r>
        <w:rPr>
          <w:rFonts w:ascii="Times New Roman" w:hAnsi="Times New Roman"/>
          <w:sz w:val="28"/>
          <w:szCs w:val="28"/>
        </w:rPr>
        <w:t xml:space="preserve">Таблица </w:t>
      </w:r>
      <w:r w:rsidR="00B0756F">
        <w:rPr>
          <w:rFonts w:ascii="Times New Roman" w:hAnsi="Times New Roman"/>
          <w:sz w:val="28"/>
          <w:szCs w:val="28"/>
        </w:rPr>
        <w:t>2</w:t>
      </w:r>
      <w:r w:rsidR="00243357">
        <w:rPr>
          <w:rFonts w:ascii="Times New Roman" w:hAnsi="Times New Roman"/>
          <w:sz w:val="28"/>
          <w:szCs w:val="28"/>
        </w:rPr>
        <w:t>.</w:t>
      </w:r>
      <w:r>
        <w:rPr>
          <w:rFonts w:ascii="Times New Roman" w:hAnsi="Times New Roman"/>
          <w:sz w:val="28"/>
          <w:szCs w:val="28"/>
        </w:rPr>
        <w:t xml:space="preserve"> Перечень юридических лиц, отнесенных к государственному сектору, по итогам анализа годовой бухгалтерской (финансовой) отчетности</w:t>
      </w:r>
      <w:r>
        <w:rPr>
          <w:rFonts w:ascii="Times New Roman" w:hAnsi="Times New Roman"/>
          <w:sz w:val="28"/>
          <w:szCs w:val="28"/>
        </w:rPr>
        <w:br/>
      </w:r>
      <w:r w:rsidR="007845DE">
        <w:rPr>
          <w:rFonts w:ascii="Times New Roman" w:hAnsi="Times New Roman"/>
          <w:sz w:val="28"/>
          <w:szCs w:val="28"/>
        </w:rPr>
        <w:t xml:space="preserve">за 2018 </w:t>
      </w:r>
      <w:r w:rsidR="00AE7F5D">
        <w:rPr>
          <w:rFonts w:ascii="Times New Roman" w:hAnsi="Times New Roman"/>
          <w:sz w:val="28"/>
          <w:szCs w:val="28"/>
        </w:rPr>
        <w:t>–</w:t>
      </w:r>
      <w:r w:rsidR="00AE7F5D" w:rsidRPr="00AE7F5D">
        <w:rPr>
          <w:rFonts w:ascii="Times New Roman" w:hAnsi="Times New Roman"/>
          <w:sz w:val="28"/>
          <w:szCs w:val="28"/>
        </w:rPr>
        <w:t xml:space="preserve"> 2020 </w:t>
      </w:r>
      <w:r w:rsidR="00AE7F5D">
        <w:rPr>
          <w:rFonts w:ascii="Times New Roman" w:hAnsi="Times New Roman"/>
          <w:sz w:val="28"/>
          <w:szCs w:val="28"/>
        </w:rPr>
        <w:t>годы.</w:t>
      </w:r>
    </w:p>
    <w:tbl>
      <w:tblPr>
        <w:tblW w:w="9356" w:type="dxa"/>
        <w:tblInd w:w="-10" w:type="dxa"/>
        <w:tblLook w:val="04A0" w:firstRow="1" w:lastRow="0" w:firstColumn="1" w:lastColumn="0" w:noHBand="0" w:noVBand="1"/>
      </w:tblPr>
      <w:tblGrid>
        <w:gridCol w:w="588"/>
        <w:gridCol w:w="5933"/>
        <w:gridCol w:w="992"/>
        <w:gridCol w:w="992"/>
        <w:gridCol w:w="851"/>
      </w:tblGrid>
      <w:tr w:rsidR="006263F0" w:rsidRPr="00B21AFA" w:rsidTr="0033575A">
        <w:trPr>
          <w:trHeight w:val="675"/>
          <w:tblHeader/>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263F0" w:rsidRPr="00B21AFA" w:rsidRDefault="006263F0"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 п/п</w:t>
            </w:r>
          </w:p>
        </w:tc>
        <w:tc>
          <w:tcPr>
            <w:tcW w:w="5933" w:type="dxa"/>
            <w:tcBorders>
              <w:top w:val="single" w:sz="8" w:space="0" w:color="auto"/>
              <w:left w:val="nil"/>
              <w:bottom w:val="single" w:sz="8" w:space="0" w:color="auto"/>
              <w:right w:val="single" w:sz="4" w:space="0" w:color="auto"/>
            </w:tcBorders>
            <w:shd w:val="clear" w:color="auto" w:fill="auto"/>
            <w:vAlign w:val="center"/>
            <w:hideMark/>
          </w:tcPr>
          <w:p w:rsidR="006263F0" w:rsidRPr="00B21AFA" w:rsidRDefault="006263F0" w:rsidP="006C294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Наименование юридического лица</w:t>
            </w:r>
          </w:p>
        </w:tc>
        <w:tc>
          <w:tcPr>
            <w:tcW w:w="992" w:type="dxa"/>
            <w:tcBorders>
              <w:top w:val="single" w:sz="8" w:space="0" w:color="auto"/>
              <w:left w:val="nil"/>
              <w:bottom w:val="single" w:sz="8" w:space="0" w:color="auto"/>
              <w:right w:val="single" w:sz="4" w:space="0" w:color="auto"/>
            </w:tcBorders>
            <w:shd w:val="clear" w:color="auto" w:fill="auto"/>
            <w:vAlign w:val="center"/>
            <w:hideMark/>
          </w:tcPr>
          <w:p w:rsidR="006263F0" w:rsidRPr="00B21AFA" w:rsidRDefault="006263F0" w:rsidP="006263F0">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2018 год</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263F0" w:rsidRPr="00B21AFA" w:rsidRDefault="006263F0" w:rsidP="006263F0">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2019 год</w:t>
            </w:r>
          </w:p>
        </w:tc>
        <w:tc>
          <w:tcPr>
            <w:tcW w:w="851" w:type="dxa"/>
            <w:tcBorders>
              <w:top w:val="single" w:sz="8" w:space="0" w:color="auto"/>
              <w:left w:val="nil"/>
              <w:bottom w:val="single" w:sz="8" w:space="0" w:color="auto"/>
              <w:right w:val="single" w:sz="8" w:space="0" w:color="auto"/>
            </w:tcBorders>
          </w:tcPr>
          <w:p w:rsidR="006263F0" w:rsidRDefault="0033575A" w:rsidP="0033575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20</w:t>
            </w:r>
            <w:r>
              <w:rPr>
                <w:rFonts w:ascii="Times New Roman" w:eastAsia="Times New Roman" w:hAnsi="Times New Roman"/>
                <w:b/>
                <w:bCs/>
                <w:color w:val="000000"/>
                <w:sz w:val="26"/>
                <w:szCs w:val="26"/>
                <w:lang w:eastAsia="ru-RU"/>
              </w:rPr>
              <w:t>20</w:t>
            </w:r>
          </w:p>
          <w:p w:rsidR="0033575A" w:rsidRPr="00B21AFA" w:rsidRDefault="0033575A" w:rsidP="0033575A">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год</w:t>
            </w:r>
          </w:p>
        </w:tc>
      </w:tr>
      <w:tr w:rsidR="006263F0" w:rsidRPr="00B21AFA" w:rsidTr="0033575A">
        <w:trPr>
          <w:trHeight w:val="330"/>
          <w:tblHeader/>
        </w:trPr>
        <w:tc>
          <w:tcPr>
            <w:tcW w:w="588" w:type="dxa"/>
            <w:tcBorders>
              <w:top w:val="nil"/>
              <w:left w:val="single" w:sz="8" w:space="0" w:color="auto"/>
              <w:bottom w:val="single" w:sz="8" w:space="0" w:color="auto"/>
              <w:right w:val="single" w:sz="4" w:space="0" w:color="auto"/>
            </w:tcBorders>
            <w:shd w:val="clear" w:color="auto" w:fill="auto"/>
            <w:vAlign w:val="center"/>
            <w:hideMark/>
          </w:tcPr>
          <w:p w:rsidR="006263F0" w:rsidRPr="00B21AFA" w:rsidRDefault="006263F0"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1</w:t>
            </w:r>
          </w:p>
        </w:tc>
        <w:tc>
          <w:tcPr>
            <w:tcW w:w="5933" w:type="dxa"/>
            <w:tcBorders>
              <w:top w:val="nil"/>
              <w:left w:val="nil"/>
              <w:bottom w:val="single" w:sz="8" w:space="0" w:color="auto"/>
              <w:right w:val="single" w:sz="4" w:space="0" w:color="auto"/>
            </w:tcBorders>
            <w:shd w:val="clear" w:color="auto" w:fill="auto"/>
            <w:vAlign w:val="center"/>
            <w:hideMark/>
          </w:tcPr>
          <w:p w:rsidR="006263F0" w:rsidRPr="00B21AFA" w:rsidRDefault="006263F0"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2</w:t>
            </w:r>
          </w:p>
        </w:tc>
        <w:tc>
          <w:tcPr>
            <w:tcW w:w="992" w:type="dxa"/>
            <w:tcBorders>
              <w:top w:val="nil"/>
              <w:left w:val="nil"/>
              <w:bottom w:val="single" w:sz="8" w:space="0" w:color="auto"/>
              <w:right w:val="single" w:sz="4" w:space="0" w:color="auto"/>
            </w:tcBorders>
            <w:shd w:val="clear" w:color="auto" w:fill="auto"/>
            <w:vAlign w:val="center"/>
            <w:hideMark/>
          </w:tcPr>
          <w:p w:rsidR="006263F0" w:rsidRPr="00B21AFA" w:rsidRDefault="006263F0"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3</w:t>
            </w:r>
          </w:p>
        </w:tc>
        <w:tc>
          <w:tcPr>
            <w:tcW w:w="992" w:type="dxa"/>
            <w:tcBorders>
              <w:top w:val="nil"/>
              <w:left w:val="nil"/>
              <w:bottom w:val="single" w:sz="8" w:space="0" w:color="auto"/>
              <w:right w:val="single" w:sz="8" w:space="0" w:color="auto"/>
            </w:tcBorders>
            <w:shd w:val="clear" w:color="auto" w:fill="auto"/>
            <w:vAlign w:val="center"/>
            <w:hideMark/>
          </w:tcPr>
          <w:p w:rsidR="006263F0" w:rsidRPr="00B21AFA" w:rsidRDefault="006263F0"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4</w:t>
            </w:r>
          </w:p>
        </w:tc>
        <w:tc>
          <w:tcPr>
            <w:tcW w:w="851" w:type="dxa"/>
            <w:tcBorders>
              <w:top w:val="nil"/>
              <w:left w:val="nil"/>
              <w:bottom w:val="single" w:sz="8" w:space="0" w:color="auto"/>
              <w:right w:val="single" w:sz="8" w:space="0" w:color="auto"/>
            </w:tcBorders>
          </w:tcPr>
          <w:p w:rsidR="006263F0" w:rsidRPr="00B21AFA" w:rsidRDefault="0033575A" w:rsidP="00B21AFA">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5</w:t>
            </w:r>
          </w:p>
        </w:tc>
      </w:tr>
      <w:tr w:rsidR="006263F0" w:rsidRPr="00B21AFA" w:rsidTr="0033575A">
        <w:trPr>
          <w:trHeight w:val="34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w:t>
            </w:r>
            <w:proofErr w:type="spellStart"/>
            <w:r w:rsidRPr="00B21AFA">
              <w:rPr>
                <w:rFonts w:ascii="Times New Roman" w:eastAsia="Times New Roman" w:hAnsi="Times New Roman"/>
                <w:color w:val="000000"/>
                <w:sz w:val="26"/>
                <w:szCs w:val="26"/>
                <w:lang w:eastAsia="ru-RU"/>
              </w:rPr>
              <w:t>Росагролизинг</w:t>
            </w:r>
            <w:proofErr w:type="spellEnd"/>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«Атомный энергопромышленный комплекс»</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«Газпромбанк»</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4</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w:t>
            </w:r>
            <w:proofErr w:type="spellStart"/>
            <w:r w:rsidRPr="00B21AFA">
              <w:rPr>
                <w:rFonts w:ascii="Times New Roman" w:eastAsia="Times New Roman" w:hAnsi="Times New Roman"/>
                <w:color w:val="000000"/>
                <w:sz w:val="26"/>
                <w:szCs w:val="26"/>
                <w:lang w:eastAsia="ru-RU"/>
              </w:rPr>
              <w:t>Зарубежнефть</w:t>
            </w:r>
            <w:proofErr w:type="spellEnd"/>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5</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«Концерн воздушно-космической обороны «Алмаз-Антей»</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6</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«Корпорация развития Сахалинской области»</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7</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«Мосводоканал»</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8</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«Мосгаз»</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9</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«Научно-Производственная Корпорация «Уралвагонзавод» имени Ф.Э. Дзержинского»</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10</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«Региональный фонд»</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11</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w:t>
            </w:r>
            <w:proofErr w:type="spellStart"/>
            <w:r w:rsidRPr="00B21AFA">
              <w:rPr>
                <w:rFonts w:ascii="Times New Roman" w:eastAsia="Times New Roman" w:hAnsi="Times New Roman"/>
                <w:color w:val="000000"/>
                <w:sz w:val="26"/>
                <w:szCs w:val="26"/>
                <w:lang w:eastAsia="ru-RU"/>
              </w:rPr>
              <w:t>Роснефтегаз</w:t>
            </w:r>
            <w:proofErr w:type="spellEnd"/>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12</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«Российский сельскохозяйственный банк»</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13</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«Центральная топливная компания»</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14</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Государственная корпорация «Агентство по страхованию вкладов»</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15</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Государственная корпорация по атомной энергии «</w:t>
            </w:r>
            <w:proofErr w:type="spellStart"/>
            <w:r w:rsidRPr="00B21AFA">
              <w:rPr>
                <w:rFonts w:ascii="Times New Roman" w:eastAsia="Times New Roman" w:hAnsi="Times New Roman"/>
                <w:color w:val="000000"/>
                <w:sz w:val="26"/>
                <w:szCs w:val="26"/>
                <w:lang w:eastAsia="ru-RU"/>
              </w:rPr>
              <w:t>Росатом</w:t>
            </w:r>
            <w:proofErr w:type="spellEnd"/>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16</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Государственная корпорация по космической деятельности «</w:t>
            </w:r>
            <w:proofErr w:type="spellStart"/>
            <w:r w:rsidRPr="00B21AFA">
              <w:rPr>
                <w:rFonts w:ascii="Times New Roman" w:eastAsia="Times New Roman" w:hAnsi="Times New Roman"/>
                <w:color w:val="000000"/>
                <w:sz w:val="26"/>
                <w:szCs w:val="26"/>
                <w:lang w:eastAsia="ru-RU"/>
              </w:rPr>
              <w:t>Роскосмос</w:t>
            </w:r>
            <w:proofErr w:type="spellEnd"/>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17</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Государственная корпорация развития «ВЭБ.РФ»</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18</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Открытое акционерное общество «Корпорация «Тактическое ракетное вооружение»</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19</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Открытое акционерное общество «Российские железные дороги»</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20</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«Аэрофлот - российские авиалинии»</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AE7F5D" w:rsidRDefault="00AE7F5D"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21</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«Банк ВТБ»</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22</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«Газпром»*</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23</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«Государственная транспортная лизинговая компания»</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24</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«Объединенная авиастроительная корпорация»</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25</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«Промсвязьбанк»</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26</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«Российские сети»</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27</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«Ростелеком»*</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28</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«Сбербанк России»</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29</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 xml:space="preserve">Публичное акционерное общество «Федеральная гидрогенерирующая компания - </w:t>
            </w:r>
            <w:proofErr w:type="spellStart"/>
            <w:r w:rsidRPr="00B21AFA">
              <w:rPr>
                <w:rFonts w:ascii="Times New Roman" w:eastAsia="Times New Roman" w:hAnsi="Times New Roman"/>
                <w:color w:val="000000"/>
                <w:sz w:val="26"/>
                <w:szCs w:val="26"/>
                <w:lang w:eastAsia="ru-RU"/>
              </w:rPr>
              <w:t>РусГидро</w:t>
            </w:r>
            <w:proofErr w:type="spellEnd"/>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30</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Акционерная компания «</w:t>
            </w:r>
            <w:proofErr w:type="spellStart"/>
            <w:r w:rsidRPr="00B21AFA">
              <w:rPr>
                <w:rFonts w:ascii="Times New Roman" w:eastAsia="Times New Roman" w:hAnsi="Times New Roman"/>
                <w:color w:val="000000"/>
                <w:sz w:val="26"/>
                <w:szCs w:val="26"/>
                <w:lang w:eastAsia="ru-RU"/>
              </w:rPr>
              <w:t>Алроса</w:t>
            </w:r>
            <w:proofErr w:type="spellEnd"/>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31</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энергетики и электрификации «Мосэнерго»*</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32</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Федеральное государственное унитарное предприятие «</w:t>
            </w:r>
            <w:proofErr w:type="spellStart"/>
            <w:r w:rsidRPr="00B21AFA">
              <w:rPr>
                <w:rFonts w:ascii="Times New Roman" w:eastAsia="Times New Roman" w:hAnsi="Times New Roman"/>
                <w:color w:val="000000"/>
                <w:sz w:val="26"/>
                <w:szCs w:val="26"/>
                <w:lang w:eastAsia="ru-RU"/>
              </w:rPr>
              <w:t>Росморпорт</w:t>
            </w:r>
            <w:proofErr w:type="spellEnd"/>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33</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Центральный банк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34</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 xml:space="preserve">Акционерное общество «Дальневосточная энергетическая управляющая компания </w:t>
            </w:r>
            <w:r w:rsidR="0033575A">
              <w:rPr>
                <w:rFonts w:ascii="Times New Roman" w:eastAsia="Times New Roman" w:hAnsi="Times New Roman"/>
                <w:color w:val="000000"/>
                <w:sz w:val="26"/>
                <w:szCs w:val="26"/>
                <w:lang w:eastAsia="ru-RU"/>
              </w:rPr>
              <w:t>–</w:t>
            </w:r>
            <w:r w:rsidRPr="00B21AFA">
              <w:rPr>
                <w:rFonts w:ascii="Times New Roman" w:eastAsia="Times New Roman" w:hAnsi="Times New Roman"/>
                <w:color w:val="000000"/>
                <w:sz w:val="26"/>
                <w:szCs w:val="26"/>
                <w:lang w:eastAsia="ru-RU"/>
              </w:rPr>
              <w:t xml:space="preserve"> Генерация</w:t>
            </w:r>
            <w:r w:rsidR="0033575A">
              <w:rPr>
                <w:rFonts w:ascii="Times New Roman" w:eastAsia="Times New Roman" w:hAnsi="Times New Roman"/>
                <w:color w:val="000000"/>
                <w:sz w:val="26"/>
                <w:szCs w:val="26"/>
                <w:lang w:eastAsia="ru-RU"/>
              </w:rPr>
              <w:t xml:space="preserve"> </w:t>
            </w:r>
            <w:r w:rsidRPr="00B21AFA">
              <w:rPr>
                <w:rFonts w:ascii="Times New Roman" w:eastAsia="Times New Roman" w:hAnsi="Times New Roman"/>
                <w:color w:val="000000"/>
                <w:sz w:val="26"/>
                <w:szCs w:val="26"/>
                <w:lang w:eastAsia="ru-RU"/>
              </w:rPr>
              <w:t>Сети»</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35</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«Дальневосточная энергетическая управляющая компания - ЕНЭС»</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36</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Публично-правовая компания по формированию комплексной системы обращения с твёрдыми коммунальными отходами «Российский экологический оператор»</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r w:rsidR="006263F0" w:rsidRPr="00B21AFA" w:rsidTr="0033575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37</w:t>
            </w:r>
          </w:p>
        </w:tc>
        <w:tc>
          <w:tcPr>
            <w:tcW w:w="5933"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«Российский национальный коммерческий банк»</w:t>
            </w:r>
          </w:p>
        </w:tc>
        <w:tc>
          <w:tcPr>
            <w:tcW w:w="992" w:type="dxa"/>
            <w:tcBorders>
              <w:top w:val="nil"/>
              <w:left w:val="nil"/>
              <w:bottom w:val="single" w:sz="4" w:space="0" w:color="auto"/>
              <w:right w:val="single" w:sz="4" w:space="0" w:color="auto"/>
            </w:tcBorders>
            <w:shd w:val="clear" w:color="auto" w:fill="auto"/>
            <w:vAlign w:val="bottom"/>
            <w:hideMark/>
          </w:tcPr>
          <w:p w:rsidR="006263F0" w:rsidRPr="00B21AFA" w:rsidRDefault="006263F0"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6263F0" w:rsidRPr="00B21AFA" w:rsidRDefault="006263F0" w:rsidP="0033575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851" w:type="dxa"/>
            <w:tcBorders>
              <w:top w:val="nil"/>
              <w:left w:val="nil"/>
              <w:bottom w:val="single" w:sz="4" w:space="0" w:color="auto"/>
              <w:right w:val="single" w:sz="4" w:space="0" w:color="auto"/>
            </w:tcBorders>
          </w:tcPr>
          <w:p w:rsidR="0033575A" w:rsidRDefault="0033575A" w:rsidP="00B21AFA">
            <w:pPr>
              <w:spacing w:after="0" w:line="240" w:lineRule="auto"/>
              <w:jc w:val="center"/>
              <w:rPr>
                <w:rFonts w:ascii="Times New Roman" w:eastAsia="Times New Roman" w:hAnsi="Times New Roman"/>
                <w:color w:val="000000"/>
                <w:sz w:val="26"/>
                <w:szCs w:val="26"/>
                <w:lang w:eastAsia="ru-RU"/>
              </w:rPr>
            </w:pPr>
          </w:p>
          <w:p w:rsidR="006263F0" w:rsidRPr="00B21AFA" w:rsidRDefault="0033575A" w:rsidP="00B21AFA">
            <w:pPr>
              <w:spacing w:after="0" w:line="240" w:lineRule="auto"/>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p>
        </w:tc>
      </w:tr>
    </w:tbl>
    <w:p w:rsidR="00176D42" w:rsidRDefault="00176D42" w:rsidP="00B21AFA">
      <w:pPr>
        <w:tabs>
          <w:tab w:val="left" w:pos="993"/>
        </w:tabs>
        <w:autoSpaceDE w:val="0"/>
        <w:autoSpaceDN w:val="0"/>
        <w:adjustRightInd w:val="0"/>
        <w:spacing w:after="0" w:line="240" w:lineRule="auto"/>
        <w:rPr>
          <w:rFonts w:ascii="Times New Roman" w:hAnsi="Times New Roman"/>
          <w:sz w:val="28"/>
          <w:szCs w:val="28"/>
        </w:rPr>
      </w:pPr>
    </w:p>
    <w:p w:rsidR="00B21AFA" w:rsidRDefault="00B21AFA" w:rsidP="00B21AFA">
      <w:pPr>
        <w:tabs>
          <w:tab w:val="left" w:pos="993"/>
        </w:tabs>
        <w:autoSpaceDE w:val="0"/>
        <w:autoSpaceDN w:val="0"/>
        <w:adjustRightInd w:val="0"/>
        <w:spacing w:after="0" w:line="240" w:lineRule="auto"/>
        <w:rPr>
          <w:rFonts w:ascii="Times New Roman" w:hAnsi="Times New Roman"/>
          <w:sz w:val="28"/>
          <w:szCs w:val="28"/>
        </w:rPr>
      </w:pPr>
    </w:p>
    <w:p w:rsidR="00B21AFA" w:rsidRDefault="00B21AFA" w:rsidP="00176D42">
      <w:pPr>
        <w:tabs>
          <w:tab w:val="left" w:pos="993"/>
        </w:tabs>
        <w:autoSpaceDE w:val="0"/>
        <w:autoSpaceDN w:val="0"/>
        <w:adjustRightInd w:val="0"/>
        <w:spacing w:after="0" w:line="240" w:lineRule="auto"/>
        <w:jc w:val="center"/>
        <w:rPr>
          <w:rFonts w:ascii="Times New Roman" w:hAnsi="Times New Roman"/>
          <w:b/>
          <w:sz w:val="28"/>
          <w:szCs w:val="28"/>
        </w:rPr>
      </w:pPr>
    </w:p>
    <w:p w:rsidR="00B21AFA" w:rsidRDefault="00B21AFA">
      <w:pPr>
        <w:spacing w:after="160" w:line="259" w:lineRule="auto"/>
        <w:rPr>
          <w:rFonts w:ascii="Times New Roman" w:hAnsi="Times New Roman"/>
          <w:b/>
          <w:sz w:val="28"/>
          <w:szCs w:val="28"/>
        </w:rPr>
      </w:pPr>
      <w:r>
        <w:rPr>
          <w:rFonts w:ascii="Times New Roman" w:hAnsi="Times New Roman"/>
          <w:b/>
          <w:sz w:val="28"/>
          <w:szCs w:val="28"/>
        </w:rPr>
        <w:br w:type="page"/>
      </w:r>
    </w:p>
    <w:p w:rsidR="00176D42" w:rsidRPr="00E73A52" w:rsidRDefault="00176D42" w:rsidP="00176D42">
      <w:pPr>
        <w:tabs>
          <w:tab w:val="left" w:pos="993"/>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5. </w:t>
      </w:r>
      <w:r w:rsidRPr="00E73A52">
        <w:rPr>
          <w:rFonts w:ascii="Times New Roman" w:hAnsi="Times New Roman"/>
          <w:b/>
          <w:sz w:val="28"/>
          <w:szCs w:val="28"/>
        </w:rPr>
        <w:t>Консолидационные правки</w:t>
      </w:r>
      <w:r>
        <w:rPr>
          <w:rFonts w:ascii="Times New Roman" w:hAnsi="Times New Roman"/>
          <w:b/>
          <w:sz w:val="28"/>
          <w:szCs w:val="28"/>
        </w:rPr>
        <w:t xml:space="preserve"> показателей отчетности по статистике государственных финансов</w:t>
      </w:r>
    </w:p>
    <w:p w:rsidR="00176D42" w:rsidRDefault="00176D42" w:rsidP="00176D42">
      <w:pPr>
        <w:tabs>
          <w:tab w:val="left" w:pos="993"/>
        </w:tabs>
        <w:autoSpaceDE w:val="0"/>
        <w:autoSpaceDN w:val="0"/>
        <w:adjustRightInd w:val="0"/>
        <w:spacing w:after="0" w:line="240" w:lineRule="auto"/>
        <w:jc w:val="center"/>
        <w:rPr>
          <w:rFonts w:ascii="Times New Roman" w:hAnsi="Times New Roman"/>
          <w:sz w:val="28"/>
          <w:szCs w:val="28"/>
          <w:lang w:eastAsia="ru-RU"/>
        </w:rPr>
      </w:pPr>
    </w:p>
    <w:p w:rsidR="007E3F3C" w:rsidRDefault="007E3F3C" w:rsidP="007E3F3C">
      <w:pPr>
        <w:spacing w:after="0"/>
        <w:ind w:firstLine="709"/>
        <w:jc w:val="both"/>
        <w:rPr>
          <w:rFonts w:ascii="Times New Roman" w:hAnsi="Times New Roman"/>
          <w:sz w:val="28"/>
          <w:szCs w:val="28"/>
        </w:rPr>
      </w:pPr>
      <w:r w:rsidRPr="003C564C">
        <w:rPr>
          <w:rFonts w:ascii="Times New Roman" w:hAnsi="Times New Roman"/>
          <w:sz w:val="28"/>
          <w:szCs w:val="28"/>
        </w:rPr>
        <w:t xml:space="preserve">Таблицы статистики государственных финансов за 2020 год по государственному сектору подготовлены с учетом консолидации данных. </w:t>
      </w:r>
    </w:p>
    <w:p w:rsidR="007E3F3C" w:rsidRDefault="007E3F3C" w:rsidP="007E3F3C">
      <w:pPr>
        <w:spacing w:after="0"/>
        <w:ind w:firstLine="709"/>
        <w:jc w:val="both"/>
        <w:rPr>
          <w:rFonts w:ascii="Times New Roman" w:hAnsi="Times New Roman"/>
          <w:sz w:val="28"/>
          <w:szCs w:val="28"/>
        </w:rPr>
      </w:pPr>
      <w:r w:rsidRPr="00F02298">
        <w:rPr>
          <w:rFonts w:ascii="Times New Roman" w:hAnsi="Times New Roman"/>
          <w:sz w:val="28"/>
          <w:szCs w:val="28"/>
        </w:rPr>
        <w:t>Консолидационные поправки сформированы исходя из данных бюджетной, бухгалтер</w:t>
      </w:r>
      <w:r w:rsidR="00BA7BF5">
        <w:rPr>
          <w:rFonts w:ascii="Times New Roman" w:hAnsi="Times New Roman"/>
          <w:sz w:val="28"/>
          <w:szCs w:val="28"/>
        </w:rPr>
        <w:t>ской (финансовой) отчетности,</w:t>
      </w:r>
      <w:r w:rsidRPr="00F02298">
        <w:rPr>
          <w:rFonts w:ascii="Times New Roman" w:hAnsi="Times New Roman"/>
          <w:sz w:val="28"/>
          <w:szCs w:val="28"/>
        </w:rPr>
        <w:t xml:space="preserve"> сведений, полученных от Центрального банка Российской Федерации.</w:t>
      </w:r>
    </w:p>
    <w:p w:rsidR="007E3F3C" w:rsidRPr="0037051B" w:rsidRDefault="007E3F3C" w:rsidP="007E3F3C">
      <w:pPr>
        <w:spacing w:after="0"/>
        <w:ind w:firstLine="709"/>
        <w:jc w:val="both"/>
        <w:rPr>
          <w:rFonts w:ascii="Times New Roman" w:hAnsi="Times New Roman"/>
          <w:sz w:val="28"/>
          <w:szCs w:val="28"/>
        </w:rPr>
      </w:pPr>
      <w:r w:rsidRPr="0037051B">
        <w:rPr>
          <w:rFonts w:ascii="Times New Roman" w:hAnsi="Times New Roman"/>
          <w:sz w:val="28"/>
          <w:szCs w:val="28"/>
        </w:rPr>
        <w:t>К наиболее существенным консолидационным поправкам по запасам относятся:</w:t>
      </w:r>
    </w:p>
    <w:p w:rsidR="007E3F3C" w:rsidRDefault="007E3F3C" w:rsidP="007E3F3C">
      <w:pPr>
        <w:spacing w:after="0"/>
        <w:ind w:firstLine="709"/>
        <w:jc w:val="both"/>
        <w:rPr>
          <w:rFonts w:ascii="Times New Roman" w:hAnsi="Times New Roman"/>
          <w:sz w:val="28"/>
          <w:szCs w:val="28"/>
        </w:rPr>
      </w:pPr>
      <w:r w:rsidRPr="0037051B">
        <w:rPr>
          <w:rFonts w:ascii="Times New Roman" w:hAnsi="Times New Roman"/>
          <w:sz w:val="28"/>
          <w:szCs w:val="28"/>
        </w:rPr>
        <w:t>дол</w:t>
      </w:r>
      <w:r>
        <w:rPr>
          <w:rFonts w:ascii="Times New Roman" w:hAnsi="Times New Roman"/>
          <w:sz w:val="28"/>
          <w:szCs w:val="28"/>
        </w:rPr>
        <w:t>и</w:t>
      </w:r>
      <w:r w:rsidRPr="0037051B">
        <w:rPr>
          <w:rFonts w:ascii="Times New Roman" w:hAnsi="Times New Roman"/>
          <w:sz w:val="28"/>
          <w:szCs w:val="28"/>
        </w:rPr>
        <w:t xml:space="preserve"> в уставном капитале </w:t>
      </w:r>
      <w:r>
        <w:rPr>
          <w:rFonts w:ascii="Times New Roman" w:hAnsi="Times New Roman"/>
          <w:sz w:val="28"/>
          <w:szCs w:val="28"/>
        </w:rPr>
        <w:t>юридических лиц, находящиеся во владении Российской Федерации, субъектов Российской Федерации</w:t>
      </w:r>
      <w:r w:rsidRPr="0037051B">
        <w:rPr>
          <w:rFonts w:ascii="Times New Roman" w:hAnsi="Times New Roman"/>
          <w:sz w:val="28"/>
          <w:szCs w:val="28"/>
        </w:rPr>
        <w:t>;</w:t>
      </w:r>
    </w:p>
    <w:p w:rsidR="007E3F3C" w:rsidRPr="0037051B" w:rsidRDefault="007E3F3C" w:rsidP="007E3F3C">
      <w:pPr>
        <w:spacing w:after="0"/>
        <w:ind w:firstLine="709"/>
        <w:jc w:val="both"/>
        <w:rPr>
          <w:rFonts w:ascii="Times New Roman" w:hAnsi="Times New Roman"/>
          <w:sz w:val="28"/>
          <w:szCs w:val="28"/>
        </w:rPr>
      </w:pPr>
      <w:r>
        <w:rPr>
          <w:rFonts w:ascii="Times New Roman" w:hAnsi="Times New Roman"/>
          <w:sz w:val="28"/>
          <w:szCs w:val="28"/>
        </w:rPr>
        <w:t>взаимное участие государственных нефинансовых корпораций и государственных финансовых корпораций в уставных капиталах;</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дебиторская и кредиторская задолженность по налогам и сборам;</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кредиты, выданные субъектам Российской Федерации (иным единицам сектора государственного управления) единицами сектора государственных финансовых корпораций;</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кредиты, выданные</w:t>
      </w:r>
      <w:r w:rsidRPr="00484675">
        <w:t xml:space="preserve"> </w:t>
      </w:r>
      <w:r w:rsidRPr="00484675">
        <w:rPr>
          <w:rFonts w:ascii="Times New Roman" w:hAnsi="Times New Roman"/>
          <w:sz w:val="28"/>
          <w:szCs w:val="28"/>
        </w:rPr>
        <w:t>единицам</w:t>
      </w:r>
      <w:r>
        <w:rPr>
          <w:rFonts w:ascii="Times New Roman" w:hAnsi="Times New Roman"/>
          <w:sz w:val="28"/>
          <w:szCs w:val="28"/>
        </w:rPr>
        <w:t xml:space="preserve"> сектора государственных нефинансовых корпораций единицами </w:t>
      </w:r>
      <w:r w:rsidRPr="00484675">
        <w:rPr>
          <w:rFonts w:ascii="Times New Roman" w:hAnsi="Times New Roman"/>
          <w:sz w:val="28"/>
          <w:szCs w:val="28"/>
        </w:rPr>
        <w:t>сектора государственных финансовых корпораций;</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денежные средства единиц сектора государственного управления (единиц сектора государственных нефинансовых корпораций), размещенные в Центральном банке Российской Федерации и кредитных организациях,</w:t>
      </w:r>
      <w:r w:rsidR="00C538FD">
        <w:rPr>
          <w:rFonts w:ascii="Times New Roman" w:hAnsi="Times New Roman"/>
          <w:sz w:val="28"/>
          <w:szCs w:val="28"/>
        </w:rPr>
        <w:t xml:space="preserve"> показатели которых включены в И</w:t>
      </w:r>
      <w:r>
        <w:rPr>
          <w:rFonts w:ascii="Times New Roman" w:hAnsi="Times New Roman"/>
          <w:sz w:val="28"/>
          <w:szCs w:val="28"/>
        </w:rPr>
        <w:t xml:space="preserve">нформацию по </w:t>
      </w:r>
      <w:r w:rsidR="00C538FD">
        <w:rPr>
          <w:rFonts w:ascii="Times New Roman" w:hAnsi="Times New Roman"/>
          <w:sz w:val="28"/>
          <w:szCs w:val="28"/>
        </w:rPr>
        <w:t>СГФ</w:t>
      </w:r>
      <w:r>
        <w:rPr>
          <w:rFonts w:ascii="Times New Roman" w:hAnsi="Times New Roman"/>
          <w:sz w:val="28"/>
          <w:szCs w:val="28"/>
        </w:rPr>
        <w:t xml:space="preserve"> по государственному сектору;</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 xml:space="preserve">государственные облигации Российской Федерации, находящиеся </w:t>
      </w:r>
      <w:r w:rsidR="00C538FD">
        <w:rPr>
          <w:rFonts w:ascii="Times New Roman" w:hAnsi="Times New Roman"/>
          <w:sz w:val="28"/>
          <w:szCs w:val="28"/>
        </w:rPr>
        <w:br/>
      </w:r>
      <w:r>
        <w:rPr>
          <w:rFonts w:ascii="Times New Roman" w:hAnsi="Times New Roman"/>
          <w:sz w:val="28"/>
          <w:szCs w:val="28"/>
        </w:rPr>
        <w:t>во владении единиц государственного сектора.</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К наиболее существенным консолидационным поправкам по потокам относятся:</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налоги от корпоративных и унитарных</w:t>
      </w:r>
      <w:r w:rsidR="00C538FD">
        <w:rPr>
          <w:rFonts w:ascii="Times New Roman" w:hAnsi="Times New Roman"/>
          <w:sz w:val="28"/>
          <w:szCs w:val="28"/>
        </w:rPr>
        <w:t xml:space="preserve"> юридических лиц, включенных </w:t>
      </w:r>
      <w:r w:rsidR="00C538FD">
        <w:rPr>
          <w:rFonts w:ascii="Times New Roman" w:hAnsi="Times New Roman"/>
          <w:sz w:val="28"/>
          <w:szCs w:val="28"/>
        </w:rPr>
        <w:br/>
        <w:t>в И</w:t>
      </w:r>
      <w:r>
        <w:rPr>
          <w:rFonts w:ascii="Times New Roman" w:hAnsi="Times New Roman"/>
          <w:sz w:val="28"/>
          <w:szCs w:val="28"/>
        </w:rPr>
        <w:t xml:space="preserve">нформацию по </w:t>
      </w:r>
      <w:r w:rsidR="00C538FD">
        <w:rPr>
          <w:rFonts w:ascii="Times New Roman" w:hAnsi="Times New Roman"/>
          <w:sz w:val="28"/>
          <w:szCs w:val="28"/>
        </w:rPr>
        <w:t>СГФ</w:t>
      </w:r>
      <w:r>
        <w:rPr>
          <w:rFonts w:ascii="Times New Roman" w:hAnsi="Times New Roman"/>
          <w:sz w:val="28"/>
          <w:szCs w:val="28"/>
        </w:rPr>
        <w:t xml:space="preserve"> по государственному сектору;</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проценты, уплаченные банкам, включенным в сектор государственных финансовых корпораций, по кредитным обязательствам;</w:t>
      </w:r>
    </w:p>
    <w:p w:rsidR="007E3F3C" w:rsidRDefault="007E3F3C" w:rsidP="007E3F3C">
      <w:pPr>
        <w:spacing w:after="0"/>
        <w:ind w:firstLine="709"/>
        <w:jc w:val="both"/>
        <w:rPr>
          <w:rFonts w:ascii="Times New Roman" w:hAnsi="Times New Roman"/>
          <w:sz w:val="28"/>
          <w:szCs w:val="28"/>
        </w:rPr>
      </w:pPr>
      <w:r w:rsidRPr="00146F45">
        <w:rPr>
          <w:rFonts w:ascii="Times New Roman" w:hAnsi="Times New Roman"/>
          <w:sz w:val="28"/>
          <w:szCs w:val="28"/>
        </w:rPr>
        <w:t>д</w:t>
      </w:r>
      <w:r w:rsidRPr="00131E8C">
        <w:rPr>
          <w:rFonts w:ascii="Times New Roman" w:hAnsi="Times New Roman"/>
          <w:sz w:val="28"/>
          <w:szCs w:val="28"/>
        </w:rPr>
        <w:t xml:space="preserve">оходы </w:t>
      </w:r>
      <w:r>
        <w:rPr>
          <w:rFonts w:ascii="Times New Roman" w:hAnsi="Times New Roman"/>
          <w:sz w:val="28"/>
          <w:szCs w:val="28"/>
        </w:rPr>
        <w:t xml:space="preserve">сектора государственного управления </w:t>
      </w:r>
      <w:r w:rsidRPr="00131E8C">
        <w:rPr>
          <w:rFonts w:ascii="Times New Roman" w:hAnsi="Times New Roman"/>
          <w:sz w:val="28"/>
          <w:szCs w:val="28"/>
        </w:rPr>
        <w:t>от Центрального банка Российской Федерации</w:t>
      </w:r>
      <w:r>
        <w:rPr>
          <w:rFonts w:ascii="Times New Roman" w:hAnsi="Times New Roman"/>
          <w:sz w:val="28"/>
          <w:szCs w:val="28"/>
        </w:rPr>
        <w:t>;</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расходы сектора государственного управления по безвозмездным перечислениям в сектор государственных нефинансовых корпораций и сектор государственных финансовых корпораций;</w:t>
      </w:r>
    </w:p>
    <w:p w:rsidR="007E3F3C" w:rsidRDefault="007E3F3C" w:rsidP="007E3F3C">
      <w:pPr>
        <w:spacing w:after="0"/>
        <w:ind w:firstLine="709"/>
        <w:jc w:val="both"/>
        <w:rPr>
          <w:rFonts w:ascii="Times New Roman" w:hAnsi="Times New Roman"/>
          <w:sz w:val="28"/>
          <w:szCs w:val="28"/>
        </w:rPr>
      </w:pPr>
      <w:r>
        <w:rPr>
          <w:rFonts w:ascii="Times New Roman" w:hAnsi="Times New Roman"/>
          <w:sz w:val="28"/>
          <w:szCs w:val="28"/>
        </w:rPr>
        <w:t>взаимные потоки по дивидендам.</w:t>
      </w:r>
    </w:p>
    <w:p w:rsidR="00C538FD" w:rsidRDefault="00C538FD" w:rsidP="007E3F3C">
      <w:pPr>
        <w:spacing w:after="0"/>
        <w:ind w:firstLine="709"/>
        <w:jc w:val="both"/>
        <w:rPr>
          <w:rFonts w:ascii="Times New Roman" w:hAnsi="Times New Roman"/>
          <w:sz w:val="28"/>
          <w:szCs w:val="28"/>
        </w:rPr>
      </w:pPr>
    </w:p>
    <w:p w:rsidR="00176D42" w:rsidRPr="00A27CA3" w:rsidRDefault="00176D42" w:rsidP="00176D42">
      <w:pPr>
        <w:spacing w:after="0" w:line="240" w:lineRule="auto"/>
        <w:jc w:val="center"/>
        <w:rPr>
          <w:rFonts w:ascii="Times New Roman" w:hAnsi="Times New Roman"/>
          <w:b/>
          <w:sz w:val="28"/>
          <w:szCs w:val="28"/>
        </w:rPr>
      </w:pPr>
      <w:r>
        <w:rPr>
          <w:rFonts w:ascii="Times New Roman" w:hAnsi="Times New Roman"/>
          <w:b/>
          <w:sz w:val="28"/>
          <w:szCs w:val="28"/>
        </w:rPr>
        <w:t>6. </w:t>
      </w:r>
      <w:r w:rsidRPr="00E73A52">
        <w:rPr>
          <w:rFonts w:ascii="Times New Roman" w:hAnsi="Times New Roman"/>
          <w:b/>
          <w:sz w:val="28"/>
          <w:szCs w:val="28"/>
        </w:rPr>
        <w:t>Анализ консолидированного «Баланса активов и пассивов</w:t>
      </w:r>
      <w:r w:rsidRPr="00A27CA3">
        <w:rPr>
          <w:rFonts w:ascii="Times New Roman" w:hAnsi="Times New Roman"/>
          <w:b/>
          <w:sz w:val="28"/>
          <w:szCs w:val="28"/>
        </w:rPr>
        <w:t>»</w:t>
      </w:r>
      <w:r w:rsidR="00FC7D90">
        <w:rPr>
          <w:rFonts w:ascii="Times New Roman" w:hAnsi="Times New Roman"/>
          <w:b/>
          <w:sz w:val="28"/>
          <w:szCs w:val="28"/>
        </w:rPr>
        <w:t xml:space="preserve"> за 2020</w:t>
      </w:r>
      <w:r w:rsidR="00A27CA3" w:rsidRPr="00A27CA3">
        <w:rPr>
          <w:rFonts w:ascii="Times New Roman" w:hAnsi="Times New Roman"/>
          <w:b/>
          <w:sz w:val="28"/>
          <w:szCs w:val="28"/>
        </w:rPr>
        <w:t xml:space="preserve"> год</w:t>
      </w:r>
    </w:p>
    <w:p w:rsidR="00176D42" w:rsidRDefault="00176D42" w:rsidP="00176D42">
      <w:pPr>
        <w:spacing w:after="0" w:line="240" w:lineRule="auto"/>
        <w:jc w:val="center"/>
        <w:rPr>
          <w:rFonts w:ascii="Times New Roman" w:eastAsia="Times New Roman" w:hAnsi="Times New Roman"/>
          <w:bCs/>
          <w:color w:val="000000"/>
          <w:lang w:eastAsia="ru-RU"/>
        </w:rPr>
      </w:pPr>
    </w:p>
    <w:p w:rsidR="007E3F3C" w:rsidRPr="003B4AC9" w:rsidRDefault="007E3F3C" w:rsidP="007E3F3C">
      <w:pPr>
        <w:spacing w:after="0"/>
        <w:ind w:firstLine="709"/>
        <w:jc w:val="both"/>
        <w:rPr>
          <w:rFonts w:ascii="Times New Roman" w:hAnsi="Times New Roman"/>
          <w:sz w:val="28"/>
          <w:szCs w:val="28"/>
        </w:rPr>
      </w:pPr>
      <w:r w:rsidRPr="003B4AC9">
        <w:rPr>
          <w:rFonts w:ascii="Times New Roman" w:hAnsi="Times New Roman"/>
          <w:sz w:val="28"/>
          <w:szCs w:val="28"/>
        </w:rPr>
        <w:t xml:space="preserve">Баланс активов и пассивов </w:t>
      </w:r>
      <w:r>
        <w:rPr>
          <w:rFonts w:ascii="Times New Roman" w:hAnsi="Times New Roman"/>
          <w:sz w:val="28"/>
          <w:szCs w:val="28"/>
        </w:rPr>
        <w:t xml:space="preserve">в системе статистики государственных финансов </w:t>
      </w:r>
      <w:r w:rsidRPr="003B4AC9">
        <w:rPr>
          <w:rFonts w:ascii="Times New Roman" w:hAnsi="Times New Roman"/>
          <w:sz w:val="28"/>
          <w:szCs w:val="28"/>
        </w:rPr>
        <w:t>представляет собой отчет о стоимости активов,</w:t>
      </w:r>
      <w:r>
        <w:rPr>
          <w:rFonts w:ascii="Times New Roman" w:hAnsi="Times New Roman"/>
          <w:sz w:val="28"/>
          <w:szCs w:val="28"/>
        </w:rPr>
        <w:t xml:space="preserve"> </w:t>
      </w:r>
      <w:r w:rsidRPr="003B4AC9">
        <w:rPr>
          <w:rFonts w:ascii="Times New Roman" w:hAnsi="Times New Roman"/>
          <w:sz w:val="28"/>
          <w:szCs w:val="28"/>
        </w:rPr>
        <w:t>находящихся во владении в определенный</w:t>
      </w:r>
      <w:r>
        <w:rPr>
          <w:rFonts w:ascii="Times New Roman" w:hAnsi="Times New Roman"/>
          <w:sz w:val="28"/>
          <w:szCs w:val="28"/>
        </w:rPr>
        <w:t xml:space="preserve"> </w:t>
      </w:r>
      <w:r w:rsidRPr="003B4AC9">
        <w:rPr>
          <w:rFonts w:ascii="Times New Roman" w:hAnsi="Times New Roman"/>
          <w:sz w:val="28"/>
          <w:szCs w:val="28"/>
        </w:rPr>
        <w:t>момент времени, и финансовых требований (или</w:t>
      </w:r>
      <w:r>
        <w:rPr>
          <w:rFonts w:ascii="Times New Roman" w:hAnsi="Times New Roman"/>
          <w:sz w:val="28"/>
          <w:szCs w:val="28"/>
        </w:rPr>
        <w:t xml:space="preserve"> </w:t>
      </w:r>
      <w:r w:rsidRPr="003B4AC9">
        <w:rPr>
          <w:rFonts w:ascii="Times New Roman" w:hAnsi="Times New Roman"/>
          <w:sz w:val="28"/>
          <w:szCs w:val="28"/>
        </w:rPr>
        <w:t>обязательств) к владельцу активов</w:t>
      </w:r>
      <w:r>
        <w:rPr>
          <w:rFonts w:ascii="Times New Roman" w:hAnsi="Times New Roman"/>
          <w:sz w:val="28"/>
          <w:szCs w:val="28"/>
        </w:rPr>
        <w:t>.</w:t>
      </w:r>
    </w:p>
    <w:p w:rsidR="0084532A" w:rsidRDefault="0084532A" w:rsidP="0084532A">
      <w:pPr>
        <w:autoSpaceDE w:val="0"/>
        <w:autoSpaceDN w:val="0"/>
        <w:adjustRightInd w:val="0"/>
        <w:spacing w:after="0"/>
        <w:ind w:firstLine="567"/>
        <w:jc w:val="both"/>
        <w:rPr>
          <w:rFonts w:ascii="Times New Roman" w:hAnsi="Times New Roman"/>
          <w:sz w:val="28"/>
          <w:szCs w:val="28"/>
        </w:rPr>
      </w:pPr>
      <w:r w:rsidRPr="0084532A">
        <w:rPr>
          <w:rFonts w:ascii="Times New Roman" w:hAnsi="Times New Roman"/>
          <w:sz w:val="28"/>
          <w:szCs w:val="28"/>
        </w:rPr>
        <w:t>Общая стоимость находящихся во владении активов за вычетом общей стоимости обязательств определяетс</w:t>
      </w:r>
      <w:r w:rsidR="00EB3F0E">
        <w:rPr>
          <w:rFonts w:ascii="Times New Roman" w:hAnsi="Times New Roman"/>
          <w:sz w:val="28"/>
          <w:szCs w:val="28"/>
        </w:rPr>
        <w:t>я как чистая стоимость активов.</w:t>
      </w:r>
    </w:p>
    <w:p w:rsidR="0063647A" w:rsidRPr="00257F90" w:rsidRDefault="0063647A" w:rsidP="0063647A">
      <w:pPr>
        <w:autoSpaceDE w:val="0"/>
        <w:autoSpaceDN w:val="0"/>
        <w:adjustRightInd w:val="0"/>
        <w:spacing w:after="0"/>
        <w:ind w:firstLine="567"/>
        <w:jc w:val="both"/>
        <w:rPr>
          <w:rFonts w:ascii="Times New Roman" w:hAnsi="Times New Roman"/>
          <w:sz w:val="28"/>
          <w:szCs w:val="28"/>
        </w:rPr>
      </w:pPr>
      <w:r w:rsidRPr="00257F90">
        <w:rPr>
          <w:rFonts w:ascii="Times New Roman" w:hAnsi="Times New Roman"/>
          <w:sz w:val="28"/>
          <w:szCs w:val="28"/>
        </w:rPr>
        <w:t>Сравнительная характеристика отражения показателей Информации</w:t>
      </w:r>
      <w:r w:rsidRPr="00257F90">
        <w:rPr>
          <w:rFonts w:ascii="Times New Roman" w:hAnsi="Times New Roman"/>
          <w:sz w:val="28"/>
          <w:szCs w:val="28"/>
        </w:rPr>
        <w:br/>
        <w:t>по СГФ в Российской Федерации за 20</w:t>
      </w:r>
      <w:r w:rsidR="006A378E">
        <w:rPr>
          <w:rFonts w:ascii="Times New Roman" w:hAnsi="Times New Roman"/>
          <w:sz w:val="28"/>
          <w:szCs w:val="28"/>
        </w:rPr>
        <w:t>19</w:t>
      </w:r>
      <w:r w:rsidRPr="00257F90">
        <w:rPr>
          <w:rFonts w:ascii="Times New Roman" w:hAnsi="Times New Roman"/>
          <w:sz w:val="28"/>
          <w:szCs w:val="28"/>
        </w:rPr>
        <w:t xml:space="preserve"> год и 20</w:t>
      </w:r>
      <w:r w:rsidR="006A378E">
        <w:rPr>
          <w:rFonts w:ascii="Times New Roman" w:hAnsi="Times New Roman"/>
          <w:sz w:val="28"/>
          <w:szCs w:val="28"/>
        </w:rPr>
        <w:t>20</w:t>
      </w:r>
      <w:r w:rsidRPr="00257F90">
        <w:rPr>
          <w:rFonts w:ascii="Times New Roman" w:hAnsi="Times New Roman"/>
          <w:sz w:val="28"/>
          <w:szCs w:val="28"/>
        </w:rPr>
        <w:t xml:space="preserve"> год</w:t>
      </w:r>
      <w:r w:rsidRPr="00257F90">
        <w:rPr>
          <w:rFonts w:ascii="Times New Roman" w:hAnsi="Times New Roman"/>
          <w:sz w:val="28"/>
          <w:szCs w:val="28"/>
        </w:rPr>
        <w:br/>
        <w:t xml:space="preserve">представлена в Таблице </w:t>
      </w:r>
      <w:r w:rsidR="00B0756F">
        <w:rPr>
          <w:rFonts w:ascii="Times New Roman" w:hAnsi="Times New Roman"/>
          <w:sz w:val="28"/>
          <w:szCs w:val="28"/>
        </w:rPr>
        <w:t>3</w:t>
      </w:r>
      <w:r w:rsidRPr="00257F90">
        <w:rPr>
          <w:rFonts w:ascii="Times New Roman" w:hAnsi="Times New Roman"/>
          <w:sz w:val="28"/>
          <w:szCs w:val="28"/>
        </w:rPr>
        <w:t>.</w:t>
      </w:r>
    </w:p>
    <w:p w:rsidR="0084532A" w:rsidRDefault="00473120" w:rsidP="00F35C50">
      <w:pPr>
        <w:autoSpaceDE w:val="0"/>
        <w:autoSpaceDN w:val="0"/>
        <w:adjustRightInd w:val="0"/>
        <w:spacing w:after="0"/>
        <w:ind w:firstLine="567"/>
        <w:jc w:val="both"/>
        <w:rPr>
          <w:rFonts w:ascii="Times New Roman" w:hAnsi="Times New Roman"/>
          <w:sz w:val="28"/>
          <w:szCs w:val="28"/>
        </w:rPr>
      </w:pPr>
      <w:r w:rsidRPr="00473120">
        <w:rPr>
          <w:rFonts w:ascii="Times New Roman" w:hAnsi="Times New Roman"/>
          <w:sz w:val="28"/>
          <w:szCs w:val="28"/>
        </w:rPr>
        <w:t>Сравнение показателей статистики государственных финан</w:t>
      </w:r>
      <w:r w:rsidR="003F70E1">
        <w:rPr>
          <w:rFonts w:ascii="Times New Roman" w:hAnsi="Times New Roman"/>
          <w:sz w:val="28"/>
          <w:szCs w:val="28"/>
        </w:rPr>
        <w:t xml:space="preserve">сов </w:t>
      </w:r>
      <w:r w:rsidR="00F35C50">
        <w:rPr>
          <w:rFonts w:ascii="Times New Roman" w:hAnsi="Times New Roman"/>
          <w:sz w:val="28"/>
          <w:szCs w:val="28"/>
        </w:rPr>
        <w:br/>
      </w:r>
      <w:r w:rsidR="003F70E1">
        <w:rPr>
          <w:rFonts w:ascii="Times New Roman" w:hAnsi="Times New Roman"/>
          <w:sz w:val="28"/>
          <w:szCs w:val="28"/>
        </w:rPr>
        <w:t xml:space="preserve">по государственному сектору, </w:t>
      </w:r>
      <w:r w:rsidR="00F35C50">
        <w:rPr>
          <w:rFonts w:ascii="Times New Roman" w:hAnsi="Times New Roman"/>
          <w:sz w:val="28"/>
          <w:szCs w:val="28"/>
        </w:rPr>
        <w:t xml:space="preserve">расширенному сектору государственного </w:t>
      </w:r>
      <w:r w:rsidR="00F35C50" w:rsidRPr="00473120">
        <w:rPr>
          <w:rFonts w:ascii="Times New Roman" w:hAnsi="Times New Roman"/>
          <w:sz w:val="28"/>
          <w:szCs w:val="28"/>
        </w:rPr>
        <w:t>управления</w:t>
      </w:r>
      <w:r w:rsidR="00F35C50">
        <w:rPr>
          <w:rFonts w:ascii="Times New Roman" w:hAnsi="Times New Roman"/>
          <w:sz w:val="28"/>
          <w:szCs w:val="28"/>
        </w:rPr>
        <w:t xml:space="preserve"> и</w:t>
      </w:r>
      <w:r w:rsidR="00F35C50" w:rsidRPr="00473120">
        <w:rPr>
          <w:rFonts w:ascii="Times New Roman" w:hAnsi="Times New Roman"/>
          <w:sz w:val="28"/>
          <w:szCs w:val="28"/>
        </w:rPr>
        <w:t xml:space="preserve"> </w:t>
      </w:r>
      <w:r w:rsidRPr="00473120">
        <w:rPr>
          <w:rFonts w:ascii="Times New Roman" w:hAnsi="Times New Roman"/>
          <w:sz w:val="28"/>
          <w:szCs w:val="28"/>
        </w:rPr>
        <w:t>сектору государственного управления</w:t>
      </w:r>
      <w:r w:rsidR="00F35C50">
        <w:rPr>
          <w:rFonts w:ascii="Times New Roman" w:hAnsi="Times New Roman"/>
          <w:sz w:val="28"/>
          <w:szCs w:val="28"/>
        </w:rPr>
        <w:t xml:space="preserve"> </w:t>
      </w:r>
      <w:r>
        <w:rPr>
          <w:rFonts w:ascii="Times New Roman" w:hAnsi="Times New Roman"/>
          <w:sz w:val="28"/>
          <w:szCs w:val="28"/>
        </w:rPr>
        <w:t>за 20</w:t>
      </w:r>
      <w:r w:rsidR="006A378E">
        <w:rPr>
          <w:rFonts w:ascii="Times New Roman" w:hAnsi="Times New Roman"/>
          <w:sz w:val="28"/>
          <w:szCs w:val="28"/>
        </w:rPr>
        <w:t>20</w:t>
      </w:r>
      <w:r>
        <w:rPr>
          <w:rFonts w:ascii="Times New Roman" w:hAnsi="Times New Roman"/>
          <w:sz w:val="28"/>
          <w:szCs w:val="28"/>
        </w:rPr>
        <w:t xml:space="preserve"> г. представлено</w:t>
      </w:r>
      <w:r w:rsidR="0084532A">
        <w:rPr>
          <w:rFonts w:ascii="Times New Roman" w:hAnsi="Times New Roman"/>
          <w:sz w:val="28"/>
          <w:szCs w:val="28"/>
        </w:rPr>
        <w:t xml:space="preserve"> </w:t>
      </w:r>
      <w:r w:rsidR="00F35C50">
        <w:rPr>
          <w:rFonts w:ascii="Times New Roman" w:hAnsi="Times New Roman"/>
          <w:sz w:val="28"/>
          <w:szCs w:val="28"/>
        </w:rPr>
        <w:br/>
      </w:r>
      <w:r w:rsidR="0084532A">
        <w:rPr>
          <w:rFonts w:ascii="Times New Roman" w:hAnsi="Times New Roman"/>
          <w:sz w:val="28"/>
          <w:szCs w:val="28"/>
        </w:rPr>
        <w:t xml:space="preserve">в Таблице </w:t>
      </w:r>
      <w:r w:rsidR="00B0756F">
        <w:rPr>
          <w:rFonts w:ascii="Times New Roman" w:hAnsi="Times New Roman"/>
          <w:sz w:val="28"/>
          <w:szCs w:val="28"/>
        </w:rPr>
        <w:t>4</w:t>
      </w:r>
      <w:r w:rsidR="0084532A">
        <w:rPr>
          <w:rFonts w:ascii="Times New Roman" w:hAnsi="Times New Roman"/>
          <w:sz w:val="28"/>
          <w:szCs w:val="28"/>
        </w:rPr>
        <w:t>.</w:t>
      </w:r>
    </w:p>
    <w:p w:rsidR="0084532A" w:rsidRPr="0084532A" w:rsidRDefault="0084532A" w:rsidP="00176D42">
      <w:pPr>
        <w:autoSpaceDE w:val="0"/>
        <w:autoSpaceDN w:val="0"/>
        <w:adjustRightInd w:val="0"/>
        <w:spacing w:after="0"/>
        <w:ind w:firstLine="567"/>
        <w:jc w:val="both"/>
        <w:rPr>
          <w:rFonts w:ascii="Times New Roman" w:hAnsi="Times New Roman"/>
          <w:sz w:val="28"/>
          <w:szCs w:val="28"/>
        </w:rPr>
        <w:sectPr w:rsidR="0084532A" w:rsidRPr="0084532A" w:rsidSect="00F67138">
          <w:headerReference w:type="default" r:id="rId8"/>
          <w:pgSz w:w="11906" w:h="16838"/>
          <w:pgMar w:top="993" w:right="849" w:bottom="851" w:left="1701" w:header="708" w:footer="708" w:gutter="0"/>
          <w:cols w:space="708"/>
          <w:titlePg/>
          <w:docGrid w:linePitch="360"/>
        </w:sectPr>
      </w:pPr>
    </w:p>
    <w:p w:rsidR="00531209" w:rsidRPr="003F70E1" w:rsidRDefault="00531209" w:rsidP="00FD435E">
      <w:pPr>
        <w:spacing w:after="0" w:line="240" w:lineRule="auto"/>
        <w:jc w:val="center"/>
        <w:rPr>
          <w:rFonts w:ascii="Times New Roman" w:eastAsia="Times New Roman" w:hAnsi="Times New Roman"/>
          <w:b/>
          <w:bCs/>
          <w:color w:val="000000"/>
          <w:sz w:val="26"/>
          <w:szCs w:val="26"/>
          <w:lang w:eastAsia="ru-RU"/>
        </w:rPr>
      </w:pPr>
      <w:r w:rsidRPr="003F70E1">
        <w:rPr>
          <w:rFonts w:ascii="Times New Roman" w:eastAsia="Times New Roman" w:hAnsi="Times New Roman"/>
          <w:b/>
          <w:bCs/>
          <w:color w:val="000000"/>
          <w:sz w:val="26"/>
          <w:szCs w:val="26"/>
          <w:lang w:eastAsia="ru-RU"/>
        </w:rPr>
        <w:t xml:space="preserve">Таблица 3. Сравнительная характеристика отражения показателей </w:t>
      </w:r>
    </w:p>
    <w:p w:rsidR="00531209" w:rsidRPr="003F70E1" w:rsidRDefault="00C538FD" w:rsidP="00FD435E">
      <w:pPr>
        <w:spacing w:after="0" w:line="240" w:lineRule="auto"/>
        <w:jc w:val="center"/>
        <w:rPr>
          <w:rFonts w:ascii="Times New Roman" w:eastAsia="Times New Roman" w:hAnsi="Times New Roman"/>
          <w:b/>
          <w:bCs/>
          <w:color w:val="000000"/>
          <w:sz w:val="26"/>
          <w:szCs w:val="26"/>
          <w:lang w:eastAsia="ru-RU"/>
        </w:rPr>
      </w:pPr>
      <w:r>
        <w:rPr>
          <w:rFonts w:ascii="Times New Roman" w:eastAsia="Times New Roman" w:hAnsi="Times New Roman"/>
          <w:b/>
          <w:bCs/>
          <w:color w:val="000000"/>
          <w:sz w:val="26"/>
          <w:szCs w:val="26"/>
          <w:lang w:eastAsia="ru-RU"/>
        </w:rPr>
        <w:t>по И</w:t>
      </w:r>
      <w:r w:rsidR="00531209" w:rsidRPr="003F70E1">
        <w:rPr>
          <w:rFonts w:ascii="Times New Roman" w:eastAsia="Times New Roman" w:hAnsi="Times New Roman"/>
          <w:b/>
          <w:bCs/>
          <w:color w:val="000000"/>
          <w:sz w:val="26"/>
          <w:szCs w:val="26"/>
          <w:lang w:eastAsia="ru-RU"/>
        </w:rPr>
        <w:t xml:space="preserve">нформации по </w:t>
      </w:r>
      <w:r>
        <w:rPr>
          <w:rFonts w:ascii="Times New Roman" w:eastAsia="Times New Roman" w:hAnsi="Times New Roman"/>
          <w:b/>
          <w:bCs/>
          <w:color w:val="000000"/>
          <w:sz w:val="26"/>
          <w:szCs w:val="26"/>
          <w:lang w:eastAsia="ru-RU"/>
        </w:rPr>
        <w:t xml:space="preserve">СГФ </w:t>
      </w:r>
      <w:r w:rsidR="00531209" w:rsidRPr="003F70E1">
        <w:rPr>
          <w:rFonts w:ascii="Times New Roman" w:eastAsia="Times New Roman" w:hAnsi="Times New Roman"/>
          <w:b/>
          <w:bCs/>
          <w:color w:val="000000"/>
          <w:sz w:val="26"/>
          <w:szCs w:val="26"/>
          <w:lang w:eastAsia="ru-RU"/>
        </w:rPr>
        <w:t>Российской Федерации за 201</w:t>
      </w:r>
      <w:r w:rsidR="007E3F3C" w:rsidRPr="003F70E1">
        <w:rPr>
          <w:rFonts w:ascii="Times New Roman" w:eastAsia="Times New Roman" w:hAnsi="Times New Roman"/>
          <w:b/>
          <w:bCs/>
          <w:color w:val="000000"/>
          <w:sz w:val="26"/>
          <w:szCs w:val="26"/>
          <w:lang w:eastAsia="ru-RU"/>
        </w:rPr>
        <w:t>9</w:t>
      </w:r>
      <w:r w:rsidR="00531209" w:rsidRPr="003F70E1">
        <w:rPr>
          <w:rFonts w:ascii="Times New Roman" w:eastAsia="Times New Roman" w:hAnsi="Times New Roman"/>
          <w:b/>
          <w:bCs/>
          <w:color w:val="000000"/>
          <w:sz w:val="26"/>
          <w:szCs w:val="26"/>
          <w:lang w:eastAsia="ru-RU"/>
        </w:rPr>
        <w:t xml:space="preserve"> год и 20</w:t>
      </w:r>
      <w:r w:rsidR="007E3F3C" w:rsidRPr="003F70E1">
        <w:rPr>
          <w:rFonts w:ascii="Times New Roman" w:eastAsia="Times New Roman" w:hAnsi="Times New Roman"/>
          <w:b/>
          <w:bCs/>
          <w:color w:val="000000"/>
          <w:sz w:val="26"/>
          <w:szCs w:val="26"/>
          <w:lang w:eastAsia="ru-RU"/>
        </w:rPr>
        <w:t>20</w:t>
      </w:r>
      <w:r w:rsidR="00531209" w:rsidRPr="003F70E1">
        <w:rPr>
          <w:rFonts w:ascii="Times New Roman" w:eastAsia="Times New Roman" w:hAnsi="Times New Roman"/>
          <w:b/>
          <w:bCs/>
          <w:color w:val="000000"/>
          <w:sz w:val="26"/>
          <w:szCs w:val="26"/>
          <w:lang w:eastAsia="ru-RU"/>
        </w:rPr>
        <w:t xml:space="preserve"> год</w:t>
      </w:r>
    </w:p>
    <w:p w:rsidR="00531209" w:rsidRPr="00F043B0" w:rsidRDefault="00531209" w:rsidP="00FD435E">
      <w:pPr>
        <w:spacing w:after="0" w:line="240" w:lineRule="auto"/>
        <w:jc w:val="center"/>
        <w:rPr>
          <w:rFonts w:ascii="Times New Roman" w:eastAsia="Times New Roman" w:hAnsi="Times New Roman"/>
          <w:b/>
          <w:bCs/>
          <w:color w:val="000000"/>
          <w:sz w:val="26"/>
          <w:szCs w:val="26"/>
          <w:lang w:eastAsia="ru-RU"/>
        </w:rPr>
      </w:pPr>
    </w:p>
    <w:tbl>
      <w:tblPr>
        <w:tblW w:w="15606" w:type="dxa"/>
        <w:tblInd w:w="108" w:type="dxa"/>
        <w:tblLook w:val="04A0" w:firstRow="1" w:lastRow="0" w:firstColumn="1" w:lastColumn="0" w:noHBand="0" w:noVBand="1"/>
      </w:tblPr>
      <w:tblGrid>
        <w:gridCol w:w="3815"/>
        <w:gridCol w:w="1175"/>
        <w:gridCol w:w="1701"/>
        <w:gridCol w:w="1970"/>
        <w:gridCol w:w="1560"/>
        <w:gridCol w:w="7"/>
        <w:gridCol w:w="1939"/>
        <w:gridCol w:w="7"/>
        <w:gridCol w:w="1594"/>
        <w:gridCol w:w="7"/>
        <w:gridCol w:w="1824"/>
        <w:gridCol w:w="7"/>
      </w:tblGrid>
      <w:tr w:rsidR="0063647A" w:rsidRPr="00557396" w:rsidTr="00ED3C16">
        <w:trPr>
          <w:trHeight w:val="273"/>
          <w:tblHeader/>
        </w:trPr>
        <w:tc>
          <w:tcPr>
            <w:tcW w:w="4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47A" w:rsidRPr="00557396" w:rsidRDefault="0063647A" w:rsidP="00FD435E">
            <w:pPr>
              <w:spacing w:after="0" w:line="240" w:lineRule="auto"/>
              <w:jc w:val="center"/>
              <w:rPr>
                <w:rFonts w:ascii="Times New Roman" w:eastAsia="Times New Roman" w:hAnsi="Times New Roman"/>
                <w:b/>
                <w:bCs/>
                <w:color w:val="000000"/>
                <w:lang w:eastAsia="ru-RU"/>
              </w:rPr>
            </w:pPr>
            <w:r w:rsidRPr="00557396">
              <w:rPr>
                <w:rFonts w:ascii="Times New Roman" w:eastAsia="Times New Roman" w:hAnsi="Times New Roman"/>
                <w:b/>
                <w:bCs/>
                <w:color w:val="000000"/>
                <w:lang w:eastAsia="ru-RU"/>
              </w:rPr>
              <w:t>Наименование показателя</w:t>
            </w:r>
          </w:p>
        </w:tc>
        <w:tc>
          <w:tcPr>
            <w:tcW w:w="3671" w:type="dxa"/>
            <w:gridSpan w:val="2"/>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 xml:space="preserve">Млрд </w:t>
            </w:r>
            <w:proofErr w:type="spellStart"/>
            <w:r w:rsidRPr="00557396">
              <w:rPr>
                <w:rFonts w:ascii="Times New Roman" w:eastAsia="Times New Roman" w:hAnsi="Times New Roman"/>
                <w:b/>
                <w:bCs/>
                <w:color w:val="000000"/>
                <w:sz w:val="20"/>
                <w:szCs w:val="20"/>
                <w:lang w:eastAsia="ru-RU"/>
              </w:rPr>
              <w:t>руб</w:t>
            </w:r>
            <w:proofErr w:type="spellEnd"/>
            <w:r w:rsidRPr="00557396">
              <w:rPr>
                <w:rFonts w:ascii="Times New Roman" w:eastAsia="Times New Roman" w:hAnsi="Times New Roman"/>
                <w:b/>
                <w:bCs/>
                <w:color w:val="000000"/>
                <w:sz w:val="20"/>
                <w:szCs w:val="20"/>
                <w:lang w:eastAsia="ru-RU"/>
              </w:rPr>
              <w:t xml:space="preserve">, </w:t>
            </w:r>
          </w:p>
          <w:p w:rsidR="0063647A" w:rsidRPr="00557396" w:rsidRDefault="0063647A" w:rsidP="000C4A2C">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201</w:t>
            </w:r>
            <w:r w:rsidR="000C4A2C">
              <w:rPr>
                <w:rFonts w:ascii="Times New Roman" w:eastAsia="Times New Roman" w:hAnsi="Times New Roman"/>
                <w:b/>
                <w:bCs/>
                <w:color w:val="000000"/>
                <w:sz w:val="20"/>
                <w:szCs w:val="20"/>
                <w:lang w:eastAsia="ru-RU"/>
              </w:rPr>
              <w:t>9</w:t>
            </w:r>
            <w:r w:rsidRPr="00557396">
              <w:rPr>
                <w:rFonts w:ascii="Times New Roman" w:eastAsia="Times New Roman" w:hAnsi="Times New Roman"/>
                <w:b/>
                <w:bCs/>
                <w:color w:val="000000"/>
                <w:sz w:val="20"/>
                <w:szCs w:val="20"/>
                <w:lang w:eastAsia="ru-RU"/>
              </w:rPr>
              <w:t xml:space="preserve"> год, на конец года</w:t>
            </w:r>
          </w:p>
        </w:tc>
        <w:tc>
          <w:tcPr>
            <w:tcW w:w="3513" w:type="dxa"/>
            <w:gridSpan w:val="4"/>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 xml:space="preserve">Млрд </w:t>
            </w:r>
            <w:proofErr w:type="spellStart"/>
            <w:r w:rsidRPr="00557396">
              <w:rPr>
                <w:rFonts w:ascii="Times New Roman" w:eastAsia="Times New Roman" w:hAnsi="Times New Roman"/>
                <w:b/>
                <w:bCs/>
                <w:color w:val="000000"/>
                <w:sz w:val="20"/>
                <w:szCs w:val="20"/>
                <w:lang w:eastAsia="ru-RU"/>
              </w:rPr>
              <w:t>руб</w:t>
            </w:r>
            <w:proofErr w:type="spellEnd"/>
            <w:r w:rsidRPr="00557396">
              <w:rPr>
                <w:rFonts w:ascii="Times New Roman" w:eastAsia="Times New Roman" w:hAnsi="Times New Roman"/>
                <w:b/>
                <w:bCs/>
                <w:color w:val="000000"/>
                <w:sz w:val="20"/>
                <w:szCs w:val="20"/>
                <w:lang w:eastAsia="ru-RU"/>
              </w:rPr>
              <w:t xml:space="preserve">, </w:t>
            </w:r>
          </w:p>
          <w:p w:rsidR="0063647A" w:rsidRPr="00557396" w:rsidRDefault="0063647A" w:rsidP="000C4A2C">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20</w:t>
            </w:r>
            <w:r w:rsidR="000C4A2C">
              <w:rPr>
                <w:rFonts w:ascii="Times New Roman" w:eastAsia="Times New Roman" w:hAnsi="Times New Roman"/>
                <w:b/>
                <w:bCs/>
                <w:color w:val="000000"/>
                <w:sz w:val="20"/>
                <w:szCs w:val="20"/>
                <w:lang w:eastAsia="ru-RU"/>
              </w:rPr>
              <w:t>20</w:t>
            </w:r>
            <w:r w:rsidRPr="00557396">
              <w:rPr>
                <w:rFonts w:ascii="Times New Roman" w:eastAsia="Times New Roman" w:hAnsi="Times New Roman"/>
                <w:b/>
                <w:bCs/>
                <w:color w:val="000000"/>
                <w:sz w:val="20"/>
                <w:szCs w:val="20"/>
                <w:lang w:eastAsia="ru-RU"/>
              </w:rPr>
              <w:t xml:space="preserve"> год, на конец года</w:t>
            </w:r>
          </w:p>
        </w:tc>
        <w:tc>
          <w:tcPr>
            <w:tcW w:w="3432" w:type="dxa"/>
            <w:gridSpan w:val="4"/>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Сравнительная характеристика показателей</w:t>
            </w:r>
          </w:p>
          <w:p w:rsidR="0063647A" w:rsidRPr="00557396" w:rsidRDefault="0063647A" w:rsidP="00243357">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201</w:t>
            </w:r>
            <w:r w:rsidR="00243357" w:rsidRPr="00557396">
              <w:rPr>
                <w:rFonts w:ascii="Times New Roman" w:eastAsia="Times New Roman" w:hAnsi="Times New Roman"/>
                <w:b/>
                <w:bCs/>
                <w:color w:val="000000"/>
                <w:sz w:val="20"/>
                <w:szCs w:val="20"/>
                <w:lang w:eastAsia="ru-RU"/>
              </w:rPr>
              <w:t>9</w:t>
            </w:r>
            <w:r w:rsidRPr="00557396">
              <w:rPr>
                <w:rFonts w:ascii="Times New Roman" w:eastAsia="Times New Roman" w:hAnsi="Times New Roman"/>
                <w:b/>
                <w:bCs/>
                <w:color w:val="000000"/>
                <w:sz w:val="20"/>
                <w:szCs w:val="20"/>
                <w:lang w:eastAsia="ru-RU"/>
              </w:rPr>
              <w:t xml:space="preserve"> года к 201</w:t>
            </w:r>
            <w:r w:rsidR="00243357" w:rsidRPr="00557396">
              <w:rPr>
                <w:rFonts w:ascii="Times New Roman" w:eastAsia="Times New Roman" w:hAnsi="Times New Roman"/>
                <w:b/>
                <w:bCs/>
                <w:color w:val="000000"/>
                <w:sz w:val="20"/>
                <w:szCs w:val="20"/>
                <w:lang w:eastAsia="ru-RU"/>
              </w:rPr>
              <w:t>8</w:t>
            </w:r>
            <w:r w:rsidRPr="00557396">
              <w:rPr>
                <w:rFonts w:ascii="Times New Roman" w:eastAsia="Times New Roman" w:hAnsi="Times New Roman"/>
                <w:b/>
                <w:bCs/>
                <w:color w:val="000000"/>
                <w:sz w:val="20"/>
                <w:szCs w:val="20"/>
                <w:lang w:eastAsia="ru-RU"/>
              </w:rPr>
              <w:t xml:space="preserve"> году</w:t>
            </w:r>
          </w:p>
        </w:tc>
      </w:tr>
      <w:tr w:rsidR="0063647A" w:rsidRPr="00557396" w:rsidTr="00ED3C16">
        <w:trPr>
          <w:trHeight w:val="673"/>
          <w:tblHeader/>
        </w:trPr>
        <w:tc>
          <w:tcPr>
            <w:tcW w:w="49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63647A" w:rsidRPr="00557396" w:rsidRDefault="0063647A" w:rsidP="00FD435E">
            <w:pPr>
              <w:spacing w:after="0" w:line="240" w:lineRule="auto"/>
              <w:rPr>
                <w:rFonts w:ascii="Times New Roman" w:eastAsia="Times New Roman" w:hAnsi="Times New Roman"/>
                <w:b/>
                <w:bCs/>
                <w:color w:val="000000"/>
                <w:lang w:eastAsia="ru-RU"/>
              </w:rPr>
            </w:pPr>
          </w:p>
        </w:tc>
        <w:tc>
          <w:tcPr>
            <w:tcW w:w="1701" w:type="dxa"/>
            <w:vMerge w:val="restart"/>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Центральное правительство</w:t>
            </w:r>
          </w:p>
        </w:tc>
        <w:tc>
          <w:tcPr>
            <w:tcW w:w="1970" w:type="dxa"/>
            <w:vMerge w:val="restart"/>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Сектор государственного управления</w:t>
            </w:r>
          </w:p>
        </w:tc>
        <w:tc>
          <w:tcPr>
            <w:tcW w:w="1567" w:type="dxa"/>
            <w:gridSpan w:val="2"/>
            <w:vMerge w:val="restart"/>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Центральное правительство</w:t>
            </w:r>
          </w:p>
        </w:tc>
        <w:tc>
          <w:tcPr>
            <w:tcW w:w="194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Сектор государственного управления</w:t>
            </w: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Центральное правительство</w:t>
            </w:r>
          </w:p>
        </w:tc>
        <w:tc>
          <w:tcPr>
            <w:tcW w:w="1831" w:type="dxa"/>
            <w:gridSpan w:val="2"/>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Сектор государственного управления</w:t>
            </w:r>
          </w:p>
        </w:tc>
      </w:tr>
      <w:tr w:rsidR="0063647A" w:rsidRPr="00F043B0" w:rsidTr="00ED3C16">
        <w:trPr>
          <w:trHeight w:val="290"/>
          <w:tblHeader/>
        </w:trPr>
        <w:tc>
          <w:tcPr>
            <w:tcW w:w="4990" w:type="dxa"/>
            <w:gridSpan w:val="2"/>
            <w:vMerge/>
            <w:tcBorders>
              <w:top w:val="single" w:sz="4" w:space="0" w:color="auto"/>
              <w:left w:val="single" w:sz="4" w:space="0" w:color="auto"/>
              <w:bottom w:val="single" w:sz="4" w:space="0" w:color="auto"/>
              <w:right w:val="single" w:sz="4" w:space="0" w:color="auto"/>
            </w:tcBorders>
            <w:vAlign w:val="center"/>
          </w:tcPr>
          <w:p w:rsidR="0063647A" w:rsidRPr="00557396" w:rsidRDefault="0063647A" w:rsidP="00FD435E">
            <w:pPr>
              <w:spacing w:after="0" w:line="240" w:lineRule="auto"/>
              <w:jc w:val="center"/>
              <w:rPr>
                <w:rFonts w:ascii="Times New Roman" w:eastAsia="Times New Roman" w:hAnsi="Times New Roman"/>
                <w:b/>
                <w:bCs/>
                <w:color w:val="000000"/>
                <w:lang w:eastAsia="ru-RU"/>
              </w:rPr>
            </w:pPr>
          </w:p>
        </w:tc>
        <w:tc>
          <w:tcPr>
            <w:tcW w:w="1701" w:type="dxa"/>
            <w:vMerge/>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p>
        </w:tc>
        <w:tc>
          <w:tcPr>
            <w:tcW w:w="1970" w:type="dxa"/>
            <w:vMerge/>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p>
        </w:tc>
        <w:tc>
          <w:tcPr>
            <w:tcW w:w="1567" w:type="dxa"/>
            <w:gridSpan w:val="2"/>
            <w:vMerge/>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p>
        </w:tc>
        <w:tc>
          <w:tcPr>
            <w:tcW w:w="1946" w:type="dxa"/>
            <w:gridSpan w:val="2"/>
            <w:vMerge/>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63647A">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Гр.4-гр.2</w:t>
            </w:r>
          </w:p>
        </w:tc>
        <w:tc>
          <w:tcPr>
            <w:tcW w:w="1831"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63647A">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Гр.5-гр.3</w:t>
            </w:r>
          </w:p>
        </w:tc>
      </w:tr>
      <w:tr w:rsidR="0063647A" w:rsidRPr="00F043B0" w:rsidTr="00ED3C16">
        <w:trPr>
          <w:trHeight w:val="192"/>
          <w:tblHeader/>
        </w:trPr>
        <w:tc>
          <w:tcPr>
            <w:tcW w:w="4990" w:type="dxa"/>
            <w:gridSpan w:val="2"/>
            <w:tcBorders>
              <w:top w:val="single" w:sz="4" w:space="0" w:color="auto"/>
              <w:left w:val="single" w:sz="4" w:space="0" w:color="auto"/>
              <w:bottom w:val="single" w:sz="4" w:space="0" w:color="auto"/>
              <w:right w:val="single" w:sz="4" w:space="0" w:color="auto"/>
            </w:tcBorders>
            <w:vAlign w:val="center"/>
          </w:tcPr>
          <w:p w:rsidR="0063647A" w:rsidRPr="00F043B0" w:rsidRDefault="0063647A" w:rsidP="00FD435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c>
          <w:tcPr>
            <w:tcW w:w="1701" w:type="dxa"/>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p>
        </w:tc>
        <w:tc>
          <w:tcPr>
            <w:tcW w:w="1970" w:type="dxa"/>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w:t>
            </w:r>
          </w:p>
        </w:tc>
        <w:tc>
          <w:tcPr>
            <w:tcW w:w="1567"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p>
        </w:tc>
        <w:tc>
          <w:tcPr>
            <w:tcW w:w="1946"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w:t>
            </w: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w:t>
            </w:r>
          </w:p>
        </w:tc>
        <w:tc>
          <w:tcPr>
            <w:tcW w:w="1831"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w:t>
            </w:r>
          </w:p>
        </w:tc>
      </w:tr>
      <w:tr w:rsidR="0063647A" w:rsidRPr="00F043B0" w:rsidTr="00FD435E">
        <w:trPr>
          <w:trHeight w:val="439"/>
        </w:trPr>
        <w:tc>
          <w:tcPr>
            <w:tcW w:w="1560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63647A" w:rsidRPr="00F043B0" w:rsidRDefault="0063647A" w:rsidP="00FD435E">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Баланс активов и пассивов</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Нефинансовые активы</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61</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44 717,23</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75 730,89</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Pr>
                <w:rFonts w:ascii="Times New Roman" w:hAnsi="Times New Roman"/>
                <w:b/>
                <w:bCs/>
                <w:color w:val="000000"/>
              </w:rPr>
              <w:t>48 516,7</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0437B">
              <w:rPr>
                <w:rFonts w:ascii="Times New Roman" w:hAnsi="Times New Roman"/>
                <w:b/>
                <w:bCs/>
                <w:color w:val="000000"/>
              </w:rPr>
              <w:t>81 506,0</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line="240" w:lineRule="auto"/>
              <w:jc w:val="center"/>
              <w:rPr>
                <w:rFonts w:ascii="Times New Roman" w:eastAsia="Times New Roman" w:hAnsi="Times New Roman"/>
                <w:b/>
                <w:bCs/>
                <w:color w:val="000000"/>
              </w:rPr>
            </w:pPr>
            <w:r w:rsidRPr="0020437B">
              <w:rPr>
                <w:rFonts w:ascii="Times New Roman" w:hAnsi="Times New Roman"/>
                <w:b/>
                <w:bCs/>
                <w:color w:val="000000"/>
              </w:rPr>
              <w:t>3799,47</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4 892,69</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Финансовые активы</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62</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31 924,91</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42 148,05</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D705C2">
              <w:rPr>
                <w:rFonts w:ascii="Times New Roman" w:hAnsi="Times New Roman"/>
                <w:b/>
                <w:bCs/>
                <w:color w:val="000000"/>
              </w:rPr>
              <w:t>37 413,5</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D705C2">
              <w:rPr>
                <w:rFonts w:ascii="Times New Roman" w:hAnsi="Times New Roman"/>
                <w:b/>
                <w:bCs/>
                <w:color w:val="000000"/>
              </w:rPr>
              <w:t>47 739,4</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5488,59</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4 457,15</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proofErr w:type="spellStart"/>
            <w:r w:rsidRPr="00F043B0">
              <w:rPr>
                <w:rFonts w:ascii="Times New Roman" w:eastAsia="Times New Roman" w:hAnsi="Times New Roman"/>
                <w:color w:val="000000"/>
                <w:lang w:eastAsia="ru-RU"/>
              </w:rPr>
              <w:t>Moнетарное</w:t>
            </w:r>
            <w:proofErr w:type="spellEnd"/>
            <w:r w:rsidRPr="00F043B0">
              <w:rPr>
                <w:rFonts w:ascii="Times New Roman" w:eastAsia="Times New Roman" w:hAnsi="Times New Roman"/>
                <w:color w:val="000000"/>
                <w:lang w:eastAsia="ru-RU"/>
              </w:rPr>
              <w:t xml:space="preserve"> золото и СДР</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6201</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Валюта и депозиты</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6202</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13 659,79</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16 871,74</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13 670,9</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16 618,6</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11,11</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3 372,74</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Долговые ценные бумаги</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6203</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543,19</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1 262,60</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Pr>
                <w:rFonts w:ascii="Times New Roman" w:hAnsi="Times New Roman"/>
                <w:color w:val="000000"/>
              </w:rPr>
              <w:t>531,3</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Pr>
                <w:rFonts w:ascii="Times New Roman" w:hAnsi="Times New Roman"/>
                <w:color w:val="000000"/>
              </w:rPr>
              <w:t>1 439,0</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-11,89</w:t>
            </w:r>
          </w:p>
        </w:tc>
        <w:tc>
          <w:tcPr>
            <w:tcW w:w="1831" w:type="dxa"/>
            <w:gridSpan w:val="2"/>
            <w:tcBorders>
              <w:top w:val="nil"/>
              <w:left w:val="nil"/>
              <w:bottom w:val="nil"/>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47,60</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Кредиты и займы</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6204</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3 658,48</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2 839,21</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Pr>
                <w:rFonts w:ascii="Times New Roman" w:hAnsi="Times New Roman"/>
                <w:color w:val="000000"/>
              </w:rPr>
              <w:t>4 941,2</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3 902,7</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1282,72</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-440,29</w:t>
            </w:r>
          </w:p>
        </w:tc>
      </w:tr>
      <w:tr w:rsidR="0020437B" w:rsidRPr="00F043B0" w:rsidTr="00ED3C16">
        <w:trPr>
          <w:gridAfter w:val="1"/>
          <w:wAfter w:w="7" w:type="dxa"/>
          <w:trHeight w:val="409"/>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Акционерный капитал и доли в инвестиционных фондах</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6205</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7 178,74</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11 771,25</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11 102,1</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15 900,1</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3923,36</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857,05</w:t>
            </w:r>
          </w:p>
        </w:tc>
      </w:tr>
      <w:tr w:rsidR="0020437B" w:rsidRPr="00F043B0" w:rsidTr="00ED3C16">
        <w:trPr>
          <w:gridAfter w:val="1"/>
          <w:wAfter w:w="7" w:type="dxa"/>
          <w:trHeight w:val="746"/>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Программы страхования, пенсионного обеспечения и стандартных гарантий</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6206</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0437B" w:rsidRPr="00F043B0" w:rsidTr="00ED3C16">
        <w:trPr>
          <w:gridAfter w:val="1"/>
          <w:wAfter w:w="7" w:type="dxa"/>
          <w:trHeight w:val="689"/>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Производные финансовые инструменты и опционы на акции для работников</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6207</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0437B" w:rsidRPr="00F043B0" w:rsidTr="00ED3C16">
        <w:trPr>
          <w:gridAfter w:val="1"/>
          <w:wAfter w:w="7" w:type="dxa"/>
          <w:trHeight w:val="242"/>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Прочая дебиторская задолженность</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6208</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6 884,71</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9 403,25</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7 167,9</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9 879,1</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283,19</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620,05</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Обязательства</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63</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17 098,57</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21 214,21</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D705C2">
              <w:rPr>
                <w:rFonts w:ascii="Times New Roman" w:hAnsi="Times New Roman"/>
                <w:b/>
                <w:bCs/>
                <w:color w:val="000000"/>
              </w:rPr>
              <w:t>22 760,5</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D705C2">
              <w:rPr>
                <w:rFonts w:ascii="Times New Roman" w:hAnsi="Times New Roman"/>
                <w:b/>
                <w:bCs/>
                <w:color w:val="000000"/>
              </w:rPr>
              <w:t>27 610,5</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5661,93</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2 060,81</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proofErr w:type="spellStart"/>
            <w:r w:rsidRPr="00F043B0">
              <w:rPr>
                <w:rFonts w:ascii="Times New Roman" w:eastAsia="Times New Roman" w:hAnsi="Times New Roman"/>
                <w:color w:val="000000"/>
                <w:lang w:eastAsia="ru-RU"/>
              </w:rPr>
              <w:t>Moнетарное</w:t>
            </w:r>
            <w:proofErr w:type="spellEnd"/>
            <w:r w:rsidRPr="00F043B0">
              <w:rPr>
                <w:rFonts w:ascii="Times New Roman" w:eastAsia="Times New Roman" w:hAnsi="Times New Roman"/>
                <w:color w:val="000000"/>
                <w:lang w:eastAsia="ru-RU"/>
              </w:rPr>
              <w:t xml:space="preserve"> золото и СДР</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6301</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Валюта и депозиты</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6302</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0437B"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Долговые ценные бумаги</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6303</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11 990,61</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11 945,42</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17 076,6</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Pr>
                <w:rFonts w:ascii="Times New Roman" w:hAnsi="Times New Roman"/>
                <w:color w:val="000000"/>
              </w:rPr>
              <w:t>17 187,1</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5085,99</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1 660,52</w:t>
            </w:r>
          </w:p>
        </w:tc>
      </w:tr>
      <w:tr w:rsidR="0020437B" w:rsidRPr="00F043B0" w:rsidTr="00ED3C16">
        <w:trPr>
          <w:gridAfter w:val="1"/>
          <w:wAfter w:w="7" w:type="dxa"/>
          <w:trHeight w:val="300"/>
        </w:trPr>
        <w:tc>
          <w:tcPr>
            <w:tcW w:w="381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Кредиты и займы</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73,583</w:t>
            </w:r>
          </w:p>
        </w:tc>
        <w:tc>
          <w:tcPr>
            <w:tcW w:w="1970" w:type="dxa"/>
            <w:tcBorders>
              <w:top w:val="single" w:sz="4" w:space="0" w:color="auto"/>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931,23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82,9</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938,1</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9,32</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-96,07</w:t>
            </w:r>
          </w:p>
        </w:tc>
      </w:tr>
      <w:tr w:rsidR="0020437B" w:rsidRPr="00F043B0" w:rsidTr="00ED3C16">
        <w:trPr>
          <w:gridAfter w:val="1"/>
          <w:wAfter w:w="7" w:type="dxa"/>
          <w:trHeight w:val="600"/>
        </w:trPr>
        <w:tc>
          <w:tcPr>
            <w:tcW w:w="381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Акционерный капитал и доли в инвестиционных фондах</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70" w:type="dxa"/>
            <w:tcBorders>
              <w:top w:val="single" w:sz="4" w:space="0" w:color="auto"/>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0,00</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0437B" w:rsidRPr="00F043B0" w:rsidTr="00ED3C16">
        <w:trPr>
          <w:gridAfter w:val="1"/>
          <w:wAfter w:w="7" w:type="dxa"/>
          <w:trHeight w:val="725"/>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Программы страхования, пенсионного обеспечения и стандартных гарантий</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6306</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0437B" w:rsidRPr="00F043B0" w:rsidTr="00ED3C16">
        <w:trPr>
          <w:gridAfter w:val="1"/>
          <w:wAfter w:w="7" w:type="dxa"/>
          <w:trHeight w:val="806"/>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Производные финансовые инструменты и опционы на акции для работников</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6307</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0437B" w:rsidRPr="00F043B0" w:rsidTr="00ED3C16">
        <w:trPr>
          <w:gridAfter w:val="1"/>
          <w:wAfter w:w="7" w:type="dxa"/>
          <w:trHeight w:val="328"/>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Прочая кредиторская задолженность</w:t>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6308</w:t>
            </w: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5 034,38</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243357">
              <w:rPr>
                <w:rFonts w:ascii="Times New Roman" w:hAnsi="Times New Roman"/>
                <w:color w:val="000000"/>
              </w:rPr>
              <w:t>8 337,57</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5 601,0</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color w:val="000000"/>
              </w:rPr>
            </w:pPr>
            <w:r w:rsidRPr="00D705C2">
              <w:rPr>
                <w:rFonts w:ascii="Times New Roman" w:hAnsi="Times New Roman"/>
                <w:color w:val="000000"/>
              </w:rPr>
              <w:t>9 485,2</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566,62</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496,37</w:t>
            </w:r>
          </w:p>
        </w:tc>
      </w:tr>
      <w:tr w:rsidR="0020437B" w:rsidRPr="00F043B0" w:rsidTr="00ED3C16">
        <w:trPr>
          <w:gridAfter w:val="1"/>
          <w:wAfter w:w="7" w:type="dxa"/>
          <w:trHeight w:val="537"/>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ЧИСТАЯ СТОИМОСТЬ ФИНАНСОВЫХ АКТИВОВ</w:t>
            </w:r>
            <w:r>
              <w:rPr>
                <w:rStyle w:val="af0"/>
                <w:rFonts w:ascii="Times New Roman" w:eastAsia="Times New Roman" w:hAnsi="Times New Roman"/>
                <w:b/>
                <w:bCs/>
                <w:color w:val="000000"/>
                <w:lang w:eastAsia="ru-RU"/>
              </w:rPr>
              <w:footnoteReference w:id="8"/>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b/>
                <w:bCs/>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14 826,30</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20 933,80</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01763F">
              <w:rPr>
                <w:rFonts w:ascii="Times New Roman" w:hAnsi="Times New Roman"/>
                <w:b/>
                <w:bCs/>
                <w:color w:val="000000"/>
              </w:rPr>
              <w:t>14 653,0</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01763F">
              <w:rPr>
                <w:rFonts w:ascii="Times New Roman" w:hAnsi="Times New Roman"/>
                <w:b/>
                <w:bCs/>
                <w:color w:val="000000"/>
              </w:rPr>
              <w:t>20 128,9</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-173,30</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2 396,30</w:t>
            </w:r>
          </w:p>
        </w:tc>
      </w:tr>
      <w:tr w:rsidR="0020437B" w:rsidRPr="00F043B0" w:rsidTr="00ED3C16">
        <w:trPr>
          <w:gridAfter w:val="1"/>
          <w:wAfter w:w="7" w:type="dxa"/>
          <w:trHeight w:val="585"/>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20437B" w:rsidRPr="00F043B0" w:rsidRDefault="0020437B" w:rsidP="0020437B">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ЧИСТАЯ СТОИМОСТЬ АКТИВОВ</w:t>
            </w:r>
            <w:r>
              <w:rPr>
                <w:rStyle w:val="af0"/>
                <w:rFonts w:ascii="Times New Roman" w:eastAsia="Times New Roman" w:hAnsi="Times New Roman"/>
                <w:b/>
                <w:bCs/>
                <w:color w:val="000000"/>
                <w:lang w:eastAsia="ru-RU"/>
              </w:rPr>
              <w:footnoteReference w:id="9"/>
            </w:r>
          </w:p>
        </w:tc>
        <w:tc>
          <w:tcPr>
            <w:tcW w:w="1175" w:type="dxa"/>
            <w:tcBorders>
              <w:top w:val="nil"/>
              <w:left w:val="nil"/>
              <w:bottom w:val="single" w:sz="4" w:space="0" w:color="auto"/>
              <w:right w:val="single" w:sz="4" w:space="0" w:color="auto"/>
            </w:tcBorders>
            <w:shd w:val="clear" w:color="auto" w:fill="auto"/>
            <w:vAlign w:val="center"/>
            <w:hideMark/>
          </w:tcPr>
          <w:p w:rsidR="0020437B" w:rsidRPr="00F043B0" w:rsidRDefault="0020437B" w:rsidP="0020437B">
            <w:pPr>
              <w:spacing w:after="0" w:line="240" w:lineRule="auto"/>
              <w:jc w:val="center"/>
              <w:rPr>
                <w:rFonts w:ascii="Times New Roman" w:eastAsia="Times New Roman" w:hAnsi="Times New Roman"/>
                <w:b/>
                <w:bCs/>
                <w:color w:val="000000"/>
                <w:lang w:eastAsia="ru-RU"/>
              </w:rPr>
            </w:pPr>
          </w:p>
        </w:tc>
        <w:tc>
          <w:tcPr>
            <w:tcW w:w="1701"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59 543,57</w:t>
            </w:r>
          </w:p>
        </w:tc>
        <w:tc>
          <w:tcPr>
            <w:tcW w:w="197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96 664,73</w:t>
            </w:r>
          </w:p>
        </w:tc>
        <w:tc>
          <w:tcPr>
            <w:tcW w:w="1560" w:type="dxa"/>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01763F">
              <w:rPr>
                <w:rFonts w:ascii="Times New Roman" w:hAnsi="Times New Roman"/>
                <w:b/>
                <w:bCs/>
                <w:color w:val="000000"/>
              </w:rPr>
              <w:t>63 169,7</w:t>
            </w:r>
          </w:p>
        </w:tc>
        <w:tc>
          <w:tcPr>
            <w:tcW w:w="1946" w:type="dxa"/>
            <w:gridSpan w:val="2"/>
            <w:tcBorders>
              <w:top w:val="nil"/>
              <w:left w:val="nil"/>
              <w:bottom w:val="single" w:sz="4" w:space="0" w:color="auto"/>
              <w:right w:val="single" w:sz="4"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01763F">
              <w:rPr>
                <w:rFonts w:ascii="Times New Roman" w:hAnsi="Times New Roman"/>
                <w:b/>
                <w:bCs/>
                <w:color w:val="000000"/>
              </w:rPr>
              <w:t>101 634,9</w:t>
            </w:r>
          </w:p>
        </w:tc>
        <w:tc>
          <w:tcPr>
            <w:tcW w:w="1601" w:type="dxa"/>
            <w:gridSpan w:val="2"/>
            <w:tcBorders>
              <w:top w:val="nil"/>
              <w:left w:val="nil"/>
              <w:bottom w:val="single" w:sz="4" w:space="0" w:color="auto"/>
              <w:right w:val="single" w:sz="4" w:space="0" w:color="auto"/>
            </w:tcBorders>
            <w:shd w:val="clear" w:color="auto" w:fill="auto"/>
            <w:noWrap/>
            <w:vAlign w:val="center"/>
          </w:tcPr>
          <w:p w:rsidR="0020437B" w:rsidRPr="0020437B" w:rsidRDefault="0020437B" w:rsidP="0076365D">
            <w:pPr>
              <w:spacing w:after="0"/>
              <w:jc w:val="center"/>
              <w:rPr>
                <w:rFonts w:ascii="Times New Roman" w:hAnsi="Times New Roman"/>
                <w:b/>
                <w:bCs/>
                <w:color w:val="000000"/>
              </w:rPr>
            </w:pPr>
            <w:r w:rsidRPr="0020437B">
              <w:rPr>
                <w:rFonts w:ascii="Times New Roman" w:hAnsi="Times New Roman"/>
                <w:b/>
                <w:bCs/>
                <w:color w:val="000000"/>
              </w:rPr>
              <w:t>3626,13</w:t>
            </w:r>
          </w:p>
        </w:tc>
        <w:tc>
          <w:tcPr>
            <w:tcW w:w="1831" w:type="dxa"/>
            <w:gridSpan w:val="2"/>
            <w:tcBorders>
              <w:top w:val="nil"/>
              <w:left w:val="nil"/>
              <w:bottom w:val="single" w:sz="4" w:space="0" w:color="auto"/>
              <w:right w:val="single" w:sz="8" w:space="0" w:color="auto"/>
            </w:tcBorders>
            <w:shd w:val="clear" w:color="auto" w:fill="auto"/>
            <w:noWrap/>
            <w:vAlign w:val="center"/>
          </w:tcPr>
          <w:p w:rsidR="0020437B" w:rsidRPr="00243357" w:rsidRDefault="0020437B" w:rsidP="0020437B">
            <w:pPr>
              <w:spacing w:after="0" w:line="240" w:lineRule="auto"/>
              <w:jc w:val="center"/>
              <w:rPr>
                <w:rFonts w:ascii="Times New Roman" w:hAnsi="Times New Roman"/>
                <w:b/>
                <w:bCs/>
                <w:color w:val="000000"/>
              </w:rPr>
            </w:pPr>
            <w:r w:rsidRPr="00243357">
              <w:rPr>
                <w:rFonts w:ascii="Times New Roman" w:hAnsi="Times New Roman"/>
                <w:b/>
                <w:bCs/>
                <w:color w:val="000000"/>
              </w:rPr>
              <w:t>7 289,03</w:t>
            </w:r>
          </w:p>
        </w:tc>
      </w:tr>
      <w:tr w:rsidR="00D705C2" w:rsidRPr="00F043B0" w:rsidTr="00FD435E">
        <w:trPr>
          <w:trHeight w:val="407"/>
        </w:trPr>
        <w:tc>
          <w:tcPr>
            <w:tcW w:w="1560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D705C2" w:rsidRPr="00F043B0" w:rsidRDefault="00D705C2" w:rsidP="0076365D">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Отчет об операциях</w:t>
            </w:r>
          </w:p>
        </w:tc>
      </w:tr>
      <w:tr w:rsidR="0076365D"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Доходы</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1</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22 157,50</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44 664,70</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01763F">
              <w:rPr>
                <w:rFonts w:ascii="Times New Roman" w:hAnsi="Times New Roman"/>
                <w:b/>
                <w:bCs/>
                <w:color w:val="000000"/>
              </w:rPr>
              <w:t>21 692,5</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01763F">
              <w:rPr>
                <w:rFonts w:ascii="Times New Roman" w:hAnsi="Times New Roman"/>
                <w:b/>
                <w:bCs/>
                <w:color w:val="000000"/>
              </w:rPr>
              <w:t>41 521,6</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spacing w:after="0" w:line="240" w:lineRule="auto"/>
              <w:jc w:val="center"/>
              <w:rPr>
                <w:rFonts w:ascii="Times New Roman" w:eastAsia="Times New Roman" w:hAnsi="Times New Roman"/>
                <w:b/>
                <w:bCs/>
                <w:color w:val="000000"/>
              </w:rPr>
            </w:pPr>
            <w:r w:rsidRPr="0076365D">
              <w:rPr>
                <w:rFonts w:ascii="Times New Roman" w:hAnsi="Times New Roman"/>
                <w:b/>
                <w:bCs/>
                <w:color w:val="000000"/>
              </w:rPr>
              <w:t>-465,00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eastAsia="Times New Roman" w:hAnsi="Times New Roman"/>
                <w:b/>
                <w:bCs/>
                <w:color w:val="000000"/>
              </w:rPr>
            </w:pPr>
            <w:r w:rsidRPr="0076365D">
              <w:rPr>
                <w:rFonts w:ascii="Times New Roman" w:hAnsi="Times New Roman"/>
                <w:b/>
                <w:bCs/>
                <w:color w:val="000000"/>
              </w:rPr>
              <w:t>-3 143,10</w:t>
            </w:r>
          </w:p>
        </w:tc>
      </w:tr>
      <w:tr w:rsidR="0076365D"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Проценты</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1411</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428,1</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734,6</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Pr>
                <w:rFonts w:ascii="Times New Roman" w:hAnsi="Times New Roman"/>
                <w:color w:val="000000"/>
              </w:rPr>
              <w:t>624,0</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854,9</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195,90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120,30</w:t>
            </w:r>
          </w:p>
        </w:tc>
      </w:tr>
      <w:tr w:rsidR="0076365D"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Рента</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1415</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6 434,30</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6 755,50</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4 163,6</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4 523,5</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-2 270,70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-2 232,00</w:t>
            </w:r>
          </w:p>
        </w:tc>
      </w:tr>
      <w:tr w:rsidR="0076365D"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Расходы</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2</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18 612,30</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38 763,90</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01763F">
              <w:rPr>
                <w:rFonts w:ascii="Times New Roman" w:hAnsi="Times New Roman"/>
                <w:b/>
                <w:bCs/>
                <w:color w:val="000000"/>
              </w:rPr>
              <w:t>22 355,8</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01763F">
              <w:rPr>
                <w:rFonts w:ascii="Times New Roman" w:hAnsi="Times New Roman"/>
                <w:b/>
                <w:bCs/>
                <w:color w:val="000000"/>
              </w:rPr>
              <w:t>40 987,7</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3 743,50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2 223,80</w:t>
            </w:r>
          </w:p>
        </w:tc>
      </w:tr>
      <w:tr w:rsidR="0076365D" w:rsidRPr="00F043B0" w:rsidTr="00ED3C16">
        <w:trPr>
          <w:gridAfter w:val="1"/>
          <w:wAfter w:w="7" w:type="dxa"/>
          <w:trHeight w:val="457"/>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Потребление основного капитала</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23</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1041,147</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1 812,20</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1 102,0</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Pr>
                <w:rFonts w:ascii="Times New Roman" w:hAnsi="Times New Roman"/>
                <w:color w:val="000000"/>
              </w:rPr>
              <w:t>1 976,1</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60,85</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163,90</w:t>
            </w:r>
          </w:p>
        </w:tc>
      </w:tr>
      <w:tr w:rsidR="0076365D"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Проценты</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24</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947,17</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1054,817</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894,6</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1 004,7</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-52,57</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-50,12</w:t>
            </w:r>
          </w:p>
        </w:tc>
      </w:tr>
      <w:tr w:rsidR="0076365D" w:rsidRPr="00F043B0" w:rsidTr="00ED3C16">
        <w:trPr>
          <w:gridAfter w:val="1"/>
          <w:wAfter w:w="7" w:type="dxa"/>
          <w:trHeight w:val="244"/>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Субсидии</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25</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1 703,23</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3 237,86</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2 495,6</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4 313,3</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792,37</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1 075,44</w:t>
            </w:r>
          </w:p>
        </w:tc>
      </w:tr>
      <w:tr w:rsidR="0076365D" w:rsidRPr="00F043B0" w:rsidTr="00ED3C16">
        <w:trPr>
          <w:gridAfter w:val="1"/>
          <w:wAfter w:w="7" w:type="dxa"/>
          <w:trHeight w:val="219"/>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Капитальные трансферты</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2822</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459,6</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2241,3</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91,4</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01763F">
              <w:rPr>
                <w:rFonts w:ascii="Times New Roman" w:hAnsi="Times New Roman"/>
                <w:color w:val="000000"/>
              </w:rPr>
              <w:t>594,8</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-368,20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-1 646,50</w:t>
            </w:r>
          </w:p>
        </w:tc>
      </w:tr>
      <w:tr w:rsidR="0076365D" w:rsidRPr="00F043B0" w:rsidTr="00ED3C16">
        <w:trPr>
          <w:gridAfter w:val="1"/>
          <w:wAfter w:w="7" w:type="dxa"/>
          <w:trHeight w:val="395"/>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74364" w:rsidRDefault="0076365D" w:rsidP="0076365D">
            <w:pPr>
              <w:spacing w:after="0" w:line="240" w:lineRule="auto"/>
              <w:rPr>
                <w:rFonts w:ascii="Times New Roman" w:eastAsia="Times New Roman" w:hAnsi="Times New Roman"/>
                <w:b/>
                <w:bCs/>
                <w:color w:val="000000"/>
                <w:lang w:eastAsia="ru-RU"/>
              </w:rPr>
            </w:pPr>
            <w:r w:rsidRPr="00F74364">
              <w:rPr>
                <w:rFonts w:ascii="Times New Roman" w:eastAsia="Times New Roman" w:hAnsi="Times New Roman"/>
                <w:b/>
                <w:bCs/>
                <w:color w:val="000000"/>
                <w:lang w:eastAsia="ru-RU"/>
              </w:rPr>
              <w:t>Чистое операционное сальдо</w:t>
            </w:r>
            <w:r>
              <w:rPr>
                <w:rStyle w:val="af0"/>
                <w:rFonts w:ascii="Times New Roman" w:eastAsia="Times New Roman" w:hAnsi="Times New Roman"/>
                <w:b/>
                <w:bCs/>
                <w:color w:val="000000"/>
                <w:lang w:eastAsia="ru-RU"/>
              </w:rPr>
              <w:footnoteReference w:id="10"/>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NOB</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3 545,20</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5 900,80</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-663,3</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533,9</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-4 208,50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-5 366,90</w:t>
            </w:r>
          </w:p>
        </w:tc>
      </w:tr>
      <w:tr w:rsidR="0076365D" w:rsidRPr="00F043B0" w:rsidTr="00ED3C16">
        <w:trPr>
          <w:gridAfter w:val="1"/>
          <w:wAfter w:w="7" w:type="dxa"/>
          <w:trHeight w:val="440"/>
        </w:trPr>
        <w:tc>
          <w:tcPr>
            <w:tcW w:w="381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365D" w:rsidRPr="00F74364" w:rsidRDefault="0076365D" w:rsidP="0076365D">
            <w:pPr>
              <w:spacing w:after="0" w:line="240" w:lineRule="auto"/>
              <w:rPr>
                <w:rFonts w:ascii="Times New Roman" w:eastAsia="Times New Roman" w:hAnsi="Times New Roman"/>
                <w:b/>
                <w:bCs/>
                <w:color w:val="000000"/>
                <w:lang w:eastAsia="ru-RU"/>
              </w:rPr>
            </w:pPr>
            <w:r w:rsidRPr="00F74364">
              <w:rPr>
                <w:rFonts w:ascii="Times New Roman" w:eastAsia="Times New Roman" w:hAnsi="Times New Roman"/>
                <w:b/>
                <w:bCs/>
                <w:color w:val="000000"/>
                <w:lang w:eastAsia="ru-RU"/>
              </w:rPr>
              <w:t>Валовое операционное сальдо</w:t>
            </w:r>
            <w:r>
              <w:rPr>
                <w:rStyle w:val="af0"/>
                <w:rFonts w:ascii="Times New Roman" w:eastAsia="Times New Roman" w:hAnsi="Times New Roman"/>
                <w:b/>
                <w:bCs/>
                <w:color w:val="000000"/>
                <w:lang w:eastAsia="ru-RU"/>
              </w:rPr>
              <w:footnoteReference w:id="11"/>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GOB</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4 586,40</w:t>
            </w:r>
          </w:p>
        </w:tc>
        <w:tc>
          <w:tcPr>
            <w:tcW w:w="1970" w:type="dxa"/>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7 712,90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438,8</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2 509,9</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-4 147,60</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-5 203,00</w:t>
            </w:r>
          </w:p>
        </w:tc>
      </w:tr>
      <w:tr w:rsidR="0076365D" w:rsidRPr="00F043B0" w:rsidTr="00ED3C16">
        <w:trPr>
          <w:gridAfter w:val="1"/>
          <w:wAfter w:w="7" w:type="dxa"/>
          <w:trHeight w:val="631"/>
        </w:trPr>
        <w:tc>
          <w:tcPr>
            <w:tcW w:w="381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365D" w:rsidRPr="00F74364" w:rsidRDefault="0076365D" w:rsidP="0076365D">
            <w:pPr>
              <w:spacing w:after="0" w:line="240" w:lineRule="auto"/>
              <w:rPr>
                <w:rFonts w:ascii="Times New Roman" w:eastAsia="Times New Roman" w:hAnsi="Times New Roman"/>
                <w:b/>
                <w:bCs/>
                <w:color w:val="000000"/>
                <w:lang w:eastAsia="ru-RU"/>
              </w:rPr>
            </w:pPr>
            <w:r w:rsidRPr="00F74364">
              <w:rPr>
                <w:rFonts w:ascii="Times New Roman" w:eastAsia="Times New Roman" w:hAnsi="Times New Roman"/>
                <w:b/>
                <w:bCs/>
                <w:color w:val="000000"/>
                <w:lang w:eastAsia="ru-RU"/>
              </w:rPr>
              <w:t>Чистые/валовые инвестиции в нефинансовые активы</w:t>
            </w:r>
            <w:r>
              <w:rPr>
                <w:rStyle w:val="af0"/>
                <w:rFonts w:ascii="Times New Roman" w:eastAsia="Times New Roman" w:hAnsi="Times New Roman"/>
                <w:b/>
                <w:bCs/>
                <w:color w:val="000000"/>
                <w:lang w:eastAsia="ru-RU"/>
              </w:rPr>
              <w:footnoteReference w:id="12"/>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31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1 246,60</w:t>
            </w:r>
          </w:p>
        </w:tc>
        <w:tc>
          <w:tcPr>
            <w:tcW w:w="1970" w:type="dxa"/>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2 660,10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1 772,7</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3 500,2</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76365D" w:rsidRPr="0076365D" w:rsidRDefault="0076365D" w:rsidP="0076365D">
            <w:pPr>
              <w:spacing w:after="0"/>
              <w:jc w:val="center"/>
              <w:rPr>
                <w:rFonts w:ascii="Times New Roman" w:hAnsi="Times New Roman"/>
                <w:b/>
                <w:bCs/>
                <w:color w:val="000000"/>
              </w:rPr>
            </w:pPr>
            <w:r w:rsidRPr="0076365D">
              <w:rPr>
                <w:rFonts w:ascii="Times New Roman" w:hAnsi="Times New Roman"/>
                <w:b/>
                <w:bCs/>
                <w:color w:val="000000"/>
              </w:rPr>
              <w:t>526,10</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840,10</w:t>
            </w:r>
          </w:p>
        </w:tc>
      </w:tr>
      <w:tr w:rsidR="0076365D" w:rsidRPr="00F043B0" w:rsidTr="00ED3C16">
        <w:trPr>
          <w:gridAfter w:val="1"/>
          <w:wAfter w:w="7" w:type="dxa"/>
          <w:trHeight w:val="585"/>
        </w:trPr>
        <w:tc>
          <w:tcPr>
            <w:tcW w:w="381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76365D" w:rsidRPr="00F74364" w:rsidRDefault="0076365D" w:rsidP="0076365D">
            <w:pPr>
              <w:spacing w:after="0" w:line="240" w:lineRule="auto"/>
              <w:rPr>
                <w:rFonts w:ascii="Times New Roman" w:eastAsia="Times New Roman" w:hAnsi="Times New Roman"/>
                <w:b/>
                <w:bCs/>
                <w:color w:val="000000"/>
                <w:lang w:eastAsia="ru-RU"/>
              </w:rPr>
            </w:pPr>
            <w:r w:rsidRPr="00F74364">
              <w:rPr>
                <w:rFonts w:ascii="Times New Roman" w:eastAsia="Times New Roman" w:hAnsi="Times New Roman"/>
                <w:b/>
                <w:bCs/>
                <w:color w:val="000000"/>
                <w:lang w:eastAsia="ru-RU"/>
              </w:rPr>
              <w:t>Чистое кредитование (+)/ Чистое заимствование (-)</w:t>
            </w:r>
            <w:r>
              <w:rPr>
                <w:rStyle w:val="af0"/>
                <w:rFonts w:ascii="Times New Roman" w:eastAsia="Times New Roman" w:hAnsi="Times New Roman"/>
                <w:b/>
                <w:bCs/>
                <w:color w:val="000000"/>
                <w:lang w:eastAsia="ru-RU"/>
              </w:rPr>
              <w:footnoteReference w:id="13"/>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NLB</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2 298,60</w:t>
            </w:r>
          </w:p>
        </w:tc>
        <w:tc>
          <w:tcPr>
            <w:tcW w:w="1970" w:type="dxa"/>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3 240,60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-2 436,0</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-2 966,3</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76365D" w:rsidRPr="0076365D" w:rsidRDefault="0076365D" w:rsidP="0076365D">
            <w:pPr>
              <w:jc w:val="center"/>
              <w:rPr>
                <w:rFonts w:ascii="Times New Roman" w:hAnsi="Times New Roman"/>
                <w:b/>
                <w:bCs/>
                <w:color w:val="000000"/>
              </w:rPr>
            </w:pPr>
            <w:r w:rsidRPr="0076365D">
              <w:rPr>
                <w:rFonts w:ascii="Times New Roman" w:hAnsi="Times New Roman"/>
                <w:b/>
                <w:bCs/>
                <w:color w:val="000000"/>
              </w:rPr>
              <w:t>-4 734,60</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-6 206,90</w:t>
            </w:r>
          </w:p>
        </w:tc>
      </w:tr>
      <w:tr w:rsidR="0076365D" w:rsidRPr="00F043B0" w:rsidTr="00ED3C16">
        <w:trPr>
          <w:gridAfter w:val="1"/>
          <w:wAfter w:w="7" w:type="dxa"/>
          <w:trHeight w:val="585"/>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Чистое приобретение финансовых активов</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32</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2 461,80</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2 549,70</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2 630,6</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2 803,7</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jc w:val="center"/>
              <w:rPr>
                <w:rFonts w:ascii="Times New Roman" w:hAnsi="Times New Roman"/>
                <w:b/>
                <w:bCs/>
                <w:color w:val="000000"/>
              </w:rPr>
            </w:pPr>
            <w:r w:rsidRPr="0076365D">
              <w:rPr>
                <w:rFonts w:ascii="Times New Roman" w:hAnsi="Times New Roman"/>
                <w:b/>
                <w:bCs/>
                <w:color w:val="000000"/>
              </w:rPr>
              <w:t>168,80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254,00</w:t>
            </w:r>
          </w:p>
        </w:tc>
      </w:tr>
      <w:tr w:rsidR="0076365D"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Кредиты и займы</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3204</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-213,7</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-165,7</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355F28">
              <w:rPr>
                <w:rFonts w:ascii="Times New Roman" w:hAnsi="Times New Roman"/>
                <w:color w:val="000000"/>
              </w:rPr>
              <w:t>817,3</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Pr>
                <w:rFonts w:ascii="Times New Roman" w:hAnsi="Times New Roman"/>
                <w:color w:val="000000"/>
              </w:rPr>
              <w:t>598,0</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jc w:val="center"/>
              <w:rPr>
                <w:rFonts w:ascii="Times New Roman" w:hAnsi="Times New Roman"/>
                <w:b/>
                <w:bCs/>
                <w:color w:val="000000"/>
              </w:rPr>
            </w:pPr>
            <w:r w:rsidRPr="0076365D">
              <w:rPr>
                <w:rFonts w:ascii="Times New Roman" w:hAnsi="Times New Roman"/>
                <w:b/>
                <w:bCs/>
                <w:color w:val="000000"/>
              </w:rPr>
              <w:t>1 031,00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763,70</w:t>
            </w:r>
          </w:p>
        </w:tc>
      </w:tr>
      <w:tr w:rsidR="0076365D" w:rsidRPr="00F043B0" w:rsidTr="00ED3C16">
        <w:trPr>
          <w:gridAfter w:val="1"/>
          <w:wAfter w:w="7" w:type="dxa"/>
          <w:trHeight w:val="464"/>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Акционерный капитал и доли в инвестиционных фондах</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3205</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-76,9</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857,4</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355F28">
              <w:rPr>
                <w:rFonts w:ascii="Times New Roman" w:hAnsi="Times New Roman"/>
                <w:color w:val="000000"/>
              </w:rPr>
              <w:t>2 908,0</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355F28">
              <w:rPr>
                <w:rFonts w:ascii="Times New Roman" w:hAnsi="Times New Roman"/>
                <w:color w:val="000000"/>
              </w:rPr>
              <w:t>3 085,0</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jc w:val="center"/>
              <w:rPr>
                <w:rFonts w:ascii="Times New Roman" w:hAnsi="Times New Roman"/>
                <w:b/>
                <w:bCs/>
                <w:color w:val="000000"/>
              </w:rPr>
            </w:pPr>
            <w:r w:rsidRPr="0076365D">
              <w:rPr>
                <w:rFonts w:ascii="Times New Roman" w:hAnsi="Times New Roman"/>
                <w:b/>
                <w:bCs/>
                <w:color w:val="000000"/>
              </w:rPr>
              <w:t>2 984,90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2 227,60</w:t>
            </w:r>
          </w:p>
        </w:tc>
      </w:tr>
      <w:tr w:rsidR="0076365D" w:rsidRPr="00F043B0" w:rsidTr="00ED3C16">
        <w:trPr>
          <w:gridAfter w:val="1"/>
          <w:wAfter w:w="7" w:type="dxa"/>
          <w:trHeight w:val="349"/>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Чистое принятие обязательств</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33</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2 461,80</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243357">
              <w:rPr>
                <w:rFonts w:ascii="Times New Roman" w:hAnsi="Times New Roman"/>
                <w:b/>
                <w:bCs/>
                <w:color w:val="000000"/>
              </w:rPr>
              <w:t>2 549,70</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5 066,6</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b/>
                <w:bCs/>
                <w:color w:val="000000"/>
              </w:rPr>
            </w:pPr>
            <w:r w:rsidRPr="00355F28">
              <w:rPr>
                <w:rFonts w:ascii="Times New Roman" w:hAnsi="Times New Roman"/>
                <w:b/>
                <w:bCs/>
                <w:color w:val="000000"/>
              </w:rPr>
              <w:t>5 770,1</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jc w:val="center"/>
              <w:rPr>
                <w:rFonts w:ascii="Times New Roman" w:hAnsi="Times New Roman"/>
                <w:b/>
                <w:bCs/>
                <w:color w:val="000000"/>
              </w:rPr>
            </w:pPr>
            <w:r w:rsidRPr="0076365D">
              <w:rPr>
                <w:rFonts w:ascii="Times New Roman" w:hAnsi="Times New Roman"/>
                <w:b/>
                <w:bCs/>
                <w:color w:val="000000"/>
              </w:rPr>
              <w:t>2 604,80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3 220,40</w:t>
            </w:r>
          </w:p>
        </w:tc>
      </w:tr>
      <w:tr w:rsidR="0076365D" w:rsidRPr="00F043B0" w:rsidTr="00ED3C16">
        <w:trPr>
          <w:gridAfter w:val="1"/>
          <w:wAfter w:w="7" w:type="dxa"/>
          <w:trHeight w:val="224"/>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Долговые ценные бумаги</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3303</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1 882,90</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1 942,90</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355F28">
              <w:rPr>
                <w:rFonts w:ascii="Times New Roman" w:hAnsi="Times New Roman"/>
                <w:color w:val="000000"/>
              </w:rPr>
              <w:t>4 554,9</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Pr>
                <w:rFonts w:ascii="Times New Roman" w:hAnsi="Times New Roman"/>
                <w:color w:val="000000"/>
              </w:rPr>
              <w:t>4 716,7</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jc w:val="center"/>
              <w:rPr>
                <w:rFonts w:ascii="Times New Roman" w:hAnsi="Times New Roman"/>
                <w:b/>
                <w:bCs/>
                <w:color w:val="000000"/>
              </w:rPr>
            </w:pPr>
            <w:r w:rsidRPr="0076365D">
              <w:rPr>
                <w:rFonts w:ascii="Times New Roman" w:hAnsi="Times New Roman"/>
                <w:b/>
                <w:bCs/>
                <w:color w:val="000000"/>
              </w:rPr>
              <w:t>2 672,00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2 773,80</w:t>
            </w:r>
          </w:p>
        </w:tc>
      </w:tr>
      <w:tr w:rsidR="0076365D" w:rsidRPr="00F043B0" w:rsidTr="00ED3C16">
        <w:trPr>
          <w:gridAfter w:val="1"/>
          <w:wAfter w:w="7" w:type="dxa"/>
          <w:trHeight w:val="300"/>
        </w:trPr>
        <w:tc>
          <w:tcPr>
            <w:tcW w:w="3815" w:type="dxa"/>
            <w:tcBorders>
              <w:top w:val="nil"/>
              <w:left w:val="single" w:sz="8" w:space="0" w:color="auto"/>
              <w:bottom w:val="single" w:sz="4"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Кредиты и займы</w:t>
            </w:r>
          </w:p>
        </w:tc>
        <w:tc>
          <w:tcPr>
            <w:tcW w:w="1175" w:type="dxa"/>
            <w:tcBorders>
              <w:top w:val="nil"/>
              <w:left w:val="nil"/>
              <w:bottom w:val="single" w:sz="4"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3304</w:t>
            </w:r>
          </w:p>
        </w:tc>
        <w:tc>
          <w:tcPr>
            <w:tcW w:w="1701"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-25</w:t>
            </w:r>
          </w:p>
        </w:tc>
        <w:tc>
          <w:tcPr>
            <w:tcW w:w="197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-88,5</w:t>
            </w:r>
          </w:p>
        </w:tc>
        <w:tc>
          <w:tcPr>
            <w:tcW w:w="1560" w:type="dxa"/>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355F28">
              <w:rPr>
                <w:rFonts w:ascii="Times New Roman" w:hAnsi="Times New Roman"/>
                <w:color w:val="000000"/>
              </w:rPr>
              <w:t>-1,7</w:t>
            </w:r>
          </w:p>
        </w:tc>
        <w:tc>
          <w:tcPr>
            <w:tcW w:w="1946" w:type="dxa"/>
            <w:gridSpan w:val="2"/>
            <w:tcBorders>
              <w:top w:val="nil"/>
              <w:left w:val="nil"/>
              <w:bottom w:val="single" w:sz="4"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355F28">
              <w:rPr>
                <w:rFonts w:ascii="Times New Roman" w:hAnsi="Times New Roman"/>
                <w:color w:val="000000"/>
              </w:rPr>
              <w:t>-2,0</w:t>
            </w:r>
          </w:p>
        </w:tc>
        <w:tc>
          <w:tcPr>
            <w:tcW w:w="1601" w:type="dxa"/>
            <w:gridSpan w:val="2"/>
            <w:tcBorders>
              <w:top w:val="nil"/>
              <w:left w:val="nil"/>
              <w:bottom w:val="single" w:sz="4" w:space="0" w:color="auto"/>
              <w:right w:val="single" w:sz="4" w:space="0" w:color="auto"/>
            </w:tcBorders>
            <w:shd w:val="clear" w:color="auto" w:fill="auto"/>
            <w:noWrap/>
            <w:vAlign w:val="center"/>
          </w:tcPr>
          <w:p w:rsidR="0076365D" w:rsidRPr="0076365D" w:rsidRDefault="0076365D" w:rsidP="0076365D">
            <w:pPr>
              <w:jc w:val="center"/>
              <w:rPr>
                <w:rFonts w:ascii="Times New Roman" w:hAnsi="Times New Roman"/>
                <w:b/>
                <w:bCs/>
                <w:color w:val="000000"/>
              </w:rPr>
            </w:pPr>
            <w:r w:rsidRPr="0076365D">
              <w:rPr>
                <w:rFonts w:ascii="Times New Roman" w:hAnsi="Times New Roman"/>
                <w:b/>
                <w:bCs/>
                <w:color w:val="000000"/>
              </w:rPr>
              <w:t>23,30</w:t>
            </w:r>
          </w:p>
        </w:tc>
        <w:tc>
          <w:tcPr>
            <w:tcW w:w="1831" w:type="dxa"/>
            <w:gridSpan w:val="2"/>
            <w:tcBorders>
              <w:top w:val="nil"/>
              <w:left w:val="nil"/>
              <w:bottom w:val="single" w:sz="4"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86,50</w:t>
            </w:r>
          </w:p>
        </w:tc>
      </w:tr>
      <w:tr w:rsidR="0076365D" w:rsidRPr="00F043B0" w:rsidTr="00ED3C16">
        <w:trPr>
          <w:gridAfter w:val="1"/>
          <w:wAfter w:w="7" w:type="dxa"/>
          <w:trHeight w:val="643"/>
        </w:trPr>
        <w:tc>
          <w:tcPr>
            <w:tcW w:w="3815" w:type="dxa"/>
            <w:tcBorders>
              <w:top w:val="nil"/>
              <w:left w:val="single" w:sz="8" w:space="0" w:color="auto"/>
              <w:bottom w:val="single" w:sz="8" w:space="0" w:color="auto"/>
              <w:right w:val="single" w:sz="4" w:space="0" w:color="auto"/>
            </w:tcBorders>
            <w:shd w:val="clear" w:color="auto" w:fill="auto"/>
            <w:vAlign w:val="bottom"/>
            <w:hideMark/>
          </w:tcPr>
          <w:p w:rsidR="0076365D" w:rsidRPr="00F043B0" w:rsidRDefault="0076365D" w:rsidP="0076365D">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Программы страхования, пенсионного обеспечения и стандартных гарантий</w:t>
            </w:r>
          </w:p>
        </w:tc>
        <w:tc>
          <w:tcPr>
            <w:tcW w:w="1175" w:type="dxa"/>
            <w:tcBorders>
              <w:top w:val="nil"/>
              <w:left w:val="nil"/>
              <w:bottom w:val="single" w:sz="8" w:space="0" w:color="auto"/>
              <w:right w:val="single" w:sz="4" w:space="0" w:color="auto"/>
            </w:tcBorders>
            <w:shd w:val="clear" w:color="auto" w:fill="auto"/>
            <w:vAlign w:val="center"/>
            <w:hideMark/>
          </w:tcPr>
          <w:p w:rsidR="0076365D" w:rsidRPr="00F043B0" w:rsidRDefault="0076365D" w:rsidP="0076365D">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3306</w:t>
            </w:r>
          </w:p>
        </w:tc>
        <w:tc>
          <w:tcPr>
            <w:tcW w:w="1701" w:type="dxa"/>
            <w:tcBorders>
              <w:top w:val="nil"/>
              <w:left w:val="nil"/>
              <w:bottom w:val="single" w:sz="8"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70" w:type="dxa"/>
            <w:tcBorders>
              <w:top w:val="nil"/>
              <w:left w:val="nil"/>
              <w:bottom w:val="single" w:sz="8"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560" w:type="dxa"/>
            <w:tcBorders>
              <w:top w:val="nil"/>
              <w:left w:val="nil"/>
              <w:bottom w:val="single" w:sz="8"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8" w:space="0" w:color="auto"/>
              <w:right w:val="single" w:sz="4" w:space="0" w:color="auto"/>
            </w:tcBorders>
            <w:shd w:val="clear" w:color="auto" w:fill="auto"/>
            <w:noWrap/>
            <w:vAlign w:val="center"/>
          </w:tcPr>
          <w:p w:rsidR="0076365D" w:rsidRPr="00243357" w:rsidRDefault="0076365D" w:rsidP="0076365D">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8" w:space="0" w:color="auto"/>
              <w:right w:val="single" w:sz="4" w:space="0" w:color="auto"/>
            </w:tcBorders>
            <w:shd w:val="clear" w:color="auto" w:fill="auto"/>
            <w:noWrap/>
            <w:vAlign w:val="center"/>
          </w:tcPr>
          <w:p w:rsidR="0076365D" w:rsidRPr="0076365D" w:rsidRDefault="0076365D" w:rsidP="0076365D">
            <w:pPr>
              <w:jc w:val="center"/>
              <w:rPr>
                <w:rFonts w:ascii="Times New Roman" w:hAnsi="Times New Roman"/>
                <w:b/>
                <w:bCs/>
                <w:color w:val="000000"/>
              </w:rPr>
            </w:pPr>
            <w:r w:rsidRPr="0076365D">
              <w:rPr>
                <w:rFonts w:ascii="Times New Roman" w:hAnsi="Times New Roman"/>
                <w:b/>
                <w:bCs/>
                <w:color w:val="000000"/>
              </w:rPr>
              <w:t>0,00</w:t>
            </w:r>
          </w:p>
        </w:tc>
        <w:tc>
          <w:tcPr>
            <w:tcW w:w="1831" w:type="dxa"/>
            <w:gridSpan w:val="2"/>
            <w:tcBorders>
              <w:top w:val="nil"/>
              <w:left w:val="nil"/>
              <w:bottom w:val="single" w:sz="8" w:space="0" w:color="auto"/>
              <w:right w:val="single" w:sz="8" w:space="0" w:color="auto"/>
            </w:tcBorders>
            <w:shd w:val="clear" w:color="auto" w:fill="auto"/>
            <w:noWrap/>
            <w:vAlign w:val="center"/>
          </w:tcPr>
          <w:p w:rsidR="0076365D" w:rsidRPr="0076365D" w:rsidRDefault="0076365D" w:rsidP="0076365D">
            <w:pPr>
              <w:spacing w:after="0" w:line="240" w:lineRule="auto"/>
              <w:jc w:val="center"/>
              <w:rPr>
                <w:rFonts w:ascii="Times New Roman" w:hAnsi="Times New Roman"/>
                <w:b/>
                <w:bCs/>
                <w:color w:val="000000"/>
              </w:rPr>
            </w:pPr>
            <w:r w:rsidRPr="0076365D">
              <w:rPr>
                <w:rFonts w:ascii="Times New Roman" w:hAnsi="Times New Roman"/>
                <w:b/>
                <w:bCs/>
                <w:color w:val="000000"/>
              </w:rPr>
              <w:t>0,00</w:t>
            </w:r>
          </w:p>
        </w:tc>
      </w:tr>
    </w:tbl>
    <w:p w:rsidR="00195923" w:rsidRDefault="00195923" w:rsidP="00473120">
      <w:pPr>
        <w:spacing w:after="0"/>
        <w:ind w:firstLine="709"/>
        <w:jc w:val="both"/>
        <w:rPr>
          <w:rFonts w:ascii="Times New Roman" w:hAnsi="Times New Roman"/>
          <w:b/>
          <w:sz w:val="28"/>
          <w:szCs w:val="28"/>
        </w:rPr>
        <w:sectPr w:rsidR="00195923" w:rsidSect="003F70E1">
          <w:pgSz w:w="16838" w:h="11906" w:orient="landscape"/>
          <w:pgMar w:top="851" w:right="709" w:bottom="709" w:left="567" w:header="708" w:footer="708" w:gutter="0"/>
          <w:cols w:space="708"/>
          <w:titlePg/>
          <w:docGrid w:linePitch="360"/>
        </w:sectPr>
      </w:pPr>
    </w:p>
    <w:p w:rsidR="00473120" w:rsidRDefault="00473120" w:rsidP="00473120">
      <w:pPr>
        <w:spacing w:after="0"/>
        <w:ind w:firstLine="709"/>
        <w:jc w:val="both"/>
        <w:rPr>
          <w:rFonts w:ascii="Times New Roman" w:hAnsi="Times New Roman"/>
          <w:b/>
          <w:sz w:val="28"/>
          <w:szCs w:val="28"/>
        </w:rPr>
      </w:pPr>
      <w:r>
        <w:rPr>
          <w:rFonts w:ascii="Times New Roman" w:hAnsi="Times New Roman"/>
          <w:b/>
          <w:sz w:val="28"/>
          <w:szCs w:val="28"/>
        </w:rPr>
        <w:t xml:space="preserve">Таблица </w:t>
      </w:r>
      <w:r w:rsidR="00E10969">
        <w:rPr>
          <w:rFonts w:ascii="Times New Roman" w:hAnsi="Times New Roman"/>
          <w:b/>
          <w:sz w:val="28"/>
          <w:szCs w:val="28"/>
        </w:rPr>
        <w:t>4</w:t>
      </w:r>
      <w:r w:rsidRPr="00736EC9">
        <w:rPr>
          <w:rFonts w:ascii="Times New Roman" w:hAnsi="Times New Roman"/>
          <w:b/>
          <w:sz w:val="28"/>
          <w:szCs w:val="28"/>
        </w:rPr>
        <w:t xml:space="preserve">. </w:t>
      </w:r>
      <w:r>
        <w:rPr>
          <w:rFonts w:ascii="Times New Roman" w:hAnsi="Times New Roman"/>
          <w:b/>
          <w:sz w:val="28"/>
          <w:szCs w:val="28"/>
        </w:rPr>
        <w:t>Сравнение показателей</w:t>
      </w:r>
      <w:r w:rsidRPr="00736EC9">
        <w:rPr>
          <w:rFonts w:ascii="Times New Roman" w:hAnsi="Times New Roman"/>
          <w:b/>
          <w:sz w:val="28"/>
          <w:szCs w:val="28"/>
        </w:rPr>
        <w:t xml:space="preserve"> статистик</w:t>
      </w:r>
      <w:r>
        <w:rPr>
          <w:rFonts w:ascii="Times New Roman" w:hAnsi="Times New Roman"/>
          <w:b/>
          <w:sz w:val="28"/>
          <w:szCs w:val="28"/>
        </w:rPr>
        <w:t>и</w:t>
      </w:r>
      <w:r w:rsidRPr="00736EC9">
        <w:rPr>
          <w:rFonts w:ascii="Times New Roman" w:hAnsi="Times New Roman"/>
          <w:b/>
          <w:sz w:val="28"/>
          <w:szCs w:val="28"/>
        </w:rPr>
        <w:t xml:space="preserve"> государственных финансов по </w:t>
      </w:r>
      <w:r>
        <w:rPr>
          <w:rFonts w:ascii="Times New Roman" w:hAnsi="Times New Roman"/>
          <w:b/>
          <w:sz w:val="28"/>
          <w:szCs w:val="28"/>
        </w:rPr>
        <w:t>государственному сектору</w:t>
      </w:r>
      <w:r w:rsidR="00F35C50">
        <w:rPr>
          <w:rFonts w:ascii="Times New Roman" w:hAnsi="Times New Roman"/>
          <w:b/>
          <w:sz w:val="28"/>
          <w:szCs w:val="28"/>
        </w:rPr>
        <w:t>, расширенному сектору государственного управления</w:t>
      </w:r>
      <w:r>
        <w:rPr>
          <w:rFonts w:ascii="Times New Roman" w:hAnsi="Times New Roman"/>
          <w:b/>
          <w:sz w:val="28"/>
          <w:szCs w:val="28"/>
        </w:rPr>
        <w:t xml:space="preserve"> и сектору государственного управления</w:t>
      </w:r>
    </w:p>
    <w:p w:rsidR="00473120" w:rsidRDefault="00473120" w:rsidP="00473120">
      <w:pPr>
        <w:spacing w:after="0"/>
        <w:ind w:firstLine="709"/>
        <w:jc w:val="right"/>
        <w:rPr>
          <w:rFonts w:ascii="Times New Roman" w:hAnsi="Times New Roman"/>
          <w:i/>
          <w:sz w:val="28"/>
          <w:szCs w:val="28"/>
        </w:rPr>
      </w:pPr>
    </w:p>
    <w:p w:rsidR="00473120" w:rsidRPr="00524D06" w:rsidRDefault="00473120" w:rsidP="00473120">
      <w:pPr>
        <w:spacing w:after="0"/>
        <w:ind w:firstLine="709"/>
        <w:jc w:val="right"/>
        <w:rPr>
          <w:rFonts w:ascii="Times New Roman" w:hAnsi="Times New Roman"/>
          <w:i/>
          <w:sz w:val="24"/>
          <w:szCs w:val="28"/>
        </w:rPr>
      </w:pPr>
      <w:r w:rsidRPr="00524D06">
        <w:rPr>
          <w:rFonts w:ascii="Times New Roman" w:hAnsi="Times New Roman"/>
          <w:i/>
          <w:sz w:val="24"/>
          <w:szCs w:val="28"/>
        </w:rPr>
        <w:t>по состоянию на 01.01.202</w:t>
      </w:r>
      <w:r w:rsidR="00C538FD">
        <w:rPr>
          <w:rFonts w:ascii="Times New Roman" w:hAnsi="Times New Roman"/>
          <w:i/>
          <w:sz w:val="24"/>
          <w:szCs w:val="28"/>
        </w:rPr>
        <w:t>1</w:t>
      </w:r>
    </w:p>
    <w:p w:rsidR="00473120" w:rsidRPr="00524D06" w:rsidRDefault="00473120" w:rsidP="00473120">
      <w:pPr>
        <w:spacing w:after="0"/>
        <w:ind w:firstLine="709"/>
        <w:jc w:val="right"/>
        <w:rPr>
          <w:rFonts w:ascii="Times New Roman" w:hAnsi="Times New Roman"/>
          <w:i/>
          <w:sz w:val="24"/>
          <w:szCs w:val="28"/>
        </w:rPr>
      </w:pPr>
      <w:r w:rsidRPr="00524D06">
        <w:rPr>
          <w:rFonts w:ascii="Times New Roman" w:hAnsi="Times New Roman"/>
          <w:i/>
          <w:sz w:val="24"/>
          <w:szCs w:val="28"/>
        </w:rPr>
        <w:t>млрд. руб.</w:t>
      </w:r>
    </w:p>
    <w:tbl>
      <w:tblPr>
        <w:tblStyle w:val="-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1"/>
        <w:gridCol w:w="2126"/>
        <w:gridCol w:w="2126"/>
      </w:tblGrid>
      <w:tr w:rsidR="00473120" w:rsidRPr="00473120" w:rsidTr="00E10969">
        <w:trPr>
          <w:cnfStyle w:val="100000000000" w:firstRow="1" w:lastRow="0" w:firstColumn="0" w:lastColumn="0" w:oddVBand="0" w:evenVBand="0" w:oddHBand="0"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tabs>
                <w:tab w:val="left" w:pos="2694"/>
              </w:tabs>
              <w:spacing w:after="0" w:line="240" w:lineRule="auto"/>
              <w:jc w:val="center"/>
              <w:rPr>
                <w:rFonts w:ascii="Times New Roman" w:eastAsia="Times New Roman" w:hAnsi="Times New Roman"/>
                <w:bCs w:val="0"/>
                <w:color w:val="000000"/>
                <w:sz w:val="23"/>
                <w:szCs w:val="23"/>
                <w:lang w:eastAsia="ru-RU"/>
              </w:rPr>
            </w:pPr>
            <w:r w:rsidRPr="00473120">
              <w:rPr>
                <w:rFonts w:ascii="Times New Roman" w:eastAsia="Times New Roman" w:hAnsi="Times New Roman"/>
                <w:bCs w:val="0"/>
                <w:color w:val="000000"/>
                <w:sz w:val="23"/>
                <w:szCs w:val="23"/>
                <w:lang w:eastAsia="ru-RU"/>
              </w:rPr>
              <w:t>Показатели</w:t>
            </w:r>
          </w:p>
        </w:tc>
        <w:tc>
          <w:tcPr>
            <w:tcW w:w="2121" w:type="dxa"/>
            <w:shd w:val="clear" w:color="auto" w:fill="auto"/>
            <w:hideMark/>
          </w:tcPr>
          <w:p w:rsidR="00473120" w:rsidRPr="00473120" w:rsidRDefault="00473120" w:rsidP="00D95E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3"/>
                <w:szCs w:val="23"/>
                <w:lang w:eastAsia="ru-RU"/>
              </w:rPr>
            </w:pPr>
            <w:r w:rsidRPr="00473120">
              <w:rPr>
                <w:rFonts w:ascii="Times New Roman" w:eastAsia="Times New Roman" w:hAnsi="Times New Roman"/>
                <w:bCs w:val="0"/>
                <w:color w:val="000000"/>
                <w:sz w:val="23"/>
                <w:szCs w:val="23"/>
                <w:lang w:eastAsia="ru-RU"/>
              </w:rPr>
              <w:t>Статистика государственных финансов по сектору государственного управления</w:t>
            </w:r>
          </w:p>
        </w:tc>
        <w:tc>
          <w:tcPr>
            <w:tcW w:w="2126" w:type="dxa"/>
            <w:shd w:val="clear" w:color="auto" w:fill="auto"/>
            <w:hideMark/>
          </w:tcPr>
          <w:p w:rsidR="00473120" w:rsidRPr="00473120" w:rsidRDefault="00473120" w:rsidP="00D95E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3"/>
                <w:szCs w:val="23"/>
                <w:lang w:eastAsia="ru-RU"/>
              </w:rPr>
            </w:pPr>
            <w:r w:rsidRPr="00473120">
              <w:rPr>
                <w:rFonts w:ascii="Times New Roman" w:eastAsia="Times New Roman" w:hAnsi="Times New Roman"/>
                <w:bCs w:val="0"/>
                <w:color w:val="000000"/>
                <w:sz w:val="23"/>
                <w:szCs w:val="23"/>
                <w:lang w:eastAsia="ru-RU"/>
              </w:rPr>
              <w:t>Статистика государственных финансов по расширенному сектору государственного управления</w:t>
            </w:r>
          </w:p>
        </w:tc>
        <w:tc>
          <w:tcPr>
            <w:tcW w:w="2126" w:type="dxa"/>
            <w:shd w:val="clear" w:color="auto" w:fill="auto"/>
          </w:tcPr>
          <w:p w:rsidR="00473120" w:rsidRPr="00473120" w:rsidRDefault="00473120" w:rsidP="00D95E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3"/>
                <w:szCs w:val="23"/>
                <w:lang w:eastAsia="ru-RU"/>
              </w:rPr>
            </w:pPr>
            <w:r w:rsidRPr="00473120">
              <w:rPr>
                <w:rFonts w:ascii="Times New Roman" w:eastAsia="Times New Roman" w:hAnsi="Times New Roman"/>
                <w:bCs w:val="0"/>
                <w:color w:val="000000"/>
                <w:sz w:val="23"/>
                <w:szCs w:val="23"/>
                <w:lang w:eastAsia="ru-RU"/>
              </w:rPr>
              <w:t>Статистика государственных финансов по государственному сектору</w:t>
            </w:r>
          </w:p>
        </w:tc>
      </w:tr>
      <w:tr w:rsidR="00F90DEB" w:rsidRPr="00473120" w:rsidTr="00E10969">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F90DEB" w:rsidRPr="00473120" w:rsidRDefault="00F90DEB" w:rsidP="00F90DEB">
            <w:pPr>
              <w:spacing w:after="0" w:line="240" w:lineRule="auto"/>
              <w:rPr>
                <w:rFonts w:ascii="Times New Roman" w:eastAsia="Times New Roman" w:hAnsi="Times New Roman"/>
                <w:bCs w:val="0"/>
                <w:color w:val="000000"/>
                <w:sz w:val="24"/>
                <w:szCs w:val="24"/>
                <w:lang w:eastAsia="ru-RU"/>
              </w:rPr>
            </w:pPr>
            <w:r w:rsidRPr="00473120">
              <w:rPr>
                <w:rFonts w:ascii="Times New Roman" w:eastAsia="Times New Roman" w:hAnsi="Times New Roman"/>
                <w:bCs w:val="0"/>
                <w:color w:val="000000"/>
                <w:sz w:val="24"/>
                <w:szCs w:val="24"/>
                <w:lang w:eastAsia="ru-RU"/>
              </w:rPr>
              <w:t>Итого финансовые активы</w:t>
            </w:r>
          </w:p>
        </w:tc>
        <w:tc>
          <w:tcPr>
            <w:tcW w:w="2121" w:type="dxa"/>
            <w:shd w:val="clear" w:color="auto" w:fill="auto"/>
            <w:noWrap/>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F90DEB">
              <w:rPr>
                <w:rFonts w:ascii="Times New Roman" w:hAnsi="Times New Roman"/>
                <w:b/>
                <w:sz w:val="26"/>
                <w:szCs w:val="26"/>
              </w:rPr>
              <w:t>47 739,4</w:t>
            </w:r>
          </w:p>
        </w:tc>
        <w:tc>
          <w:tcPr>
            <w:tcW w:w="2126" w:type="dxa"/>
            <w:shd w:val="clear" w:color="auto" w:fill="auto"/>
            <w:noWrap/>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sz w:val="26"/>
                <w:szCs w:val="26"/>
              </w:rPr>
            </w:pPr>
            <w:r w:rsidRPr="00F90DEB">
              <w:rPr>
                <w:rFonts w:ascii="Times New Roman" w:hAnsi="Times New Roman"/>
                <w:b/>
                <w:sz w:val="26"/>
                <w:szCs w:val="26"/>
              </w:rPr>
              <w:t>49 238,4</w:t>
            </w:r>
          </w:p>
        </w:tc>
        <w:tc>
          <w:tcPr>
            <w:tcW w:w="2126" w:type="dxa"/>
            <w:shd w:val="clear" w:color="auto" w:fill="auto"/>
          </w:tcPr>
          <w:p w:rsidR="00F90DEB" w:rsidRPr="00F90DEB" w:rsidRDefault="00F90DEB"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r w:rsidRPr="00F90DEB">
              <w:rPr>
                <w:rFonts w:ascii="Times New Roman" w:hAnsi="Times New Roman"/>
                <w:b/>
                <w:bCs/>
                <w:color w:val="000000"/>
                <w:sz w:val="26"/>
                <w:szCs w:val="26"/>
              </w:rPr>
              <w:t>155 261,7</w:t>
            </w:r>
          </w:p>
        </w:tc>
      </w:tr>
      <w:tr w:rsidR="00473120" w:rsidRPr="00473120" w:rsidTr="00E10969">
        <w:trPr>
          <w:trHeight w:val="341"/>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Монетарное золото</w:t>
            </w:r>
          </w:p>
        </w:tc>
        <w:tc>
          <w:tcPr>
            <w:tcW w:w="2121" w:type="dxa"/>
            <w:shd w:val="clear" w:color="auto" w:fill="auto"/>
            <w:noWrap/>
          </w:tcPr>
          <w:p w:rsidR="00473120" w:rsidRPr="00F90DEB" w:rsidRDefault="00473120"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p>
        </w:tc>
        <w:tc>
          <w:tcPr>
            <w:tcW w:w="2126" w:type="dxa"/>
            <w:shd w:val="clear" w:color="auto" w:fill="auto"/>
            <w:noWrap/>
          </w:tcPr>
          <w:p w:rsidR="00473120" w:rsidRPr="00F90DEB" w:rsidRDefault="00473120"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p>
        </w:tc>
        <w:tc>
          <w:tcPr>
            <w:tcW w:w="2126" w:type="dxa"/>
            <w:shd w:val="clear" w:color="auto" w:fill="auto"/>
          </w:tcPr>
          <w:p w:rsidR="00473120" w:rsidRPr="00F90DEB" w:rsidRDefault="00F90DEB"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9 829,4</w:t>
            </w:r>
          </w:p>
        </w:tc>
      </w:tr>
      <w:tr w:rsidR="00F90DEB" w:rsidRPr="00473120" w:rsidTr="0020437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Валюта и депозиты</w:t>
            </w:r>
          </w:p>
        </w:tc>
        <w:tc>
          <w:tcPr>
            <w:tcW w:w="2121" w:type="dxa"/>
            <w:shd w:val="clear" w:color="auto" w:fill="auto"/>
            <w:noWrap/>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F90DEB">
              <w:rPr>
                <w:rFonts w:ascii="Times New Roman" w:hAnsi="Times New Roman"/>
                <w:sz w:val="26"/>
                <w:szCs w:val="26"/>
              </w:rPr>
              <w:t>16 618,6</w:t>
            </w:r>
          </w:p>
        </w:tc>
        <w:tc>
          <w:tcPr>
            <w:tcW w:w="2126" w:type="dxa"/>
            <w:shd w:val="clear" w:color="auto" w:fill="auto"/>
            <w:noWrap/>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F90DEB">
              <w:rPr>
                <w:rFonts w:ascii="Times New Roman" w:hAnsi="Times New Roman"/>
                <w:sz w:val="26"/>
                <w:szCs w:val="26"/>
              </w:rPr>
              <w:t>16 979,4</w:t>
            </w:r>
          </w:p>
        </w:tc>
        <w:tc>
          <w:tcPr>
            <w:tcW w:w="2126" w:type="dxa"/>
            <w:shd w:val="clear" w:color="auto" w:fill="auto"/>
            <w:vAlign w:val="center"/>
          </w:tcPr>
          <w:p w:rsidR="00F90DEB" w:rsidRPr="00F90DEB" w:rsidRDefault="00F90DEB"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F90DEB">
              <w:rPr>
                <w:rFonts w:ascii="Times New Roman" w:hAnsi="Times New Roman"/>
                <w:color w:val="000000"/>
                <w:sz w:val="26"/>
                <w:szCs w:val="26"/>
              </w:rPr>
              <w:t>21 031,2</w:t>
            </w:r>
          </w:p>
        </w:tc>
      </w:tr>
      <w:tr w:rsidR="00F90DEB" w:rsidRPr="00473120" w:rsidTr="0020437B">
        <w:trPr>
          <w:trHeight w:val="393"/>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Долговые ценные бумаги</w:t>
            </w:r>
          </w:p>
        </w:tc>
        <w:tc>
          <w:tcPr>
            <w:tcW w:w="2121" w:type="dxa"/>
            <w:shd w:val="clear" w:color="auto" w:fill="auto"/>
            <w:noWrap/>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F90DEB">
              <w:rPr>
                <w:rFonts w:ascii="Times New Roman" w:hAnsi="Times New Roman"/>
                <w:sz w:val="26"/>
                <w:szCs w:val="26"/>
              </w:rPr>
              <w:t>1 439,0</w:t>
            </w:r>
          </w:p>
        </w:tc>
        <w:tc>
          <w:tcPr>
            <w:tcW w:w="2126" w:type="dxa"/>
            <w:shd w:val="clear" w:color="auto" w:fill="auto"/>
            <w:noWrap/>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F90DEB">
              <w:rPr>
                <w:rFonts w:ascii="Times New Roman" w:hAnsi="Times New Roman"/>
                <w:sz w:val="26"/>
                <w:szCs w:val="26"/>
              </w:rPr>
              <w:t>1 468,5</w:t>
            </w:r>
          </w:p>
        </w:tc>
        <w:tc>
          <w:tcPr>
            <w:tcW w:w="2126" w:type="dxa"/>
            <w:shd w:val="clear" w:color="auto" w:fill="auto"/>
            <w:vAlign w:val="center"/>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26 017,8</w:t>
            </w:r>
          </w:p>
        </w:tc>
      </w:tr>
      <w:tr w:rsidR="00F90DEB" w:rsidRPr="00473120" w:rsidTr="002043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Кредиты и займы</w:t>
            </w:r>
          </w:p>
        </w:tc>
        <w:tc>
          <w:tcPr>
            <w:tcW w:w="2121" w:type="dxa"/>
            <w:shd w:val="clear" w:color="auto" w:fill="auto"/>
            <w:noWrap/>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F90DEB">
              <w:rPr>
                <w:rFonts w:ascii="Times New Roman" w:hAnsi="Times New Roman"/>
                <w:sz w:val="26"/>
                <w:szCs w:val="26"/>
              </w:rPr>
              <w:t>3 902,7</w:t>
            </w:r>
          </w:p>
        </w:tc>
        <w:tc>
          <w:tcPr>
            <w:tcW w:w="2126" w:type="dxa"/>
            <w:shd w:val="clear" w:color="auto" w:fill="auto"/>
            <w:noWrap/>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F90DEB">
              <w:rPr>
                <w:rFonts w:ascii="Times New Roman" w:hAnsi="Times New Roman"/>
                <w:sz w:val="26"/>
                <w:szCs w:val="26"/>
              </w:rPr>
              <w:t>4 047,8</w:t>
            </w:r>
          </w:p>
        </w:tc>
        <w:tc>
          <w:tcPr>
            <w:tcW w:w="2126" w:type="dxa"/>
            <w:shd w:val="clear" w:color="auto" w:fill="auto"/>
            <w:vAlign w:val="center"/>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56 165,1</w:t>
            </w:r>
          </w:p>
        </w:tc>
      </w:tr>
      <w:tr w:rsidR="00F90DEB" w:rsidRPr="00473120" w:rsidTr="0020437B">
        <w:trPr>
          <w:trHeight w:val="734"/>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Акционерный капитал и доли в инвестиционных фондах</w:t>
            </w:r>
          </w:p>
        </w:tc>
        <w:tc>
          <w:tcPr>
            <w:tcW w:w="2121" w:type="dxa"/>
            <w:shd w:val="clear" w:color="auto" w:fill="auto"/>
            <w:noWrap/>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F90DEB">
              <w:rPr>
                <w:rFonts w:ascii="Times New Roman" w:hAnsi="Times New Roman"/>
                <w:sz w:val="26"/>
                <w:szCs w:val="26"/>
              </w:rPr>
              <w:t>15 900,1</w:t>
            </w:r>
          </w:p>
        </w:tc>
        <w:tc>
          <w:tcPr>
            <w:tcW w:w="2126" w:type="dxa"/>
            <w:shd w:val="clear" w:color="auto" w:fill="auto"/>
            <w:noWrap/>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F90DEB">
              <w:rPr>
                <w:rFonts w:ascii="Times New Roman" w:hAnsi="Times New Roman"/>
                <w:sz w:val="26"/>
                <w:szCs w:val="26"/>
              </w:rPr>
              <w:t>13 884,9</w:t>
            </w:r>
          </w:p>
        </w:tc>
        <w:tc>
          <w:tcPr>
            <w:tcW w:w="2126" w:type="dxa"/>
            <w:shd w:val="clear" w:color="auto" w:fill="auto"/>
            <w:vAlign w:val="center"/>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21 378,9</w:t>
            </w:r>
          </w:p>
        </w:tc>
      </w:tr>
      <w:tr w:rsidR="00F90DEB" w:rsidRPr="00473120" w:rsidTr="0020437B">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Производные финансовые инструменты и опционы на акции для работников</w:t>
            </w:r>
          </w:p>
        </w:tc>
        <w:tc>
          <w:tcPr>
            <w:tcW w:w="2121" w:type="dxa"/>
            <w:shd w:val="clear" w:color="auto" w:fill="auto"/>
            <w:noWrap/>
          </w:tcPr>
          <w:p w:rsidR="00F90DEB" w:rsidRPr="00F90DEB" w:rsidRDefault="006A378E"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0,0</w:t>
            </w:r>
          </w:p>
        </w:tc>
        <w:tc>
          <w:tcPr>
            <w:tcW w:w="2126" w:type="dxa"/>
            <w:shd w:val="clear" w:color="auto" w:fill="auto"/>
            <w:noWrap/>
          </w:tcPr>
          <w:p w:rsidR="00F90DEB" w:rsidRPr="00F90DEB" w:rsidRDefault="006A378E"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0,0</w:t>
            </w:r>
          </w:p>
        </w:tc>
        <w:tc>
          <w:tcPr>
            <w:tcW w:w="2126" w:type="dxa"/>
            <w:shd w:val="clear" w:color="auto" w:fill="auto"/>
            <w:vAlign w:val="center"/>
          </w:tcPr>
          <w:p w:rsidR="00F90DEB" w:rsidRPr="00F90DEB" w:rsidRDefault="00F90DEB"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F90DEB">
              <w:rPr>
                <w:rFonts w:ascii="Times New Roman" w:hAnsi="Times New Roman"/>
                <w:color w:val="000000"/>
                <w:sz w:val="26"/>
                <w:szCs w:val="26"/>
              </w:rPr>
              <w:t>670,1</w:t>
            </w:r>
          </w:p>
        </w:tc>
      </w:tr>
      <w:tr w:rsidR="00F90DEB" w:rsidRPr="00473120" w:rsidTr="0020437B">
        <w:trPr>
          <w:trHeight w:val="461"/>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Прочая дебиторская задолженность</w:t>
            </w:r>
          </w:p>
        </w:tc>
        <w:tc>
          <w:tcPr>
            <w:tcW w:w="2121" w:type="dxa"/>
            <w:shd w:val="clear" w:color="auto" w:fill="auto"/>
            <w:noWrap/>
            <w:vAlign w:val="center"/>
          </w:tcPr>
          <w:p w:rsidR="00F90DEB" w:rsidRPr="00F90DEB" w:rsidRDefault="00F90DEB"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F90DEB">
              <w:rPr>
                <w:rFonts w:ascii="Times New Roman" w:hAnsi="Times New Roman"/>
                <w:color w:val="000000"/>
                <w:sz w:val="26"/>
                <w:szCs w:val="26"/>
              </w:rPr>
              <w:t>9 879,1</w:t>
            </w:r>
          </w:p>
        </w:tc>
        <w:tc>
          <w:tcPr>
            <w:tcW w:w="2126" w:type="dxa"/>
            <w:shd w:val="clear" w:color="auto" w:fill="auto"/>
            <w:noWrap/>
            <w:vAlign w:val="center"/>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12 857,8</w:t>
            </w:r>
          </w:p>
        </w:tc>
        <w:tc>
          <w:tcPr>
            <w:tcW w:w="2126" w:type="dxa"/>
            <w:shd w:val="clear" w:color="auto" w:fill="auto"/>
            <w:vAlign w:val="center"/>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20 169,3</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Cs w:val="0"/>
                <w:color w:val="000000"/>
                <w:sz w:val="24"/>
                <w:szCs w:val="24"/>
                <w:lang w:eastAsia="ru-RU"/>
              </w:rPr>
            </w:pPr>
            <w:r w:rsidRPr="00473120">
              <w:rPr>
                <w:rFonts w:ascii="Times New Roman" w:eastAsia="Times New Roman" w:hAnsi="Times New Roman"/>
                <w:bCs w:val="0"/>
                <w:color w:val="000000"/>
                <w:sz w:val="24"/>
                <w:szCs w:val="24"/>
                <w:lang w:eastAsia="ru-RU"/>
              </w:rPr>
              <w:t>Итого обязательства</w:t>
            </w:r>
          </w:p>
        </w:tc>
        <w:tc>
          <w:tcPr>
            <w:tcW w:w="2121" w:type="dxa"/>
            <w:shd w:val="clear" w:color="auto" w:fill="auto"/>
            <w:noWrap/>
          </w:tcPr>
          <w:p w:rsidR="00473120" w:rsidRPr="00F90DEB" w:rsidRDefault="00473120"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r w:rsidRPr="00F90DEB">
              <w:rPr>
                <w:rFonts w:ascii="Times New Roman" w:hAnsi="Times New Roman"/>
                <w:b/>
                <w:bCs/>
                <w:color w:val="000000"/>
                <w:sz w:val="26"/>
                <w:szCs w:val="26"/>
              </w:rPr>
              <w:t>21 214,2</w:t>
            </w:r>
          </w:p>
        </w:tc>
        <w:tc>
          <w:tcPr>
            <w:tcW w:w="2126" w:type="dxa"/>
            <w:shd w:val="clear" w:color="auto" w:fill="auto"/>
            <w:noWrap/>
          </w:tcPr>
          <w:p w:rsidR="00473120" w:rsidRPr="00F90DEB" w:rsidRDefault="00473120"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r w:rsidRPr="00F90DEB">
              <w:rPr>
                <w:rFonts w:ascii="Times New Roman" w:hAnsi="Times New Roman"/>
                <w:b/>
                <w:bCs/>
                <w:color w:val="000000"/>
                <w:sz w:val="26"/>
                <w:szCs w:val="26"/>
              </w:rPr>
              <w:t>23 150,1</w:t>
            </w:r>
          </w:p>
        </w:tc>
        <w:tc>
          <w:tcPr>
            <w:tcW w:w="2126" w:type="dxa"/>
            <w:shd w:val="clear" w:color="auto" w:fill="auto"/>
          </w:tcPr>
          <w:p w:rsidR="00473120" w:rsidRPr="00F90DEB" w:rsidRDefault="00473120"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6"/>
                <w:szCs w:val="26"/>
              </w:rPr>
            </w:pPr>
            <w:r w:rsidRPr="00F90DEB">
              <w:rPr>
                <w:rFonts w:ascii="Times New Roman" w:hAnsi="Times New Roman"/>
                <w:b/>
                <w:bCs/>
                <w:color w:val="000000"/>
                <w:sz w:val="26"/>
                <w:szCs w:val="26"/>
              </w:rPr>
              <w:t>105 499,1</w:t>
            </w:r>
          </w:p>
        </w:tc>
      </w:tr>
      <w:tr w:rsidR="00473120" w:rsidRPr="00473120" w:rsidTr="00E10969">
        <w:trPr>
          <w:trHeight w:val="354"/>
        </w:trPr>
        <w:tc>
          <w:tcPr>
            <w:cnfStyle w:val="001000000000" w:firstRow="0" w:lastRow="0" w:firstColumn="1" w:lastColumn="0" w:oddVBand="0" w:evenVBand="0" w:oddHBand="0" w:evenHBand="0" w:firstRowFirstColumn="0" w:firstRowLastColumn="0" w:lastRowFirstColumn="0" w:lastRowLastColumn="0"/>
            <w:tcW w:w="3403" w:type="dxa"/>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Монетарное золото</w:t>
            </w:r>
          </w:p>
        </w:tc>
        <w:tc>
          <w:tcPr>
            <w:tcW w:w="2121" w:type="dxa"/>
            <w:noWrap/>
          </w:tcPr>
          <w:p w:rsidR="00473120" w:rsidRPr="00F90DEB" w:rsidRDefault="006A378E"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0,0</w:t>
            </w:r>
          </w:p>
        </w:tc>
        <w:tc>
          <w:tcPr>
            <w:tcW w:w="2126" w:type="dxa"/>
            <w:noWrap/>
          </w:tcPr>
          <w:p w:rsidR="00473120" w:rsidRPr="00F90DEB" w:rsidRDefault="006A378E"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0,0</w:t>
            </w:r>
          </w:p>
        </w:tc>
        <w:tc>
          <w:tcPr>
            <w:tcW w:w="2126" w:type="dxa"/>
          </w:tcPr>
          <w:p w:rsidR="00473120" w:rsidRPr="00F90DEB" w:rsidRDefault="00F90DEB"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600,5</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Валюта и депозиты</w:t>
            </w:r>
          </w:p>
        </w:tc>
        <w:tc>
          <w:tcPr>
            <w:tcW w:w="2121" w:type="dxa"/>
            <w:shd w:val="clear" w:color="auto" w:fill="auto"/>
            <w:noWrap/>
          </w:tcPr>
          <w:p w:rsidR="00473120" w:rsidRPr="00F90DEB" w:rsidRDefault="006A378E"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0,0</w:t>
            </w:r>
          </w:p>
        </w:tc>
        <w:tc>
          <w:tcPr>
            <w:tcW w:w="2126" w:type="dxa"/>
            <w:shd w:val="clear" w:color="auto" w:fill="auto"/>
            <w:noWrap/>
          </w:tcPr>
          <w:p w:rsidR="00473120" w:rsidRPr="00F90DEB" w:rsidRDefault="006A378E"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0,0</w:t>
            </w:r>
          </w:p>
        </w:tc>
        <w:tc>
          <w:tcPr>
            <w:tcW w:w="2126" w:type="dxa"/>
            <w:shd w:val="clear" w:color="auto" w:fill="auto"/>
          </w:tcPr>
          <w:p w:rsidR="00473120" w:rsidRPr="00F90DEB" w:rsidRDefault="00473120"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50 064,0</w:t>
            </w:r>
          </w:p>
        </w:tc>
      </w:tr>
      <w:tr w:rsidR="00F90DEB" w:rsidRPr="00473120" w:rsidTr="0020437B">
        <w:trPr>
          <w:trHeight w:val="407"/>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Долговые ценные бумаги</w:t>
            </w:r>
          </w:p>
        </w:tc>
        <w:tc>
          <w:tcPr>
            <w:tcW w:w="2121" w:type="dxa"/>
            <w:shd w:val="clear" w:color="auto" w:fill="auto"/>
            <w:noWrap/>
            <w:vAlign w:val="center"/>
          </w:tcPr>
          <w:p w:rsidR="00F90DEB" w:rsidRPr="00F90DEB" w:rsidRDefault="00F90DEB"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F90DEB">
              <w:rPr>
                <w:rFonts w:ascii="Times New Roman" w:hAnsi="Times New Roman"/>
                <w:color w:val="000000"/>
                <w:sz w:val="26"/>
                <w:szCs w:val="26"/>
              </w:rPr>
              <w:t>17 187,1</w:t>
            </w:r>
          </w:p>
        </w:tc>
        <w:tc>
          <w:tcPr>
            <w:tcW w:w="2126" w:type="dxa"/>
            <w:shd w:val="clear" w:color="auto" w:fill="auto"/>
            <w:noWrap/>
            <w:vAlign w:val="center"/>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17 395,0</w:t>
            </w:r>
          </w:p>
        </w:tc>
        <w:tc>
          <w:tcPr>
            <w:tcW w:w="2126" w:type="dxa"/>
            <w:shd w:val="clear" w:color="auto" w:fill="auto"/>
            <w:vAlign w:val="center"/>
          </w:tcPr>
          <w:p w:rsidR="00F90DEB" w:rsidRPr="00F90DEB" w:rsidRDefault="00F90DEB"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F90DEB">
              <w:rPr>
                <w:rFonts w:ascii="Times New Roman" w:hAnsi="Times New Roman"/>
                <w:color w:val="000000"/>
                <w:sz w:val="26"/>
                <w:szCs w:val="26"/>
              </w:rPr>
              <w:t>16 282,6</w:t>
            </w:r>
          </w:p>
        </w:tc>
      </w:tr>
      <w:tr w:rsidR="00F90DEB" w:rsidRPr="00473120" w:rsidTr="0020437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Кредиты и займы</w:t>
            </w:r>
          </w:p>
        </w:tc>
        <w:tc>
          <w:tcPr>
            <w:tcW w:w="2121" w:type="dxa"/>
            <w:shd w:val="clear" w:color="auto" w:fill="auto"/>
            <w:noWrap/>
            <w:vAlign w:val="center"/>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938,1</w:t>
            </w:r>
          </w:p>
        </w:tc>
        <w:tc>
          <w:tcPr>
            <w:tcW w:w="2126" w:type="dxa"/>
            <w:shd w:val="clear" w:color="auto" w:fill="auto"/>
            <w:noWrap/>
            <w:vAlign w:val="center"/>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1 722,1</w:t>
            </w:r>
          </w:p>
        </w:tc>
        <w:tc>
          <w:tcPr>
            <w:tcW w:w="2126" w:type="dxa"/>
            <w:shd w:val="clear" w:color="auto" w:fill="auto"/>
            <w:vAlign w:val="center"/>
          </w:tcPr>
          <w:p w:rsidR="00F90DEB" w:rsidRPr="00F90DEB" w:rsidRDefault="00F90DEB" w:rsidP="00F90DEB">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6 917,1</w:t>
            </w:r>
          </w:p>
        </w:tc>
      </w:tr>
      <w:tr w:rsidR="00F90DEB" w:rsidRPr="00473120" w:rsidTr="0020437B">
        <w:trPr>
          <w:trHeight w:val="758"/>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Акционерный капитал и доли в инвестиционных фондах</w:t>
            </w:r>
          </w:p>
        </w:tc>
        <w:tc>
          <w:tcPr>
            <w:tcW w:w="2121" w:type="dxa"/>
            <w:shd w:val="clear" w:color="auto" w:fill="auto"/>
            <w:noWrap/>
            <w:vAlign w:val="center"/>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0,0</w:t>
            </w:r>
          </w:p>
        </w:tc>
        <w:tc>
          <w:tcPr>
            <w:tcW w:w="2126" w:type="dxa"/>
            <w:shd w:val="clear" w:color="auto" w:fill="auto"/>
            <w:noWrap/>
            <w:vAlign w:val="center"/>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264,2</w:t>
            </w:r>
          </w:p>
        </w:tc>
        <w:tc>
          <w:tcPr>
            <w:tcW w:w="2126" w:type="dxa"/>
            <w:shd w:val="clear" w:color="auto" w:fill="auto"/>
            <w:vAlign w:val="center"/>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22 728,3</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 xml:space="preserve">Производные финансовые инструменты и опционы на акции </w:t>
            </w:r>
          </w:p>
        </w:tc>
        <w:tc>
          <w:tcPr>
            <w:tcW w:w="2121" w:type="dxa"/>
            <w:shd w:val="clear" w:color="auto" w:fill="auto"/>
            <w:noWrap/>
          </w:tcPr>
          <w:p w:rsidR="00473120" w:rsidRPr="00F90DEB" w:rsidRDefault="00355F28"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lang w:eastAsia="ru-RU"/>
              </w:rPr>
            </w:pPr>
            <w:r w:rsidRPr="00F90DEB">
              <w:rPr>
                <w:rFonts w:ascii="Times New Roman" w:hAnsi="Times New Roman"/>
                <w:color w:val="000000"/>
                <w:sz w:val="26"/>
                <w:szCs w:val="26"/>
              </w:rPr>
              <w:t>0,0</w:t>
            </w:r>
          </w:p>
        </w:tc>
        <w:tc>
          <w:tcPr>
            <w:tcW w:w="2126" w:type="dxa"/>
            <w:shd w:val="clear" w:color="auto" w:fill="auto"/>
            <w:noWrap/>
          </w:tcPr>
          <w:p w:rsidR="00473120" w:rsidRPr="00F90DEB" w:rsidRDefault="00355F28"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lang w:eastAsia="ru-RU"/>
              </w:rPr>
            </w:pPr>
            <w:r w:rsidRPr="00F90DEB">
              <w:rPr>
                <w:rFonts w:ascii="Times New Roman" w:hAnsi="Times New Roman"/>
                <w:color w:val="000000"/>
                <w:sz w:val="26"/>
                <w:szCs w:val="26"/>
              </w:rPr>
              <w:t>0,0</w:t>
            </w:r>
          </w:p>
        </w:tc>
        <w:tc>
          <w:tcPr>
            <w:tcW w:w="2126" w:type="dxa"/>
            <w:shd w:val="clear" w:color="auto" w:fill="auto"/>
          </w:tcPr>
          <w:p w:rsidR="00F90DEB" w:rsidRPr="00F90DEB" w:rsidRDefault="00F90DEB"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rPr>
            </w:pPr>
            <w:r w:rsidRPr="00F90DEB">
              <w:rPr>
                <w:rFonts w:ascii="Times New Roman" w:hAnsi="Times New Roman"/>
                <w:color w:val="000000"/>
                <w:sz w:val="26"/>
                <w:szCs w:val="26"/>
              </w:rPr>
              <w:t>665,8</w:t>
            </w:r>
          </w:p>
          <w:p w:rsidR="00473120" w:rsidRPr="00F90DEB" w:rsidRDefault="00473120" w:rsidP="00F90DEB">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6"/>
                <w:szCs w:val="26"/>
                <w:lang w:eastAsia="ru-RU"/>
              </w:rPr>
            </w:pPr>
          </w:p>
        </w:tc>
      </w:tr>
      <w:tr w:rsidR="00F90DEB" w:rsidRPr="00C00423" w:rsidTr="0020437B">
        <w:trPr>
          <w:trHeight w:val="545"/>
        </w:trPr>
        <w:tc>
          <w:tcPr>
            <w:cnfStyle w:val="001000000000" w:firstRow="0" w:lastRow="0" w:firstColumn="1" w:lastColumn="0" w:oddVBand="0" w:evenVBand="0" w:oddHBand="0" w:evenHBand="0" w:firstRowFirstColumn="0" w:firstRowLastColumn="0" w:lastRowFirstColumn="0" w:lastRowLastColumn="0"/>
            <w:tcW w:w="3403" w:type="dxa"/>
            <w:hideMark/>
          </w:tcPr>
          <w:p w:rsidR="00F90DEB" w:rsidRPr="00473120" w:rsidRDefault="00F90DEB" w:rsidP="00F90DEB">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Прочая кредиторская задолженность</w:t>
            </w:r>
          </w:p>
        </w:tc>
        <w:tc>
          <w:tcPr>
            <w:tcW w:w="2121" w:type="dxa"/>
            <w:noWrap/>
            <w:vAlign w:val="center"/>
          </w:tcPr>
          <w:p w:rsidR="00F90DEB" w:rsidRPr="00F90DEB" w:rsidRDefault="00F90DEB"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F90DEB">
              <w:rPr>
                <w:rFonts w:ascii="Times New Roman" w:hAnsi="Times New Roman"/>
                <w:color w:val="000000"/>
                <w:sz w:val="26"/>
                <w:szCs w:val="26"/>
              </w:rPr>
              <w:t>9 485,2</w:t>
            </w:r>
          </w:p>
        </w:tc>
        <w:tc>
          <w:tcPr>
            <w:tcW w:w="2126" w:type="dxa"/>
            <w:noWrap/>
            <w:vAlign w:val="center"/>
          </w:tcPr>
          <w:p w:rsidR="00F90DEB" w:rsidRPr="00F90DEB" w:rsidRDefault="00F90DEB" w:rsidP="00F90DEB">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6"/>
                <w:szCs w:val="26"/>
              </w:rPr>
            </w:pPr>
            <w:r w:rsidRPr="00F90DEB">
              <w:rPr>
                <w:rFonts w:ascii="Times New Roman" w:hAnsi="Times New Roman"/>
                <w:color w:val="000000"/>
                <w:sz w:val="26"/>
                <w:szCs w:val="26"/>
              </w:rPr>
              <w:t>12 844,6</w:t>
            </w:r>
          </w:p>
        </w:tc>
        <w:tc>
          <w:tcPr>
            <w:tcW w:w="2126" w:type="dxa"/>
          </w:tcPr>
          <w:p w:rsidR="00F90DEB" w:rsidRPr="00F90DEB" w:rsidRDefault="00F90DEB" w:rsidP="00F90DEB">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6"/>
                <w:szCs w:val="26"/>
              </w:rPr>
            </w:pPr>
            <w:r w:rsidRPr="00F90DEB">
              <w:rPr>
                <w:rFonts w:ascii="Times New Roman" w:hAnsi="Times New Roman"/>
                <w:color w:val="000000"/>
                <w:sz w:val="26"/>
                <w:szCs w:val="26"/>
              </w:rPr>
              <w:t>22 050,7</w:t>
            </w:r>
          </w:p>
        </w:tc>
      </w:tr>
    </w:tbl>
    <w:p w:rsidR="00473120" w:rsidRDefault="00473120" w:rsidP="00473120">
      <w:pPr>
        <w:spacing w:after="0"/>
        <w:ind w:firstLine="709"/>
        <w:jc w:val="both"/>
        <w:rPr>
          <w:rFonts w:ascii="Times New Roman" w:hAnsi="Times New Roman"/>
          <w:sz w:val="28"/>
          <w:szCs w:val="28"/>
        </w:rPr>
      </w:pPr>
    </w:p>
    <w:p w:rsidR="00477DF3" w:rsidRDefault="00477DF3">
      <w:pPr>
        <w:spacing w:after="160" w:line="259" w:lineRule="auto"/>
        <w:rPr>
          <w:rFonts w:ascii="Times New Roman" w:hAnsi="Times New Roman"/>
          <w:sz w:val="28"/>
          <w:szCs w:val="28"/>
        </w:rPr>
      </w:pPr>
      <w:r>
        <w:rPr>
          <w:rFonts w:ascii="Times New Roman" w:hAnsi="Times New Roman"/>
          <w:sz w:val="28"/>
          <w:szCs w:val="28"/>
        </w:rPr>
        <w:br w:type="page"/>
      </w:r>
    </w:p>
    <w:p w:rsidR="0091291D" w:rsidRDefault="00473120" w:rsidP="00473120">
      <w:pPr>
        <w:spacing w:after="0"/>
        <w:ind w:firstLine="709"/>
        <w:jc w:val="both"/>
        <w:rPr>
          <w:rFonts w:ascii="Times New Roman" w:hAnsi="Times New Roman"/>
          <w:sz w:val="28"/>
          <w:szCs w:val="28"/>
        </w:rPr>
      </w:pPr>
      <w:r>
        <w:rPr>
          <w:rFonts w:ascii="Times New Roman" w:hAnsi="Times New Roman"/>
          <w:sz w:val="28"/>
          <w:szCs w:val="28"/>
        </w:rPr>
        <w:t>Структур</w:t>
      </w:r>
      <w:r w:rsidR="00F35C50">
        <w:rPr>
          <w:rFonts w:ascii="Times New Roman" w:hAnsi="Times New Roman"/>
          <w:sz w:val="28"/>
          <w:szCs w:val="28"/>
        </w:rPr>
        <w:t>а</w:t>
      </w:r>
      <w:r>
        <w:rPr>
          <w:rFonts w:ascii="Times New Roman" w:hAnsi="Times New Roman"/>
          <w:sz w:val="28"/>
          <w:szCs w:val="28"/>
        </w:rPr>
        <w:t xml:space="preserve"> финансовых активов </w:t>
      </w:r>
      <w:r w:rsidR="00F35C50">
        <w:rPr>
          <w:rFonts w:ascii="Times New Roman" w:hAnsi="Times New Roman"/>
          <w:sz w:val="28"/>
          <w:szCs w:val="28"/>
        </w:rPr>
        <w:t xml:space="preserve">по </w:t>
      </w:r>
      <w:r w:rsidR="00F35C50" w:rsidRPr="00F35C50">
        <w:rPr>
          <w:rFonts w:ascii="Times New Roman" w:hAnsi="Times New Roman"/>
          <w:sz w:val="28"/>
          <w:szCs w:val="28"/>
        </w:rPr>
        <w:t>сектору государственного управления</w:t>
      </w:r>
      <w:r w:rsidR="00F35C50">
        <w:rPr>
          <w:rFonts w:ascii="Times New Roman" w:hAnsi="Times New Roman"/>
          <w:sz w:val="28"/>
          <w:szCs w:val="28"/>
        </w:rPr>
        <w:t xml:space="preserve">, </w:t>
      </w:r>
      <w:r w:rsidR="00F35C50" w:rsidRPr="00F35C50">
        <w:rPr>
          <w:rFonts w:ascii="Times New Roman" w:hAnsi="Times New Roman"/>
          <w:sz w:val="28"/>
          <w:szCs w:val="28"/>
        </w:rPr>
        <w:t>расширенному сектору государственного управления</w:t>
      </w:r>
      <w:r w:rsidR="00F35C50">
        <w:rPr>
          <w:rFonts w:ascii="Times New Roman" w:hAnsi="Times New Roman"/>
          <w:sz w:val="28"/>
          <w:szCs w:val="28"/>
        </w:rPr>
        <w:t xml:space="preserve"> и</w:t>
      </w:r>
      <w:r w:rsidR="00F35C50" w:rsidRPr="00F35C50">
        <w:rPr>
          <w:rFonts w:ascii="Times New Roman" w:hAnsi="Times New Roman"/>
          <w:sz w:val="28"/>
          <w:szCs w:val="28"/>
        </w:rPr>
        <w:t xml:space="preserve"> </w:t>
      </w:r>
      <w:r w:rsidR="00F35C50">
        <w:rPr>
          <w:rFonts w:ascii="Times New Roman" w:hAnsi="Times New Roman"/>
          <w:sz w:val="28"/>
          <w:szCs w:val="28"/>
        </w:rPr>
        <w:t>государственному сектору</w:t>
      </w:r>
      <w:r w:rsidR="00F35C50" w:rsidRPr="00F35C50">
        <w:rPr>
          <w:rFonts w:ascii="Times New Roman" w:hAnsi="Times New Roman"/>
          <w:sz w:val="28"/>
          <w:szCs w:val="28"/>
        </w:rPr>
        <w:t xml:space="preserve"> </w:t>
      </w:r>
      <w:r w:rsidR="0091291D">
        <w:rPr>
          <w:rFonts w:ascii="Times New Roman" w:hAnsi="Times New Roman"/>
          <w:sz w:val="28"/>
          <w:szCs w:val="28"/>
        </w:rPr>
        <w:t xml:space="preserve">за 2020 год </w:t>
      </w:r>
      <w:r w:rsidR="00F35C50">
        <w:rPr>
          <w:rFonts w:ascii="Times New Roman" w:hAnsi="Times New Roman"/>
          <w:sz w:val="28"/>
          <w:szCs w:val="28"/>
        </w:rPr>
        <w:t>п</w:t>
      </w:r>
      <w:r>
        <w:rPr>
          <w:rFonts w:ascii="Times New Roman" w:hAnsi="Times New Roman"/>
          <w:sz w:val="28"/>
          <w:szCs w:val="28"/>
        </w:rPr>
        <w:t>редставлен</w:t>
      </w:r>
      <w:r w:rsidR="00F35C50">
        <w:rPr>
          <w:rFonts w:ascii="Times New Roman" w:hAnsi="Times New Roman"/>
          <w:sz w:val="28"/>
          <w:szCs w:val="28"/>
        </w:rPr>
        <w:t>а</w:t>
      </w:r>
      <w:r>
        <w:rPr>
          <w:rFonts w:ascii="Times New Roman" w:hAnsi="Times New Roman"/>
          <w:sz w:val="28"/>
          <w:szCs w:val="28"/>
        </w:rPr>
        <w:t xml:space="preserve"> на схеме </w:t>
      </w:r>
      <w:r w:rsidR="00F85261">
        <w:rPr>
          <w:rFonts w:ascii="Times New Roman" w:hAnsi="Times New Roman"/>
          <w:sz w:val="28"/>
          <w:szCs w:val="28"/>
        </w:rPr>
        <w:t>1</w:t>
      </w:r>
      <w:r>
        <w:rPr>
          <w:rFonts w:ascii="Times New Roman" w:hAnsi="Times New Roman"/>
          <w:sz w:val="28"/>
          <w:szCs w:val="28"/>
        </w:rPr>
        <w:t>.</w:t>
      </w:r>
    </w:p>
    <w:p w:rsidR="0091291D" w:rsidRDefault="0091291D" w:rsidP="0091291D">
      <w:pPr>
        <w:spacing w:after="0"/>
        <w:ind w:firstLine="709"/>
        <w:jc w:val="both"/>
        <w:rPr>
          <w:rFonts w:ascii="Times New Roman" w:hAnsi="Times New Roman"/>
          <w:sz w:val="28"/>
          <w:szCs w:val="28"/>
        </w:rPr>
      </w:pPr>
      <w:r>
        <w:rPr>
          <w:rFonts w:ascii="Times New Roman" w:hAnsi="Times New Roman"/>
          <w:sz w:val="28"/>
          <w:szCs w:val="28"/>
        </w:rPr>
        <w:t xml:space="preserve">Различия в величинах показателей объясняются разницей </w:t>
      </w:r>
      <w:r>
        <w:rPr>
          <w:rFonts w:ascii="Times New Roman" w:hAnsi="Times New Roman"/>
          <w:sz w:val="28"/>
          <w:szCs w:val="28"/>
        </w:rPr>
        <w:br/>
        <w:t>в институционном охвате включаемых респондентов.</w:t>
      </w:r>
    </w:p>
    <w:p w:rsidR="00EB3F0E" w:rsidRDefault="00EB3F0E" w:rsidP="00473120">
      <w:pPr>
        <w:spacing w:after="0"/>
        <w:ind w:firstLine="709"/>
        <w:jc w:val="both"/>
        <w:rPr>
          <w:rFonts w:ascii="Times New Roman" w:hAnsi="Times New Roman"/>
          <w:sz w:val="28"/>
          <w:szCs w:val="28"/>
        </w:rPr>
      </w:pPr>
    </w:p>
    <w:p w:rsidR="00473120" w:rsidRDefault="00473120" w:rsidP="00473120">
      <w:pPr>
        <w:spacing w:after="0"/>
        <w:ind w:firstLine="709"/>
        <w:jc w:val="both"/>
        <w:rPr>
          <w:rFonts w:ascii="Times New Roman" w:hAnsi="Times New Roman"/>
          <w:i/>
          <w:sz w:val="28"/>
          <w:szCs w:val="28"/>
        </w:rPr>
      </w:pPr>
      <w:r>
        <w:rPr>
          <w:rFonts w:ascii="Times New Roman" w:hAnsi="Times New Roman"/>
          <w:i/>
          <w:sz w:val="28"/>
          <w:szCs w:val="28"/>
        </w:rPr>
        <w:t xml:space="preserve">Схема </w:t>
      </w:r>
      <w:r w:rsidR="00F85261">
        <w:rPr>
          <w:rFonts w:ascii="Times New Roman" w:hAnsi="Times New Roman"/>
          <w:i/>
          <w:sz w:val="28"/>
          <w:szCs w:val="28"/>
        </w:rPr>
        <w:t>1</w:t>
      </w:r>
      <w:r>
        <w:rPr>
          <w:rFonts w:ascii="Times New Roman" w:hAnsi="Times New Roman"/>
          <w:i/>
          <w:sz w:val="28"/>
          <w:szCs w:val="28"/>
        </w:rPr>
        <w:t xml:space="preserve">. </w:t>
      </w:r>
      <w:r w:rsidR="00611D0C" w:rsidRPr="00B90745">
        <w:rPr>
          <w:rFonts w:ascii="Times New Roman" w:hAnsi="Times New Roman"/>
          <w:i/>
          <w:sz w:val="28"/>
          <w:szCs w:val="28"/>
        </w:rPr>
        <w:t xml:space="preserve">Структура финансовых активов </w:t>
      </w:r>
      <w:r w:rsidR="00F35C50" w:rsidRPr="00F35C50">
        <w:rPr>
          <w:rFonts w:ascii="Times New Roman" w:hAnsi="Times New Roman"/>
          <w:i/>
          <w:sz w:val="28"/>
          <w:szCs w:val="28"/>
        </w:rPr>
        <w:t>по сектору государственного управления, расширенному сектору государственного управления и государственному сектору</w:t>
      </w:r>
      <w:r w:rsidR="00611D0C" w:rsidRPr="00B90745">
        <w:rPr>
          <w:rFonts w:ascii="Times New Roman" w:hAnsi="Times New Roman"/>
          <w:i/>
          <w:sz w:val="28"/>
          <w:szCs w:val="28"/>
        </w:rPr>
        <w:t xml:space="preserve"> за 2020 г., %</w:t>
      </w:r>
    </w:p>
    <w:p w:rsidR="00611D0C" w:rsidRDefault="00611D0C" w:rsidP="00473120">
      <w:pPr>
        <w:spacing w:after="0"/>
        <w:ind w:firstLine="709"/>
        <w:jc w:val="both"/>
        <w:rPr>
          <w:rFonts w:ascii="Times New Roman" w:hAnsi="Times New Roman"/>
          <w:i/>
          <w:sz w:val="28"/>
          <w:szCs w:val="28"/>
        </w:rPr>
      </w:pPr>
    </w:p>
    <w:p w:rsidR="00473120" w:rsidRDefault="00F35C50" w:rsidP="00473120">
      <w:pPr>
        <w:spacing w:after="0" w:line="360" w:lineRule="auto"/>
        <w:ind w:left="6663" w:hanging="6663"/>
        <w:jc w:val="both"/>
        <w:rPr>
          <w:rFonts w:ascii="Times New Roman" w:hAnsi="Times New Roman"/>
          <w:sz w:val="28"/>
          <w:szCs w:val="28"/>
        </w:rPr>
      </w:pPr>
      <w:r>
        <w:rPr>
          <w:noProof/>
          <w:lang w:eastAsia="ru-RU"/>
        </w:rPr>
        <w:drawing>
          <wp:inline distT="0" distB="0" distL="0" distR="0" wp14:anchorId="534073A5" wp14:editId="6AA160C6">
            <wp:extent cx="5940425" cy="5271522"/>
            <wp:effectExtent l="0" t="0" r="22225" b="2476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3120" w:rsidRDefault="00473120" w:rsidP="00473120">
      <w:pPr>
        <w:spacing w:after="0"/>
        <w:ind w:firstLine="709"/>
        <w:jc w:val="both"/>
        <w:rPr>
          <w:rFonts w:ascii="Times New Roman" w:hAnsi="Times New Roman"/>
          <w:i/>
          <w:sz w:val="28"/>
          <w:szCs w:val="28"/>
        </w:rPr>
      </w:pPr>
    </w:p>
    <w:p w:rsidR="00F85261" w:rsidRDefault="00F85261">
      <w:pPr>
        <w:spacing w:after="160" w:line="259" w:lineRule="auto"/>
        <w:rPr>
          <w:rFonts w:ascii="Times New Roman" w:hAnsi="Times New Roman"/>
          <w:sz w:val="28"/>
          <w:szCs w:val="28"/>
        </w:rPr>
      </w:pPr>
      <w:r>
        <w:rPr>
          <w:rFonts w:ascii="Times New Roman" w:hAnsi="Times New Roman"/>
          <w:sz w:val="28"/>
          <w:szCs w:val="28"/>
        </w:rPr>
        <w:br w:type="page"/>
      </w:r>
    </w:p>
    <w:p w:rsidR="00473120" w:rsidRDefault="00611D0C" w:rsidP="00473120">
      <w:pPr>
        <w:spacing w:after="0"/>
        <w:ind w:firstLine="709"/>
        <w:jc w:val="both"/>
        <w:rPr>
          <w:rFonts w:ascii="Times New Roman" w:hAnsi="Times New Roman"/>
          <w:sz w:val="28"/>
          <w:szCs w:val="28"/>
        </w:rPr>
      </w:pPr>
      <w:r>
        <w:rPr>
          <w:rFonts w:ascii="Times New Roman" w:hAnsi="Times New Roman"/>
          <w:sz w:val="28"/>
          <w:szCs w:val="28"/>
        </w:rPr>
        <w:t xml:space="preserve">Структурные изменения в составе финансовых активов в 2020 году (по сравнению с показателями 2018 и 2019 годов) </w:t>
      </w:r>
      <w:r w:rsidR="001E0BD0">
        <w:rPr>
          <w:rFonts w:ascii="Times New Roman" w:hAnsi="Times New Roman"/>
          <w:sz w:val="28"/>
          <w:szCs w:val="28"/>
        </w:rPr>
        <w:t xml:space="preserve">по государственному сектору </w:t>
      </w:r>
      <w:r>
        <w:rPr>
          <w:rFonts w:ascii="Times New Roman" w:hAnsi="Times New Roman"/>
          <w:sz w:val="28"/>
          <w:szCs w:val="28"/>
        </w:rPr>
        <w:t>представлены на схеме</w:t>
      </w:r>
      <w:r w:rsidR="00473120">
        <w:rPr>
          <w:rFonts w:ascii="Times New Roman" w:hAnsi="Times New Roman"/>
          <w:sz w:val="28"/>
          <w:szCs w:val="28"/>
        </w:rPr>
        <w:t xml:space="preserve"> </w:t>
      </w:r>
      <w:r w:rsidR="00F85261">
        <w:rPr>
          <w:rFonts w:ascii="Times New Roman" w:hAnsi="Times New Roman"/>
          <w:sz w:val="28"/>
          <w:szCs w:val="28"/>
        </w:rPr>
        <w:t>2</w:t>
      </w:r>
      <w:r w:rsidR="00473120">
        <w:rPr>
          <w:rFonts w:ascii="Times New Roman" w:hAnsi="Times New Roman"/>
          <w:sz w:val="28"/>
          <w:szCs w:val="28"/>
        </w:rPr>
        <w:t xml:space="preserve">. </w:t>
      </w:r>
    </w:p>
    <w:p w:rsidR="00473120" w:rsidRPr="007174F5" w:rsidRDefault="00473120" w:rsidP="00473120">
      <w:pPr>
        <w:spacing w:after="0"/>
        <w:ind w:firstLine="709"/>
        <w:jc w:val="both"/>
        <w:rPr>
          <w:rFonts w:ascii="Times New Roman" w:hAnsi="Times New Roman"/>
          <w:sz w:val="28"/>
          <w:szCs w:val="28"/>
        </w:rPr>
      </w:pPr>
    </w:p>
    <w:p w:rsidR="00473120" w:rsidRDefault="00473120" w:rsidP="00473120">
      <w:pPr>
        <w:spacing w:after="0"/>
        <w:ind w:firstLine="709"/>
        <w:jc w:val="both"/>
        <w:rPr>
          <w:rFonts w:ascii="Times New Roman" w:hAnsi="Times New Roman"/>
          <w:i/>
          <w:sz w:val="28"/>
          <w:szCs w:val="28"/>
        </w:rPr>
      </w:pPr>
      <w:r>
        <w:rPr>
          <w:rFonts w:ascii="Times New Roman" w:hAnsi="Times New Roman"/>
          <w:i/>
          <w:sz w:val="28"/>
          <w:szCs w:val="28"/>
        </w:rPr>
        <w:t xml:space="preserve">Схема </w:t>
      </w:r>
      <w:r w:rsidR="00F85261">
        <w:rPr>
          <w:rFonts w:ascii="Times New Roman" w:hAnsi="Times New Roman"/>
          <w:i/>
          <w:sz w:val="28"/>
          <w:szCs w:val="28"/>
        </w:rPr>
        <w:t>2</w:t>
      </w:r>
      <w:r>
        <w:rPr>
          <w:rFonts w:ascii="Times New Roman" w:hAnsi="Times New Roman"/>
          <w:i/>
          <w:sz w:val="28"/>
          <w:szCs w:val="28"/>
        </w:rPr>
        <w:t xml:space="preserve">. </w:t>
      </w:r>
      <w:r w:rsidR="00611D0C" w:rsidRPr="00726960">
        <w:rPr>
          <w:rFonts w:ascii="Times New Roman" w:hAnsi="Times New Roman"/>
          <w:i/>
          <w:sz w:val="28"/>
          <w:szCs w:val="28"/>
        </w:rPr>
        <w:t>Сравнение структуры финансовых активов статистики государственных финансов по государственному сектору за 2018-2020 гг., %</w:t>
      </w:r>
    </w:p>
    <w:p w:rsidR="00473120" w:rsidRDefault="00473120" w:rsidP="00473120">
      <w:pPr>
        <w:spacing w:after="0"/>
        <w:ind w:firstLine="709"/>
        <w:jc w:val="both"/>
        <w:rPr>
          <w:rFonts w:ascii="Times New Roman" w:hAnsi="Times New Roman"/>
          <w:i/>
          <w:sz w:val="28"/>
          <w:szCs w:val="28"/>
        </w:rPr>
      </w:pPr>
    </w:p>
    <w:p w:rsidR="00473120" w:rsidRDefault="00611D0C" w:rsidP="00473120">
      <w:pPr>
        <w:tabs>
          <w:tab w:val="left" w:pos="6663"/>
        </w:tabs>
        <w:spacing w:after="0"/>
        <w:jc w:val="both"/>
        <w:rPr>
          <w:rFonts w:ascii="Times New Roman" w:hAnsi="Times New Roman"/>
          <w:i/>
          <w:sz w:val="28"/>
          <w:szCs w:val="28"/>
        </w:rPr>
      </w:pPr>
      <w:r>
        <w:rPr>
          <w:noProof/>
          <w:lang w:eastAsia="ru-RU"/>
        </w:rPr>
        <w:drawing>
          <wp:inline distT="0" distB="0" distL="0" distR="0" wp14:anchorId="38E1090C" wp14:editId="2C24E342">
            <wp:extent cx="5941060" cy="4877168"/>
            <wp:effectExtent l="0" t="0" r="254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3120" w:rsidRDefault="00473120" w:rsidP="00473120">
      <w:pPr>
        <w:spacing w:after="0"/>
        <w:ind w:firstLine="709"/>
        <w:jc w:val="both"/>
        <w:rPr>
          <w:rFonts w:ascii="Times New Roman" w:hAnsi="Times New Roman"/>
          <w:i/>
          <w:sz w:val="28"/>
          <w:szCs w:val="28"/>
        </w:rPr>
      </w:pPr>
    </w:p>
    <w:p w:rsidR="00F85261" w:rsidRDefault="00F85261">
      <w:pPr>
        <w:spacing w:after="160" w:line="259" w:lineRule="auto"/>
        <w:rPr>
          <w:rFonts w:ascii="Times New Roman" w:hAnsi="Times New Roman"/>
          <w:sz w:val="28"/>
          <w:szCs w:val="28"/>
        </w:rPr>
      </w:pPr>
      <w:r>
        <w:rPr>
          <w:rFonts w:ascii="Times New Roman" w:hAnsi="Times New Roman"/>
          <w:sz w:val="28"/>
          <w:szCs w:val="28"/>
        </w:rPr>
        <w:br w:type="page"/>
      </w:r>
    </w:p>
    <w:p w:rsidR="00473120" w:rsidRDefault="00C538FD" w:rsidP="00473120">
      <w:pPr>
        <w:spacing w:after="0"/>
        <w:ind w:firstLine="709"/>
        <w:jc w:val="both"/>
        <w:rPr>
          <w:rFonts w:ascii="Times New Roman" w:hAnsi="Times New Roman"/>
          <w:sz w:val="28"/>
          <w:szCs w:val="28"/>
        </w:rPr>
      </w:pPr>
      <w:r>
        <w:rPr>
          <w:rFonts w:ascii="Times New Roman" w:hAnsi="Times New Roman"/>
          <w:sz w:val="28"/>
          <w:szCs w:val="28"/>
        </w:rPr>
        <w:t>Структур</w:t>
      </w:r>
      <w:r w:rsidR="00F35C50">
        <w:rPr>
          <w:rFonts w:ascii="Times New Roman" w:hAnsi="Times New Roman"/>
          <w:sz w:val="28"/>
          <w:szCs w:val="28"/>
        </w:rPr>
        <w:t xml:space="preserve">а обязательств по </w:t>
      </w:r>
      <w:r w:rsidR="00F35C50" w:rsidRPr="00F35C50">
        <w:rPr>
          <w:rFonts w:ascii="Times New Roman" w:hAnsi="Times New Roman"/>
          <w:sz w:val="28"/>
          <w:szCs w:val="28"/>
        </w:rPr>
        <w:t>сектору государственного управления</w:t>
      </w:r>
      <w:r w:rsidR="00F35C50">
        <w:rPr>
          <w:rFonts w:ascii="Times New Roman" w:hAnsi="Times New Roman"/>
          <w:sz w:val="28"/>
          <w:szCs w:val="28"/>
        </w:rPr>
        <w:t xml:space="preserve">, </w:t>
      </w:r>
      <w:r w:rsidR="00F35C50" w:rsidRPr="00F35C50">
        <w:rPr>
          <w:rFonts w:ascii="Times New Roman" w:hAnsi="Times New Roman"/>
          <w:sz w:val="28"/>
          <w:szCs w:val="28"/>
        </w:rPr>
        <w:t>расширенному сектору государственного управления</w:t>
      </w:r>
      <w:r w:rsidR="00F35C50">
        <w:rPr>
          <w:rFonts w:ascii="Times New Roman" w:hAnsi="Times New Roman"/>
          <w:sz w:val="28"/>
          <w:szCs w:val="28"/>
        </w:rPr>
        <w:t xml:space="preserve"> и</w:t>
      </w:r>
      <w:r w:rsidR="00F35C50" w:rsidRPr="00F35C50">
        <w:rPr>
          <w:rFonts w:ascii="Times New Roman" w:hAnsi="Times New Roman"/>
          <w:sz w:val="28"/>
          <w:szCs w:val="28"/>
        </w:rPr>
        <w:t xml:space="preserve"> </w:t>
      </w:r>
      <w:r w:rsidR="00F35C50">
        <w:rPr>
          <w:rFonts w:ascii="Times New Roman" w:hAnsi="Times New Roman"/>
          <w:sz w:val="28"/>
          <w:szCs w:val="28"/>
        </w:rPr>
        <w:t xml:space="preserve">государственному сектору </w:t>
      </w:r>
      <w:r w:rsidR="00611D0C">
        <w:rPr>
          <w:rFonts w:ascii="Times New Roman" w:hAnsi="Times New Roman"/>
          <w:sz w:val="28"/>
          <w:szCs w:val="28"/>
        </w:rPr>
        <w:t>представлен</w:t>
      </w:r>
      <w:r w:rsidR="00F35C50">
        <w:rPr>
          <w:rFonts w:ascii="Times New Roman" w:hAnsi="Times New Roman"/>
          <w:sz w:val="28"/>
          <w:szCs w:val="28"/>
        </w:rPr>
        <w:t>а</w:t>
      </w:r>
      <w:r w:rsidR="00611D0C">
        <w:rPr>
          <w:rFonts w:ascii="Times New Roman" w:hAnsi="Times New Roman"/>
          <w:sz w:val="28"/>
          <w:szCs w:val="28"/>
        </w:rPr>
        <w:t xml:space="preserve"> на схеме</w:t>
      </w:r>
      <w:r w:rsidR="00473120">
        <w:rPr>
          <w:rFonts w:ascii="Times New Roman" w:hAnsi="Times New Roman"/>
          <w:sz w:val="28"/>
          <w:szCs w:val="28"/>
        </w:rPr>
        <w:t xml:space="preserve"> </w:t>
      </w:r>
      <w:r w:rsidR="00F85261">
        <w:rPr>
          <w:rFonts w:ascii="Times New Roman" w:hAnsi="Times New Roman"/>
          <w:sz w:val="28"/>
          <w:szCs w:val="28"/>
        </w:rPr>
        <w:t>3</w:t>
      </w:r>
      <w:r w:rsidR="00473120">
        <w:rPr>
          <w:rFonts w:ascii="Times New Roman" w:hAnsi="Times New Roman"/>
          <w:sz w:val="28"/>
          <w:szCs w:val="28"/>
        </w:rPr>
        <w:t xml:space="preserve">. </w:t>
      </w:r>
    </w:p>
    <w:p w:rsidR="00473120" w:rsidRDefault="00473120" w:rsidP="00473120">
      <w:pPr>
        <w:spacing w:after="0"/>
        <w:ind w:firstLine="709"/>
        <w:jc w:val="both"/>
        <w:rPr>
          <w:rFonts w:ascii="Times New Roman" w:hAnsi="Times New Roman"/>
          <w:sz w:val="28"/>
          <w:szCs w:val="28"/>
        </w:rPr>
      </w:pPr>
      <w:r>
        <w:rPr>
          <w:rFonts w:ascii="Times New Roman" w:hAnsi="Times New Roman"/>
          <w:sz w:val="28"/>
          <w:szCs w:val="28"/>
        </w:rPr>
        <w:t xml:space="preserve">Различия в </w:t>
      </w:r>
      <w:r w:rsidR="00F35C50">
        <w:rPr>
          <w:rFonts w:ascii="Times New Roman" w:hAnsi="Times New Roman"/>
          <w:sz w:val="28"/>
          <w:szCs w:val="28"/>
        </w:rPr>
        <w:t>величинах показателей</w:t>
      </w:r>
      <w:r>
        <w:rPr>
          <w:rFonts w:ascii="Times New Roman" w:hAnsi="Times New Roman"/>
          <w:sz w:val="28"/>
          <w:szCs w:val="28"/>
        </w:rPr>
        <w:t xml:space="preserve"> объясняются разницей </w:t>
      </w:r>
      <w:r w:rsidR="00F35C50">
        <w:rPr>
          <w:rFonts w:ascii="Times New Roman" w:hAnsi="Times New Roman"/>
          <w:sz w:val="28"/>
          <w:szCs w:val="28"/>
        </w:rPr>
        <w:br/>
      </w:r>
      <w:r>
        <w:rPr>
          <w:rFonts w:ascii="Times New Roman" w:hAnsi="Times New Roman"/>
          <w:sz w:val="28"/>
          <w:szCs w:val="28"/>
        </w:rPr>
        <w:t xml:space="preserve">в институционном охвате </w:t>
      </w:r>
      <w:r w:rsidR="00F35C50">
        <w:rPr>
          <w:rFonts w:ascii="Times New Roman" w:hAnsi="Times New Roman"/>
          <w:sz w:val="28"/>
          <w:szCs w:val="28"/>
        </w:rPr>
        <w:t>включаемых респондентов</w:t>
      </w:r>
      <w:r>
        <w:rPr>
          <w:rFonts w:ascii="Times New Roman" w:hAnsi="Times New Roman"/>
          <w:sz w:val="28"/>
          <w:szCs w:val="28"/>
        </w:rPr>
        <w:t xml:space="preserve">. </w:t>
      </w:r>
    </w:p>
    <w:p w:rsidR="00F85261" w:rsidRDefault="00F85261" w:rsidP="00473120">
      <w:pPr>
        <w:spacing w:after="0"/>
        <w:ind w:firstLine="709"/>
        <w:jc w:val="both"/>
        <w:rPr>
          <w:rFonts w:ascii="Times New Roman" w:hAnsi="Times New Roman"/>
          <w:i/>
          <w:sz w:val="28"/>
          <w:szCs w:val="28"/>
        </w:rPr>
      </w:pPr>
    </w:p>
    <w:p w:rsidR="00473120" w:rsidRDefault="00473120" w:rsidP="00F85261">
      <w:pPr>
        <w:spacing w:after="160" w:line="259" w:lineRule="auto"/>
        <w:ind w:firstLine="708"/>
        <w:rPr>
          <w:rFonts w:ascii="Times New Roman" w:hAnsi="Times New Roman"/>
          <w:i/>
          <w:sz w:val="28"/>
          <w:szCs w:val="28"/>
        </w:rPr>
      </w:pPr>
      <w:r>
        <w:rPr>
          <w:rFonts w:ascii="Times New Roman" w:hAnsi="Times New Roman"/>
          <w:i/>
          <w:sz w:val="28"/>
          <w:szCs w:val="28"/>
        </w:rPr>
        <w:t xml:space="preserve">Схема </w:t>
      </w:r>
      <w:r w:rsidR="00F85261">
        <w:rPr>
          <w:rFonts w:ascii="Times New Roman" w:hAnsi="Times New Roman"/>
          <w:i/>
          <w:sz w:val="28"/>
          <w:szCs w:val="28"/>
        </w:rPr>
        <w:t>3</w:t>
      </w:r>
      <w:r>
        <w:rPr>
          <w:rFonts w:ascii="Times New Roman" w:hAnsi="Times New Roman"/>
          <w:i/>
          <w:sz w:val="28"/>
          <w:szCs w:val="28"/>
        </w:rPr>
        <w:t xml:space="preserve">.  </w:t>
      </w:r>
      <w:r w:rsidR="00611D0C" w:rsidRPr="00404C6C">
        <w:rPr>
          <w:rFonts w:ascii="Times New Roman" w:hAnsi="Times New Roman"/>
          <w:i/>
          <w:sz w:val="28"/>
          <w:szCs w:val="28"/>
        </w:rPr>
        <w:t xml:space="preserve">Структура обязательств статистики государственных финансов по </w:t>
      </w:r>
      <w:r w:rsidR="00F35C50" w:rsidRPr="00F35C50">
        <w:rPr>
          <w:rFonts w:ascii="Times New Roman" w:hAnsi="Times New Roman"/>
          <w:i/>
          <w:sz w:val="28"/>
          <w:szCs w:val="28"/>
        </w:rPr>
        <w:t xml:space="preserve">сектору государственного управления, расширенному сектору государственного управления </w:t>
      </w:r>
      <w:r w:rsidR="00F35C50">
        <w:rPr>
          <w:rFonts w:ascii="Times New Roman" w:hAnsi="Times New Roman"/>
          <w:i/>
          <w:sz w:val="28"/>
          <w:szCs w:val="28"/>
        </w:rPr>
        <w:t xml:space="preserve">и по </w:t>
      </w:r>
      <w:r w:rsidR="00611D0C" w:rsidRPr="00404C6C">
        <w:rPr>
          <w:rFonts w:ascii="Times New Roman" w:hAnsi="Times New Roman"/>
          <w:i/>
          <w:sz w:val="28"/>
          <w:szCs w:val="28"/>
        </w:rPr>
        <w:t>государственному сектору за 2020 г., %</w:t>
      </w:r>
    </w:p>
    <w:p w:rsidR="00473120" w:rsidRDefault="00473120" w:rsidP="00473120">
      <w:pPr>
        <w:spacing w:after="0"/>
        <w:ind w:firstLine="709"/>
        <w:jc w:val="both"/>
        <w:rPr>
          <w:rFonts w:ascii="Times New Roman" w:hAnsi="Times New Roman"/>
          <w:i/>
          <w:sz w:val="28"/>
          <w:szCs w:val="28"/>
        </w:rPr>
      </w:pPr>
    </w:p>
    <w:p w:rsidR="00473120" w:rsidRDefault="00611D0C" w:rsidP="00473120">
      <w:pPr>
        <w:spacing w:after="0"/>
        <w:jc w:val="both"/>
        <w:rPr>
          <w:rFonts w:ascii="Times New Roman" w:hAnsi="Times New Roman"/>
          <w:sz w:val="28"/>
          <w:szCs w:val="28"/>
        </w:rPr>
      </w:pPr>
      <w:r>
        <w:rPr>
          <w:noProof/>
          <w:lang w:eastAsia="ru-RU"/>
        </w:rPr>
        <w:drawing>
          <wp:inline distT="0" distB="0" distL="0" distR="0" wp14:anchorId="0F840CBE" wp14:editId="57E98F64">
            <wp:extent cx="5941060" cy="5467310"/>
            <wp:effectExtent l="0" t="0" r="2540" b="63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5261" w:rsidRDefault="00F85261">
      <w:pPr>
        <w:spacing w:after="160" w:line="259" w:lineRule="auto"/>
        <w:rPr>
          <w:rFonts w:ascii="Times New Roman" w:hAnsi="Times New Roman"/>
          <w:sz w:val="28"/>
          <w:szCs w:val="28"/>
        </w:rPr>
      </w:pPr>
      <w:r>
        <w:rPr>
          <w:rFonts w:ascii="Times New Roman" w:hAnsi="Times New Roman"/>
          <w:sz w:val="28"/>
          <w:szCs w:val="28"/>
        </w:rPr>
        <w:br w:type="page"/>
      </w:r>
    </w:p>
    <w:p w:rsidR="00473120" w:rsidRDefault="00611D0C" w:rsidP="00473120">
      <w:pPr>
        <w:spacing w:after="0"/>
        <w:ind w:firstLine="709"/>
        <w:jc w:val="both"/>
        <w:rPr>
          <w:rFonts w:ascii="Times New Roman" w:hAnsi="Times New Roman"/>
          <w:sz w:val="28"/>
          <w:szCs w:val="28"/>
        </w:rPr>
      </w:pPr>
      <w:r>
        <w:rPr>
          <w:rFonts w:ascii="Times New Roman" w:hAnsi="Times New Roman"/>
          <w:sz w:val="28"/>
          <w:szCs w:val="28"/>
        </w:rPr>
        <w:t xml:space="preserve">Структурные изменения в составе обязательств в 2020 году (по сравнению с показателями 2018 и 2019 годов) </w:t>
      </w:r>
      <w:r w:rsidR="00F35C50">
        <w:rPr>
          <w:rFonts w:ascii="Times New Roman" w:hAnsi="Times New Roman"/>
          <w:sz w:val="28"/>
          <w:szCs w:val="28"/>
        </w:rPr>
        <w:t xml:space="preserve">по государственному сектору </w:t>
      </w:r>
      <w:r>
        <w:rPr>
          <w:rFonts w:ascii="Times New Roman" w:hAnsi="Times New Roman"/>
          <w:sz w:val="28"/>
          <w:szCs w:val="28"/>
        </w:rPr>
        <w:t>представлены на схеме</w:t>
      </w:r>
      <w:r w:rsidR="00473120">
        <w:rPr>
          <w:rFonts w:ascii="Times New Roman" w:hAnsi="Times New Roman"/>
          <w:sz w:val="28"/>
          <w:szCs w:val="28"/>
        </w:rPr>
        <w:t xml:space="preserve"> </w:t>
      </w:r>
      <w:r w:rsidR="00F85261">
        <w:rPr>
          <w:rFonts w:ascii="Times New Roman" w:hAnsi="Times New Roman"/>
          <w:sz w:val="28"/>
          <w:szCs w:val="28"/>
        </w:rPr>
        <w:t>4</w:t>
      </w:r>
      <w:r w:rsidR="00473120">
        <w:rPr>
          <w:rFonts w:ascii="Times New Roman" w:hAnsi="Times New Roman"/>
          <w:sz w:val="28"/>
          <w:szCs w:val="28"/>
        </w:rPr>
        <w:t xml:space="preserve">. </w:t>
      </w:r>
    </w:p>
    <w:p w:rsidR="00F35C50" w:rsidRDefault="00F35C50" w:rsidP="00473120">
      <w:pPr>
        <w:spacing w:after="0"/>
        <w:ind w:firstLine="709"/>
        <w:jc w:val="both"/>
        <w:rPr>
          <w:rFonts w:ascii="Times New Roman" w:hAnsi="Times New Roman"/>
          <w:sz w:val="28"/>
          <w:szCs w:val="28"/>
        </w:rPr>
      </w:pPr>
    </w:p>
    <w:p w:rsidR="00473120" w:rsidRDefault="00473120" w:rsidP="00473120">
      <w:pPr>
        <w:spacing w:after="0"/>
        <w:ind w:firstLine="709"/>
        <w:jc w:val="both"/>
        <w:rPr>
          <w:rFonts w:ascii="Times New Roman" w:hAnsi="Times New Roman"/>
          <w:i/>
          <w:sz w:val="28"/>
          <w:szCs w:val="28"/>
        </w:rPr>
      </w:pPr>
      <w:r>
        <w:rPr>
          <w:rFonts w:ascii="Times New Roman" w:hAnsi="Times New Roman"/>
          <w:i/>
          <w:sz w:val="28"/>
          <w:szCs w:val="28"/>
        </w:rPr>
        <w:t xml:space="preserve">Схема </w:t>
      </w:r>
      <w:r w:rsidR="00F85261">
        <w:rPr>
          <w:rFonts w:ascii="Times New Roman" w:hAnsi="Times New Roman"/>
          <w:i/>
          <w:sz w:val="28"/>
          <w:szCs w:val="28"/>
        </w:rPr>
        <w:t>4</w:t>
      </w:r>
      <w:r>
        <w:rPr>
          <w:rFonts w:ascii="Times New Roman" w:hAnsi="Times New Roman"/>
          <w:i/>
          <w:sz w:val="28"/>
          <w:szCs w:val="28"/>
        </w:rPr>
        <w:t xml:space="preserve">. </w:t>
      </w:r>
      <w:r w:rsidR="00611D0C" w:rsidRPr="00994E0A">
        <w:rPr>
          <w:rFonts w:ascii="Times New Roman" w:hAnsi="Times New Roman"/>
          <w:i/>
          <w:sz w:val="28"/>
          <w:szCs w:val="28"/>
        </w:rPr>
        <w:t>Сравнение структуры обязательств статистики государственных финансов по государственному сектору за 2018-2020 гг., %</w:t>
      </w:r>
    </w:p>
    <w:p w:rsidR="00473120" w:rsidRDefault="00611D0C" w:rsidP="00473120">
      <w:pPr>
        <w:pStyle w:val="1"/>
        <w:tabs>
          <w:tab w:val="left" w:pos="6663"/>
        </w:tabs>
        <w:jc w:val="both"/>
      </w:pPr>
      <w:r>
        <w:rPr>
          <w:noProof/>
          <w:lang w:eastAsia="ru-RU"/>
        </w:rPr>
        <w:drawing>
          <wp:inline distT="0" distB="0" distL="0" distR="0" wp14:anchorId="5D06180E" wp14:editId="4DD5B0D8">
            <wp:extent cx="5941060" cy="4639004"/>
            <wp:effectExtent l="0" t="0" r="254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6D42" w:rsidRDefault="00176D42" w:rsidP="00524D06">
      <w:pPr>
        <w:rPr>
          <w:rFonts w:ascii="Times New Roman" w:hAnsi="Times New Roman"/>
          <w:sz w:val="28"/>
          <w:szCs w:val="28"/>
          <w:lang w:eastAsia="ru-RU"/>
        </w:rPr>
      </w:pPr>
    </w:p>
    <w:sectPr w:rsidR="00176D42" w:rsidSect="0063647A">
      <w:pgSz w:w="11906" w:h="16838"/>
      <w:pgMar w:top="709" w:right="849"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246" w:rsidRDefault="00905246" w:rsidP="00176D42">
      <w:pPr>
        <w:spacing w:after="0" w:line="240" w:lineRule="auto"/>
      </w:pPr>
      <w:r>
        <w:separator/>
      </w:r>
    </w:p>
  </w:endnote>
  <w:endnote w:type="continuationSeparator" w:id="0">
    <w:p w:rsidR="00905246" w:rsidRDefault="00905246" w:rsidP="0017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_sanssemibold">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246" w:rsidRDefault="00905246" w:rsidP="00176D42">
      <w:pPr>
        <w:spacing w:after="0" w:line="240" w:lineRule="auto"/>
      </w:pPr>
      <w:r>
        <w:separator/>
      </w:r>
    </w:p>
  </w:footnote>
  <w:footnote w:type="continuationSeparator" w:id="0">
    <w:p w:rsidR="00905246" w:rsidRDefault="00905246" w:rsidP="00176D42">
      <w:pPr>
        <w:spacing w:after="0" w:line="240" w:lineRule="auto"/>
      </w:pPr>
      <w:r>
        <w:continuationSeparator/>
      </w:r>
    </w:p>
  </w:footnote>
  <w:footnote w:id="1">
    <w:p w:rsidR="00972E04" w:rsidRPr="003F70E1" w:rsidRDefault="00972E04">
      <w:pPr>
        <w:pStyle w:val="ae"/>
        <w:rPr>
          <w:rFonts w:ascii="Times New Roman" w:hAnsi="Times New Roman"/>
        </w:rPr>
      </w:pPr>
      <w:r w:rsidRPr="003F70E1">
        <w:rPr>
          <w:rStyle w:val="af0"/>
          <w:rFonts w:ascii="Times New Roman" w:hAnsi="Times New Roman"/>
        </w:rPr>
        <w:footnoteRef/>
      </w:r>
      <w:r w:rsidRPr="003F70E1">
        <w:rPr>
          <w:rFonts w:ascii="Times New Roman" w:hAnsi="Times New Roman"/>
        </w:rPr>
        <w:t xml:space="preserve"> Для формирования месячной, квартальной </w:t>
      </w:r>
      <w:r w:rsidR="00150C44">
        <w:rPr>
          <w:rFonts w:ascii="Times New Roman" w:hAnsi="Times New Roman"/>
        </w:rPr>
        <w:t>И</w:t>
      </w:r>
      <w:r w:rsidR="00150C44" w:rsidRPr="003F70E1">
        <w:rPr>
          <w:rFonts w:ascii="Times New Roman" w:hAnsi="Times New Roman"/>
        </w:rPr>
        <w:t xml:space="preserve">нформации </w:t>
      </w:r>
      <w:r w:rsidRPr="003F70E1">
        <w:rPr>
          <w:rFonts w:ascii="Times New Roman" w:hAnsi="Times New Roman"/>
        </w:rPr>
        <w:t xml:space="preserve">по </w:t>
      </w:r>
      <w:r w:rsidR="00150C44">
        <w:rPr>
          <w:rFonts w:ascii="Times New Roman" w:hAnsi="Times New Roman"/>
        </w:rPr>
        <w:t xml:space="preserve">СГФ </w:t>
      </w:r>
      <w:r w:rsidRPr="003F70E1">
        <w:rPr>
          <w:rFonts w:ascii="Times New Roman" w:hAnsi="Times New Roman"/>
        </w:rPr>
        <w:t>за 2020 год.</w:t>
      </w:r>
    </w:p>
  </w:footnote>
  <w:footnote w:id="2">
    <w:p w:rsidR="00972E04" w:rsidRPr="003F70E1" w:rsidRDefault="00972E04">
      <w:pPr>
        <w:pStyle w:val="ae"/>
        <w:rPr>
          <w:rFonts w:ascii="Times New Roman" w:hAnsi="Times New Roman"/>
          <w:sz w:val="18"/>
        </w:rPr>
      </w:pPr>
      <w:r w:rsidRPr="003F70E1">
        <w:rPr>
          <w:rStyle w:val="af0"/>
          <w:rFonts w:ascii="Times New Roman" w:hAnsi="Times New Roman"/>
        </w:rPr>
        <w:footnoteRef/>
      </w:r>
      <w:r w:rsidRPr="003F70E1">
        <w:rPr>
          <w:rFonts w:ascii="Times New Roman" w:hAnsi="Times New Roman"/>
        </w:rPr>
        <w:t xml:space="preserve"> В целях формирования годовой </w:t>
      </w:r>
      <w:r w:rsidR="00150C44">
        <w:rPr>
          <w:rFonts w:ascii="Times New Roman" w:hAnsi="Times New Roman"/>
        </w:rPr>
        <w:t>И</w:t>
      </w:r>
      <w:r w:rsidR="00150C44" w:rsidRPr="003F70E1">
        <w:rPr>
          <w:rFonts w:ascii="Times New Roman" w:hAnsi="Times New Roman"/>
        </w:rPr>
        <w:t xml:space="preserve">нформации </w:t>
      </w:r>
      <w:r w:rsidRPr="003F70E1">
        <w:rPr>
          <w:rFonts w:ascii="Times New Roman" w:hAnsi="Times New Roman"/>
        </w:rPr>
        <w:t xml:space="preserve">по </w:t>
      </w:r>
      <w:r w:rsidR="00150C44">
        <w:rPr>
          <w:rFonts w:ascii="Times New Roman" w:hAnsi="Times New Roman"/>
        </w:rPr>
        <w:t xml:space="preserve">СГФ </w:t>
      </w:r>
      <w:r w:rsidRPr="003F70E1">
        <w:rPr>
          <w:rFonts w:ascii="Times New Roman" w:hAnsi="Times New Roman"/>
        </w:rPr>
        <w:t>за 2020 год.</w:t>
      </w:r>
    </w:p>
  </w:footnote>
  <w:footnote w:id="3">
    <w:p w:rsidR="00972E04" w:rsidRPr="003F70E1" w:rsidRDefault="00972E04" w:rsidP="00F85261">
      <w:pPr>
        <w:pStyle w:val="ae"/>
        <w:rPr>
          <w:rFonts w:ascii="Times New Roman" w:hAnsi="Times New Roman"/>
          <w:sz w:val="18"/>
        </w:rPr>
      </w:pPr>
      <w:r w:rsidRPr="003F70E1">
        <w:rPr>
          <w:rStyle w:val="af0"/>
          <w:rFonts w:ascii="Times New Roman" w:hAnsi="Times New Roman"/>
          <w:sz w:val="18"/>
        </w:rPr>
        <w:footnoteRef/>
      </w:r>
      <w:r w:rsidRPr="003F70E1">
        <w:rPr>
          <w:rFonts w:ascii="Times New Roman" w:hAnsi="Times New Roman"/>
          <w:sz w:val="18"/>
        </w:rPr>
        <w:t xml:space="preserve"> Формы отчетности Российской Федерации, установленные приказами Министерства финансов Российской Федерации:</w:t>
      </w:r>
    </w:p>
    <w:p w:rsidR="00972E04" w:rsidRPr="003F70E1" w:rsidRDefault="00972E04" w:rsidP="00F85261">
      <w:pPr>
        <w:autoSpaceDE w:val="0"/>
        <w:autoSpaceDN w:val="0"/>
        <w:adjustRightInd w:val="0"/>
        <w:spacing w:after="0" w:line="240" w:lineRule="auto"/>
        <w:ind w:firstLine="284"/>
        <w:jc w:val="both"/>
        <w:rPr>
          <w:rFonts w:ascii="Times New Roman" w:hAnsi="Times New Roman"/>
          <w:sz w:val="18"/>
          <w:szCs w:val="20"/>
        </w:rPr>
      </w:pPr>
      <w:r w:rsidRPr="003F70E1">
        <w:rPr>
          <w:rFonts w:ascii="Times New Roman" w:hAnsi="Times New Roman"/>
          <w:sz w:val="18"/>
          <w:szCs w:val="20"/>
        </w:rPr>
        <w:t>-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72E04" w:rsidRPr="003F70E1" w:rsidRDefault="00972E04" w:rsidP="00F85261">
      <w:pPr>
        <w:autoSpaceDE w:val="0"/>
        <w:autoSpaceDN w:val="0"/>
        <w:adjustRightInd w:val="0"/>
        <w:spacing w:after="0" w:line="240" w:lineRule="auto"/>
        <w:ind w:firstLine="284"/>
        <w:jc w:val="both"/>
        <w:rPr>
          <w:rFonts w:ascii="Times New Roman" w:hAnsi="Times New Roman"/>
          <w:sz w:val="18"/>
          <w:szCs w:val="20"/>
        </w:rPr>
      </w:pPr>
      <w:r w:rsidRPr="003F70E1">
        <w:rPr>
          <w:rFonts w:ascii="Times New Roman" w:hAnsi="Times New Roman"/>
          <w:sz w:val="18"/>
          <w:szCs w:val="20"/>
        </w:rPr>
        <w:t>-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972E04" w:rsidRPr="006701EE" w:rsidRDefault="00972E04" w:rsidP="00F85261">
      <w:pPr>
        <w:autoSpaceDE w:val="0"/>
        <w:autoSpaceDN w:val="0"/>
        <w:adjustRightInd w:val="0"/>
        <w:spacing w:after="0" w:line="240" w:lineRule="auto"/>
        <w:ind w:firstLine="284"/>
        <w:jc w:val="both"/>
        <w:rPr>
          <w:rFonts w:ascii="Times New Roman" w:hAnsi="Times New Roman"/>
          <w:sz w:val="20"/>
          <w:szCs w:val="20"/>
        </w:rPr>
      </w:pPr>
      <w:r w:rsidRPr="003F70E1">
        <w:rPr>
          <w:rFonts w:ascii="Times New Roman" w:hAnsi="Times New Roman"/>
          <w:sz w:val="18"/>
          <w:szCs w:val="20"/>
        </w:rPr>
        <w:t>- от 11 апреля 2016 г. № 116 «Об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 перечня таких форм, а также рекомендаций по формированию некоторых форм».</w:t>
      </w:r>
    </w:p>
  </w:footnote>
  <w:footnote w:id="4">
    <w:p w:rsidR="00972E04" w:rsidRPr="003F70E1" w:rsidRDefault="00972E04" w:rsidP="00593B84">
      <w:pPr>
        <w:autoSpaceDE w:val="0"/>
        <w:autoSpaceDN w:val="0"/>
        <w:adjustRightInd w:val="0"/>
        <w:spacing w:after="0" w:line="240" w:lineRule="auto"/>
        <w:jc w:val="both"/>
        <w:rPr>
          <w:rFonts w:ascii="Times New Roman" w:eastAsiaTheme="minorHAnsi" w:hAnsi="Times New Roman"/>
          <w:sz w:val="20"/>
        </w:rPr>
      </w:pPr>
      <w:r w:rsidRPr="003F70E1">
        <w:rPr>
          <w:rStyle w:val="af0"/>
          <w:rFonts w:ascii="Times New Roman" w:hAnsi="Times New Roman"/>
          <w:sz w:val="20"/>
        </w:rPr>
        <w:footnoteRef/>
      </w:r>
      <w:r w:rsidRPr="003F70E1">
        <w:rPr>
          <w:rFonts w:ascii="Times New Roman" w:eastAsiaTheme="minorHAnsi" w:hAnsi="Times New Roman"/>
          <w:sz w:val="20"/>
        </w:rPr>
        <w:t>За 2020 год формирование осуществляется с включением показателей годовой бухгалтерской (финансовой) отчетности отдельных унитарных юридических лиц и отдельных корпоративных юридических лиц по согласованному перечню респондентов по соответствующему периметру формирования Информации по СГФ по результатам проведенного анализа.</w:t>
      </w:r>
    </w:p>
    <w:p w:rsidR="00972E04" w:rsidRPr="0011497D" w:rsidRDefault="00972E04">
      <w:pPr>
        <w:pStyle w:val="ae"/>
        <w:rPr>
          <w:rFonts w:ascii="Times New Roman" w:hAnsi="Times New Roman"/>
          <w:sz w:val="22"/>
          <w:szCs w:val="22"/>
        </w:rPr>
      </w:pPr>
    </w:p>
  </w:footnote>
  <w:footnote w:id="5">
    <w:p w:rsidR="00972E04" w:rsidRPr="003F70E1" w:rsidRDefault="00972E04" w:rsidP="00593B84">
      <w:pPr>
        <w:pStyle w:val="ae"/>
        <w:jc w:val="both"/>
        <w:rPr>
          <w:rFonts w:ascii="Times New Roman" w:hAnsi="Times New Roman"/>
          <w:sz w:val="18"/>
          <w:szCs w:val="18"/>
        </w:rPr>
      </w:pPr>
      <w:r w:rsidRPr="003F70E1">
        <w:rPr>
          <w:rStyle w:val="af0"/>
          <w:rFonts w:ascii="Times New Roman" w:hAnsi="Times New Roman"/>
          <w:szCs w:val="18"/>
        </w:rPr>
        <w:footnoteRef/>
      </w:r>
      <w:r w:rsidRPr="003F70E1">
        <w:rPr>
          <w:rFonts w:ascii="Times New Roman" w:hAnsi="Times New Roman"/>
          <w:szCs w:val="18"/>
        </w:rPr>
        <w:t xml:space="preserve"> </w:t>
      </w:r>
      <w:r w:rsidRPr="003F70E1">
        <w:rPr>
          <w:rFonts w:ascii="Times New Roman" w:eastAsiaTheme="minorHAnsi" w:hAnsi="Times New Roman"/>
          <w:szCs w:val="18"/>
        </w:rPr>
        <w:t>За 2020 год формирование осуществляется с включением показателей годовой бухгалтерской (финансовой) отчетности отдельных унитарных юридических лиц и отдельных корпоративных юридических лиц по согласованному перечню респондентов по соответствующему периметру формирования Информации по СГФ по результатам проведенного анализа.</w:t>
      </w:r>
    </w:p>
  </w:footnote>
  <w:footnote w:id="6">
    <w:p w:rsidR="00972E04" w:rsidRPr="003F70E1" w:rsidRDefault="00972E04" w:rsidP="00B0756F">
      <w:pPr>
        <w:autoSpaceDE w:val="0"/>
        <w:autoSpaceDN w:val="0"/>
        <w:adjustRightInd w:val="0"/>
        <w:spacing w:after="0" w:line="240" w:lineRule="auto"/>
        <w:jc w:val="both"/>
        <w:rPr>
          <w:rFonts w:ascii="Times New Roman" w:hAnsi="Times New Roman"/>
          <w:sz w:val="24"/>
        </w:rPr>
      </w:pPr>
      <w:r w:rsidRPr="003F70E1">
        <w:rPr>
          <w:rStyle w:val="af0"/>
          <w:rFonts w:ascii="Times New Roman" w:hAnsi="Times New Roman"/>
          <w:sz w:val="18"/>
        </w:rPr>
        <w:footnoteRef/>
      </w:r>
      <w:r w:rsidRPr="003F70E1">
        <w:rPr>
          <w:rFonts w:ascii="Times New Roman" w:hAnsi="Times New Roman"/>
          <w:sz w:val="18"/>
        </w:rPr>
        <w:t> Разность между чистой прибылью (убытком) и суммой полученных целевых субсидий, предоставляемых из бюджетов бюджетной системы Российской Федерации, и (или) иных целевых безвозмездных поступлений от респондентов сектора государственного управления имеет отрицательную величину за каждый год из последних трех лет.</w:t>
      </w:r>
    </w:p>
  </w:footnote>
  <w:footnote w:id="7">
    <w:p w:rsidR="00972E04" w:rsidRPr="003F70E1" w:rsidRDefault="00972E04">
      <w:pPr>
        <w:pStyle w:val="ae"/>
        <w:rPr>
          <w:rFonts w:ascii="Times New Roman" w:hAnsi="Times New Roman"/>
        </w:rPr>
      </w:pPr>
      <w:r w:rsidRPr="003F70E1">
        <w:rPr>
          <w:rStyle w:val="af0"/>
          <w:rFonts w:ascii="Times New Roman" w:hAnsi="Times New Roman"/>
          <w:sz w:val="18"/>
        </w:rPr>
        <w:footnoteRef/>
      </w:r>
      <w:r w:rsidRPr="003F70E1">
        <w:rPr>
          <w:rFonts w:ascii="Times New Roman" w:hAnsi="Times New Roman"/>
          <w:sz w:val="18"/>
        </w:rPr>
        <w:t xml:space="preserve"> </w:t>
      </w:r>
      <w:r w:rsidRPr="003F70E1">
        <w:rPr>
          <w:rFonts w:ascii="Times New Roman" w:eastAsiaTheme="minorHAnsi" w:hAnsi="Times New Roman"/>
          <w:sz w:val="18"/>
        </w:rPr>
        <w:t xml:space="preserve">За 2020 год формирование осуществляется с включением показателей годовой бухгалтерской (финансовой) отчетности отдельных унитарных юридических лиц и отдельных корпоративных юридических лиц по согласованному перечню респондентов по соответствующему периметру формирования Информации по СГФ по результатам проведенного </w:t>
      </w:r>
      <w:r>
        <w:rPr>
          <w:rFonts w:ascii="Times New Roman" w:eastAsiaTheme="minorHAnsi" w:hAnsi="Times New Roman"/>
          <w:sz w:val="18"/>
        </w:rPr>
        <w:t>а</w:t>
      </w:r>
      <w:r w:rsidRPr="003F70E1">
        <w:rPr>
          <w:rFonts w:ascii="Times New Roman" w:eastAsiaTheme="minorHAnsi" w:hAnsi="Times New Roman"/>
          <w:sz w:val="18"/>
        </w:rPr>
        <w:t>нализа.</w:t>
      </w:r>
    </w:p>
  </w:footnote>
  <w:footnote w:id="8">
    <w:p w:rsidR="00972E04" w:rsidRPr="003F70E1" w:rsidRDefault="00972E04" w:rsidP="0063647A">
      <w:pPr>
        <w:pStyle w:val="ae"/>
        <w:rPr>
          <w:rFonts w:ascii="Times New Roman" w:hAnsi="Times New Roman"/>
          <w:sz w:val="18"/>
        </w:rPr>
      </w:pPr>
      <w:r w:rsidRPr="003F70E1">
        <w:rPr>
          <w:rStyle w:val="af0"/>
          <w:rFonts w:ascii="Times New Roman" w:hAnsi="Times New Roman"/>
          <w:sz w:val="18"/>
        </w:rPr>
        <w:footnoteRef/>
      </w:r>
      <w:r w:rsidRPr="003F70E1">
        <w:rPr>
          <w:rFonts w:ascii="Times New Roman" w:hAnsi="Times New Roman"/>
          <w:sz w:val="18"/>
        </w:rPr>
        <w:t xml:space="preserve"> «Финансовые активы» за вычетом показателя «Обязательства»</w:t>
      </w:r>
    </w:p>
  </w:footnote>
  <w:footnote w:id="9">
    <w:p w:rsidR="00972E04" w:rsidRPr="003F70E1" w:rsidRDefault="00972E04" w:rsidP="0063647A">
      <w:pPr>
        <w:pStyle w:val="ae"/>
        <w:rPr>
          <w:rFonts w:ascii="Times New Roman" w:hAnsi="Times New Roman"/>
          <w:sz w:val="18"/>
        </w:rPr>
      </w:pPr>
      <w:r w:rsidRPr="003F70E1">
        <w:rPr>
          <w:rStyle w:val="af0"/>
          <w:rFonts w:ascii="Times New Roman" w:hAnsi="Times New Roman"/>
          <w:sz w:val="18"/>
        </w:rPr>
        <w:footnoteRef/>
      </w:r>
      <w:r w:rsidRPr="003F70E1">
        <w:rPr>
          <w:rFonts w:ascii="Times New Roman" w:hAnsi="Times New Roman"/>
          <w:sz w:val="18"/>
        </w:rPr>
        <w:t xml:space="preserve"> Сумма показателей «Нефинансовые активы» и «Финансовые активы» за вычетом показателя «Обязательства»</w:t>
      </w:r>
    </w:p>
  </w:footnote>
  <w:footnote w:id="10">
    <w:p w:rsidR="00972E04" w:rsidRPr="003F70E1" w:rsidRDefault="00972E04" w:rsidP="0063647A">
      <w:pPr>
        <w:pStyle w:val="ae"/>
        <w:rPr>
          <w:rFonts w:ascii="Times New Roman" w:hAnsi="Times New Roman"/>
          <w:sz w:val="18"/>
          <w:szCs w:val="18"/>
        </w:rPr>
      </w:pPr>
      <w:r w:rsidRPr="003F70E1">
        <w:rPr>
          <w:rStyle w:val="af0"/>
          <w:rFonts w:ascii="Times New Roman" w:hAnsi="Times New Roman"/>
          <w:sz w:val="18"/>
          <w:szCs w:val="18"/>
        </w:rPr>
        <w:footnoteRef/>
      </w:r>
      <w:r w:rsidRPr="003F70E1">
        <w:rPr>
          <w:rFonts w:ascii="Times New Roman" w:hAnsi="Times New Roman"/>
          <w:sz w:val="18"/>
          <w:szCs w:val="18"/>
        </w:rPr>
        <w:t xml:space="preserve"> Чистое операционное сальдо (ЧОС) должно рассчитываться только тогда, когда потребление основного капитала (23) имеет нулевое значение (в отличие от «Валового операционного сальдо» не включает показатель «Потребление основного капитала» (23). В противном случае следует рассчитывать только валовое операционное сальдо. ЧОС рассчитывается как разница показателей «Доходы» за вычетом «Расходы»</w:t>
      </w:r>
    </w:p>
  </w:footnote>
  <w:footnote w:id="11">
    <w:p w:rsidR="00972E04" w:rsidRPr="003F70E1" w:rsidRDefault="00972E04" w:rsidP="0063647A">
      <w:pPr>
        <w:pStyle w:val="ae"/>
        <w:rPr>
          <w:rFonts w:ascii="Times New Roman" w:hAnsi="Times New Roman"/>
          <w:sz w:val="18"/>
          <w:szCs w:val="18"/>
        </w:rPr>
      </w:pPr>
      <w:r w:rsidRPr="003F70E1">
        <w:rPr>
          <w:rStyle w:val="af0"/>
          <w:rFonts w:ascii="Times New Roman" w:hAnsi="Times New Roman"/>
          <w:sz w:val="18"/>
          <w:szCs w:val="18"/>
        </w:rPr>
        <w:footnoteRef/>
      </w:r>
      <w:r w:rsidRPr="003F70E1">
        <w:rPr>
          <w:rFonts w:ascii="Times New Roman" w:hAnsi="Times New Roman"/>
          <w:sz w:val="18"/>
          <w:szCs w:val="18"/>
        </w:rPr>
        <w:t xml:space="preserve"> Рассчитывается как разница показателей «Доходы» за вычетом «Расходов» с прибавлением показателя «Потребление основного капитала»</w:t>
      </w:r>
    </w:p>
  </w:footnote>
  <w:footnote w:id="12">
    <w:p w:rsidR="00972E04" w:rsidRPr="003F70E1" w:rsidRDefault="00972E04" w:rsidP="0063647A">
      <w:pPr>
        <w:pStyle w:val="ae"/>
        <w:rPr>
          <w:rFonts w:ascii="Times New Roman" w:hAnsi="Times New Roman"/>
          <w:sz w:val="18"/>
          <w:szCs w:val="18"/>
        </w:rPr>
      </w:pPr>
      <w:r w:rsidRPr="003F70E1">
        <w:rPr>
          <w:rStyle w:val="af0"/>
          <w:rFonts w:ascii="Times New Roman" w:hAnsi="Times New Roman"/>
          <w:sz w:val="18"/>
          <w:szCs w:val="18"/>
        </w:rPr>
        <w:footnoteRef/>
      </w:r>
      <w:r w:rsidRPr="003F70E1">
        <w:rPr>
          <w:rFonts w:ascii="Times New Roman" w:hAnsi="Times New Roman"/>
          <w:sz w:val="18"/>
          <w:szCs w:val="18"/>
        </w:rPr>
        <w:t xml:space="preserve"> Отражение показателя из </w:t>
      </w:r>
      <w:r w:rsidRPr="003F70E1">
        <w:rPr>
          <w:rFonts w:ascii="Times New Roman" w:eastAsia="Times New Roman" w:hAnsi="Times New Roman"/>
          <w:bCs/>
          <w:color w:val="000000"/>
          <w:sz w:val="18"/>
          <w:szCs w:val="18"/>
          <w:lang w:eastAsia="ru-RU"/>
        </w:rPr>
        <w:t xml:space="preserve">Отчета </w:t>
      </w:r>
      <w:r w:rsidRPr="003F70E1">
        <w:rPr>
          <w:rFonts w:ascii="Times New Roman" w:eastAsia="Times New Roman" w:hAnsi="Times New Roman"/>
          <w:bCs/>
          <w:color w:val="000000"/>
          <w:sz w:val="18"/>
          <w:szCs w:val="18"/>
          <w:lang w:val="en-US" w:eastAsia="ru-RU"/>
        </w:rPr>
        <w:t>I</w:t>
      </w:r>
      <w:r w:rsidRPr="003F70E1">
        <w:rPr>
          <w:rFonts w:ascii="Times New Roman" w:eastAsia="Times New Roman" w:hAnsi="Times New Roman"/>
          <w:bCs/>
          <w:color w:val="000000"/>
          <w:sz w:val="18"/>
          <w:szCs w:val="18"/>
          <w:lang w:eastAsia="ru-RU"/>
        </w:rPr>
        <w:t xml:space="preserve"> «Отчет об операциях» (Совокупность показателя 31 «Чистые/валовые инвестиции в нефинансовые активы»: Основные фонды, Запасы материальных оборотных средств, Ценности, Непроизведенные активы)</w:t>
      </w:r>
    </w:p>
  </w:footnote>
  <w:footnote w:id="13">
    <w:p w:rsidR="00972E04" w:rsidRPr="003F70E1" w:rsidRDefault="00972E04" w:rsidP="0063647A">
      <w:pPr>
        <w:pStyle w:val="ae"/>
        <w:rPr>
          <w:rFonts w:ascii="Times New Roman" w:hAnsi="Times New Roman"/>
          <w:sz w:val="16"/>
          <w:szCs w:val="16"/>
        </w:rPr>
      </w:pPr>
      <w:r w:rsidRPr="003F70E1">
        <w:rPr>
          <w:rStyle w:val="af0"/>
          <w:rFonts w:ascii="Times New Roman" w:hAnsi="Times New Roman"/>
          <w:sz w:val="18"/>
          <w:szCs w:val="18"/>
        </w:rPr>
        <w:footnoteRef/>
      </w:r>
      <w:r w:rsidRPr="003F70E1">
        <w:rPr>
          <w:rFonts w:ascii="Times New Roman" w:hAnsi="Times New Roman"/>
          <w:sz w:val="18"/>
          <w:szCs w:val="18"/>
        </w:rPr>
        <w:t xml:space="preserve"> Представляет собой сводный показатель масштаба предоставления органами государственного управления финансовых ресурсов в распоряжение других секторов экономики или использования им финансовых ресурсов, генерируемых другими секторами. Рассчитывается как разница показателей «Доходы» за вычетом «Расходов» и «Чистые/валовые инвестиции в нефинансовые активы»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E04" w:rsidRPr="00BD018A" w:rsidRDefault="00972E04">
    <w:pPr>
      <w:pStyle w:val="a6"/>
      <w:jc w:val="center"/>
      <w:rPr>
        <w:rFonts w:ascii="Times New Roman" w:hAnsi="Times New Roman"/>
        <w:sz w:val="28"/>
        <w:szCs w:val="28"/>
      </w:rPr>
    </w:pPr>
    <w:r w:rsidRPr="00BD018A">
      <w:rPr>
        <w:rFonts w:ascii="Times New Roman" w:hAnsi="Times New Roman"/>
        <w:sz w:val="28"/>
        <w:szCs w:val="28"/>
      </w:rPr>
      <w:fldChar w:fldCharType="begin"/>
    </w:r>
    <w:r w:rsidRPr="00BD018A">
      <w:rPr>
        <w:rFonts w:ascii="Times New Roman" w:hAnsi="Times New Roman"/>
        <w:sz w:val="28"/>
        <w:szCs w:val="28"/>
      </w:rPr>
      <w:instrText>PAGE   \* MERGEFORMAT</w:instrText>
    </w:r>
    <w:r w:rsidRPr="00BD018A">
      <w:rPr>
        <w:rFonts w:ascii="Times New Roman" w:hAnsi="Times New Roman"/>
        <w:sz w:val="28"/>
        <w:szCs w:val="28"/>
      </w:rPr>
      <w:fldChar w:fldCharType="separate"/>
    </w:r>
    <w:r w:rsidR="0021556F">
      <w:rPr>
        <w:rFonts w:ascii="Times New Roman" w:hAnsi="Times New Roman"/>
        <w:noProof/>
        <w:sz w:val="28"/>
        <w:szCs w:val="28"/>
      </w:rPr>
      <w:t>18</w:t>
    </w:r>
    <w:r w:rsidRPr="00BD018A">
      <w:rPr>
        <w:rFonts w:ascii="Times New Roman" w:hAnsi="Times New Roman"/>
        <w:sz w:val="28"/>
        <w:szCs w:val="28"/>
      </w:rPr>
      <w:fldChar w:fldCharType="end"/>
    </w:r>
  </w:p>
  <w:p w:rsidR="00972E04" w:rsidRPr="00BD018A" w:rsidRDefault="00972E04">
    <w:pPr>
      <w:pStyle w:val="a6"/>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9D7"/>
    <w:multiLevelType w:val="multilevel"/>
    <w:tmpl w:val="7BCA6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830FBA"/>
    <w:multiLevelType w:val="multilevel"/>
    <w:tmpl w:val="928A621A"/>
    <w:lvl w:ilvl="0">
      <w:start w:val="1"/>
      <w:numFmt w:val="decimal"/>
      <w:lvlText w:val="%1."/>
      <w:lvlJc w:val="left"/>
      <w:pPr>
        <w:ind w:left="900" w:hanging="360"/>
      </w:pPr>
      <w:rPr>
        <w:rFonts w:hint="default"/>
      </w:rPr>
    </w:lvl>
    <w:lvl w:ilvl="1">
      <w:start w:val="4"/>
      <w:numFmt w:val="decimal"/>
      <w:isLgl/>
      <w:lvlText w:val="%1.%2."/>
      <w:lvlJc w:val="left"/>
      <w:pPr>
        <w:ind w:left="129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40" w:hanging="2160"/>
      </w:pPr>
      <w:rPr>
        <w:rFonts w:hint="default"/>
      </w:rPr>
    </w:lvl>
  </w:abstractNum>
  <w:abstractNum w:abstractNumId="2" w15:restartNumberingAfterBreak="0">
    <w:nsid w:val="2E3F5956"/>
    <w:multiLevelType w:val="multilevel"/>
    <w:tmpl w:val="228260B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38FB340D"/>
    <w:multiLevelType w:val="hybridMultilevel"/>
    <w:tmpl w:val="142AFAAE"/>
    <w:lvl w:ilvl="0" w:tplc="909672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AA1E34"/>
    <w:multiLevelType w:val="hybridMultilevel"/>
    <w:tmpl w:val="5E820CD4"/>
    <w:lvl w:ilvl="0" w:tplc="B128C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820CFD"/>
    <w:multiLevelType w:val="hybridMultilevel"/>
    <w:tmpl w:val="77405B92"/>
    <w:lvl w:ilvl="0" w:tplc="60D6612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B4E34C7"/>
    <w:multiLevelType w:val="hybridMultilevel"/>
    <w:tmpl w:val="937EF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B05151"/>
    <w:multiLevelType w:val="multilevel"/>
    <w:tmpl w:val="8CEA66F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6E5468B5"/>
    <w:multiLevelType w:val="hybridMultilevel"/>
    <w:tmpl w:val="A8BE161E"/>
    <w:lvl w:ilvl="0" w:tplc="36BC4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6561C0"/>
    <w:multiLevelType w:val="multilevel"/>
    <w:tmpl w:val="928A621A"/>
    <w:lvl w:ilvl="0">
      <w:start w:val="1"/>
      <w:numFmt w:val="decimal"/>
      <w:lvlText w:val="%1."/>
      <w:lvlJc w:val="left"/>
      <w:pPr>
        <w:ind w:left="900" w:hanging="360"/>
      </w:pPr>
      <w:rPr>
        <w:rFonts w:hint="default"/>
      </w:rPr>
    </w:lvl>
    <w:lvl w:ilvl="1">
      <w:start w:val="4"/>
      <w:numFmt w:val="decimal"/>
      <w:isLgl/>
      <w:lvlText w:val="%1.%2."/>
      <w:lvlJc w:val="left"/>
      <w:pPr>
        <w:ind w:left="129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40" w:hanging="2160"/>
      </w:pPr>
      <w:rPr>
        <w:rFonts w:hint="default"/>
      </w:rPr>
    </w:lvl>
  </w:abstractNum>
  <w:abstractNum w:abstractNumId="10" w15:restartNumberingAfterBreak="0">
    <w:nsid w:val="7A783369"/>
    <w:multiLevelType w:val="hybridMultilevel"/>
    <w:tmpl w:val="2C8A3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7716A2"/>
    <w:multiLevelType w:val="multilevel"/>
    <w:tmpl w:val="FCB095F4"/>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7"/>
  </w:num>
  <w:num w:numId="5">
    <w:abstractNumId w:val="5"/>
  </w:num>
  <w:num w:numId="6">
    <w:abstractNumId w:val="1"/>
  </w:num>
  <w:num w:numId="7">
    <w:abstractNumId w:val="4"/>
  </w:num>
  <w:num w:numId="8">
    <w:abstractNumId w:val="6"/>
  </w:num>
  <w:num w:numId="9">
    <w:abstractNumId w:val="1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42"/>
    <w:rsid w:val="0001763F"/>
    <w:rsid w:val="00025E84"/>
    <w:rsid w:val="0005111B"/>
    <w:rsid w:val="0006670C"/>
    <w:rsid w:val="0007049A"/>
    <w:rsid w:val="0008009E"/>
    <w:rsid w:val="000B0292"/>
    <w:rsid w:val="000C4A2C"/>
    <w:rsid w:val="000E7A7C"/>
    <w:rsid w:val="0011497D"/>
    <w:rsid w:val="0012295B"/>
    <w:rsid w:val="00150C44"/>
    <w:rsid w:val="00175441"/>
    <w:rsid w:val="00176D42"/>
    <w:rsid w:val="00180D26"/>
    <w:rsid w:val="00195923"/>
    <w:rsid w:val="001A2E8C"/>
    <w:rsid w:val="001C7E9F"/>
    <w:rsid w:val="001E0BD0"/>
    <w:rsid w:val="0020437B"/>
    <w:rsid w:val="0021556F"/>
    <w:rsid w:val="00243357"/>
    <w:rsid w:val="002478E3"/>
    <w:rsid w:val="00276F37"/>
    <w:rsid w:val="002B4957"/>
    <w:rsid w:val="002C53AE"/>
    <w:rsid w:val="002E5F61"/>
    <w:rsid w:val="002E675E"/>
    <w:rsid w:val="002E7B2C"/>
    <w:rsid w:val="00316446"/>
    <w:rsid w:val="00323051"/>
    <w:rsid w:val="0033575A"/>
    <w:rsid w:val="00355F28"/>
    <w:rsid w:val="00376A36"/>
    <w:rsid w:val="0038559F"/>
    <w:rsid w:val="00394040"/>
    <w:rsid w:val="003B7139"/>
    <w:rsid w:val="003C07BB"/>
    <w:rsid w:val="003D2CDC"/>
    <w:rsid w:val="003E3F14"/>
    <w:rsid w:val="003F70E1"/>
    <w:rsid w:val="00413D52"/>
    <w:rsid w:val="004238DE"/>
    <w:rsid w:val="00426350"/>
    <w:rsid w:val="0042776F"/>
    <w:rsid w:val="00436D0A"/>
    <w:rsid w:val="004431F7"/>
    <w:rsid w:val="0044429D"/>
    <w:rsid w:val="00471371"/>
    <w:rsid w:val="00473120"/>
    <w:rsid w:val="00477DF3"/>
    <w:rsid w:val="00494B5A"/>
    <w:rsid w:val="004B55C7"/>
    <w:rsid w:val="00512E88"/>
    <w:rsid w:val="00524D06"/>
    <w:rsid w:val="00531209"/>
    <w:rsid w:val="00557396"/>
    <w:rsid w:val="00565712"/>
    <w:rsid w:val="005837EE"/>
    <w:rsid w:val="00593B84"/>
    <w:rsid w:val="00596C16"/>
    <w:rsid w:val="005A100B"/>
    <w:rsid w:val="005C7D20"/>
    <w:rsid w:val="005D2542"/>
    <w:rsid w:val="005D2E4E"/>
    <w:rsid w:val="005F6B4F"/>
    <w:rsid w:val="00611D0C"/>
    <w:rsid w:val="00616625"/>
    <w:rsid w:val="00617317"/>
    <w:rsid w:val="006263F0"/>
    <w:rsid w:val="0063647A"/>
    <w:rsid w:val="006701EE"/>
    <w:rsid w:val="0069336D"/>
    <w:rsid w:val="00695FDD"/>
    <w:rsid w:val="00696583"/>
    <w:rsid w:val="006A1F92"/>
    <w:rsid w:val="006A378E"/>
    <w:rsid w:val="006A646D"/>
    <w:rsid w:val="006C294A"/>
    <w:rsid w:val="006C7E29"/>
    <w:rsid w:val="006D3CD1"/>
    <w:rsid w:val="006E727E"/>
    <w:rsid w:val="006F486A"/>
    <w:rsid w:val="00705473"/>
    <w:rsid w:val="00753E67"/>
    <w:rsid w:val="007564AD"/>
    <w:rsid w:val="0076365D"/>
    <w:rsid w:val="007845DE"/>
    <w:rsid w:val="007938B5"/>
    <w:rsid w:val="007B04BD"/>
    <w:rsid w:val="007C0E21"/>
    <w:rsid w:val="007D2EBD"/>
    <w:rsid w:val="007E3F3C"/>
    <w:rsid w:val="0084532A"/>
    <w:rsid w:val="0089644F"/>
    <w:rsid w:val="008A5D0B"/>
    <w:rsid w:val="008E2848"/>
    <w:rsid w:val="008E5984"/>
    <w:rsid w:val="008F3773"/>
    <w:rsid w:val="00905246"/>
    <w:rsid w:val="0091291D"/>
    <w:rsid w:val="0091722B"/>
    <w:rsid w:val="00921C66"/>
    <w:rsid w:val="00966E56"/>
    <w:rsid w:val="00972E04"/>
    <w:rsid w:val="009826D7"/>
    <w:rsid w:val="009B10A6"/>
    <w:rsid w:val="009C7CBF"/>
    <w:rsid w:val="009E6ACD"/>
    <w:rsid w:val="009F4AE0"/>
    <w:rsid w:val="00A010A7"/>
    <w:rsid w:val="00A14EF3"/>
    <w:rsid w:val="00A23A5F"/>
    <w:rsid w:val="00A27CA3"/>
    <w:rsid w:val="00A410E7"/>
    <w:rsid w:val="00A505FD"/>
    <w:rsid w:val="00A7273A"/>
    <w:rsid w:val="00A74E24"/>
    <w:rsid w:val="00AA0654"/>
    <w:rsid w:val="00AA2CE6"/>
    <w:rsid w:val="00AE7F5D"/>
    <w:rsid w:val="00B0756F"/>
    <w:rsid w:val="00B21AFA"/>
    <w:rsid w:val="00B27055"/>
    <w:rsid w:val="00B27549"/>
    <w:rsid w:val="00B329BD"/>
    <w:rsid w:val="00B40262"/>
    <w:rsid w:val="00B54F23"/>
    <w:rsid w:val="00B60F72"/>
    <w:rsid w:val="00BA571B"/>
    <w:rsid w:val="00BA7BF5"/>
    <w:rsid w:val="00C07E23"/>
    <w:rsid w:val="00C100C2"/>
    <w:rsid w:val="00C538FD"/>
    <w:rsid w:val="00CD32C9"/>
    <w:rsid w:val="00CE5730"/>
    <w:rsid w:val="00CF08EE"/>
    <w:rsid w:val="00D13CF3"/>
    <w:rsid w:val="00D5022E"/>
    <w:rsid w:val="00D53FDC"/>
    <w:rsid w:val="00D705C2"/>
    <w:rsid w:val="00D95E0F"/>
    <w:rsid w:val="00DB06DD"/>
    <w:rsid w:val="00DB566F"/>
    <w:rsid w:val="00DE26E6"/>
    <w:rsid w:val="00DF0CED"/>
    <w:rsid w:val="00E0185B"/>
    <w:rsid w:val="00E01E12"/>
    <w:rsid w:val="00E10969"/>
    <w:rsid w:val="00E167E6"/>
    <w:rsid w:val="00E26978"/>
    <w:rsid w:val="00E46E7D"/>
    <w:rsid w:val="00E52235"/>
    <w:rsid w:val="00E65820"/>
    <w:rsid w:val="00EA59BB"/>
    <w:rsid w:val="00EB3F0E"/>
    <w:rsid w:val="00EB6748"/>
    <w:rsid w:val="00ED3C16"/>
    <w:rsid w:val="00EF6018"/>
    <w:rsid w:val="00F24248"/>
    <w:rsid w:val="00F35C50"/>
    <w:rsid w:val="00F5418E"/>
    <w:rsid w:val="00F54C65"/>
    <w:rsid w:val="00F67138"/>
    <w:rsid w:val="00F85261"/>
    <w:rsid w:val="00F90DEB"/>
    <w:rsid w:val="00F927EC"/>
    <w:rsid w:val="00F93FA5"/>
    <w:rsid w:val="00FA38AF"/>
    <w:rsid w:val="00FB7FD0"/>
    <w:rsid w:val="00FC4D0F"/>
    <w:rsid w:val="00FC7D90"/>
    <w:rsid w:val="00FD435E"/>
    <w:rsid w:val="00FF3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8442"/>
  <w15:chartTrackingRefBased/>
  <w15:docId w15:val="{B4BDE612-7486-46A8-A183-6F97A944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AFA"/>
    <w:pPr>
      <w:spacing w:after="200" w:line="276" w:lineRule="auto"/>
    </w:pPr>
    <w:rPr>
      <w:rFonts w:ascii="Calibri" w:eastAsia="Calibri" w:hAnsi="Calibri" w:cs="Times New Roman"/>
    </w:rPr>
  </w:style>
  <w:style w:type="paragraph" w:styleId="1">
    <w:name w:val="heading 1"/>
    <w:basedOn w:val="a"/>
    <w:next w:val="a"/>
    <w:link w:val="10"/>
    <w:uiPriority w:val="9"/>
    <w:qFormat/>
    <w:rsid w:val="00176D42"/>
    <w:pPr>
      <w:keepNext/>
      <w:keepLines/>
      <w:spacing w:before="240" w:after="0"/>
      <w:outlineLvl w:val="0"/>
    </w:pPr>
    <w:rPr>
      <w:rFonts w:ascii="Cambria" w:eastAsia="Times New Roman" w:hAnsi="Cambria"/>
      <w:color w:val="365F91"/>
      <w:sz w:val="32"/>
      <w:szCs w:val="32"/>
    </w:rPr>
  </w:style>
  <w:style w:type="paragraph" w:styleId="3">
    <w:name w:val="heading 3"/>
    <w:basedOn w:val="a"/>
    <w:link w:val="30"/>
    <w:uiPriority w:val="9"/>
    <w:qFormat/>
    <w:rsid w:val="00176D4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D42"/>
    <w:rPr>
      <w:rFonts w:ascii="Cambria" w:eastAsia="Times New Roman" w:hAnsi="Cambria" w:cs="Times New Roman"/>
      <w:color w:val="365F91"/>
      <w:sz w:val="32"/>
      <w:szCs w:val="32"/>
    </w:rPr>
  </w:style>
  <w:style w:type="character" w:customStyle="1" w:styleId="30">
    <w:name w:val="Заголовок 3 Знак"/>
    <w:basedOn w:val="a0"/>
    <w:link w:val="3"/>
    <w:uiPriority w:val="9"/>
    <w:rsid w:val="00176D42"/>
    <w:rPr>
      <w:rFonts w:ascii="Times New Roman" w:eastAsia="Times New Roman" w:hAnsi="Times New Roman" w:cs="Times New Roman"/>
      <w:b/>
      <w:bCs/>
      <w:sz w:val="27"/>
      <w:szCs w:val="27"/>
      <w:lang w:eastAsia="ru-RU"/>
    </w:rPr>
  </w:style>
  <w:style w:type="character" w:styleId="a3">
    <w:name w:val="Hyperlink"/>
    <w:uiPriority w:val="99"/>
    <w:unhideWhenUsed/>
    <w:rsid w:val="00176D42"/>
    <w:rPr>
      <w:color w:val="0000FF"/>
      <w:u w:val="single"/>
    </w:rPr>
  </w:style>
  <w:style w:type="character" w:styleId="a4">
    <w:name w:val="Strong"/>
    <w:uiPriority w:val="22"/>
    <w:qFormat/>
    <w:rsid w:val="00176D42"/>
    <w:rPr>
      <w:b/>
      <w:bCs/>
    </w:rPr>
  </w:style>
  <w:style w:type="character" w:customStyle="1" w:styleId="position1">
    <w:name w:val="position1"/>
    <w:rsid w:val="00176D42"/>
    <w:rPr>
      <w:rFonts w:ascii="open_sanssemibold" w:hAnsi="open_sanssemibold" w:hint="default"/>
      <w:sz w:val="23"/>
      <w:szCs w:val="23"/>
    </w:rPr>
  </w:style>
  <w:style w:type="table" w:styleId="a5">
    <w:name w:val="Table Grid"/>
    <w:basedOn w:val="a1"/>
    <w:uiPriority w:val="39"/>
    <w:rsid w:val="00176D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6D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6D42"/>
    <w:rPr>
      <w:rFonts w:ascii="Calibri" w:eastAsia="Calibri" w:hAnsi="Calibri" w:cs="Times New Roman"/>
    </w:rPr>
  </w:style>
  <w:style w:type="paragraph" w:styleId="a8">
    <w:name w:val="footer"/>
    <w:basedOn w:val="a"/>
    <w:link w:val="a9"/>
    <w:uiPriority w:val="99"/>
    <w:unhideWhenUsed/>
    <w:rsid w:val="00176D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6D42"/>
    <w:rPr>
      <w:rFonts w:ascii="Calibri" w:eastAsia="Calibri" w:hAnsi="Calibri" w:cs="Times New Roman"/>
    </w:rPr>
  </w:style>
  <w:style w:type="paragraph" w:styleId="aa">
    <w:name w:val="Normal (Web)"/>
    <w:basedOn w:val="a"/>
    <w:uiPriority w:val="99"/>
    <w:semiHidden/>
    <w:unhideWhenUsed/>
    <w:rsid w:val="00176D4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176D42"/>
    <w:pPr>
      <w:tabs>
        <w:tab w:val="left" w:pos="1080"/>
      </w:tabs>
      <w:autoSpaceDE w:val="0"/>
      <w:autoSpaceDN w:val="0"/>
      <w:adjustRightInd w:val="0"/>
      <w:spacing w:after="0" w:line="240" w:lineRule="auto"/>
      <w:ind w:left="720" w:firstLine="709"/>
      <w:contextualSpacing/>
      <w:jc w:val="both"/>
    </w:pPr>
    <w:rPr>
      <w:rFonts w:ascii="Times New Roman CYR" w:eastAsia="Times New Roman" w:hAnsi="Times New Roman CYR" w:cs="Times New Roman CYR"/>
      <w:bCs/>
      <w:sz w:val="24"/>
      <w:szCs w:val="24"/>
      <w:lang w:eastAsia="ru-RU"/>
    </w:rPr>
  </w:style>
  <w:style w:type="paragraph" w:styleId="ac">
    <w:name w:val="Balloon Text"/>
    <w:basedOn w:val="a"/>
    <w:link w:val="ad"/>
    <w:uiPriority w:val="99"/>
    <w:semiHidden/>
    <w:unhideWhenUsed/>
    <w:rsid w:val="00176D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6D42"/>
    <w:rPr>
      <w:rFonts w:ascii="Segoe UI" w:eastAsia="Calibri" w:hAnsi="Segoe UI" w:cs="Segoe UI"/>
      <w:sz w:val="18"/>
      <w:szCs w:val="18"/>
    </w:rPr>
  </w:style>
  <w:style w:type="paragraph" w:styleId="ae">
    <w:name w:val="footnote text"/>
    <w:basedOn w:val="a"/>
    <w:link w:val="af"/>
    <w:uiPriority w:val="99"/>
    <w:unhideWhenUsed/>
    <w:rsid w:val="00176D42"/>
    <w:pPr>
      <w:spacing w:after="0" w:line="240" w:lineRule="auto"/>
    </w:pPr>
    <w:rPr>
      <w:sz w:val="20"/>
      <w:szCs w:val="20"/>
    </w:rPr>
  </w:style>
  <w:style w:type="character" w:customStyle="1" w:styleId="af">
    <w:name w:val="Текст сноски Знак"/>
    <w:basedOn w:val="a0"/>
    <w:link w:val="ae"/>
    <w:uiPriority w:val="99"/>
    <w:rsid w:val="00176D42"/>
    <w:rPr>
      <w:rFonts w:ascii="Calibri" w:eastAsia="Calibri" w:hAnsi="Calibri" w:cs="Times New Roman"/>
      <w:sz w:val="20"/>
      <w:szCs w:val="20"/>
    </w:rPr>
  </w:style>
  <w:style w:type="character" w:styleId="af0">
    <w:name w:val="footnote reference"/>
    <w:uiPriority w:val="99"/>
    <w:semiHidden/>
    <w:unhideWhenUsed/>
    <w:rsid w:val="00176D42"/>
    <w:rPr>
      <w:vertAlign w:val="superscript"/>
    </w:rPr>
  </w:style>
  <w:style w:type="table" w:styleId="-1">
    <w:name w:val="Light Grid Accent 1"/>
    <w:basedOn w:val="a1"/>
    <w:uiPriority w:val="62"/>
    <w:rsid w:val="00176D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1">
    <w:name w:val="FollowedHyperlink"/>
    <w:basedOn w:val="a0"/>
    <w:uiPriority w:val="99"/>
    <w:semiHidden/>
    <w:unhideWhenUsed/>
    <w:rsid w:val="00176D42"/>
    <w:rPr>
      <w:color w:val="800080" w:themeColor="followedHyperlink"/>
      <w:u w:val="single"/>
    </w:rPr>
  </w:style>
  <w:style w:type="table" w:styleId="-15">
    <w:name w:val="List Table 1 Light Accent 5"/>
    <w:basedOn w:val="a1"/>
    <w:uiPriority w:val="46"/>
    <w:rsid w:val="0047312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4524">
      <w:bodyDiv w:val="1"/>
      <w:marLeft w:val="0"/>
      <w:marRight w:val="0"/>
      <w:marTop w:val="0"/>
      <w:marBottom w:val="0"/>
      <w:divBdr>
        <w:top w:val="none" w:sz="0" w:space="0" w:color="auto"/>
        <w:left w:val="none" w:sz="0" w:space="0" w:color="auto"/>
        <w:bottom w:val="none" w:sz="0" w:space="0" w:color="auto"/>
        <w:right w:val="none" w:sz="0" w:space="0" w:color="auto"/>
      </w:divBdr>
    </w:div>
    <w:div w:id="62916812">
      <w:bodyDiv w:val="1"/>
      <w:marLeft w:val="0"/>
      <w:marRight w:val="0"/>
      <w:marTop w:val="0"/>
      <w:marBottom w:val="0"/>
      <w:divBdr>
        <w:top w:val="none" w:sz="0" w:space="0" w:color="auto"/>
        <w:left w:val="none" w:sz="0" w:space="0" w:color="auto"/>
        <w:bottom w:val="none" w:sz="0" w:space="0" w:color="auto"/>
        <w:right w:val="none" w:sz="0" w:space="0" w:color="auto"/>
      </w:divBdr>
    </w:div>
    <w:div w:id="69928968">
      <w:bodyDiv w:val="1"/>
      <w:marLeft w:val="0"/>
      <w:marRight w:val="0"/>
      <w:marTop w:val="0"/>
      <w:marBottom w:val="0"/>
      <w:divBdr>
        <w:top w:val="none" w:sz="0" w:space="0" w:color="auto"/>
        <w:left w:val="none" w:sz="0" w:space="0" w:color="auto"/>
        <w:bottom w:val="none" w:sz="0" w:space="0" w:color="auto"/>
        <w:right w:val="none" w:sz="0" w:space="0" w:color="auto"/>
      </w:divBdr>
    </w:div>
    <w:div w:id="73358673">
      <w:bodyDiv w:val="1"/>
      <w:marLeft w:val="0"/>
      <w:marRight w:val="0"/>
      <w:marTop w:val="0"/>
      <w:marBottom w:val="0"/>
      <w:divBdr>
        <w:top w:val="none" w:sz="0" w:space="0" w:color="auto"/>
        <w:left w:val="none" w:sz="0" w:space="0" w:color="auto"/>
        <w:bottom w:val="none" w:sz="0" w:space="0" w:color="auto"/>
        <w:right w:val="none" w:sz="0" w:space="0" w:color="auto"/>
      </w:divBdr>
    </w:div>
    <w:div w:id="82999767">
      <w:bodyDiv w:val="1"/>
      <w:marLeft w:val="0"/>
      <w:marRight w:val="0"/>
      <w:marTop w:val="0"/>
      <w:marBottom w:val="0"/>
      <w:divBdr>
        <w:top w:val="none" w:sz="0" w:space="0" w:color="auto"/>
        <w:left w:val="none" w:sz="0" w:space="0" w:color="auto"/>
        <w:bottom w:val="none" w:sz="0" w:space="0" w:color="auto"/>
        <w:right w:val="none" w:sz="0" w:space="0" w:color="auto"/>
      </w:divBdr>
    </w:div>
    <w:div w:id="97793690">
      <w:bodyDiv w:val="1"/>
      <w:marLeft w:val="0"/>
      <w:marRight w:val="0"/>
      <w:marTop w:val="0"/>
      <w:marBottom w:val="0"/>
      <w:divBdr>
        <w:top w:val="none" w:sz="0" w:space="0" w:color="auto"/>
        <w:left w:val="none" w:sz="0" w:space="0" w:color="auto"/>
        <w:bottom w:val="none" w:sz="0" w:space="0" w:color="auto"/>
        <w:right w:val="none" w:sz="0" w:space="0" w:color="auto"/>
      </w:divBdr>
    </w:div>
    <w:div w:id="208344205">
      <w:bodyDiv w:val="1"/>
      <w:marLeft w:val="0"/>
      <w:marRight w:val="0"/>
      <w:marTop w:val="0"/>
      <w:marBottom w:val="0"/>
      <w:divBdr>
        <w:top w:val="none" w:sz="0" w:space="0" w:color="auto"/>
        <w:left w:val="none" w:sz="0" w:space="0" w:color="auto"/>
        <w:bottom w:val="none" w:sz="0" w:space="0" w:color="auto"/>
        <w:right w:val="none" w:sz="0" w:space="0" w:color="auto"/>
      </w:divBdr>
    </w:div>
    <w:div w:id="217591265">
      <w:bodyDiv w:val="1"/>
      <w:marLeft w:val="0"/>
      <w:marRight w:val="0"/>
      <w:marTop w:val="0"/>
      <w:marBottom w:val="0"/>
      <w:divBdr>
        <w:top w:val="none" w:sz="0" w:space="0" w:color="auto"/>
        <w:left w:val="none" w:sz="0" w:space="0" w:color="auto"/>
        <w:bottom w:val="none" w:sz="0" w:space="0" w:color="auto"/>
        <w:right w:val="none" w:sz="0" w:space="0" w:color="auto"/>
      </w:divBdr>
    </w:div>
    <w:div w:id="235868490">
      <w:bodyDiv w:val="1"/>
      <w:marLeft w:val="0"/>
      <w:marRight w:val="0"/>
      <w:marTop w:val="0"/>
      <w:marBottom w:val="0"/>
      <w:divBdr>
        <w:top w:val="none" w:sz="0" w:space="0" w:color="auto"/>
        <w:left w:val="none" w:sz="0" w:space="0" w:color="auto"/>
        <w:bottom w:val="none" w:sz="0" w:space="0" w:color="auto"/>
        <w:right w:val="none" w:sz="0" w:space="0" w:color="auto"/>
      </w:divBdr>
    </w:div>
    <w:div w:id="249123747">
      <w:bodyDiv w:val="1"/>
      <w:marLeft w:val="0"/>
      <w:marRight w:val="0"/>
      <w:marTop w:val="0"/>
      <w:marBottom w:val="0"/>
      <w:divBdr>
        <w:top w:val="none" w:sz="0" w:space="0" w:color="auto"/>
        <w:left w:val="none" w:sz="0" w:space="0" w:color="auto"/>
        <w:bottom w:val="none" w:sz="0" w:space="0" w:color="auto"/>
        <w:right w:val="none" w:sz="0" w:space="0" w:color="auto"/>
      </w:divBdr>
    </w:div>
    <w:div w:id="377819191">
      <w:bodyDiv w:val="1"/>
      <w:marLeft w:val="0"/>
      <w:marRight w:val="0"/>
      <w:marTop w:val="0"/>
      <w:marBottom w:val="0"/>
      <w:divBdr>
        <w:top w:val="none" w:sz="0" w:space="0" w:color="auto"/>
        <w:left w:val="none" w:sz="0" w:space="0" w:color="auto"/>
        <w:bottom w:val="none" w:sz="0" w:space="0" w:color="auto"/>
        <w:right w:val="none" w:sz="0" w:space="0" w:color="auto"/>
      </w:divBdr>
    </w:div>
    <w:div w:id="382028276">
      <w:bodyDiv w:val="1"/>
      <w:marLeft w:val="0"/>
      <w:marRight w:val="0"/>
      <w:marTop w:val="0"/>
      <w:marBottom w:val="0"/>
      <w:divBdr>
        <w:top w:val="none" w:sz="0" w:space="0" w:color="auto"/>
        <w:left w:val="none" w:sz="0" w:space="0" w:color="auto"/>
        <w:bottom w:val="none" w:sz="0" w:space="0" w:color="auto"/>
        <w:right w:val="none" w:sz="0" w:space="0" w:color="auto"/>
      </w:divBdr>
    </w:div>
    <w:div w:id="417747794">
      <w:bodyDiv w:val="1"/>
      <w:marLeft w:val="0"/>
      <w:marRight w:val="0"/>
      <w:marTop w:val="0"/>
      <w:marBottom w:val="0"/>
      <w:divBdr>
        <w:top w:val="none" w:sz="0" w:space="0" w:color="auto"/>
        <w:left w:val="none" w:sz="0" w:space="0" w:color="auto"/>
        <w:bottom w:val="none" w:sz="0" w:space="0" w:color="auto"/>
        <w:right w:val="none" w:sz="0" w:space="0" w:color="auto"/>
      </w:divBdr>
    </w:div>
    <w:div w:id="420834412">
      <w:bodyDiv w:val="1"/>
      <w:marLeft w:val="0"/>
      <w:marRight w:val="0"/>
      <w:marTop w:val="0"/>
      <w:marBottom w:val="0"/>
      <w:divBdr>
        <w:top w:val="none" w:sz="0" w:space="0" w:color="auto"/>
        <w:left w:val="none" w:sz="0" w:space="0" w:color="auto"/>
        <w:bottom w:val="none" w:sz="0" w:space="0" w:color="auto"/>
        <w:right w:val="none" w:sz="0" w:space="0" w:color="auto"/>
      </w:divBdr>
    </w:div>
    <w:div w:id="480657410">
      <w:bodyDiv w:val="1"/>
      <w:marLeft w:val="0"/>
      <w:marRight w:val="0"/>
      <w:marTop w:val="0"/>
      <w:marBottom w:val="0"/>
      <w:divBdr>
        <w:top w:val="none" w:sz="0" w:space="0" w:color="auto"/>
        <w:left w:val="none" w:sz="0" w:space="0" w:color="auto"/>
        <w:bottom w:val="none" w:sz="0" w:space="0" w:color="auto"/>
        <w:right w:val="none" w:sz="0" w:space="0" w:color="auto"/>
      </w:divBdr>
    </w:div>
    <w:div w:id="497311216">
      <w:bodyDiv w:val="1"/>
      <w:marLeft w:val="0"/>
      <w:marRight w:val="0"/>
      <w:marTop w:val="0"/>
      <w:marBottom w:val="0"/>
      <w:divBdr>
        <w:top w:val="none" w:sz="0" w:space="0" w:color="auto"/>
        <w:left w:val="none" w:sz="0" w:space="0" w:color="auto"/>
        <w:bottom w:val="none" w:sz="0" w:space="0" w:color="auto"/>
        <w:right w:val="none" w:sz="0" w:space="0" w:color="auto"/>
      </w:divBdr>
    </w:div>
    <w:div w:id="537470729">
      <w:bodyDiv w:val="1"/>
      <w:marLeft w:val="0"/>
      <w:marRight w:val="0"/>
      <w:marTop w:val="0"/>
      <w:marBottom w:val="0"/>
      <w:divBdr>
        <w:top w:val="none" w:sz="0" w:space="0" w:color="auto"/>
        <w:left w:val="none" w:sz="0" w:space="0" w:color="auto"/>
        <w:bottom w:val="none" w:sz="0" w:space="0" w:color="auto"/>
        <w:right w:val="none" w:sz="0" w:space="0" w:color="auto"/>
      </w:divBdr>
    </w:div>
    <w:div w:id="590159423">
      <w:bodyDiv w:val="1"/>
      <w:marLeft w:val="0"/>
      <w:marRight w:val="0"/>
      <w:marTop w:val="0"/>
      <w:marBottom w:val="0"/>
      <w:divBdr>
        <w:top w:val="none" w:sz="0" w:space="0" w:color="auto"/>
        <w:left w:val="none" w:sz="0" w:space="0" w:color="auto"/>
        <w:bottom w:val="none" w:sz="0" w:space="0" w:color="auto"/>
        <w:right w:val="none" w:sz="0" w:space="0" w:color="auto"/>
      </w:divBdr>
    </w:div>
    <w:div w:id="611933452">
      <w:bodyDiv w:val="1"/>
      <w:marLeft w:val="0"/>
      <w:marRight w:val="0"/>
      <w:marTop w:val="0"/>
      <w:marBottom w:val="0"/>
      <w:divBdr>
        <w:top w:val="none" w:sz="0" w:space="0" w:color="auto"/>
        <w:left w:val="none" w:sz="0" w:space="0" w:color="auto"/>
        <w:bottom w:val="none" w:sz="0" w:space="0" w:color="auto"/>
        <w:right w:val="none" w:sz="0" w:space="0" w:color="auto"/>
      </w:divBdr>
    </w:div>
    <w:div w:id="623772873">
      <w:bodyDiv w:val="1"/>
      <w:marLeft w:val="0"/>
      <w:marRight w:val="0"/>
      <w:marTop w:val="0"/>
      <w:marBottom w:val="0"/>
      <w:divBdr>
        <w:top w:val="none" w:sz="0" w:space="0" w:color="auto"/>
        <w:left w:val="none" w:sz="0" w:space="0" w:color="auto"/>
        <w:bottom w:val="none" w:sz="0" w:space="0" w:color="auto"/>
        <w:right w:val="none" w:sz="0" w:space="0" w:color="auto"/>
      </w:divBdr>
    </w:div>
    <w:div w:id="644941491">
      <w:bodyDiv w:val="1"/>
      <w:marLeft w:val="0"/>
      <w:marRight w:val="0"/>
      <w:marTop w:val="0"/>
      <w:marBottom w:val="0"/>
      <w:divBdr>
        <w:top w:val="none" w:sz="0" w:space="0" w:color="auto"/>
        <w:left w:val="none" w:sz="0" w:space="0" w:color="auto"/>
        <w:bottom w:val="none" w:sz="0" w:space="0" w:color="auto"/>
        <w:right w:val="none" w:sz="0" w:space="0" w:color="auto"/>
      </w:divBdr>
    </w:div>
    <w:div w:id="652760049">
      <w:bodyDiv w:val="1"/>
      <w:marLeft w:val="0"/>
      <w:marRight w:val="0"/>
      <w:marTop w:val="0"/>
      <w:marBottom w:val="0"/>
      <w:divBdr>
        <w:top w:val="none" w:sz="0" w:space="0" w:color="auto"/>
        <w:left w:val="none" w:sz="0" w:space="0" w:color="auto"/>
        <w:bottom w:val="none" w:sz="0" w:space="0" w:color="auto"/>
        <w:right w:val="none" w:sz="0" w:space="0" w:color="auto"/>
      </w:divBdr>
    </w:div>
    <w:div w:id="702749154">
      <w:bodyDiv w:val="1"/>
      <w:marLeft w:val="0"/>
      <w:marRight w:val="0"/>
      <w:marTop w:val="0"/>
      <w:marBottom w:val="0"/>
      <w:divBdr>
        <w:top w:val="none" w:sz="0" w:space="0" w:color="auto"/>
        <w:left w:val="none" w:sz="0" w:space="0" w:color="auto"/>
        <w:bottom w:val="none" w:sz="0" w:space="0" w:color="auto"/>
        <w:right w:val="none" w:sz="0" w:space="0" w:color="auto"/>
      </w:divBdr>
    </w:div>
    <w:div w:id="844052545">
      <w:bodyDiv w:val="1"/>
      <w:marLeft w:val="0"/>
      <w:marRight w:val="0"/>
      <w:marTop w:val="0"/>
      <w:marBottom w:val="0"/>
      <w:divBdr>
        <w:top w:val="none" w:sz="0" w:space="0" w:color="auto"/>
        <w:left w:val="none" w:sz="0" w:space="0" w:color="auto"/>
        <w:bottom w:val="none" w:sz="0" w:space="0" w:color="auto"/>
        <w:right w:val="none" w:sz="0" w:space="0" w:color="auto"/>
      </w:divBdr>
    </w:div>
    <w:div w:id="858422765">
      <w:bodyDiv w:val="1"/>
      <w:marLeft w:val="0"/>
      <w:marRight w:val="0"/>
      <w:marTop w:val="0"/>
      <w:marBottom w:val="0"/>
      <w:divBdr>
        <w:top w:val="none" w:sz="0" w:space="0" w:color="auto"/>
        <w:left w:val="none" w:sz="0" w:space="0" w:color="auto"/>
        <w:bottom w:val="none" w:sz="0" w:space="0" w:color="auto"/>
        <w:right w:val="none" w:sz="0" w:space="0" w:color="auto"/>
      </w:divBdr>
    </w:div>
    <w:div w:id="867180785">
      <w:bodyDiv w:val="1"/>
      <w:marLeft w:val="0"/>
      <w:marRight w:val="0"/>
      <w:marTop w:val="0"/>
      <w:marBottom w:val="0"/>
      <w:divBdr>
        <w:top w:val="none" w:sz="0" w:space="0" w:color="auto"/>
        <w:left w:val="none" w:sz="0" w:space="0" w:color="auto"/>
        <w:bottom w:val="none" w:sz="0" w:space="0" w:color="auto"/>
        <w:right w:val="none" w:sz="0" w:space="0" w:color="auto"/>
      </w:divBdr>
    </w:div>
    <w:div w:id="913777025">
      <w:bodyDiv w:val="1"/>
      <w:marLeft w:val="0"/>
      <w:marRight w:val="0"/>
      <w:marTop w:val="0"/>
      <w:marBottom w:val="0"/>
      <w:divBdr>
        <w:top w:val="none" w:sz="0" w:space="0" w:color="auto"/>
        <w:left w:val="none" w:sz="0" w:space="0" w:color="auto"/>
        <w:bottom w:val="none" w:sz="0" w:space="0" w:color="auto"/>
        <w:right w:val="none" w:sz="0" w:space="0" w:color="auto"/>
      </w:divBdr>
    </w:div>
    <w:div w:id="948851267">
      <w:bodyDiv w:val="1"/>
      <w:marLeft w:val="0"/>
      <w:marRight w:val="0"/>
      <w:marTop w:val="0"/>
      <w:marBottom w:val="0"/>
      <w:divBdr>
        <w:top w:val="none" w:sz="0" w:space="0" w:color="auto"/>
        <w:left w:val="none" w:sz="0" w:space="0" w:color="auto"/>
        <w:bottom w:val="none" w:sz="0" w:space="0" w:color="auto"/>
        <w:right w:val="none" w:sz="0" w:space="0" w:color="auto"/>
      </w:divBdr>
    </w:div>
    <w:div w:id="962809735">
      <w:bodyDiv w:val="1"/>
      <w:marLeft w:val="0"/>
      <w:marRight w:val="0"/>
      <w:marTop w:val="0"/>
      <w:marBottom w:val="0"/>
      <w:divBdr>
        <w:top w:val="none" w:sz="0" w:space="0" w:color="auto"/>
        <w:left w:val="none" w:sz="0" w:space="0" w:color="auto"/>
        <w:bottom w:val="none" w:sz="0" w:space="0" w:color="auto"/>
        <w:right w:val="none" w:sz="0" w:space="0" w:color="auto"/>
      </w:divBdr>
    </w:div>
    <w:div w:id="987242167">
      <w:bodyDiv w:val="1"/>
      <w:marLeft w:val="0"/>
      <w:marRight w:val="0"/>
      <w:marTop w:val="0"/>
      <w:marBottom w:val="0"/>
      <w:divBdr>
        <w:top w:val="none" w:sz="0" w:space="0" w:color="auto"/>
        <w:left w:val="none" w:sz="0" w:space="0" w:color="auto"/>
        <w:bottom w:val="none" w:sz="0" w:space="0" w:color="auto"/>
        <w:right w:val="none" w:sz="0" w:space="0" w:color="auto"/>
      </w:divBdr>
    </w:div>
    <w:div w:id="990714188">
      <w:bodyDiv w:val="1"/>
      <w:marLeft w:val="0"/>
      <w:marRight w:val="0"/>
      <w:marTop w:val="0"/>
      <w:marBottom w:val="0"/>
      <w:divBdr>
        <w:top w:val="none" w:sz="0" w:space="0" w:color="auto"/>
        <w:left w:val="none" w:sz="0" w:space="0" w:color="auto"/>
        <w:bottom w:val="none" w:sz="0" w:space="0" w:color="auto"/>
        <w:right w:val="none" w:sz="0" w:space="0" w:color="auto"/>
      </w:divBdr>
    </w:div>
    <w:div w:id="1077705685">
      <w:bodyDiv w:val="1"/>
      <w:marLeft w:val="0"/>
      <w:marRight w:val="0"/>
      <w:marTop w:val="0"/>
      <w:marBottom w:val="0"/>
      <w:divBdr>
        <w:top w:val="none" w:sz="0" w:space="0" w:color="auto"/>
        <w:left w:val="none" w:sz="0" w:space="0" w:color="auto"/>
        <w:bottom w:val="none" w:sz="0" w:space="0" w:color="auto"/>
        <w:right w:val="none" w:sz="0" w:space="0" w:color="auto"/>
      </w:divBdr>
    </w:div>
    <w:div w:id="1119106960">
      <w:bodyDiv w:val="1"/>
      <w:marLeft w:val="0"/>
      <w:marRight w:val="0"/>
      <w:marTop w:val="0"/>
      <w:marBottom w:val="0"/>
      <w:divBdr>
        <w:top w:val="none" w:sz="0" w:space="0" w:color="auto"/>
        <w:left w:val="none" w:sz="0" w:space="0" w:color="auto"/>
        <w:bottom w:val="none" w:sz="0" w:space="0" w:color="auto"/>
        <w:right w:val="none" w:sz="0" w:space="0" w:color="auto"/>
      </w:divBdr>
    </w:div>
    <w:div w:id="1168667331">
      <w:bodyDiv w:val="1"/>
      <w:marLeft w:val="0"/>
      <w:marRight w:val="0"/>
      <w:marTop w:val="0"/>
      <w:marBottom w:val="0"/>
      <w:divBdr>
        <w:top w:val="none" w:sz="0" w:space="0" w:color="auto"/>
        <w:left w:val="none" w:sz="0" w:space="0" w:color="auto"/>
        <w:bottom w:val="none" w:sz="0" w:space="0" w:color="auto"/>
        <w:right w:val="none" w:sz="0" w:space="0" w:color="auto"/>
      </w:divBdr>
    </w:div>
    <w:div w:id="1203131259">
      <w:bodyDiv w:val="1"/>
      <w:marLeft w:val="0"/>
      <w:marRight w:val="0"/>
      <w:marTop w:val="0"/>
      <w:marBottom w:val="0"/>
      <w:divBdr>
        <w:top w:val="none" w:sz="0" w:space="0" w:color="auto"/>
        <w:left w:val="none" w:sz="0" w:space="0" w:color="auto"/>
        <w:bottom w:val="none" w:sz="0" w:space="0" w:color="auto"/>
        <w:right w:val="none" w:sz="0" w:space="0" w:color="auto"/>
      </w:divBdr>
    </w:div>
    <w:div w:id="1203397333">
      <w:bodyDiv w:val="1"/>
      <w:marLeft w:val="0"/>
      <w:marRight w:val="0"/>
      <w:marTop w:val="0"/>
      <w:marBottom w:val="0"/>
      <w:divBdr>
        <w:top w:val="none" w:sz="0" w:space="0" w:color="auto"/>
        <w:left w:val="none" w:sz="0" w:space="0" w:color="auto"/>
        <w:bottom w:val="none" w:sz="0" w:space="0" w:color="auto"/>
        <w:right w:val="none" w:sz="0" w:space="0" w:color="auto"/>
      </w:divBdr>
    </w:div>
    <w:div w:id="1236278967">
      <w:bodyDiv w:val="1"/>
      <w:marLeft w:val="0"/>
      <w:marRight w:val="0"/>
      <w:marTop w:val="0"/>
      <w:marBottom w:val="0"/>
      <w:divBdr>
        <w:top w:val="none" w:sz="0" w:space="0" w:color="auto"/>
        <w:left w:val="none" w:sz="0" w:space="0" w:color="auto"/>
        <w:bottom w:val="none" w:sz="0" w:space="0" w:color="auto"/>
        <w:right w:val="none" w:sz="0" w:space="0" w:color="auto"/>
      </w:divBdr>
    </w:div>
    <w:div w:id="1318146925">
      <w:bodyDiv w:val="1"/>
      <w:marLeft w:val="0"/>
      <w:marRight w:val="0"/>
      <w:marTop w:val="0"/>
      <w:marBottom w:val="0"/>
      <w:divBdr>
        <w:top w:val="none" w:sz="0" w:space="0" w:color="auto"/>
        <w:left w:val="none" w:sz="0" w:space="0" w:color="auto"/>
        <w:bottom w:val="none" w:sz="0" w:space="0" w:color="auto"/>
        <w:right w:val="none" w:sz="0" w:space="0" w:color="auto"/>
      </w:divBdr>
    </w:div>
    <w:div w:id="1339425100">
      <w:bodyDiv w:val="1"/>
      <w:marLeft w:val="0"/>
      <w:marRight w:val="0"/>
      <w:marTop w:val="0"/>
      <w:marBottom w:val="0"/>
      <w:divBdr>
        <w:top w:val="none" w:sz="0" w:space="0" w:color="auto"/>
        <w:left w:val="none" w:sz="0" w:space="0" w:color="auto"/>
        <w:bottom w:val="none" w:sz="0" w:space="0" w:color="auto"/>
        <w:right w:val="none" w:sz="0" w:space="0" w:color="auto"/>
      </w:divBdr>
    </w:div>
    <w:div w:id="1364670795">
      <w:bodyDiv w:val="1"/>
      <w:marLeft w:val="0"/>
      <w:marRight w:val="0"/>
      <w:marTop w:val="0"/>
      <w:marBottom w:val="0"/>
      <w:divBdr>
        <w:top w:val="none" w:sz="0" w:space="0" w:color="auto"/>
        <w:left w:val="none" w:sz="0" w:space="0" w:color="auto"/>
        <w:bottom w:val="none" w:sz="0" w:space="0" w:color="auto"/>
        <w:right w:val="none" w:sz="0" w:space="0" w:color="auto"/>
      </w:divBdr>
    </w:div>
    <w:div w:id="1491751366">
      <w:bodyDiv w:val="1"/>
      <w:marLeft w:val="0"/>
      <w:marRight w:val="0"/>
      <w:marTop w:val="0"/>
      <w:marBottom w:val="0"/>
      <w:divBdr>
        <w:top w:val="none" w:sz="0" w:space="0" w:color="auto"/>
        <w:left w:val="none" w:sz="0" w:space="0" w:color="auto"/>
        <w:bottom w:val="none" w:sz="0" w:space="0" w:color="auto"/>
        <w:right w:val="none" w:sz="0" w:space="0" w:color="auto"/>
      </w:divBdr>
    </w:div>
    <w:div w:id="1507983819">
      <w:bodyDiv w:val="1"/>
      <w:marLeft w:val="0"/>
      <w:marRight w:val="0"/>
      <w:marTop w:val="0"/>
      <w:marBottom w:val="0"/>
      <w:divBdr>
        <w:top w:val="none" w:sz="0" w:space="0" w:color="auto"/>
        <w:left w:val="none" w:sz="0" w:space="0" w:color="auto"/>
        <w:bottom w:val="none" w:sz="0" w:space="0" w:color="auto"/>
        <w:right w:val="none" w:sz="0" w:space="0" w:color="auto"/>
      </w:divBdr>
    </w:div>
    <w:div w:id="1509056769">
      <w:bodyDiv w:val="1"/>
      <w:marLeft w:val="0"/>
      <w:marRight w:val="0"/>
      <w:marTop w:val="0"/>
      <w:marBottom w:val="0"/>
      <w:divBdr>
        <w:top w:val="none" w:sz="0" w:space="0" w:color="auto"/>
        <w:left w:val="none" w:sz="0" w:space="0" w:color="auto"/>
        <w:bottom w:val="none" w:sz="0" w:space="0" w:color="auto"/>
        <w:right w:val="none" w:sz="0" w:space="0" w:color="auto"/>
      </w:divBdr>
    </w:div>
    <w:div w:id="1510677500">
      <w:bodyDiv w:val="1"/>
      <w:marLeft w:val="0"/>
      <w:marRight w:val="0"/>
      <w:marTop w:val="0"/>
      <w:marBottom w:val="0"/>
      <w:divBdr>
        <w:top w:val="none" w:sz="0" w:space="0" w:color="auto"/>
        <w:left w:val="none" w:sz="0" w:space="0" w:color="auto"/>
        <w:bottom w:val="none" w:sz="0" w:space="0" w:color="auto"/>
        <w:right w:val="none" w:sz="0" w:space="0" w:color="auto"/>
      </w:divBdr>
    </w:div>
    <w:div w:id="1536233894">
      <w:bodyDiv w:val="1"/>
      <w:marLeft w:val="0"/>
      <w:marRight w:val="0"/>
      <w:marTop w:val="0"/>
      <w:marBottom w:val="0"/>
      <w:divBdr>
        <w:top w:val="none" w:sz="0" w:space="0" w:color="auto"/>
        <w:left w:val="none" w:sz="0" w:space="0" w:color="auto"/>
        <w:bottom w:val="none" w:sz="0" w:space="0" w:color="auto"/>
        <w:right w:val="none" w:sz="0" w:space="0" w:color="auto"/>
      </w:divBdr>
    </w:div>
    <w:div w:id="1546288530">
      <w:bodyDiv w:val="1"/>
      <w:marLeft w:val="0"/>
      <w:marRight w:val="0"/>
      <w:marTop w:val="0"/>
      <w:marBottom w:val="0"/>
      <w:divBdr>
        <w:top w:val="none" w:sz="0" w:space="0" w:color="auto"/>
        <w:left w:val="none" w:sz="0" w:space="0" w:color="auto"/>
        <w:bottom w:val="none" w:sz="0" w:space="0" w:color="auto"/>
        <w:right w:val="none" w:sz="0" w:space="0" w:color="auto"/>
      </w:divBdr>
    </w:div>
    <w:div w:id="1547835991">
      <w:bodyDiv w:val="1"/>
      <w:marLeft w:val="0"/>
      <w:marRight w:val="0"/>
      <w:marTop w:val="0"/>
      <w:marBottom w:val="0"/>
      <w:divBdr>
        <w:top w:val="none" w:sz="0" w:space="0" w:color="auto"/>
        <w:left w:val="none" w:sz="0" w:space="0" w:color="auto"/>
        <w:bottom w:val="none" w:sz="0" w:space="0" w:color="auto"/>
        <w:right w:val="none" w:sz="0" w:space="0" w:color="auto"/>
      </w:divBdr>
    </w:div>
    <w:div w:id="1603561940">
      <w:bodyDiv w:val="1"/>
      <w:marLeft w:val="0"/>
      <w:marRight w:val="0"/>
      <w:marTop w:val="0"/>
      <w:marBottom w:val="0"/>
      <w:divBdr>
        <w:top w:val="none" w:sz="0" w:space="0" w:color="auto"/>
        <w:left w:val="none" w:sz="0" w:space="0" w:color="auto"/>
        <w:bottom w:val="none" w:sz="0" w:space="0" w:color="auto"/>
        <w:right w:val="none" w:sz="0" w:space="0" w:color="auto"/>
      </w:divBdr>
    </w:div>
    <w:div w:id="1626110782">
      <w:bodyDiv w:val="1"/>
      <w:marLeft w:val="0"/>
      <w:marRight w:val="0"/>
      <w:marTop w:val="0"/>
      <w:marBottom w:val="0"/>
      <w:divBdr>
        <w:top w:val="none" w:sz="0" w:space="0" w:color="auto"/>
        <w:left w:val="none" w:sz="0" w:space="0" w:color="auto"/>
        <w:bottom w:val="none" w:sz="0" w:space="0" w:color="auto"/>
        <w:right w:val="none" w:sz="0" w:space="0" w:color="auto"/>
      </w:divBdr>
    </w:div>
    <w:div w:id="1645500108">
      <w:bodyDiv w:val="1"/>
      <w:marLeft w:val="0"/>
      <w:marRight w:val="0"/>
      <w:marTop w:val="0"/>
      <w:marBottom w:val="0"/>
      <w:divBdr>
        <w:top w:val="none" w:sz="0" w:space="0" w:color="auto"/>
        <w:left w:val="none" w:sz="0" w:space="0" w:color="auto"/>
        <w:bottom w:val="none" w:sz="0" w:space="0" w:color="auto"/>
        <w:right w:val="none" w:sz="0" w:space="0" w:color="auto"/>
      </w:divBdr>
    </w:div>
    <w:div w:id="1732920105">
      <w:bodyDiv w:val="1"/>
      <w:marLeft w:val="0"/>
      <w:marRight w:val="0"/>
      <w:marTop w:val="0"/>
      <w:marBottom w:val="0"/>
      <w:divBdr>
        <w:top w:val="none" w:sz="0" w:space="0" w:color="auto"/>
        <w:left w:val="none" w:sz="0" w:space="0" w:color="auto"/>
        <w:bottom w:val="none" w:sz="0" w:space="0" w:color="auto"/>
        <w:right w:val="none" w:sz="0" w:space="0" w:color="auto"/>
      </w:divBdr>
    </w:div>
    <w:div w:id="1811508626">
      <w:bodyDiv w:val="1"/>
      <w:marLeft w:val="0"/>
      <w:marRight w:val="0"/>
      <w:marTop w:val="0"/>
      <w:marBottom w:val="0"/>
      <w:divBdr>
        <w:top w:val="none" w:sz="0" w:space="0" w:color="auto"/>
        <w:left w:val="none" w:sz="0" w:space="0" w:color="auto"/>
        <w:bottom w:val="none" w:sz="0" w:space="0" w:color="auto"/>
        <w:right w:val="none" w:sz="0" w:space="0" w:color="auto"/>
      </w:divBdr>
    </w:div>
    <w:div w:id="1821850323">
      <w:bodyDiv w:val="1"/>
      <w:marLeft w:val="0"/>
      <w:marRight w:val="0"/>
      <w:marTop w:val="0"/>
      <w:marBottom w:val="0"/>
      <w:divBdr>
        <w:top w:val="none" w:sz="0" w:space="0" w:color="auto"/>
        <w:left w:val="none" w:sz="0" w:space="0" w:color="auto"/>
        <w:bottom w:val="none" w:sz="0" w:space="0" w:color="auto"/>
        <w:right w:val="none" w:sz="0" w:space="0" w:color="auto"/>
      </w:divBdr>
    </w:div>
    <w:div w:id="1901791816">
      <w:bodyDiv w:val="1"/>
      <w:marLeft w:val="0"/>
      <w:marRight w:val="0"/>
      <w:marTop w:val="0"/>
      <w:marBottom w:val="0"/>
      <w:divBdr>
        <w:top w:val="none" w:sz="0" w:space="0" w:color="auto"/>
        <w:left w:val="none" w:sz="0" w:space="0" w:color="auto"/>
        <w:bottom w:val="none" w:sz="0" w:space="0" w:color="auto"/>
        <w:right w:val="none" w:sz="0" w:space="0" w:color="auto"/>
      </w:divBdr>
    </w:div>
    <w:div w:id="1987080280">
      <w:bodyDiv w:val="1"/>
      <w:marLeft w:val="0"/>
      <w:marRight w:val="0"/>
      <w:marTop w:val="0"/>
      <w:marBottom w:val="0"/>
      <w:divBdr>
        <w:top w:val="none" w:sz="0" w:space="0" w:color="auto"/>
        <w:left w:val="none" w:sz="0" w:space="0" w:color="auto"/>
        <w:bottom w:val="none" w:sz="0" w:space="0" w:color="auto"/>
        <w:right w:val="none" w:sz="0" w:space="0" w:color="auto"/>
      </w:divBdr>
    </w:div>
    <w:div w:id="1996832210">
      <w:bodyDiv w:val="1"/>
      <w:marLeft w:val="0"/>
      <w:marRight w:val="0"/>
      <w:marTop w:val="0"/>
      <w:marBottom w:val="0"/>
      <w:divBdr>
        <w:top w:val="none" w:sz="0" w:space="0" w:color="auto"/>
        <w:left w:val="none" w:sz="0" w:space="0" w:color="auto"/>
        <w:bottom w:val="none" w:sz="0" w:space="0" w:color="auto"/>
        <w:right w:val="none" w:sz="0" w:space="0" w:color="auto"/>
      </w:divBdr>
    </w:div>
    <w:div w:id="2006467321">
      <w:bodyDiv w:val="1"/>
      <w:marLeft w:val="0"/>
      <w:marRight w:val="0"/>
      <w:marTop w:val="0"/>
      <w:marBottom w:val="0"/>
      <w:divBdr>
        <w:top w:val="none" w:sz="0" w:space="0" w:color="auto"/>
        <w:left w:val="none" w:sz="0" w:space="0" w:color="auto"/>
        <w:bottom w:val="none" w:sz="0" w:space="0" w:color="auto"/>
        <w:right w:val="none" w:sz="0" w:space="0" w:color="auto"/>
      </w:divBdr>
    </w:div>
    <w:div w:id="2036729353">
      <w:bodyDiv w:val="1"/>
      <w:marLeft w:val="0"/>
      <w:marRight w:val="0"/>
      <w:marTop w:val="0"/>
      <w:marBottom w:val="0"/>
      <w:divBdr>
        <w:top w:val="none" w:sz="0" w:space="0" w:color="auto"/>
        <w:left w:val="none" w:sz="0" w:space="0" w:color="auto"/>
        <w:bottom w:val="none" w:sz="0" w:space="0" w:color="auto"/>
        <w:right w:val="none" w:sz="0" w:space="0" w:color="auto"/>
      </w:divBdr>
    </w:div>
    <w:div w:id="2038771416">
      <w:bodyDiv w:val="1"/>
      <w:marLeft w:val="0"/>
      <w:marRight w:val="0"/>
      <w:marTop w:val="0"/>
      <w:marBottom w:val="0"/>
      <w:divBdr>
        <w:top w:val="none" w:sz="0" w:space="0" w:color="auto"/>
        <w:left w:val="none" w:sz="0" w:space="0" w:color="auto"/>
        <w:bottom w:val="none" w:sz="0" w:space="0" w:color="auto"/>
        <w:right w:val="none" w:sz="0" w:space="0" w:color="auto"/>
      </w:divBdr>
    </w:div>
    <w:div w:id="2044747153">
      <w:bodyDiv w:val="1"/>
      <w:marLeft w:val="0"/>
      <w:marRight w:val="0"/>
      <w:marTop w:val="0"/>
      <w:marBottom w:val="0"/>
      <w:divBdr>
        <w:top w:val="none" w:sz="0" w:space="0" w:color="auto"/>
        <w:left w:val="none" w:sz="0" w:space="0" w:color="auto"/>
        <w:bottom w:val="none" w:sz="0" w:space="0" w:color="auto"/>
        <w:right w:val="none" w:sz="0" w:space="0" w:color="auto"/>
      </w:divBdr>
    </w:div>
    <w:div w:id="2081057454">
      <w:bodyDiv w:val="1"/>
      <w:marLeft w:val="0"/>
      <w:marRight w:val="0"/>
      <w:marTop w:val="0"/>
      <w:marBottom w:val="0"/>
      <w:divBdr>
        <w:top w:val="none" w:sz="0" w:space="0" w:color="auto"/>
        <w:left w:val="none" w:sz="0" w:space="0" w:color="auto"/>
        <w:bottom w:val="none" w:sz="0" w:space="0" w:color="auto"/>
        <w:right w:val="none" w:sz="0" w:space="0" w:color="auto"/>
      </w:divBdr>
    </w:div>
    <w:div w:id="2086995930">
      <w:bodyDiv w:val="1"/>
      <w:marLeft w:val="0"/>
      <w:marRight w:val="0"/>
      <w:marTop w:val="0"/>
      <w:marBottom w:val="0"/>
      <w:divBdr>
        <w:top w:val="none" w:sz="0" w:space="0" w:color="auto"/>
        <w:left w:val="none" w:sz="0" w:space="0" w:color="auto"/>
        <w:bottom w:val="none" w:sz="0" w:space="0" w:color="auto"/>
        <w:right w:val="none" w:sz="0" w:space="0" w:color="auto"/>
      </w:divBdr>
    </w:div>
    <w:div w:id="2128623392">
      <w:bodyDiv w:val="1"/>
      <w:marLeft w:val="0"/>
      <w:marRight w:val="0"/>
      <w:marTop w:val="0"/>
      <w:marBottom w:val="0"/>
      <w:divBdr>
        <w:top w:val="none" w:sz="0" w:space="0" w:color="auto"/>
        <w:left w:val="none" w:sz="0" w:space="0" w:color="auto"/>
        <w:bottom w:val="none" w:sz="0" w:space="0" w:color="auto"/>
        <w:right w:val="none" w:sz="0" w:space="0" w:color="auto"/>
      </w:divBdr>
    </w:div>
    <w:div w:id="213327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2624\Documents\&#1057;&#1043;&#1060;%20&#1075;&#1088;&#1072;&#1092;&#1080;&#1082;&#1080;%20&#1076;&#1083;&#1103;%20&#1055;&#1047;.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2624\Documents\&#1057;&#1043;&#1060;%20&#1075;&#1088;&#1072;&#1092;&#1080;&#1082;&#1080;%20&#1076;&#1083;&#1103;%20&#1055;&#104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2624\Documents\&#1057;&#1043;&#1060;%20&#1075;&#1088;&#1072;&#1092;&#1080;&#1082;&#1080;%20&#1076;&#1083;&#1103;%20&#1055;&#104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Активы!$C$2</c:f>
              <c:strCache>
                <c:ptCount val="1"/>
                <c:pt idx="0">
                  <c:v>Прочая дебиторская задолженность</c:v>
                </c:pt>
              </c:strCache>
            </c:strRef>
          </c:tx>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Активы!$C$3:$C$5</c:f>
              <c:numCache>
                <c:formatCode>0.00</c:formatCode>
                <c:ptCount val="3"/>
                <c:pt idx="0">
                  <c:v>20.693722299849753</c:v>
                </c:pt>
                <c:pt idx="1">
                  <c:v>26.113286975888027</c:v>
                </c:pt>
                <c:pt idx="2">
                  <c:v>12.990490802244196</c:v>
                </c:pt>
              </c:numCache>
            </c:numRef>
          </c:val>
          <c:extLst>
            <c:ext xmlns:c16="http://schemas.microsoft.com/office/drawing/2014/chart" uri="{C3380CC4-5D6E-409C-BE32-E72D297353CC}">
              <c16:uniqueId val="{00000000-FF41-4A98-8828-E159B5CC8390}"/>
            </c:ext>
          </c:extLst>
        </c:ser>
        <c:ser>
          <c:idx val="1"/>
          <c:order val="1"/>
          <c:tx>
            <c:strRef>
              <c:f>Активы!$D$2</c:f>
              <c:strCache>
                <c:ptCount val="1"/>
                <c:pt idx="0">
                  <c:v>Производные финансовые инструменты</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1-FF41-4A98-8828-E159B5CC8390}"/>
                </c:ext>
              </c:extLst>
            </c:dLbl>
            <c:dLbl>
              <c:idx val="1"/>
              <c:delete val="1"/>
              <c:extLst>
                <c:ext xmlns:c15="http://schemas.microsoft.com/office/drawing/2012/chart" uri="{CE6537A1-D6FC-4f65-9D91-7224C49458BB}"/>
                <c:ext xmlns:c16="http://schemas.microsoft.com/office/drawing/2014/chart" uri="{C3380CC4-5D6E-409C-BE32-E72D297353CC}">
                  <c16:uniqueId val="{00000002-FF41-4A98-8828-E159B5CC8390}"/>
                </c:ext>
              </c:extLst>
            </c:dLbl>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Активы!$D$3:$D$5</c:f>
              <c:numCache>
                <c:formatCode>0.00</c:formatCode>
                <c:ptCount val="3"/>
                <c:pt idx="0">
                  <c:v>0</c:v>
                </c:pt>
                <c:pt idx="1">
                  <c:v>0</c:v>
                </c:pt>
                <c:pt idx="2">
                  <c:v>0.43157977463054337</c:v>
                </c:pt>
              </c:numCache>
            </c:numRef>
          </c:val>
          <c:extLst>
            <c:ext xmlns:c16="http://schemas.microsoft.com/office/drawing/2014/chart" uri="{C3380CC4-5D6E-409C-BE32-E72D297353CC}">
              <c16:uniqueId val="{00000003-FF41-4A98-8828-E159B5CC8390}"/>
            </c:ext>
          </c:extLst>
        </c:ser>
        <c:ser>
          <c:idx val="2"/>
          <c:order val="2"/>
          <c:tx>
            <c:strRef>
              <c:f>Активы!$E$2</c:f>
              <c:strCache>
                <c:ptCount val="1"/>
                <c:pt idx="0">
                  <c:v>Акционерный капитал и доли в инвестиционных фондах</c:v>
                </c:pt>
              </c:strCache>
            </c:strRef>
          </c:tx>
          <c:spPr>
            <a:solidFill>
              <a:schemeClr val="accent6">
                <a:lumMod val="75000"/>
              </a:schemeClr>
            </a:solidFill>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Активы!$E$3:$E$5</c:f>
              <c:numCache>
                <c:formatCode>0.00</c:formatCode>
                <c:ptCount val="3"/>
                <c:pt idx="0">
                  <c:v>33.3059708673945</c:v>
                </c:pt>
                <c:pt idx="1">
                  <c:v>28.199347643369034</c:v>
                </c:pt>
                <c:pt idx="2">
                  <c:v>13.769576160319483</c:v>
                </c:pt>
              </c:numCache>
            </c:numRef>
          </c:val>
          <c:extLst>
            <c:ext xmlns:c16="http://schemas.microsoft.com/office/drawing/2014/chart" uri="{C3380CC4-5D6E-409C-BE32-E72D297353CC}">
              <c16:uniqueId val="{00000004-FF41-4A98-8828-E159B5CC8390}"/>
            </c:ext>
          </c:extLst>
        </c:ser>
        <c:ser>
          <c:idx val="3"/>
          <c:order val="3"/>
          <c:tx>
            <c:strRef>
              <c:f>Активы!$F$2</c:f>
              <c:strCache>
                <c:ptCount val="1"/>
                <c:pt idx="0">
                  <c:v>Кредиты и займы</c:v>
                </c:pt>
              </c:strCache>
            </c:strRef>
          </c:tx>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Активы!$F$3:$F$5</c:f>
              <c:numCache>
                <c:formatCode>0.00</c:formatCode>
                <c:ptCount val="3"/>
                <c:pt idx="0">
                  <c:v>8.1749772860391374</c:v>
                </c:pt>
                <c:pt idx="1">
                  <c:v>8.2208877399663933</c:v>
                </c:pt>
                <c:pt idx="2">
                  <c:v>36.174455746897181</c:v>
                </c:pt>
              </c:numCache>
            </c:numRef>
          </c:val>
          <c:extLst>
            <c:ext xmlns:c16="http://schemas.microsoft.com/office/drawing/2014/chart" uri="{C3380CC4-5D6E-409C-BE32-E72D297353CC}">
              <c16:uniqueId val="{00000005-FF41-4A98-8828-E159B5CC8390}"/>
            </c:ext>
          </c:extLst>
        </c:ser>
        <c:ser>
          <c:idx val="4"/>
          <c:order val="4"/>
          <c:tx>
            <c:strRef>
              <c:f>Активы!$G$2</c:f>
              <c:strCache>
                <c:ptCount val="1"/>
                <c:pt idx="0">
                  <c:v>Долговые ценные бумаги</c:v>
                </c:pt>
              </c:strCache>
            </c:strRef>
          </c:tx>
          <c:spPr>
            <a:solidFill>
              <a:schemeClr val="accent3">
                <a:lumMod val="75000"/>
              </a:schemeClr>
            </a:solidFill>
          </c:spPr>
          <c:invertIfNegative val="0"/>
          <c:dLbls>
            <c:spPr>
              <a:noFill/>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Активы!$G$3:$G$5</c:f>
              <c:numCache>
                <c:formatCode>0.00</c:formatCode>
                <c:ptCount val="3"/>
                <c:pt idx="0">
                  <c:v>3.0141877472095251</c:v>
                </c:pt>
                <c:pt idx="1">
                  <c:v>2.9824686644500367</c:v>
                </c:pt>
                <c:pt idx="2">
                  <c:v>16.75738490988098</c:v>
                </c:pt>
              </c:numCache>
            </c:numRef>
          </c:val>
          <c:extLst>
            <c:ext xmlns:c16="http://schemas.microsoft.com/office/drawing/2014/chart" uri="{C3380CC4-5D6E-409C-BE32-E72D297353CC}">
              <c16:uniqueId val="{00000006-FF41-4A98-8828-E159B5CC8390}"/>
            </c:ext>
          </c:extLst>
        </c:ser>
        <c:ser>
          <c:idx val="5"/>
          <c:order val="5"/>
          <c:tx>
            <c:strRef>
              <c:f>Активы!$H$2</c:f>
              <c:strCache>
                <c:ptCount val="1"/>
                <c:pt idx="0">
                  <c:v>Валюта и депозиты</c:v>
                </c:pt>
              </c:strCache>
            </c:strRef>
          </c:tx>
          <c:spPr>
            <a:solidFill>
              <a:schemeClr val="accent2">
                <a:lumMod val="75000"/>
              </a:schemeClr>
            </a:solidFill>
          </c:spPr>
          <c:invertIfNegative val="0"/>
          <c:dLbls>
            <c:spPr>
              <a:noFill/>
              <a:ln>
                <a:noFill/>
              </a:ln>
              <a:effectLst/>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Активы!$H$3:$H$5</c:f>
              <c:numCache>
                <c:formatCode>0.00</c:formatCode>
                <c:ptCount val="3"/>
                <c:pt idx="0">
                  <c:v>34.811141799507077</c:v>
                </c:pt>
                <c:pt idx="1">
                  <c:v>34.484008976326507</c:v>
                </c:pt>
                <c:pt idx="2">
                  <c:v>13.545658704010657</c:v>
                </c:pt>
              </c:numCache>
            </c:numRef>
          </c:val>
          <c:extLst>
            <c:ext xmlns:c16="http://schemas.microsoft.com/office/drawing/2014/chart" uri="{C3380CC4-5D6E-409C-BE32-E72D297353CC}">
              <c16:uniqueId val="{00000007-FF41-4A98-8828-E159B5CC8390}"/>
            </c:ext>
          </c:extLst>
        </c:ser>
        <c:ser>
          <c:idx val="6"/>
          <c:order val="6"/>
          <c:tx>
            <c:strRef>
              <c:f>Активы!$I$2</c:f>
              <c:strCache>
                <c:ptCount val="1"/>
                <c:pt idx="0">
                  <c:v>Золото и СДР</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FF41-4A98-8828-E159B5CC8390}"/>
                </c:ext>
              </c:extLst>
            </c:dLbl>
            <c:dLbl>
              <c:idx val="1"/>
              <c:delete val="1"/>
              <c:extLst>
                <c:ext xmlns:c15="http://schemas.microsoft.com/office/drawing/2012/chart" uri="{CE6537A1-D6FC-4f65-9D91-7224C49458BB}"/>
                <c:ext xmlns:c16="http://schemas.microsoft.com/office/drawing/2014/chart" uri="{C3380CC4-5D6E-409C-BE32-E72D297353CC}">
                  <c16:uniqueId val="{00000009-FF41-4A98-8828-E159B5CC8390}"/>
                </c:ext>
              </c:extLst>
            </c:dLbl>
            <c:spPr>
              <a:noFill/>
            </c:spPr>
            <c:txPr>
              <a:bodyPr/>
              <a:lstStyle/>
              <a:p>
                <a:pPr>
                  <a:defRPr>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Активы!$I$3:$I$5</c:f>
              <c:numCache>
                <c:formatCode>0.00</c:formatCode>
                <c:ptCount val="3"/>
                <c:pt idx="0">
                  <c:v>0</c:v>
                </c:pt>
                <c:pt idx="1">
                  <c:v>0</c:v>
                </c:pt>
                <c:pt idx="2">
                  <c:v>6.3308539020169547</c:v>
                </c:pt>
              </c:numCache>
            </c:numRef>
          </c:val>
          <c:extLst>
            <c:ext xmlns:c16="http://schemas.microsoft.com/office/drawing/2014/chart" uri="{C3380CC4-5D6E-409C-BE32-E72D297353CC}">
              <c16:uniqueId val="{0000000A-FF41-4A98-8828-E159B5CC8390}"/>
            </c:ext>
          </c:extLst>
        </c:ser>
        <c:dLbls>
          <c:showLegendKey val="0"/>
          <c:showVal val="0"/>
          <c:showCatName val="0"/>
          <c:showSerName val="0"/>
          <c:showPercent val="0"/>
          <c:showBubbleSize val="0"/>
        </c:dLbls>
        <c:gapWidth val="150"/>
        <c:overlap val="100"/>
        <c:axId val="110832640"/>
        <c:axId val="117360896"/>
      </c:barChart>
      <c:catAx>
        <c:axId val="110832640"/>
        <c:scaling>
          <c:orientation val="minMax"/>
        </c:scaling>
        <c:delete val="0"/>
        <c:axPos val="b"/>
        <c:numFmt formatCode="General" sourceLinked="0"/>
        <c:majorTickMark val="out"/>
        <c:minorTickMark val="none"/>
        <c:tickLblPos val="nextTo"/>
        <c:crossAx val="117360896"/>
        <c:crosses val="autoZero"/>
        <c:auto val="1"/>
        <c:lblAlgn val="ctr"/>
        <c:lblOffset val="100"/>
        <c:noMultiLvlLbl val="0"/>
      </c:catAx>
      <c:valAx>
        <c:axId val="117360896"/>
        <c:scaling>
          <c:orientation val="minMax"/>
        </c:scaling>
        <c:delete val="0"/>
        <c:axPos val="l"/>
        <c:majorGridlines/>
        <c:numFmt formatCode="0%" sourceLinked="1"/>
        <c:majorTickMark val="out"/>
        <c:minorTickMark val="none"/>
        <c:tickLblPos val="nextTo"/>
        <c:crossAx val="11083264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Активы!$C$7</c:f>
              <c:strCache>
                <c:ptCount val="1"/>
                <c:pt idx="0">
                  <c:v>Прочая дебиторская задолженность</c:v>
                </c:pt>
              </c:strCache>
            </c:strRef>
          </c:tx>
          <c:invertIfNegative val="0"/>
          <c:dLbls>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Активы!$C$8:$C$10</c:f>
              <c:numCache>
                <c:formatCode>0.00</c:formatCode>
                <c:ptCount val="3"/>
                <c:pt idx="0">
                  <c:v>12.136416286377441</c:v>
                </c:pt>
                <c:pt idx="1">
                  <c:v>13.766359566698524</c:v>
                </c:pt>
                <c:pt idx="2">
                  <c:v>12.990490802244196</c:v>
                </c:pt>
              </c:numCache>
            </c:numRef>
          </c:val>
          <c:extLst>
            <c:ext xmlns:c16="http://schemas.microsoft.com/office/drawing/2014/chart" uri="{C3380CC4-5D6E-409C-BE32-E72D297353CC}">
              <c16:uniqueId val="{00000000-AA25-4E74-AECC-B97611546B99}"/>
            </c:ext>
          </c:extLst>
        </c:ser>
        <c:ser>
          <c:idx val="1"/>
          <c:order val="1"/>
          <c:tx>
            <c:strRef>
              <c:f>Активы!$D$7</c:f>
              <c:strCache>
                <c:ptCount val="1"/>
                <c:pt idx="0">
                  <c:v>Производные финансовые инструменты</c:v>
                </c:pt>
              </c:strCache>
            </c:strRef>
          </c:tx>
          <c:invertIfNegative val="0"/>
          <c:dLbls>
            <c:dLbl>
              <c:idx val="0"/>
              <c:layout>
                <c:manualLayout>
                  <c:x val="3.4581734975435764E-3"/>
                  <c:y val="2.0644748365410337E-3"/>
                </c:manualLayout>
              </c:layout>
              <c:spPr/>
              <c:txPr>
                <a:bodyPr/>
                <a:lstStyle/>
                <a:p>
                  <a:pPr>
                    <a:defRPr>
                      <a:solidFill>
                        <a:schemeClr val="bg1"/>
                      </a:solidFill>
                    </a:defRPr>
                  </a:pPr>
                  <a:endParaRPr lang="ru-RU"/>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A25-4E74-AECC-B97611546B99}"/>
                </c:ext>
              </c:extLst>
            </c:dLbl>
            <c:dLbl>
              <c:idx val="1"/>
              <c:layout>
                <c:manualLayout>
                  <c:x val="0"/>
                  <c:y val="-3.6740860894068331E-4"/>
                </c:manualLayout>
              </c:layout>
              <c:spPr/>
              <c:txPr>
                <a:bodyPr/>
                <a:lstStyle/>
                <a:p>
                  <a:pPr>
                    <a:defRPr>
                      <a:solidFill>
                        <a:schemeClr val="bg1"/>
                      </a:solidFill>
                    </a:defRPr>
                  </a:pPr>
                  <a:endParaRPr lang="ru-RU"/>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A25-4E74-AECC-B97611546B99}"/>
                </c:ext>
              </c:extLst>
            </c:dLbl>
            <c:dLbl>
              <c:idx val="2"/>
              <c:layout>
                <c:manualLayout>
                  <c:x val="0"/>
                  <c:y val="6.963972041502879E-3"/>
                </c:manualLayout>
              </c:layout>
              <c:spPr/>
              <c:txPr>
                <a:bodyPr/>
                <a:lstStyle/>
                <a:p>
                  <a:pPr>
                    <a:defRPr>
                      <a:solidFill>
                        <a:schemeClr val="bg1"/>
                      </a:solidFill>
                    </a:defRPr>
                  </a:pPr>
                  <a:endParaRPr lang="ru-RU"/>
                </a:p>
              </c:txPr>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25-4E74-AECC-B97611546B99}"/>
                </c:ext>
              </c:extLst>
            </c:dLbl>
            <c:spPr>
              <a:noFill/>
              <a:ln>
                <a:noFill/>
              </a:ln>
              <a:effectLst/>
            </c:sp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Активы!$D$8:$D$10</c:f>
              <c:numCache>
                <c:formatCode>0.00</c:formatCode>
                <c:ptCount val="3"/>
                <c:pt idx="0">
                  <c:v>0.36038351502133398</c:v>
                </c:pt>
                <c:pt idx="1">
                  <c:v>0.28372347152592986</c:v>
                </c:pt>
                <c:pt idx="2">
                  <c:v>0.43157977463054337</c:v>
                </c:pt>
              </c:numCache>
            </c:numRef>
          </c:val>
          <c:extLst>
            <c:ext xmlns:c16="http://schemas.microsoft.com/office/drawing/2014/chart" uri="{C3380CC4-5D6E-409C-BE32-E72D297353CC}">
              <c16:uniqueId val="{00000004-AA25-4E74-AECC-B97611546B99}"/>
            </c:ext>
          </c:extLst>
        </c:ser>
        <c:ser>
          <c:idx val="2"/>
          <c:order val="2"/>
          <c:tx>
            <c:strRef>
              <c:f>Активы!$E$7</c:f>
              <c:strCache>
                <c:ptCount val="1"/>
                <c:pt idx="0">
                  <c:v>Акционерный капитал и доли в инвестиционных фондах</c:v>
                </c:pt>
              </c:strCache>
            </c:strRef>
          </c:tx>
          <c:spPr>
            <a:solidFill>
              <a:schemeClr val="accent6">
                <a:lumMod val="75000"/>
              </a:schemeClr>
            </a:solidFill>
          </c:spPr>
          <c:invertIfNegative val="0"/>
          <c:dLbls>
            <c:dLbl>
              <c:idx val="0"/>
              <c:layout>
                <c:manualLayout>
                  <c:x val="0"/>
                  <c:y val="-3.780839787616326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A25-4E74-AECC-B97611546B99}"/>
                </c:ext>
              </c:extLst>
            </c:dLbl>
            <c:dLbl>
              <c:idx val="1"/>
              <c:layout>
                <c:manualLayout>
                  <c:x val="0"/>
                  <c:y val="-3.123950326551501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A25-4E74-AECC-B97611546B99}"/>
                </c:ext>
              </c:extLst>
            </c:dLbl>
            <c:dLbl>
              <c:idx val="2"/>
              <c:layout>
                <c:manualLayout>
                  <c:x val="2.136752136752137E-3"/>
                  <c:y val="-6.6226378912113862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25-4E74-AECC-B97611546B99}"/>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Активы!$E$8:$E$10</c:f>
              <c:numCache>
                <c:formatCode>0.00</c:formatCode>
                <c:ptCount val="3"/>
                <c:pt idx="0">
                  <c:v>12.298737186034533</c:v>
                </c:pt>
                <c:pt idx="1">
                  <c:v>14.652591724085251</c:v>
                </c:pt>
                <c:pt idx="2">
                  <c:v>13.769576160319483</c:v>
                </c:pt>
              </c:numCache>
            </c:numRef>
          </c:val>
          <c:extLst>
            <c:ext xmlns:c16="http://schemas.microsoft.com/office/drawing/2014/chart" uri="{C3380CC4-5D6E-409C-BE32-E72D297353CC}">
              <c16:uniqueId val="{00000008-AA25-4E74-AECC-B97611546B99}"/>
            </c:ext>
          </c:extLst>
        </c:ser>
        <c:ser>
          <c:idx val="3"/>
          <c:order val="3"/>
          <c:tx>
            <c:strRef>
              <c:f>Активы!$F$7</c:f>
              <c:strCache>
                <c:ptCount val="1"/>
                <c:pt idx="0">
                  <c:v>Кредиты и займы</c:v>
                </c:pt>
              </c:strCache>
            </c:strRef>
          </c:tx>
          <c:invertIfNegative val="0"/>
          <c:dLbls>
            <c:dLbl>
              <c:idx val="0"/>
              <c:layout>
                <c:manualLayout>
                  <c:x val="1.7291316613946147E-3"/>
                  <c:y val="5.99821337591986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A25-4E74-AECC-B97611546B99}"/>
                </c:ext>
              </c:extLst>
            </c:dLbl>
            <c:dLbl>
              <c:idx val="1"/>
              <c:layout>
                <c:manualLayout>
                  <c:x val="0"/>
                  <c:y val="6.44587465758275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A25-4E74-AECC-B97611546B99}"/>
                </c:ext>
              </c:extLst>
            </c:dLbl>
            <c:dLbl>
              <c:idx val="2"/>
              <c:layout>
                <c:manualLayout>
                  <c:x val="-6.3400761840125473E-17"/>
                  <c:y val="7.59429468330831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A25-4E74-AECC-B97611546B99}"/>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Активы!$F$8:$F$10</c:f>
              <c:numCache>
                <c:formatCode>0.00</c:formatCode>
                <c:ptCount val="3"/>
                <c:pt idx="0">
                  <c:v>36.829791875110388</c:v>
                </c:pt>
                <c:pt idx="1">
                  <c:v>36.797397397362843</c:v>
                </c:pt>
                <c:pt idx="2">
                  <c:v>36.174455746897181</c:v>
                </c:pt>
              </c:numCache>
            </c:numRef>
          </c:val>
          <c:extLst>
            <c:ext xmlns:c16="http://schemas.microsoft.com/office/drawing/2014/chart" uri="{C3380CC4-5D6E-409C-BE32-E72D297353CC}">
              <c16:uniqueId val="{0000000C-AA25-4E74-AECC-B97611546B99}"/>
            </c:ext>
          </c:extLst>
        </c:ser>
        <c:ser>
          <c:idx val="4"/>
          <c:order val="4"/>
          <c:tx>
            <c:strRef>
              <c:f>Активы!$G$7</c:f>
              <c:strCache>
                <c:ptCount val="1"/>
                <c:pt idx="0">
                  <c:v>Долговые ценные бумаги</c:v>
                </c:pt>
              </c:strCache>
            </c:strRef>
          </c:tx>
          <c:spPr>
            <a:solidFill>
              <a:schemeClr val="accent3">
                <a:lumMod val="75000"/>
              </a:schemeClr>
            </a:solidFill>
          </c:spPr>
          <c:invertIfNegative val="0"/>
          <c:dLbls>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Активы!$G$8:$G$10</c:f>
              <c:numCache>
                <c:formatCode>0.00</c:formatCode>
                <c:ptCount val="3"/>
                <c:pt idx="0">
                  <c:v>17.9402542887469</c:v>
                </c:pt>
                <c:pt idx="1">
                  <c:v>15.092384832783612</c:v>
                </c:pt>
                <c:pt idx="2">
                  <c:v>16.75738490988098</c:v>
                </c:pt>
              </c:numCache>
            </c:numRef>
          </c:val>
          <c:extLst>
            <c:ext xmlns:c16="http://schemas.microsoft.com/office/drawing/2014/chart" uri="{C3380CC4-5D6E-409C-BE32-E72D297353CC}">
              <c16:uniqueId val="{0000000D-AA25-4E74-AECC-B97611546B99}"/>
            </c:ext>
          </c:extLst>
        </c:ser>
        <c:ser>
          <c:idx val="5"/>
          <c:order val="5"/>
          <c:tx>
            <c:strRef>
              <c:f>Активы!$H$7</c:f>
              <c:strCache>
                <c:ptCount val="1"/>
                <c:pt idx="0">
                  <c:v>Валюта и депозиты</c:v>
                </c:pt>
              </c:strCache>
            </c:strRef>
          </c:tx>
          <c:spPr>
            <a:solidFill>
              <a:schemeClr val="accent2">
                <a:lumMod val="75000"/>
              </a:schemeClr>
            </a:solidFill>
          </c:spPr>
          <c:invertIfNegative val="0"/>
          <c:dLbls>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Активы!$H$8:$H$10</c:f>
              <c:numCache>
                <c:formatCode>0.00</c:formatCode>
                <c:ptCount val="3"/>
                <c:pt idx="0">
                  <c:v>15.407889690665758</c:v>
                </c:pt>
                <c:pt idx="1">
                  <c:v>13.96776269537591</c:v>
                </c:pt>
                <c:pt idx="2">
                  <c:v>13.545658704010657</c:v>
                </c:pt>
              </c:numCache>
            </c:numRef>
          </c:val>
          <c:extLst>
            <c:ext xmlns:c16="http://schemas.microsoft.com/office/drawing/2014/chart" uri="{C3380CC4-5D6E-409C-BE32-E72D297353CC}">
              <c16:uniqueId val="{0000000E-AA25-4E74-AECC-B97611546B99}"/>
            </c:ext>
          </c:extLst>
        </c:ser>
        <c:ser>
          <c:idx val="6"/>
          <c:order val="6"/>
          <c:tx>
            <c:strRef>
              <c:f>Активы!$I$7</c:f>
              <c:strCache>
                <c:ptCount val="1"/>
                <c:pt idx="0">
                  <c:v>Золото и СДР</c:v>
                </c:pt>
              </c:strCache>
            </c:strRef>
          </c:tx>
          <c:invertIfNegative val="0"/>
          <c:dLbls>
            <c:dLbl>
              <c:idx val="0"/>
              <c:layout>
                <c:manualLayout>
                  <c:x val="0"/>
                  <c:y val="-2.932622339198121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A25-4E74-AECC-B97611546B99}"/>
                </c:ext>
              </c:extLst>
            </c:dLbl>
            <c:dLbl>
              <c:idx val="1"/>
              <c:layout>
                <c:manualLayout>
                  <c:x val="0"/>
                  <c:y val="-3.300920060214586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AA25-4E74-AECC-B97611546B99}"/>
                </c:ext>
              </c:extLst>
            </c:dLbl>
            <c:dLbl>
              <c:idx val="2"/>
              <c:layout>
                <c:manualLayout>
                  <c:x val="2.136752136752137E-3"/>
                  <c:y val="1.158922981497132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A25-4E74-AECC-B97611546B99}"/>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Активы!$I$8:$I$10</c:f>
              <c:numCache>
                <c:formatCode>0.00</c:formatCode>
                <c:ptCount val="3"/>
                <c:pt idx="0">
                  <c:v>5.0265271580436526</c:v>
                </c:pt>
                <c:pt idx="1">
                  <c:v>5.4397803121679456</c:v>
                </c:pt>
                <c:pt idx="2">
                  <c:v>6.3308539020169547</c:v>
                </c:pt>
              </c:numCache>
            </c:numRef>
          </c:val>
          <c:extLst>
            <c:ext xmlns:c16="http://schemas.microsoft.com/office/drawing/2014/chart" uri="{C3380CC4-5D6E-409C-BE32-E72D297353CC}">
              <c16:uniqueId val="{00000012-AA25-4E74-AECC-B97611546B99}"/>
            </c:ext>
          </c:extLst>
        </c:ser>
        <c:dLbls>
          <c:dLblPos val="inBase"/>
          <c:showLegendKey val="0"/>
          <c:showVal val="1"/>
          <c:showCatName val="0"/>
          <c:showSerName val="0"/>
          <c:showPercent val="0"/>
          <c:showBubbleSize val="0"/>
        </c:dLbls>
        <c:gapWidth val="150"/>
        <c:overlap val="100"/>
        <c:axId val="129155584"/>
        <c:axId val="117363776"/>
      </c:barChart>
      <c:catAx>
        <c:axId val="129155584"/>
        <c:scaling>
          <c:orientation val="minMax"/>
        </c:scaling>
        <c:delete val="0"/>
        <c:axPos val="b"/>
        <c:numFmt formatCode="General" sourceLinked="0"/>
        <c:majorTickMark val="out"/>
        <c:minorTickMark val="none"/>
        <c:tickLblPos val="nextTo"/>
        <c:crossAx val="117363776"/>
        <c:crosses val="autoZero"/>
        <c:auto val="1"/>
        <c:lblAlgn val="ctr"/>
        <c:lblOffset val="100"/>
        <c:noMultiLvlLbl val="0"/>
      </c:catAx>
      <c:valAx>
        <c:axId val="117363776"/>
        <c:scaling>
          <c:orientation val="minMax"/>
        </c:scaling>
        <c:delete val="0"/>
        <c:axPos val="l"/>
        <c:majorGridlines/>
        <c:numFmt formatCode="0%" sourceLinked="1"/>
        <c:majorTickMark val="out"/>
        <c:minorTickMark val="none"/>
        <c:tickLblPos val="nextTo"/>
        <c:crossAx val="12915558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Обязательства!$C$2</c:f>
              <c:strCache>
                <c:ptCount val="1"/>
                <c:pt idx="0">
                  <c:v>Прочая кредиторская задолженность</c:v>
                </c:pt>
              </c:strCache>
            </c:strRef>
          </c:tx>
          <c:invertIfNegative val="0"/>
          <c:dLbls>
            <c:dLbl>
              <c:idx val="0"/>
              <c:layout>
                <c:manualLayout>
                  <c:x val="1.5800303101532605E-17"/>
                  <c:y val="2.662161935596991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33-4BE9-8F75-4F8925E81A83}"/>
                </c:ext>
              </c:extLst>
            </c:dLbl>
            <c:dLbl>
              <c:idx val="1"/>
              <c:layout>
                <c:manualLayout>
                  <c:x val="0"/>
                  <c:y val="8.599926888477977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33-4BE9-8F75-4F8925E81A83}"/>
                </c:ext>
              </c:extLst>
            </c:dLbl>
            <c:dLbl>
              <c:idx val="2"/>
              <c:layout>
                <c:manualLayout>
                  <c:x val="0"/>
                  <c:y val="5.4236652877428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33-4BE9-8F75-4F8925E81A83}"/>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Обязательства!$C$3:$C$5</c:f>
              <c:numCache>
                <c:formatCode>0.00</c:formatCode>
                <c:ptCount val="3"/>
                <c:pt idx="0">
                  <c:v>34.353698749329418</c:v>
                </c:pt>
                <c:pt idx="1">
                  <c:v>39.85801344497856</c:v>
                </c:pt>
                <c:pt idx="2">
                  <c:v>17.054296942598189</c:v>
                </c:pt>
              </c:numCache>
            </c:numRef>
          </c:val>
          <c:extLst>
            <c:ext xmlns:c16="http://schemas.microsoft.com/office/drawing/2014/chart" uri="{C3380CC4-5D6E-409C-BE32-E72D297353CC}">
              <c16:uniqueId val="{00000003-6833-4BE9-8F75-4F8925E81A83}"/>
            </c:ext>
          </c:extLst>
        </c:ser>
        <c:ser>
          <c:idx val="1"/>
          <c:order val="1"/>
          <c:tx>
            <c:strRef>
              <c:f>Обязательства!$D$2</c:f>
              <c:strCache>
                <c:ptCount val="1"/>
                <c:pt idx="0">
                  <c:v>Производные финансовые инструменты</c:v>
                </c:pt>
              </c:strCache>
            </c:strRef>
          </c:tx>
          <c:invertIfNegative val="0"/>
          <c:dLbls>
            <c:dLbl>
              <c:idx val="0"/>
              <c:layout>
                <c:manualLayout>
                  <c:x val="7.7566020355549603E-2"/>
                  <c:y val="-2.10986126516778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833-4BE9-8F75-4F8925E81A83}"/>
                </c:ext>
              </c:extLst>
            </c:dLbl>
            <c:dLbl>
              <c:idx val="1"/>
              <c:layout>
                <c:manualLayout>
                  <c:x val="7.0671262990611869E-2"/>
                  <c:y val="-2.109861265167781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833-4BE9-8F75-4F8925E81A83}"/>
                </c:ext>
              </c:extLst>
            </c:dLbl>
            <c:dLbl>
              <c:idx val="2"/>
              <c:layout>
                <c:manualLayout>
                  <c:x val="0"/>
                  <c:y val="1.7408251385804926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833-4BE9-8F75-4F8925E81A83}"/>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Обязательства!$D$3:$D$5</c:f>
              <c:numCache>
                <c:formatCode>0.00</c:formatCode>
                <c:ptCount val="3"/>
                <c:pt idx="0">
                  <c:v>0</c:v>
                </c:pt>
                <c:pt idx="1">
                  <c:v>0</c:v>
                </c:pt>
                <c:pt idx="2">
                  <c:v>0.51494283987915412</c:v>
                </c:pt>
              </c:numCache>
            </c:numRef>
          </c:val>
          <c:extLst>
            <c:ext xmlns:c16="http://schemas.microsoft.com/office/drawing/2014/chart" uri="{C3380CC4-5D6E-409C-BE32-E72D297353CC}">
              <c16:uniqueId val="{00000007-6833-4BE9-8F75-4F8925E81A83}"/>
            </c:ext>
          </c:extLst>
        </c:ser>
        <c:ser>
          <c:idx val="2"/>
          <c:order val="2"/>
          <c:tx>
            <c:strRef>
              <c:f>Обязательства!$E$2</c:f>
              <c:strCache>
                <c:ptCount val="1"/>
                <c:pt idx="0">
                  <c:v>Акционерный капитал и доли в инвестиционных фондах</c:v>
                </c:pt>
              </c:strCache>
            </c:strRef>
          </c:tx>
          <c:spPr>
            <a:solidFill>
              <a:schemeClr val="accent6">
                <a:lumMod val="75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8-6833-4BE9-8F75-4F8925E81A83}"/>
                </c:ext>
              </c:extLst>
            </c:dLbl>
            <c:dLbl>
              <c:idx val="1"/>
              <c:layout>
                <c:manualLayout>
                  <c:x val="0"/>
                  <c:y val="-4.3246421084447881E-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833-4BE9-8F75-4F8925E81A83}"/>
                </c:ext>
              </c:extLst>
            </c:dLbl>
            <c:dLbl>
              <c:idx val="2"/>
              <c:layout>
                <c:manualLayout>
                  <c:x val="1.7236893412343726E-3"/>
                  <c:y val="-1.172839806011604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833-4BE9-8F75-4F8925E81A83}"/>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Обязательства!$E$3:$E$5</c:f>
              <c:numCache>
                <c:formatCode>0.00</c:formatCode>
                <c:ptCount val="3"/>
                <c:pt idx="0">
                  <c:v>3.6218147414369316E-6</c:v>
                </c:pt>
                <c:pt idx="1">
                  <c:v>0.81990295478413089</c:v>
                </c:pt>
                <c:pt idx="2">
                  <c:v>17.578417111782478</c:v>
                </c:pt>
              </c:numCache>
            </c:numRef>
          </c:val>
          <c:extLst>
            <c:ext xmlns:c16="http://schemas.microsoft.com/office/drawing/2014/chart" uri="{C3380CC4-5D6E-409C-BE32-E72D297353CC}">
              <c16:uniqueId val="{0000000B-6833-4BE9-8F75-4F8925E81A83}"/>
            </c:ext>
          </c:extLst>
        </c:ser>
        <c:ser>
          <c:idx val="3"/>
          <c:order val="3"/>
          <c:tx>
            <c:strRef>
              <c:f>Обязательства!$F$2</c:f>
              <c:strCache>
                <c:ptCount val="1"/>
                <c:pt idx="0">
                  <c:v>Кредиты и займы</c:v>
                </c:pt>
              </c:strCache>
            </c:strRef>
          </c:tx>
          <c:invertIfNegative val="0"/>
          <c:dLbls>
            <c:dLbl>
              <c:idx val="0"/>
              <c:layout>
                <c:manualLayout>
                  <c:x val="-1.3572357019174013E-7"/>
                  <c:y val="4.565004463312698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6833-4BE9-8F75-4F8925E81A83}"/>
                </c:ext>
              </c:extLst>
            </c:dLbl>
            <c:dLbl>
              <c:idx val="1"/>
              <c:layout>
                <c:manualLayout>
                  <c:x val="0"/>
                  <c:y val="-1.221711395635652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833-4BE9-8F75-4F8925E81A83}"/>
                </c:ext>
              </c:extLst>
            </c:dLbl>
            <c:dLbl>
              <c:idx val="2"/>
              <c:layout>
                <c:manualLayout>
                  <c:x val="-3.4473786824688081E-3"/>
                  <c:y val="7.3884003383875027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833-4BE9-8F75-4F8925E81A83}"/>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Обязательства!$F$3:$F$5</c:f>
              <c:numCache>
                <c:formatCode>0.00</c:formatCode>
                <c:ptCount val="3"/>
                <c:pt idx="0">
                  <c:v>3.3976823572856496</c:v>
                </c:pt>
                <c:pt idx="1">
                  <c:v>5.3439009465925489</c:v>
                </c:pt>
                <c:pt idx="2">
                  <c:v>5.3497650271903323</c:v>
                </c:pt>
              </c:numCache>
            </c:numRef>
          </c:val>
          <c:extLst>
            <c:ext xmlns:c16="http://schemas.microsoft.com/office/drawing/2014/chart" uri="{C3380CC4-5D6E-409C-BE32-E72D297353CC}">
              <c16:uniqueId val="{0000000F-6833-4BE9-8F75-4F8925E81A83}"/>
            </c:ext>
          </c:extLst>
        </c:ser>
        <c:ser>
          <c:idx val="4"/>
          <c:order val="4"/>
          <c:tx>
            <c:strRef>
              <c:f>Обязательства!$G$2</c:f>
              <c:strCache>
                <c:ptCount val="1"/>
                <c:pt idx="0">
                  <c:v>Долговые ценные бумаги</c:v>
                </c:pt>
              </c:strCache>
            </c:strRef>
          </c:tx>
          <c:spPr>
            <a:solidFill>
              <a:schemeClr val="accent3">
                <a:lumMod val="75000"/>
              </a:schemeClr>
            </a:solidFill>
          </c:spPr>
          <c:invertIfNegative val="0"/>
          <c:dLbls>
            <c:dLbl>
              <c:idx val="0"/>
              <c:layout>
                <c:manualLayout>
                  <c:x val="-1.7238250648046118E-3"/>
                  <c:y val="-2.972407999898465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833-4BE9-8F75-4F8925E81A83}"/>
                </c:ext>
              </c:extLst>
            </c:dLbl>
            <c:dLbl>
              <c:idx val="1"/>
              <c:layout>
                <c:manualLayout>
                  <c:x val="0"/>
                  <c:y val="-3.10011029404279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833-4BE9-8F75-4F8925E81A83}"/>
                </c:ext>
              </c:extLst>
            </c:dLbl>
            <c:dLbl>
              <c:idx val="2"/>
              <c:layout>
                <c:manualLayout>
                  <c:x val="0"/>
                  <c:y val="7.1622967672830174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833-4BE9-8F75-4F8925E81A83}"/>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Обязательства!$G$3:$G$5</c:f>
              <c:numCache>
                <c:formatCode>0.00</c:formatCode>
                <c:ptCount val="3"/>
                <c:pt idx="0">
                  <c:v>62.248615271570188</c:v>
                </c:pt>
                <c:pt idx="1">
                  <c:v>53.978182653644758</c:v>
                </c:pt>
                <c:pt idx="2">
                  <c:v>12.59317752265861</c:v>
                </c:pt>
              </c:numCache>
            </c:numRef>
          </c:val>
          <c:extLst>
            <c:ext xmlns:c16="http://schemas.microsoft.com/office/drawing/2014/chart" uri="{C3380CC4-5D6E-409C-BE32-E72D297353CC}">
              <c16:uniqueId val="{00000013-6833-4BE9-8F75-4F8925E81A83}"/>
            </c:ext>
          </c:extLst>
        </c:ser>
        <c:ser>
          <c:idx val="5"/>
          <c:order val="5"/>
          <c:tx>
            <c:strRef>
              <c:f>Обязательства!$H$2</c:f>
              <c:strCache>
                <c:ptCount val="1"/>
                <c:pt idx="0">
                  <c:v>Валюта и депозиты</c:v>
                </c:pt>
              </c:strCache>
            </c:strRef>
          </c:tx>
          <c:spPr>
            <a:solidFill>
              <a:schemeClr val="accent2">
                <a:lumMod val="75000"/>
              </a:schemeClr>
            </a:solidFill>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4-6833-4BE9-8F75-4F8925E81A83}"/>
                </c:ext>
              </c:extLst>
            </c:dLbl>
            <c:dLbl>
              <c:idx val="1"/>
              <c:delete val="1"/>
              <c:extLst>
                <c:ext xmlns:c15="http://schemas.microsoft.com/office/drawing/2012/chart" uri="{CE6537A1-D6FC-4f65-9D91-7224C49458BB}"/>
                <c:ext xmlns:c16="http://schemas.microsoft.com/office/drawing/2014/chart" uri="{C3380CC4-5D6E-409C-BE32-E72D297353CC}">
                  <c16:uniqueId val="{00000015-6833-4BE9-8F75-4F8925E81A83}"/>
                </c:ext>
              </c:extLst>
            </c:dLbl>
            <c:dLbl>
              <c:idx val="2"/>
              <c:layout>
                <c:manualLayout>
                  <c:x val="0"/>
                  <c:y val="-4.827303408585762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833-4BE9-8F75-4F8925E81A83}"/>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Обязательства!$H$3:$H$5</c:f>
              <c:numCache>
                <c:formatCode>0.00</c:formatCode>
                <c:ptCount val="3"/>
                <c:pt idx="0">
                  <c:v>0</c:v>
                </c:pt>
                <c:pt idx="1">
                  <c:v>0</c:v>
                </c:pt>
                <c:pt idx="2">
                  <c:v>46.444993353474331</c:v>
                </c:pt>
              </c:numCache>
            </c:numRef>
          </c:val>
          <c:extLst>
            <c:ext xmlns:c16="http://schemas.microsoft.com/office/drawing/2014/chart" uri="{C3380CC4-5D6E-409C-BE32-E72D297353CC}">
              <c16:uniqueId val="{00000017-6833-4BE9-8F75-4F8925E81A83}"/>
            </c:ext>
          </c:extLst>
        </c:ser>
        <c:ser>
          <c:idx val="6"/>
          <c:order val="6"/>
          <c:tx>
            <c:strRef>
              <c:f>Обязательства!$I$2</c:f>
              <c:strCache>
                <c:ptCount val="1"/>
                <c:pt idx="0">
                  <c:v>Золото и СДР</c:v>
                </c:pt>
              </c:strCache>
            </c:strRef>
          </c:tx>
          <c:invertIfNegative val="0"/>
          <c:dLbls>
            <c:dLbl>
              <c:idx val="0"/>
              <c:layout>
                <c:manualLayout>
                  <c:x val="-6.8947573649377439E-2"/>
                  <c:y val="2.089460236090987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833-4BE9-8F75-4F8925E81A83}"/>
                </c:ext>
              </c:extLst>
            </c:dLbl>
            <c:dLbl>
              <c:idx val="1"/>
              <c:layout>
                <c:manualLayout>
                  <c:x val="-7.5842331014315201E-2"/>
                  <c:y val="1.691467810168894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833-4BE9-8F75-4F8925E81A83}"/>
                </c:ext>
              </c:extLst>
            </c:dLbl>
            <c:dLbl>
              <c:idx val="2"/>
              <c:layout>
                <c:manualLayout>
                  <c:x val="-1.723689341234499E-3"/>
                  <c:y val="5.109972044949327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6833-4BE9-8F75-4F8925E81A83}"/>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Обязательства!$I$3:$I$5</c:f>
              <c:numCache>
                <c:formatCode>0.00</c:formatCode>
                <c:ptCount val="3"/>
                <c:pt idx="0">
                  <c:v>0</c:v>
                </c:pt>
                <c:pt idx="1">
                  <c:v>0</c:v>
                </c:pt>
                <c:pt idx="2">
                  <c:v>0.46440720241691846</c:v>
                </c:pt>
              </c:numCache>
            </c:numRef>
          </c:val>
          <c:extLst>
            <c:ext xmlns:c16="http://schemas.microsoft.com/office/drawing/2014/chart" uri="{C3380CC4-5D6E-409C-BE32-E72D297353CC}">
              <c16:uniqueId val="{0000001B-6833-4BE9-8F75-4F8925E81A83}"/>
            </c:ext>
          </c:extLst>
        </c:ser>
        <c:dLbls>
          <c:dLblPos val="inBase"/>
          <c:showLegendKey val="0"/>
          <c:showVal val="1"/>
          <c:showCatName val="0"/>
          <c:showSerName val="0"/>
          <c:showPercent val="0"/>
          <c:showBubbleSize val="0"/>
        </c:dLbls>
        <c:gapWidth val="150"/>
        <c:overlap val="100"/>
        <c:axId val="110832128"/>
        <c:axId val="117365504"/>
      </c:barChart>
      <c:catAx>
        <c:axId val="110832128"/>
        <c:scaling>
          <c:orientation val="minMax"/>
        </c:scaling>
        <c:delete val="0"/>
        <c:axPos val="b"/>
        <c:numFmt formatCode="General" sourceLinked="0"/>
        <c:majorTickMark val="out"/>
        <c:minorTickMark val="none"/>
        <c:tickLblPos val="nextTo"/>
        <c:crossAx val="117365504"/>
        <c:crosses val="autoZero"/>
        <c:auto val="1"/>
        <c:lblAlgn val="ctr"/>
        <c:lblOffset val="100"/>
        <c:noMultiLvlLbl val="0"/>
      </c:catAx>
      <c:valAx>
        <c:axId val="117365504"/>
        <c:scaling>
          <c:orientation val="minMax"/>
        </c:scaling>
        <c:delete val="0"/>
        <c:axPos val="l"/>
        <c:majorGridlines/>
        <c:numFmt formatCode="0%" sourceLinked="1"/>
        <c:majorTickMark val="out"/>
        <c:minorTickMark val="none"/>
        <c:tickLblPos val="nextTo"/>
        <c:crossAx val="1108321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Обязательства!$C$7</c:f>
              <c:strCache>
                <c:ptCount val="1"/>
                <c:pt idx="0">
                  <c:v>Прочая кредиторская задолженность</c:v>
                </c:pt>
              </c:strCache>
            </c:strRef>
          </c:tx>
          <c:invertIfNegative val="0"/>
          <c:dLbls>
            <c:dLbl>
              <c:idx val="0"/>
              <c:layout>
                <c:manualLayout>
                  <c:x val="0"/>
                  <c:y val="4.72975052184760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24A-4738-9509-6E58CA1E786C}"/>
                </c:ext>
              </c:extLst>
            </c:dLbl>
            <c:dLbl>
              <c:idx val="1"/>
              <c:layout>
                <c:manualLayout>
                  <c:x val="0"/>
                  <c:y val="1.0308731991773529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4A-4738-9509-6E58CA1E786C}"/>
                </c:ext>
              </c:extLst>
            </c:dLbl>
            <c:dLbl>
              <c:idx val="2"/>
              <c:layout>
                <c:manualLayout>
                  <c:x val="-6.3400761840125473E-17"/>
                  <c:y val="1.30568724025158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4A-4738-9509-6E58CA1E786C}"/>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Обязательства!$C$8:$C$10</c:f>
              <c:numCache>
                <c:formatCode>0.00</c:formatCode>
                <c:ptCount val="3"/>
                <c:pt idx="0">
                  <c:v>15.058771271143879</c:v>
                </c:pt>
                <c:pt idx="1">
                  <c:v>16.213740672191772</c:v>
                </c:pt>
                <c:pt idx="2">
                  <c:v>17.054296942598189</c:v>
                </c:pt>
              </c:numCache>
            </c:numRef>
          </c:val>
          <c:extLst>
            <c:ext xmlns:c16="http://schemas.microsoft.com/office/drawing/2014/chart" uri="{C3380CC4-5D6E-409C-BE32-E72D297353CC}">
              <c16:uniqueId val="{00000003-324A-4738-9509-6E58CA1E786C}"/>
            </c:ext>
          </c:extLst>
        </c:ser>
        <c:ser>
          <c:idx val="1"/>
          <c:order val="1"/>
          <c:tx>
            <c:strRef>
              <c:f>Обязательства!$D$7</c:f>
              <c:strCache>
                <c:ptCount val="1"/>
                <c:pt idx="0">
                  <c:v>Производные финансовые инструменты</c:v>
                </c:pt>
              </c:strCache>
            </c:strRef>
          </c:tx>
          <c:invertIfNegative val="0"/>
          <c:dLbls>
            <c:dLbl>
              <c:idx val="0"/>
              <c:layout>
                <c:manualLayout>
                  <c:x val="0"/>
                  <c:y val="1.798044589112406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24A-4738-9509-6E58CA1E786C}"/>
                </c:ext>
              </c:extLst>
            </c:dLbl>
            <c:dLbl>
              <c:idx val="1"/>
              <c:layout>
                <c:manualLayout>
                  <c:x val="-6.3400761840125473E-17"/>
                  <c:y val="-3.216563721811259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24A-4738-9509-6E58CA1E786C}"/>
                </c:ext>
              </c:extLst>
            </c:dLbl>
            <c:dLbl>
              <c:idx val="2"/>
              <c:layout>
                <c:manualLayout>
                  <c:x val="0"/>
                  <c:y val="2.3884887535664994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24A-4738-9509-6E58CA1E786C}"/>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Обязательства!$D$8:$D$10</c:f>
              <c:numCache>
                <c:formatCode>0.00</c:formatCode>
                <c:ptCount val="3"/>
                <c:pt idx="0">
                  <c:v>0.29439088235980648</c:v>
                </c:pt>
                <c:pt idx="1">
                  <c:v>0.34043810437742289</c:v>
                </c:pt>
                <c:pt idx="2">
                  <c:v>0.51494283987915412</c:v>
                </c:pt>
              </c:numCache>
            </c:numRef>
          </c:val>
          <c:extLst>
            <c:ext xmlns:c16="http://schemas.microsoft.com/office/drawing/2014/chart" uri="{C3380CC4-5D6E-409C-BE32-E72D297353CC}">
              <c16:uniqueId val="{00000007-324A-4738-9509-6E58CA1E786C}"/>
            </c:ext>
          </c:extLst>
        </c:ser>
        <c:ser>
          <c:idx val="2"/>
          <c:order val="2"/>
          <c:tx>
            <c:strRef>
              <c:f>Обязательства!$E$7</c:f>
              <c:strCache>
                <c:ptCount val="1"/>
                <c:pt idx="0">
                  <c:v>Акционерный капитал и доли в инвестиционных фондах</c:v>
                </c:pt>
              </c:strCache>
            </c:strRef>
          </c:tx>
          <c:spPr>
            <a:solidFill>
              <a:schemeClr val="accent6">
                <a:lumMod val="75000"/>
              </a:schemeClr>
            </a:solidFill>
          </c:spPr>
          <c:invertIfNegative val="0"/>
          <c:dLbls>
            <c:dLbl>
              <c:idx val="0"/>
              <c:layout>
                <c:manualLayout>
                  <c:x val="0"/>
                  <c:y val="-6.0871523794707501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24A-4738-9509-6E58CA1E786C}"/>
                </c:ext>
              </c:extLst>
            </c:dLbl>
            <c:dLbl>
              <c:idx val="1"/>
              <c:layout>
                <c:manualLayout>
                  <c:x val="0"/>
                  <c:y val="-9.9131792779100798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24A-4738-9509-6E58CA1E786C}"/>
                </c:ext>
              </c:extLst>
            </c:dLbl>
            <c:dLbl>
              <c:idx val="2"/>
              <c:layout>
                <c:manualLayout>
                  <c:x val="-6.3400761840125473E-17"/>
                  <c:y val="-1.17447742592842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24A-4738-9509-6E58CA1E786C}"/>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Обязательства!$E$8:$E$10</c:f>
              <c:numCache>
                <c:formatCode>0.00</c:formatCode>
                <c:ptCount val="3"/>
                <c:pt idx="0">
                  <c:v>16.190737245878353</c:v>
                </c:pt>
                <c:pt idx="1">
                  <c:v>17.125627470045703</c:v>
                </c:pt>
                <c:pt idx="2">
                  <c:v>17.578417111782478</c:v>
                </c:pt>
              </c:numCache>
            </c:numRef>
          </c:val>
          <c:extLst>
            <c:ext xmlns:c16="http://schemas.microsoft.com/office/drawing/2014/chart" uri="{C3380CC4-5D6E-409C-BE32-E72D297353CC}">
              <c16:uniqueId val="{0000000B-324A-4738-9509-6E58CA1E786C}"/>
            </c:ext>
          </c:extLst>
        </c:ser>
        <c:ser>
          <c:idx val="3"/>
          <c:order val="3"/>
          <c:tx>
            <c:strRef>
              <c:f>Обязательства!$F$7</c:f>
              <c:strCache>
                <c:ptCount val="1"/>
                <c:pt idx="0">
                  <c:v>Кредиты и займы</c:v>
                </c:pt>
              </c:strCache>
            </c:strRef>
          </c:tx>
          <c:invertIfNegative val="0"/>
          <c:dLbls>
            <c:dLbl>
              <c:idx val="2"/>
              <c:layout>
                <c:manualLayout>
                  <c:x val="-6.3400761840125473E-17"/>
                  <c:y val="9.969595224133666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24A-4738-9509-6E58CA1E786C}"/>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Обязательства!$F$8:$F$10</c:f>
              <c:numCache>
                <c:formatCode>0.00</c:formatCode>
                <c:ptCount val="3"/>
                <c:pt idx="0">
                  <c:v>6.2425673314155636</c:v>
                </c:pt>
                <c:pt idx="1">
                  <c:v>5.449228647155719</c:v>
                </c:pt>
                <c:pt idx="2">
                  <c:v>5.3497650271903323</c:v>
                </c:pt>
              </c:numCache>
            </c:numRef>
          </c:val>
          <c:extLst>
            <c:ext xmlns:c16="http://schemas.microsoft.com/office/drawing/2014/chart" uri="{C3380CC4-5D6E-409C-BE32-E72D297353CC}">
              <c16:uniqueId val="{0000000D-324A-4738-9509-6E58CA1E786C}"/>
            </c:ext>
          </c:extLst>
        </c:ser>
        <c:ser>
          <c:idx val="4"/>
          <c:order val="4"/>
          <c:tx>
            <c:strRef>
              <c:f>Обязательства!$G$7</c:f>
              <c:strCache>
                <c:ptCount val="1"/>
                <c:pt idx="0">
                  <c:v>Долговые ценные бумаги</c:v>
                </c:pt>
              </c:strCache>
            </c:strRef>
          </c:tx>
          <c:spPr>
            <a:solidFill>
              <a:schemeClr val="accent3">
                <a:lumMod val="75000"/>
              </a:schemeClr>
            </a:solidFill>
          </c:spPr>
          <c:invertIfNegative val="0"/>
          <c:dLbls>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Обязательства!$G$8:$G$10</c:f>
              <c:numCache>
                <c:formatCode>0.00</c:formatCode>
                <c:ptCount val="3"/>
                <c:pt idx="0">
                  <c:v>10.193053019825777</c:v>
                </c:pt>
                <c:pt idx="1">
                  <c:v>12.956550513341067</c:v>
                </c:pt>
                <c:pt idx="2">
                  <c:v>12.59317752265861</c:v>
                </c:pt>
              </c:numCache>
            </c:numRef>
          </c:val>
          <c:extLst>
            <c:ext xmlns:c16="http://schemas.microsoft.com/office/drawing/2014/chart" uri="{C3380CC4-5D6E-409C-BE32-E72D297353CC}">
              <c16:uniqueId val="{0000000E-324A-4738-9509-6E58CA1E786C}"/>
            </c:ext>
          </c:extLst>
        </c:ser>
        <c:ser>
          <c:idx val="5"/>
          <c:order val="5"/>
          <c:tx>
            <c:strRef>
              <c:f>Обязательства!$H$7</c:f>
              <c:strCache>
                <c:ptCount val="1"/>
                <c:pt idx="0">
                  <c:v>Валюта и депозиты</c:v>
                </c:pt>
              </c:strCache>
            </c:strRef>
          </c:tx>
          <c:spPr>
            <a:solidFill>
              <a:schemeClr val="accent2">
                <a:lumMod val="75000"/>
              </a:schemeClr>
            </a:solidFill>
          </c:spPr>
          <c:invertIfNegative val="0"/>
          <c:dLbls>
            <c:dLbl>
              <c:idx val="0"/>
              <c:layout>
                <c:manualLayout>
                  <c:x val="-3.4582633227892767E-3"/>
                  <c:y val="3.7708931328116605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24A-4738-9509-6E58CA1E786C}"/>
                </c:ext>
              </c:extLst>
            </c:dLbl>
            <c:dLbl>
              <c:idx val="1"/>
              <c:layout>
                <c:manualLayout>
                  <c:x val="0"/>
                  <c:y val="1.265384030184240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24A-4738-9509-6E58CA1E786C}"/>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Обязательства!$H$8:$H$10</c:f>
              <c:numCache>
                <c:formatCode>0.00</c:formatCode>
                <c:ptCount val="3"/>
                <c:pt idx="0">
                  <c:v>51.494775884030261</c:v>
                </c:pt>
                <c:pt idx="1">
                  <c:v>47.454478741327179</c:v>
                </c:pt>
                <c:pt idx="2">
                  <c:v>46.444993353474331</c:v>
                </c:pt>
              </c:numCache>
            </c:numRef>
          </c:val>
          <c:extLst>
            <c:ext xmlns:c16="http://schemas.microsoft.com/office/drawing/2014/chart" uri="{C3380CC4-5D6E-409C-BE32-E72D297353CC}">
              <c16:uniqueId val="{00000011-324A-4738-9509-6E58CA1E786C}"/>
            </c:ext>
          </c:extLst>
        </c:ser>
        <c:ser>
          <c:idx val="6"/>
          <c:order val="6"/>
          <c:tx>
            <c:strRef>
              <c:f>Обязательства!$I$7</c:f>
              <c:strCache>
                <c:ptCount val="1"/>
                <c:pt idx="0">
                  <c:v>Золото и СДР</c:v>
                </c:pt>
              </c:strCache>
            </c:strRef>
          </c:tx>
          <c:invertIfNegative val="0"/>
          <c:dLbls>
            <c:dLbl>
              <c:idx val="0"/>
              <c:layout>
                <c:manualLayout>
                  <c:x val="0"/>
                  <c:y val="1.299425925007821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24A-4738-9509-6E58CA1E786C}"/>
                </c:ext>
              </c:extLst>
            </c:dLbl>
            <c:dLbl>
              <c:idx val="1"/>
              <c:layout>
                <c:manualLayout>
                  <c:x val="-6.3400761840125473E-17"/>
                  <c:y val="1.29045066083587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24A-4738-9509-6E58CA1E786C}"/>
                </c:ext>
              </c:extLst>
            </c:dLbl>
            <c:dLbl>
              <c:idx val="2"/>
              <c:layout>
                <c:manualLayout>
                  <c:x val="0"/>
                  <c:y val="7.729625722936159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24A-4738-9509-6E58CA1E786C}"/>
                </c:ext>
              </c:extLst>
            </c:dLbl>
            <c:spPr>
              <a:noFill/>
              <a:ln>
                <a:noFill/>
              </a:ln>
              <a:effectLst/>
            </c:spPr>
            <c:txPr>
              <a:bodyPr/>
              <a:lstStyle/>
              <a:p>
                <a:pPr>
                  <a:defRPr>
                    <a:solidFill>
                      <a:schemeClr val="bg1"/>
                    </a:solidFill>
                  </a:defRPr>
                </a:pPr>
                <a:endParaRPr lang="ru-RU"/>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Обязательства!$B$8:$B$10</c:f>
              <c:strCache>
                <c:ptCount val="3"/>
                <c:pt idx="0">
                  <c:v>Статистика государственных финансов по государственному сектору за 2018 год</c:v>
                </c:pt>
                <c:pt idx="1">
                  <c:v>Статистика государственных финансов по государственному сектору за 2019 год</c:v>
                </c:pt>
                <c:pt idx="2">
                  <c:v>Статистика государственных финансов по государственному сектору за 2020 год</c:v>
                </c:pt>
              </c:strCache>
            </c:strRef>
          </c:cat>
          <c:val>
            <c:numRef>
              <c:f>Обязательства!$I$8:$I$10</c:f>
              <c:numCache>
                <c:formatCode>0.00</c:formatCode>
                <c:ptCount val="3"/>
                <c:pt idx="0">
                  <c:v>0.52570436534635012</c:v>
                </c:pt>
                <c:pt idx="1">
                  <c:v>0.45993585156114186</c:v>
                </c:pt>
                <c:pt idx="2">
                  <c:v>0.46440720241691846</c:v>
                </c:pt>
              </c:numCache>
            </c:numRef>
          </c:val>
          <c:extLst>
            <c:ext xmlns:c16="http://schemas.microsoft.com/office/drawing/2014/chart" uri="{C3380CC4-5D6E-409C-BE32-E72D297353CC}">
              <c16:uniqueId val="{00000015-324A-4738-9509-6E58CA1E786C}"/>
            </c:ext>
          </c:extLst>
        </c:ser>
        <c:dLbls>
          <c:dLblPos val="inBase"/>
          <c:showLegendKey val="0"/>
          <c:showVal val="1"/>
          <c:showCatName val="0"/>
          <c:showSerName val="0"/>
          <c:showPercent val="0"/>
          <c:showBubbleSize val="0"/>
        </c:dLbls>
        <c:gapWidth val="150"/>
        <c:overlap val="100"/>
        <c:axId val="129157120"/>
        <c:axId val="132670016"/>
      </c:barChart>
      <c:catAx>
        <c:axId val="129157120"/>
        <c:scaling>
          <c:orientation val="minMax"/>
        </c:scaling>
        <c:delete val="0"/>
        <c:axPos val="b"/>
        <c:numFmt formatCode="General" sourceLinked="0"/>
        <c:majorTickMark val="out"/>
        <c:minorTickMark val="none"/>
        <c:tickLblPos val="nextTo"/>
        <c:crossAx val="132670016"/>
        <c:crosses val="autoZero"/>
        <c:auto val="1"/>
        <c:lblAlgn val="ctr"/>
        <c:lblOffset val="100"/>
        <c:noMultiLvlLbl val="0"/>
      </c:catAx>
      <c:valAx>
        <c:axId val="132670016"/>
        <c:scaling>
          <c:orientation val="minMax"/>
        </c:scaling>
        <c:delete val="0"/>
        <c:axPos val="l"/>
        <c:majorGridlines/>
        <c:numFmt formatCode="0%" sourceLinked="1"/>
        <c:majorTickMark val="out"/>
        <c:minorTickMark val="none"/>
        <c:tickLblPos val="nextTo"/>
        <c:crossAx val="1291571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0ACB7-328C-4DF0-9058-8F9752FA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3982</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КУЛИЕВ АЗРЕТ ПАХВАТДИНОВИЧ</dc:creator>
  <cp:keywords/>
  <dc:description/>
  <cp:lastModifiedBy>САФАРОВА НАТАЛЬЯ АЛЕКСАНДРОВНА</cp:lastModifiedBy>
  <cp:revision>2</cp:revision>
  <cp:lastPrinted>2021-12-22T09:30:00Z</cp:lastPrinted>
  <dcterms:created xsi:type="dcterms:W3CDTF">2021-12-22T09:58:00Z</dcterms:created>
  <dcterms:modified xsi:type="dcterms:W3CDTF">2021-12-22T09:58:00Z</dcterms:modified>
</cp:coreProperties>
</file>