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C18" w:rsidRDefault="00A77C1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77C18" w:rsidRDefault="00A77C18">
      <w:pPr>
        <w:pStyle w:val="ConsPlusNormal"/>
        <w:jc w:val="both"/>
        <w:outlineLvl w:val="0"/>
      </w:pPr>
    </w:p>
    <w:p w:rsidR="00A77C18" w:rsidRDefault="00A77C18">
      <w:pPr>
        <w:pStyle w:val="ConsPlusTitle"/>
        <w:jc w:val="center"/>
        <w:outlineLvl w:val="0"/>
      </w:pPr>
      <w:r>
        <w:t>ПРАВИТЕЛЬСТВО РОССИЙСКОЙ ФЕДЕРАЦИИ</w:t>
      </w:r>
    </w:p>
    <w:p w:rsidR="00A77C18" w:rsidRDefault="00A77C18">
      <w:pPr>
        <w:pStyle w:val="ConsPlusTitle"/>
        <w:jc w:val="center"/>
      </w:pPr>
    </w:p>
    <w:p w:rsidR="00A77C18" w:rsidRDefault="00A77C18">
      <w:pPr>
        <w:pStyle w:val="ConsPlusTitle"/>
        <w:jc w:val="center"/>
      </w:pPr>
      <w:r>
        <w:t>ПОСТАНОВЛЕНИЕ</w:t>
      </w:r>
    </w:p>
    <w:p w:rsidR="00A77C18" w:rsidRDefault="00A77C18">
      <w:pPr>
        <w:pStyle w:val="ConsPlusTitle"/>
        <w:jc w:val="center"/>
      </w:pPr>
      <w:r>
        <w:t>от 1 декабря 2021 г. N 2155</w:t>
      </w:r>
    </w:p>
    <w:p w:rsidR="00A77C18" w:rsidRDefault="00A77C18">
      <w:pPr>
        <w:pStyle w:val="ConsPlusTitle"/>
        <w:jc w:val="center"/>
      </w:pPr>
    </w:p>
    <w:p w:rsidR="00A77C18" w:rsidRDefault="00A77C18">
      <w:pPr>
        <w:pStyle w:val="ConsPlusTitle"/>
        <w:jc w:val="center"/>
      </w:pPr>
      <w:r>
        <w:t>ОБ УТВЕРЖДЕНИИ ОБЩИХ ТРЕБОВАНИЙ</w:t>
      </w:r>
    </w:p>
    <w:p w:rsidR="00A77C18" w:rsidRDefault="00A77C18">
      <w:pPr>
        <w:pStyle w:val="ConsPlusTitle"/>
        <w:jc w:val="center"/>
      </w:pPr>
      <w:r>
        <w:t>К ПОРЯДКУ ОСУЩЕСТВЛЕНИЯ ФИНАНСОВЫМИ ОРГАНАМИ СУБЪЕКТОВ</w:t>
      </w:r>
    </w:p>
    <w:p w:rsidR="00A77C18" w:rsidRDefault="00A77C18">
      <w:pPr>
        <w:pStyle w:val="ConsPlusTitle"/>
        <w:jc w:val="center"/>
      </w:pPr>
      <w:r>
        <w:t>РОССИЙСКОЙ ФЕДЕРАЦИИ (МУНИЦИПАЛЬНЫХ ОБРАЗОВАНИЙ)</w:t>
      </w:r>
    </w:p>
    <w:p w:rsidR="00A77C18" w:rsidRDefault="00A77C18">
      <w:pPr>
        <w:pStyle w:val="ConsPlusTitle"/>
        <w:jc w:val="center"/>
      </w:pPr>
      <w:r>
        <w:t>КАЗНАЧЕЙСКОГО СОПРОВОЖДЕНИЯ СРЕДСТВ</w:t>
      </w:r>
    </w:p>
    <w:p w:rsidR="00A77C18" w:rsidRDefault="00A77C18">
      <w:pPr>
        <w:pStyle w:val="ConsPlusNormal"/>
        <w:jc w:val="both"/>
      </w:pPr>
    </w:p>
    <w:p w:rsidR="00A77C18" w:rsidRDefault="00A77C18">
      <w:pPr>
        <w:pStyle w:val="ConsPlusNormal"/>
        <w:ind w:firstLine="540"/>
        <w:jc w:val="both"/>
      </w:pPr>
      <w:r>
        <w:t xml:space="preserve">В соответствии с </w:t>
      </w:r>
      <w:hyperlink r:id="rId5" w:history="1">
        <w:r>
          <w:rPr>
            <w:color w:val="0000FF"/>
          </w:rPr>
          <w:t>пунктом 5 статьи 242.23</w:t>
        </w:r>
      </w:hyperlink>
      <w:r>
        <w:t xml:space="preserve"> Бюджетного кодекса Российской Федерации Правительство Российской Федерации постановляет:</w:t>
      </w:r>
    </w:p>
    <w:p w:rsidR="00A77C18" w:rsidRDefault="00A77C18">
      <w:pPr>
        <w:pStyle w:val="ConsPlusNormal"/>
        <w:spacing w:before="220"/>
        <w:ind w:firstLine="540"/>
        <w:jc w:val="both"/>
      </w:pPr>
      <w:r>
        <w:t xml:space="preserve">1. Утвердить прилагаемые общие </w:t>
      </w:r>
      <w:hyperlink w:anchor="P28" w:history="1">
        <w:r>
          <w:rPr>
            <w:color w:val="0000FF"/>
          </w:rPr>
          <w:t>требования</w:t>
        </w:r>
      </w:hyperlink>
      <w:r>
        <w:t xml:space="preserve"> к порядку осуществления финансовыми органами субъектов Российской Федерации (муниципальных образований) казначейского сопровождения средств.</w:t>
      </w:r>
    </w:p>
    <w:p w:rsidR="00A77C18" w:rsidRDefault="00A77C18">
      <w:pPr>
        <w:pStyle w:val="ConsPlusNormal"/>
        <w:spacing w:before="220"/>
        <w:ind w:firstLine="540"/>
        <w:jc w:val="both"/>
      </w:pPr>
      <w:r>
        <w:t>2. Настоящее постановление вступает в силу с 1 января 2022 г.</w:t>
      </w:r>
    </w:p>
    <w:p w:rsidR="00A77C18" w:rsidRDefault="00A77C18">
      <w:pPr>
        <w:pStyle w:val="ConsPlusNormal"/>
        <w:jc w:val="both"/>
      </w:pPr>
    </w:p>
    <w:p w:rsidR="00A77C18" w:rsidRDefault="00A77C18">
      <w:pPr>
        <w:pStyle w:val="ConsPlusNormal"/>
        <w:jc w:val="right"/>
      </w:pPr>
      <w:r>
        <w:t>Председатель Правительства</w:t>
      </w:r>
    </w:p>
    <w:p w:rsidR="00A77C18" w:rsidRDefault="00A77C18">
      <w:pPr>
        <w:pStyle w:val="ConsPlusNormal"/>
        <w:jc w:val="right"/>
      </w:pPr>
      <w:r>
        <w:t>Российской Федерации</w:t>
      </w:r>
    </w:p>
    <w:p w:rsidR="00A77C18" w:rsidRDefault="00A77C18">
      <w:pPr>
        <w:pStyle w:val="ConsPlusNormal"/>
        <w:jc w:val="right"/>
      </w:pPr>
      <w:r>
        <w:t>М.МИШУСТИН</w:t>
      </w:r>
    </w:p>
    <w:p w:rsidR="00A77C18" w:rsidRDefault="00A77C18">
      <w:pPr>
        <w:pStyle w:val="ConsPlusNormal"/>
        <w:jc w:val="both"/>
      </w:pPr>
    </w:p>
    <w:p w:rsidR="00A77C18" w:rsidRDefault="00A77C18">
      <w:pPr>
        <w:pStyle w:val="ConsPlusNormal"/>
        <w:jc w:val="both"/>
      </w:pPr>
    </w:p>
    <w:p w:rsidR="00A77C18" w:rsidRDefault="00A77C18">
      <w:pPr>
        <w:pStyle w:val="ConsPlusNormal"/>
        <w:jc w:val="both"/>
      </w:pPr>
    </w:p>
    <w:p w:rsidR="00A77C18" w:rsidRDefault="00A77C18">
      <w:pPr>
        <w:pStyle w:val="ConsPlusNormal"/>
        <w:jc w:val="both"/>
      </w:pPr>
    </w:p>
    <w:p w:rsidR="00A77C18" w:rsidRDefault="00A77C18">
      <w:pPr>
        <w:pStyle w:val="ConsPlusNormal"/>
        <w:jc w:val="both"/>
      </w:pPr>
    </w:p>
    <w:p w:rsidR="00A77C18" w:rsidRDefault="00A77C18">
      <w:pPr>
        <w:pStyle w:val="ConsPlusNormal"/>
        <w:jc w:val="right"/>
        <w:outlineLvl w:val="0"/>
      </w:pPr>
      <w:r>
        <w:t>Утверждены</w:t>
      </w:r>
    </w:p>
    <w:p w:rsidR="00A77C18" w:rsidRDefault="00A77C18">
      <w:pPr>
        <w:pStyle w:val="ConsPlusNormal"/>
        <w:jc w:val="right"/>
      </w:pPr>
      <w:r>
        <w:t>постановлением Правительства</w:t>
      </w:r>
    </w:p>
    <w:p w:rsidR="00A77C18" w:rsidRDefault="00A77C18">
      <w:pPr>
        <w:pStyle w:val="ConsPlusNormal"/>
        <w:jc w:val="right"/>
      </w:pPr>
      <w:r>
        <w:t>Российской Федерации</w:t>
      </w:r>
    </w:p>
    <w:p w:rsidR="00A77C18" w:rsidRDefault="00A77C18">
      <w:pPr>
        <w:pStyle w:val="ConsPlusNormal"/>
        <w:jc w:val="right"/>
      </w:pPr>
      <w:r>
        <w:t>от 1 декабря 2021 г. N 2155</w:t>
      </w:r>
    </w:p>
    <w:p w:rsidR="00A77C18" w:rsidRDefault="00A77C18">
      <w:pPr>
        <w:pStyle w:val="ConsPlusNormal"/>
        <w:jc w:val="both"/>
      </w:pPr>
    </w:p>
    <w:p w:rsidR="00A77C18" w:rsidRDefault="00A77C18">
      <w:pPr>
        <w:pStyle w:val="ConsPlusTitle"/>
        <w:jc w:val="center"/>
      </w:pPr>
      <w:bookmarkStart w:id="0" w:name="P28"/>
      <w:bookmarkEnd w:id="0"/>
      <w:r>
        <w:t>ОБЩИЕ ТРЕБОВАНИЯ</w:t>
      </w:r>
    </w:p>
    <w:p w:rsidR="00A77C18" w:rsidRDefault="00A77C18">
      <w:pPr>
        <w:pStyle w:val="ConsPlusTitle"/>
        <w:jc w:val="center"/>
      </w:pPr>
      <w:r>
        <w:t>К ПОРЯДКУ ОСУЩЕСТВЛЕНИЯ ФИНАНСОВЫМИ ОРГАНАМИ СУБЪЕКТОВ</w:t>
      </w:r>
    </w:p>
    <w:p w:rsidR="00A77C18" w:rsidRDefault="00A77C18">
      <w:pPr>
        <w:pStyle w:val="ConsPlusTitle"/>
        <w:jc w:val="center"/>
      </w:pPr>
      <w:r>
        <w:t>РОССИЙСКОЙ ФЕДЕРАЦИИ (МУНИЦИПАЛЬНЫХ ОБРАЗОВАНИЙ)</w:t>
      </w:r>
    </w:p>
    <w:p w:rsidR="00A77C18" w:rsidRDefault="00A77C18">
      <w:pPr>
        <w:pStyle w:val="ConsPlusTitle"/>
        <w:jc w:val="center"/>
      </w:pPr>
      <w:r>
        <w:t>КАЗНАЧЕЙСКОГО СОПРОВОЖДЕНИЯ СРЕДСТВ</w:t>
      </w:r>
    </w:p>
    <w:p w:rsidR="00A77C18" w:rsidRDefault="00A77C18">
      <w:pPr>
        <w:pStyle w:val="ConsPlusNormal"/>
        <w:jc w:val="both"/>
      </w:pPr>
    </w:p>
    <w:p w:rsidR="00A77C18" w:rsidRDefault="00A77C18">
      <w:pPr>
        <w:pStyle w:val="ConsPlusNormal"/>
        <w:ind w:firstLine="540"/>
        <w:jc w:val="both"/>
      </w:pPr>
      <w:r>
        <w:t xml:space="preserve">1. Настоящий документ определяет общие требования к порядку осуществления финансовыми органами субъекта Российской Федерации (муниципального образования) казначейского сопровождения средств, определенных в соответствии со </w:t>
      </w:r>
      <w:hyperlink r:id="rId6" w:history="1">
        <w:r>
          <w:rPr>
            <w:color w:val="0000FF"/>
          </w:rPr>
          <w:t>статьей 242.26</w:t>
        </w:r>
      </w:hyperlink>
      <w:r>
        <w:t xml:space="preserve"> Бюджетного кодекса Российской Федерации, предоставляемых участникам казначейского сопровождения из бюджета субъекта Российской Федерации (местного бюджета) (далее соответственно - целевые средства, региональный (муниципальный) участник казначейского сопровождения).</w:t>
      </w:r>
    </w:p>
    <w:p w:rsidR="00A77C18" w:rsidRDefault="00A77C18">
      <w:pPr>
        <w:pStyle w:val="ConsPlusNormal"/>
        <w:spacing w:before="220"/>
        <w:ind w:firstLine="540"/>
        <w:jc w:val="both"/>
      </w:pPr>
      <w:r>
        <w:t>2. Порядок осуществления казначейского сопровождения целевых средств, установленный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(далее - порядок казначейского сопровождения целевых средств), содержит в том числе следующие положения:</w:t>
      </w:r>
    </w:p>
    <w:p w:rsidR="00A77C18" w:rsidRDefault="00A77C18">
      <w:pPr>
        <w:pStyle w:val="ConsPlusNormal"/>
        <w:spacing w:before="220"/>
        <w:ind w:firstLine="540"/>
        <w:jc w:val="both"/>
      </w:pPr>
      <w:r>
        <w:t xml:space="preserve">а) о предоставлении целевых средств на основании государственных (муниципальных) контрактов о поставке товаров, выполнении работ, оказании услуг (далее - государственный (муниципальный) контракт), договоров (соглашений) о предоставлении субсидий, договоров о предоставлении бюджетных инвестиций в соответствии со </w:t>
      </w:r>
      <w:hyperlink r:id="rId7" w:history="1">
        <w:r>
          <w:rPr>
            <w:color w:val="0000FF"/>
          </w:rPr>
          <w:t>статьей 80</w:t>
        </w:r>
      </w:hyperlink>
      <w:r>
        <w:t xml:space="preserve">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указанные субсидии и бюджетные инвестиции (далее - договор (соглашение), 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(муниципальных) контрактов, договоров (соглашений) (далее - контракт (договор), содержащих положения, аналогичные установленным </w:t>
      </w:r>
      <w:hyperlink r:id="rId8" w:history="1">
        <w:r>
          <w:rPr>
            <w:color w:val="0000FF"/>
          </w:rPr>
          <w:t>пунктом 2 статьи 242.23</w:t>
        </w:r>
      </w:hyperlink>
      <w:r>
        <w:t xml:space="preserve"> Бюджетного кодекса Российской Федерации;</w:t>
      </w:r>
    </w:p>
    <w:p w:rsidR="00A77C18" w:rsidRDefault="00A77C18">
      <w:pPr>
        <w:pStyle w:val="ConsPlusNormal"/>
        <w:spacing w:before="220"/>
        <w:ind w:firstLine="540"/>
        <w:jc w:val="both"/>
      </w:pPr>
      <w:r>
        <w:t xml:space="preserve">б) об осуществлении операций с целевыми средствами на лицевых счетах, открываемых региональным (муниципальным) участникам казначейского сопровождения в финансовом органе субъекта Российской Федерации (муниципального образования) в установленном им порядке в соответствии с общими требованиями, установленными Федеральным казначейством согласно </w:t>
      </w:r>
      <w:hyperlink r:id="rId9" w:history="1">
        <w:r>
          <w:rPr>
            <w:color w:val="0000FF"/>
          </w:rPr>
          <w:t>пункту 9 статьи 220.1</w:t>
        </w:r>
      </w:hyperlink>
      <w:r>
        <w:t xml:space="preserve"> Бюджетного кодекса Российской Федерации (далее - лицевой счет), и необходимости соблюдения региональными (муниципальными) участниками казначейского сопровождения условий ведения и использования лицевого счета (режима лицевого счета), указанных в </w:t>
      </w:r>
      <w:hyperlink r:id="rId10" w:history="1">
        <w:r>
          <w:rPr>
            <w:color w:val="0000FF"/>
          </w:rPr>
          <w:t>пункте 3 статьи 242.23</w:t>
        </w:r>
      </w:hyperlink>
      <w:r>
        <w:t xml:space="preserve"> Бюджетного кодекса Российской Федерации;</w:t>
      </w:r>
    </w:p>
    <w:p w:rsidR="00A77C18" w:rsidRDefault="00A77C18">
      <w:pPr>
        <w:pStyle w:val="ConsPlusNormal"/>
        <w:spacing w:before="220"/>
        <w:ind w:firstLine="540"/>
        <w:jc w:val="both"/>
      </w:pPr>
      <w:r>
        <w:t xml:space="preserve">в) о проведении территориальным органом Федерального казначейства в порядке, установленном Правительством Российской Федерации в соответствии со </w:t>
      </w:r>
      <w:hyperlink r:id="rId11" w:history="1">
        <w:r>
          <w:rPr>
            <w:color w:val="0000FF"/>
          </w:rPr>
          <w:t>статьей 242.13-1</w:t>
        </w:r>
      </w:hyperlink>
      <w:r>
        <w:t xml:space="preserve"> Бюджетного кодекса Российской Федерации, бюджетного мониторинга при открытии лицевых счетов и осуществлении операций на указанных лицевых счетах;</w:t>
      </w:r>
    </w:p>
    <w:p w:rsidR="00A77C18" w:rsidRDefault="00A77C18">
      <w:pPr>
        <w:pStyle w:val="ConsPlusNormal"/>
        <w:spacing w:before="220"/>
        <w:ind w:firstLine="540"/>
        <w:jc w:val="both"/>
      </w:pPr>
      <w:r>
        <w:t>г) о проведении операций с целевыми средствами на лицевых счетах после осуществления финансовым органом субъекта Российской Федерации (муниципального образования) санкционирования указанных операций в порядке, установленном финансовым органом субъекта Российской Федерации (финансовым органом муниципального образования) в соответствии с настоящим документом (далее - порядок санкционирования);</w:t>
      </w:r>
    </w:p>
    <w:p w:rsidR="00A77C18" w:rsidRDefault="00A77C18">
      <w:pPr>
        <w:pStyle w:val="ConsPlusNormal"/>
        <w:spacing w:before="220"/>
        <w:ind w:firstLine="540"/>
        <w:jc w:val="both"/>
      </w:pPr>
      <w:r>
        <w:t xml:space="preserve">д) об осуществлении расширенного казначейского сопровождения в случаях и порядке, установленных Правительством Российской Федерации в соответствии с </w:t>
      </w:r>
      <w:hyperlink r:id="rId12" w:history="1">
        <w:r>
          <w:rPr>
            <w:color w:val="0000FF"/>
          </w:rPr>
          <w:t>пунктом 3 статьи 242.24</w:t>
        </w:r>
      </w:hyperlink>
      <w:r>
        <w:t xml:space="preserve"> Бюджетного кодекса Российской Федерации;</w:t>
      </w:r>
    </w:p>
    <w:p w:rsidR="00A77C18" w:rsidRDefault="00A77C18">
      <w:pPr>
        <w:pStyle w:val="ConsPlusNormal"/>
        <w:spacing w:before="220"/>
        <w:ind w:firstLine="540"/>
        <w:jc w:val="both"/>
      </w:pPr>
      <w:r>
        <w:t>е) о взаимодействии при осуществлении операций с целевыми средствами, а также при обмене документами между финансовым органом субъекта Российской Федерации (муниципального образования), получателем средств бюджета субъекта Российской Федерации (местного бюджета), которому доведены лимиты бюджетных обязательств на предоставление целевых средств, и региональными (муниципальными) участниками казначейского сопровождения, в том числе с учетом соблюдения требований, установленных законодательством Российской Федерации о государственной и иной охраняемой в соответствии с федеральными законами, нормативными правовыми актами Президента Российской Федерации и Правительства Российской Федерации тайне;</w:t>
      </w:r>
    </w:p>
    <w:p w:rsidR="00A77C18" w:rsidRDefault="00A77C18">
      <w:pPr>
        <w:pStyle w:val="ConsPlusNormal"/>
        <w:spacing w:before="220"/>
        <w:ind w:firstLine="540"/>
        <w:jc w:val="both"/>
      </w:pPr>
      <w:r>
        <w:t>ж) о ежедневном (в рабочие дни) предоставлении финансовым органом субъекта Российской Федерации (муниципального образования) информации о государственных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в порядке, установленном Федеральным казначейством, в подсистему информационно-аналитического обеспечения государственной интегрированной информационной системы управления общественными финансами "Электронный бюджет", оператором которой является Федеральное казначейство, либо об использовании финансовым органом субъекта Российской Федерации (муниципальным образованием) подсистемы ведения нормативной справочной информации и подсистемы управления расходами указанной информационной системы, оператором которых является Федеральное казначейство, для открытия лицевых счетов региональным (муниципальным) участникам казначейского сопровождения и отражения операций по зачислению и списанию целевых средств на этих лицевых счетах.</w:t>
      </w:r>
    </w:p>
    <w:p w:rsidR="00A77C18" w:rsidRDefault="00A77C18">
      <w:pPr>
        <w:pStyle w:val="ConsPlusNormal"/>
        <w:spacing w:before="220"/>
        <w:ind w:firstLine="540"/>
        <w:jc w:val="both"/>
      </w:pPr>
      <w:r>
        <w:t xml:space="preserve">3. В случае если федеральными законами или решениями Правительства Российской Федерации, предусмотренными </w:t>
      </w:r>
      <w:hyperlink r:id="rId13" w:history="1">
        <w:r>
          <w:rPr>
            <w:color w:val="0000FF"/>
          </w:rPr>
          <w:t>подпунктом 2 пункта 1 статьи 242.26</w:t>
        </w:r>
      </w:hyperlink>
      <w:r>
        <w:t xml:space="preserve"> Бюджетного кодекса Российской Федерации, установлены требования о казначейском сопровождении целевых средств, предоставляемых на основании концессионных соглашений, соглашений о государственно-частном партнерстве (</w:t>
      </w:r>
      <w:proofErr w:type="spellStart"/>
      <w:r>
        <w:t>муниципально</w:t>
      </w:r>
      <w:proofErr w:type="spellEnd"/>
      <w:r>
        <w:t>-частном партнерстве), порядком казначейского сопровождения целевых средств устанавливаются положения о распространении положений порядка казначейского сопровождения целевых средств, касающихся договоров (соглашений), в отношении указанных соглашений.</w:t>
      </w:r>
    </w:p>
    <w:p w:rsidR="00A77C18" w:rsidRDefault="00A77C18">
      <w:pPr>
        <w:pStyle w:val="ConsPlusNormal"/>
        <w:spacing w:before="220"/>
        <w:ind w:firstLine="540"/>
        <w:jc w:val="both"/>
      </w:pPr>
      <w:r>
        <w:t>4. Порядок санкционирования содержит в том числе следующие положения:</w:t>
      </w:r>
    </w:p>
    <w:p w:rsidR="00A77C18" w:rsidRDefault="00A77C18">
      <w:pPr>
        <w:pStyle w:val="ConsPlusNormal"/>
        <w:spacing w:before="220"/>
        <w:ind w:firstLine="540"/>
        <w:jc w:val="both"/>
      </w:pPr>
      <w:bookmarkStart w:id="1" w:name="P44"/>
      <w:bookmarkEnd w:id="1"/>
      <w:r>
        <w:t>а) об осуществлении санкционирования расходов, источником финансового обеспечения которых являются целевые средства (далее - целевые расходы), в соответствии с представляемыми региональными (муниципальными) участниками казначейского сопровождения в финансовый орган субъекта Российской Федерации (муниципального образования) сведениями об операциях с целевыми средствами, содержащими источники поступлений целевых средств, направления расходования целевых средств и иные показатели, необходимые для санкционирования целевых расходов, а также о порядке формирования, утверждения указанных сведений и внесения в них изменений;</w:t>
      </w:r>
    </w:p>
    <w:p w:rsidR="00A77C18" w:rsidRDefault="00A77C18">
      <w:pPr>
        <w:pStyle w:val="ConsPlusNormal"/>
        <w:spacing w:before="220"/>
        <w:ind w:firstLine="540"/>
        <w:jc w:val="both"/>
      </w:pPr>
      <w:r>
        <w:t xml:space="preserve">б) о представлении региональным (муниципальным) участником казначейского сопровождения в финансовый орган субъекта Российской Федерации (муниципального образования) для санкционирования целевых расходов вместе с распоряжением о совершении казначейских платежей государственного (муниципального) контракта, договора (соглашения), контракта (договора) и документов, подтверждающих возникновение денежных обязательств региональных (муниципальных) участников казначейского сопровождения, установленных порядком санкционирования (далее - документы-основания), а также о порядке их проверки, в том числе на соответствие сведениям, указанным в </w:t>
      </w:r>
      <w:hyperlink w:anchor="P44" w:history="1">
        <w:r>
          <w:rPr>
            <w:color w:val="0000FF"/>
          </w:rPr>
          <w:t>подпункте "а"</w:t>
        </w:r>
      </w:hyperlink>
      <w:r>
        <w:t xml:space="preserve"> настоящего пункта;</w:t>
      </w:r>
    </w:p>
    <w:p w:rsidR="00A77C18" w:rsidRDefault="00A77C18">
      <w:pPr>
        <w:pStyle w:val="ConsPlusNormal"/>
        <w:spacing w:before="220"/>
        <w:ind w:firstLine="540"/>
        <w:jc w:val="both"/>
      </w:pPr>
      <w:r>
        <w:t>в) о порядке и сроках проведения проверки представленных региональным (муниципальным) участником казначейского сопровождения распоряжений о совершении казначейских платежей, в том числе проверки:</w:t>
      </w:r>
    </w:p>
    <w:p w:rsidR="00A77C18" w:rsidRDefault="00A77C18">
      <w:pPr>
        <w:pStyle w:val="ConsPlusNormal"/>
        <w:spacing w:before="220"/>
        <w:ind w:firstLine="540"/>
        <w:jc w:val="both"/>
      </w:pPr>
      <w:r>
        <w:t xml:space="preserve">соответствия идентификатора государственного (муниципального) контракта, договора (соглашения), определенного в соответствии с </w:t>
      </w:r>
      <w:hyperlink r:id="rId14" w:history="1">
        <w:r>
          <w:rPr>
            <w:color w:val="0000FF"/>
          </w:rPr>
          <w:t>подпунктом 3 пункта 2 статьи 242.23</w:t>
        </w:r>
      </w:hyperlink>
      <w:r>
        <w:t xml:space="preserve"> Бюджетного кодекса Российской Федерации, указанного в распоряжении о совершении казначейских платежей, идентификатору, указанному в государственном (муниципальном) контракте, договоре (соглашении), контракте (договоре), документах-основаниях и сведениях, указанных в </w:t>
      </w:r>
      <w:hyperlink w:anchor="P44" w:history="1">
        <w:r>
          <w:rPr>
            <w:color w:val="0000FF"/>
          </w:rPr>
          <w:t>подпункте "а"</w:t>
        </w:r>
      </w:hyperlink>
      <w:r>
        <w:t xml:space="preserve"> настоящего пункта;</w:t>
      </w:r>
    </w:p>
    <w:p w:rsidR="00A77C18" w:rsidRDefault="00A77C18">
      <w:pPr>
        <w:pStyle w:val="ConsPlusNormal"/>
        <w:spacing w:before="220"/>
        <w:ind w:firstLine="540"/>
        <w:jc w:val="both"/>
      </w:pPr>
      <w:r>
        <w:t>соответствия наименования, идентификационного номера налогоплательщика, кода причины постановки на учет, банковских реквизитов получателя денежных средств, указанных в распоряжении о совершении казначейских платежей, наименованию, идентификационному номеру налогоплательщика, коду причины постановки на учет, банковским реквизитам получателя денежных средств, указанным в контракте (договоре) и документах-основаниях;</w:t>
      </w:r>
    </w:p>
    <w:p w:rsidR="00A77C18" w:rsidRDefault="00A77C18">
      <w:pPr>
        <w:pStyle w:val="ConsPlusNormal"/>
        <w:spacing w:before="220"/>
        <w:ind w:firstLine="540"/>
        <w:jc w:val="both"/>
      </w:pPr>
      <w:proofErr w:type="spellStart"/>
      <w:r>
        <w:t>непревышения</w:t>
      </w:r>
      <w:proofErr w:type="spellEnd"/>
      <w:r>
        <w:t xml:space="preserve"> суммы, указанной в распоряжении о совершении казначейских платежей, над суммой остатка средств по соответствующему направлению расходования целевых средств, указанному в сведениях, указанных в </w:t>
      </w:r>
      <w:hyperlink w:anchor="P44" w:history="1">
        <w:r>
          <w:rPr>
            <w:color w:val="0000FF"/>
          </w:rPr>
          <w:t>подпункте "а"</w:t>
        </w:r>
      </w:hyperlink>
      <w:r>
        <w:t xml:space="preserve"> настоящего пункта, и суммой остатка средств на лицевом счете по соответствующему государственному (муниципальному) контракту, договору (соглашению), контракту (договору);</w:t>
      </w:r>
    </w:p>
    <w:p w:rsidR="00A77C18" w:rsidRDefault="00A77C18">
      <w:pPr>
        <w:pStyle w:val="ConsPlusNormal"/>
        <w:spacing w:before="220"/>
        <w:ind w:firstLine="540"/>
        <w:jc w:val="both"/>
      </w:pPr>
      <w:r>
        <w:t>наличия в распоряжении о совершении казначейских платежей, связанных с поставкой товаров (выполнением работ, оказанием услуг), реквизитов контракта (договора) (номер, дата), документов-оснований (номер, дата, тип) и их соответствия реквизитам контракта (договора), документов-оснований, представленных вместе с распоряжением о совершении казначейских платежей в финансовый орган субъекта Российской Федерации (муниципального образования);</w:t>
      </w:r>
    </w:p>
    <w:p w:rsidR="00A77C18" w:rsidRDefault="00A77C18">
      <w:pPr>
        <w:pStyle w:val="ConsPlusNormal"/>
        <w:spacing w:before="220"/>
        <w:ind w:firstLine="540"/>
        <w:jc w:val="both"/>
      </w:pPr>
      <w:r>
        <w:t>соответствия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распоряжении о совершении казначейских платежей, предмету (результатам) и условиям государственного (муниципального) контракта, договора (соглашения), контракта (договора);</w:t>
      </w:r>
    </w:p>
    <w:p w:rsidR="00A77C18" w:rsidRDefault="00A77C18">
      <w:pPr>
        <w:pStyle w:val="ConsPlusNormal"/>
        <w:spacing w:before="220"/>
        <w:ind w:firstLine="540"/>
        <w:jc w:val="both"/>
      </w:pPr>
      <w:r>
        <w:t xml:space="preserve">соответствия текстового назначения платежа, указанного в распоряжении о совершении казначейских платежей, направлению расходования целевых средств, указанному в сведениях, указанных в </w:t>
      </w:r>
      <w:hyperlink w:anchor="P44" w:history="1">
        <w:r>
          <w:rPr>
            <w:color w:val="0000FF"/>
          </w:rPr>
          <w:t>подпункте "а"</w:t>
        </w:r>
      </w:hyperlink>
      <w:r>
        <w:t xml:space="preserve"> настоящего пункта;</w:t>
      </w:r>
    </w:p>
    <w:p w:rsidR="00A77C18" w:rsidRDefault="00A77C18">
      <w:pPr>
        <w:pStyle w:val="ConsPlusNormal"/>
        <w:spacing w:before="220"/>
        <w:ind w:firstLine="540"/>
        <w:jc w:val="both"/>
      </w:pPr>
      <w:r>
        <w:t xml:space="preserve">соблюдения запретов на перечисление целевых средств с лицевого счета, предусмотренных </w:t>
      </w:r>
      <w:hyperlink r:id="rId15" w:history="1">
        <w:r>
          <w:rPr>
            <w:color w:val="0000FF"/>
          </w:rPr>
          <w:t>пунктом 3 статьи 242.23</w:t>
        </w:r>
      </w:hyperlink>
      <w:r>
        <w:t xml:space="preserve"> Бюджетного кодекса Российской Федерации;</w:t>
      </w:r>
    </w:p>
    <w:p w:rsidR="00A77C18" w:rsidRDefault="00A77C18">
      <w:pPr>
        <w:pStyle w:val="ConsPlusNormal"/>
        <w:spacing w:before="220"/>
        <w:ind w:firstLine="540"/>
        <w:jc w:val="both"/>
      </w:pPr>
      <w:r>
        <w:t>г) об основаниях и порядке возврата финансовым органом субъекта Российской Федерации (муниципального образования) распоряжений о совершении казначейских платежей;</w:t>
      </w:r>
    </w:p>
    <w:p w:rsidR="00A77C18" w:rsidRDefault="00A77C18">
      <w:pPr>
        <w:pStyle w:val="ConsPlusNormal"/>
        <w:spacing w:before="220"/>
        <w:ind w:firstLine="540"/>
        <w:jc w:val="both"/>
      </w:pPr>
      <w:r>
        <w:t xml:space="preserve">д) о запрете на осуществление операций на лицевом счете, отказе в осуществлении операций на лицевом счете при наличии оснований, указанных в </w:t>
      </w:r>
      <w:hyperlink r:id="rId16" w:history="1">
        <w:r>
          <w:rPr>
            <w:color w:val="0000FF"/>
          </w:rPr>
          <w:t>пунктах 10</w:t>
        </w:r>
      </w:hyperlink>
      <w:r>
        <w:t xml:space="preserve"> и </w:t>
      </w:r>
      <w:hyperlink r:id="rId17" w:history="1">
        <w:r>
          <w:rPr>
            <w:color w:val="0000FF"/>
          </w:rPr>
          <w:t>11 статьи 242.13-1</w:t>
        </w:r>
      </w:hyperlink>
      <w:r>
        <w:t xml:space="preserve"> Бюджетного кодекса Российской Федерации соответственно, а также о приостановлении операций на лицевом счете в соответствии с </w:t>
      </w:r>
      <w:hyperlink r:id="rId18" w:history="1">
        <w:r>
          <w:rPr>
            <w:color w:val="0000FF"/>
          </w:rPr>
          <w:t>пунктом 3 статьи 242.13-1</w:t>
        </w:r>
      </w:hyperlink>
      <w:r>
        <w:t xml:space="preserve"> Бюджетного кодекса Российской Федерации в порядке, предусмотренном </w:t>
      </w:r>
      <w:hyperlink r:id="rId19" w:history="1">
        <w:r>
          <w:rPr>
            <w:color w:val="0000FF"/>
          </w:rPr>
          <w:t>пунктом 1 статьи 242.13-1</w:t>
        </w:r>
      </w:hyperlink>
      <w:r>
        <w:t xml:space="preserve"> Бюджетного кодекса Российской Федерации;</w:t>
      </w:r>
    </w:p>
    <w:p w:rsidR="00A77C18" w:rsidRDefault="00A77C18">
      <w:pPr>
        <w:pStyle w:val="ConsPlusNormal"/>
        <w:spacing w:before="220"/>
        <w:ind w:firstLine="540"/>
        <w:jc w:val="both"/>
      </w:pPr>
      <w:r>
        <w:t xml:space="preserve">е) о проведении иных проверок финансовым органом субъекта Российской Федерации (муниципального образования) в отношении целевых средств, подлежащих расширенному казначейскому сопровождению, в случаях, установленных Правительством Российской Федерации в соответствии с </w:t>
      </w:r>
      <w:hyperlink r:id="rId20" w:history="1">
        <w:r>
          <w:rPr>
            <w:color w:val="0000FF"/>
          </w:rPr>
          <w:t>пунктом 3 статьи 242.24</w:t>
        </w:r>
      </w:hyperlink>
      <w:r>
        <w:t xml:space="preserve"> Бюджетного кодекса Российской Федерации.</w:t>
      </w:r>
    </w:p>
    <w:p w:rsidR="00A77C18" w:rsidRDefault="00A77C18">
      <w:pPr>
        <w:pStyle w:val="ConsPlusNormal"/>
        <w:jc w:val="both"/>
      </w:pPr>
    </w:p>
    <w:p w:rsidR="00A77C18" w:rsidRDefault="00A77C18">
      <w:pPr>
        <w:pStyle w:val="ConsPlusNormal"/>
        <w:jc w:val="both"/>
      </w:pPr>
    </w:p>
    <w:p w:rsidR="00A77C18" w:rsidRDefault="00A77C18">
      <w:pPr>
        <w:pStyle w:val="ConsPlusNormal"/>
        <w:pBdr>
          <w:top w:val="single" w:sz="6" w:space="0" w:color="auto"/>
        </w:pBdr>
        <w:spacing w:before="100" w:after="100"/>
        <w:jc w:val="both"/>
        <w:rPr>
          <w:sz w:val="2"/>
          <w:szCs w:val="2"/>
        </w:rPr>
      </w:pPr>
    </w:p>
    <w:p w:rsidR="00FD65A0" w:rsidRDefault="00FD65A0"/>
    <w:sectPr w:rsidR="00FD65A0" w:rsidSect="00DC5F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18"/>
    <w:rsid w:val="00A77C18"/>
    <w:rsid w:val="00BF4661"/>
    <w:rsid w:val="00FD6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2CCF0-3813-4BB9-A845-EC2C1E49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C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7C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7C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B8AAD3EE786A3B1D1B7BA756EF42AB464319EFE6973EC8E2540BBE78EF35CC031F315CC1B22FA72DD1298B7217C34BD9884B81CE82EDL7K" TargetMode="External"/><Relationship Id="rId13" Type="http://schemas.openxmlformats.org/officeDocument/2006/relationships/hyperlink" Target="consultantplus://offline/ref=D8B8AAD3EE786A3B1D1B7BA756EF42AB464319EFE6973EC8E2540BBE78EF35CC031F315CC1B125A72DD1298B7217C34BD9884B81CE82EDL7K" TargetMode="External"/><Relationship Id="rId18" Type="http://schemas.openxmlformats.org/officeDocument/2006/relationships/hyperlink" Target="consultantplus://offline/ref=D8B8AAD3EE786A3B1D1B7BA756EF42AB464319EFE6973EC8E2540BBE78EF35CC031F315CC0BE2DA72DD1298B7217C34BD9884B81CE82EDL7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D8B8AAD3EE786A3B1D1B7BA756EF42AB41441FE8E6973EC8E2540BBE78EF35CC031F315BC6B52DA87B8B398F3B43CB54DD945481D082D676EAL7K" TargetMode="External"/><Relationship Id="rId12" Type="http://schemas.openxmlformats.org/officeDocument/2006/relationships/hyperlink" Target="consultantplus://offline/ref=D8B8AAD3EE786A3B1D1B7BA756EF42AB464319EFE6973EC8E2540BBE78EF35CC031F315CC1B12DA72DD1298B7217C34BD9884B81CE82EDL7K" TargetMode="External"/><Relationship Id="rId17" Type="http://schemas.openxmlformats.org/officeDocument/2006/relationships/hyperlink" Target="consultantplus://offline/ref=D8B8AAD3EE786A3B1D1B7BA756EF42AB464319EFE6973EC8E2540BBE78EF35CC031F315CC1B628A72DD1298B7217C34BD9884B81CE82EDL7K" TargetMode="External"/><Relationship Id="rId2" Type="http://schemas.openxmlformats.org/officeDocument/2006/relationships/settings" Target="settings.xml"/><Relationship Id="rId16" Type="http://schemas.openxmlformats.org/officeDocument/2006/relationships/hyperlink" Target="consultantplus://offline/ref=D8B8AAD3EE786A3B1D1B7BA756EF42AB464319EFE6973EC8E2540BBE78EF35CC031F315CC1B62CA72DD1298B7217C34BD9884B81CE82EDL7K" TargetMode="External"/><Relationship Id="rId20" Type="http://schemas.openxmlformats.org/officeDocument/2006/relationships/hyperlink" Target="consultantplus://offline/ref=D8B8AAD3EE786A3B1D1B7BA756EF42AB464319EFE6973EC8E2540BBE78EF35CC031F315CC1B12DA72DD1298B7217C34BD9884B81CE82EDL7K" TargetMode="External"/><Relationship Id="rId1" Type="http://schemas.openxmlformats.org/officeDocument/2006/relationships/styles" Target="styles.xml"/><Relationship Id="rId6" Type="http://schemas.openxmlformats.org/officeDocument/2006/relationships/hyperlink" Target="consultantplus://offline/ref=D8B8AAD3EE786A3B1D1B7BA756EF42AB464319EFE6973EC8E2540BBE78EF35CC031F315CC1B128A72DD1298B7217C34BD9884B81CE82EDL7K" TargetMode="External"/><Relationship Id="rId11" Type="http://schemas.openxmlformats.org/officeDocument/2006/relationships/hyperlink" Target="consultantplus://offline/ref=D8B8AAD3EE786A3B1D1B7BA756EF42AB464319EFE6973EC8E2540BBE78EF35CC031F315CC0B124A72DD1298B7217C34BD9884B81CE82EDL7K" TargetMode="External"/><Relationship Id="rId5" Type="http://schemas.openxmlformats.org/officeDocument/2006/relationships/hyperlink" Target="consultantplus://offline/ref=D8B8AAD3EE786A3B1D1B7BA756EF42AB464319EFE6973EC8E2540BBE78EF35CC031F315CCFB624A72DD1298B7217C34BD9884B81CE82EDL7K" TargetMode="External"/><Relationship Id="rId15" Type="http://schemas.openxmlformats.org/officeDocument/2006/relationships/hyperlink" Target="consultantplus://offline/ref=D8B8AAD3EE786A3B1D1B7BA756EF42AB464319EFE6973EC8E2540BBE78EF35CC031F315CC1B32DA72DD1298B7217C34BD9884B81CE82EDL7K" TargetMode="External"/><Relationship Id="rId10" Type="http://schemas.openxmlformats.org/officeDocument/2006/relationships/hyperlink" Target="consultantplus://offline/ref=D8B8AAD3EE786A3B1D1B7BA756EF42AB464319EFE6973EC8E2540BBE78EF35CC031F315CC1B32DA72DD1298B7217C34BD9884B81CE82EDL7K" TargetMode="External"/><Relationship Id="rId19" Type="http://schemas.openxmlformats.org/officeDocument/2006/relationships/hyperlink" Target="consultantplus://offline/ref=D8B8AAD3EE786A3B1D1B7BA756EF42AB464319EFE6973EC8E2540BBE78EF35CC031F315CC0B125A72DD1298B7217C34BD9884B81CE82EDL7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8B8AAD3EE786A3B1D1B7BA756EF42AB41441FE8E6973EC8E2540BBE78EF35CC031F315CC6B429A72DD1298B7217C34BD9884B81CE82EDL7K" TargetMode="External"/><Relationship Id="rId14" Type="http://schemas.openxmlformats.org/officeDocument/2006/relationships/hyperlink" Target="consultantplus://offline/ref=D8B8AAD3EE786A3B1D1B7BA756EF42AB464319EFE6973EC8E2540BBE78EF35CC031F315CC1B22AA72DD1298B7217C34BD9884B81CE82EDL7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2166</Words>
  <Characters>12352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Елизавета Викторовна</dc:creator>
  <cp:keywords/>
  <dc:description/>
  <cp:lastModifiedBy>Степанова Елизавета Викторовна</cp:lastModifiedBy>
  <cp:revision>1</cp:revision>
  <dcterms:created xsi:type="dcterms:W3CDTF">2021-12-15T10:11:00Z</dcterms:created>
  <dcterms:modified xsi:type="dcterms:W3CDTF">2021-12-15T10:11:00Z</dcterms:modified>
</cp:coreProperties>
</file>