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BD" w:rsidRDefault="006266FF" w:rsidP="006D5059">
      <w:pPr>
        <w:ind w:firstLine="709"/>
      </w:pPr>
      <w:r>
        <w:t xml:space="preserve">Письмо </w:t>
      </w:r>
      <w:r w:rsidR="00F41902" w:rsidRPr="00344D24">
        <w:t>Департамент</w:t>
      </w:r>
      <w:r>
        <w:t>а</w:t>
      </w:r>
      <w:r w:rsidR="00F41902" w:rsidRPr="00344D24">
        <w:t xml:space="preserve"> налоговой</w:t>
      </w:r>
      <w:r w:rsidR="009D4D57" w:rsidRPr="00344D24">
        <w:t xml:space="preserve"> </w:t>
      </w:r>
      <w:r w:rsidR="00F41902" w:rsidRPr="00344D24">
        <w:t>политики</w:t>
      </w:r>
      <w:r w:rsidR="00E91ABD" w:rsidRPr="00E91ABD">
        <w:t xml:space="preserve"> </w:t>
      </w:r>
      <w:r>
        <w:t xml:space="preserve">от </w:t>
      </w:r>
      <w:r>
        <w:t>23.09.2021</w:t>
      </w:r>
      <w:r>
        <w:t xml:space="preserve"> № </w:t>
      </w:r>
      <w:r>
        <w:t>03-15-07/77271</w:t>
      </w:r>
      <w:r>
        <w:t xml:space="preserve"> </w:t>
      </w:r>
      <w:r w:rsidR="00013BD9" w:rsidRPr="009E5E2F">
        <w:rPr>
          <w:spacing w:val="-6"/>
        </w:rPr>
        <w:t xml:space="preserve">о </w:t>
      </w:r>
      <w:proofErr w:type="gramStart"/>
      <w:r w:rsidR="00013BD9" w:rsidRPr="009E5E2F">
        <w:t>применении</w:t>
      </w:r>
      <w:proofErr w:type="gramEnd"/>
      <w:r w:rsidR="00013BD9" w:rsidRPr="009E5E2F">
        <w:t xml:space="preserve"> пониженных тарифов страховых взносов организаци</w:t>
      </w:r>
      <w:r w:rsidR="00013BD9">
        <w:t>ями</w:t>
      </w:r>
      <w:r w:rsidR="00013BD9" w:rsidRPr="009E5E2F">
        <w:t>, осуществляющ</w:t>
      </w:r>
      <w:r w:rsidR="00013BD9">
        <w:t>ими</w:t>
      </w:r>
      <w:r w:rsidR="00013BD9" w:rsidRPr="009E5E2F">
        <w:t xml:space="preserve"> деятельность в области информационных технологий</w:t>
      </w:r>
      <w:r w:rsidR="00E91ABD" w:rsidRPr="005A18EF">
        <w:t>.</w:t>
      </w:r>
    </w:p>
    <w:p w:rsidR="006266FF" w:rsidRPr="005A18EF" w:rsidRDefault="006266FF" w:rsidP="006D5059">
      <w:pPr>
        <w:ind w:firstLine="709"/>
      </w:pPr>
    </w:p>
    <w:p w:rsidR="006D5059" w:rsidRPr="008F7B18" w:rsidRDefault="006D5059" w:rsidP="006D5059">
      <w:pPr>
        <w:snapToGrid w:val="0"/>
        <w:spacing w:after="1"/>
        <w:ind w:firstLine="709"/>
      </w:pPr>
      <w:proofErr w:type="gramStart"/>
      <w:r w:rsidRPr="008F7B18">
        <w:t xml:space="preserve">Согласно подпункту 3 пункта 1 и подпункту 1.1 пункта 2 статьи 427 Налогового кодекса Российской Федерации (далее </w:t>
      </w:r>
      <w:r w:rsidR="00D55FBF">
        <w:t>-</w:t>
      </w:r>
      <w:r w:rsidRPr="008F7B18">
        <w:t xml:space="preserve"> Кодекс) </w:t>
      </w:r>
      <w:r w:rsidR="00D55FBF">
        <w:t>(</w:t>
      </w:r>
      <w:r w:rsidRPr="008F7B18">
        <w:t xml:space="preserve">в редакции </w:t>
      </w:r>
      <w:r w:rsidRPr="008F7B18">
        <w:rPr>
          <w:rFonts w:eastAsia="Calibri"/>
        </w:rPr>
        <w:t xml:space="preserve">Федерального закона от 31.07.2020 № 265-ФЗ «О внесении изменений в часть вторую Налогового кодекса Российской Федерации» (далее - </w:t>
      </w:r>
      <w:r w:rsidRPr="008F7B18">
        <w:t xml:space="preserve">Федеральный закон № 265-ФЗ), </w:t>
      </w:r>
      <w:r>
        <w:t>вступившей в силу с 01.01.2021)</w:t>
      </w:r>
      <w:r w:rsidRPr="008F7B18">
        <w:t xml:space="preserve"> </w:t>
      </w:r>
      <w:r w:rsidRPr="008F7B18">
        <w:rPr>
          <w:szCs w:val="20"/>
        </w:rPr>
        <w:t>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w:t>
      </w:r>
      <w:proofErr w:type="gramEnd"/>
      <w:r w:rsidRPr="008F7B18">
        <w:rPr>
          <w:szCs w:val="20"/>
        </w:rPr>
        <w:t xml:space="preserve">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базы данных, с 2021 г</w:t>
      </w:r>
      <w:r w:rsidR="003210D1">
        <w:rPr>
          <w:szCs w:val="20"/>
        </w:rPr>
        <w:t>.</w:t>
      </w:r>
      <w:r w:rsidRPr="008F7B18">
        <w:rPr>
          <w:szCs w:val="20"/>
        </w:rPr>
        <w:t xml:space="preserve"> </w:t>
      </w:r>
      <w:r w:rsidR="00D55FBF">
        <w:rPr>
          <w:szCs w:val="20"/>
        </w:rPr>
        <w:t xml:space="preserve">на бессрочный период </w:t>
      </w:r>
      <w:r w:rsidRPr="008F7B18">
        <w:t>установлены пониженные тарифы страховых взносов</w:t>
      </w:r>
      <w:r w:rsidR="00D55FBF">
        <w:t xml:space="preserve"> в совокупном размере 7,6%</w:t>
      </w:r>
      <w:r w:rsidRPr="008F7B18">
        <w:t>.</w:t>
      </w:r>
    </w:p>
    <w:p w:rsidR="006D5059" w:rsidRPr="008F7B18" w:rsidRDefault="006D5059" w:rsidP="006D5059">
      <w:pPr>
        <w:snapToGrid w:val="0"/>
        <w:ind w:firstLine="709"/>
        <w:rPr>
          <w:rFonts w:eastAsia="Calibri"/>
        </w:rPr>
      </w:pPr>
      <w:r w:rsidRPr="008F7B18">
        <w:rPr>
          <w:rFonts w:eastAsia="Calibri"/>
        </w:rPr>
        <w:t xml:space="preserve">При этом в соответствии с пунктом 5 статьи 427 </w:t>
      </w:r>
      <w:r>
        <w:rPr>
          <w:rFonts w:eastAsia="Calibri"/>
        </w:rPr>
        <w:t>К</w:t>
      </w:r>
      <w:r w:rsidRPr="008F7B18">
        <w:rPr>
          <w:rFonts w:eastAsia="Calibri"/>
        </w:rPr>
        <w:t xml:space="preserve">одекса (в редакции Федерального закона № 265-ФЗ) для указанных плательщиков, </w:t>
      </w:r>
      <w:r w:rsidRPr="008F7B18">
        <w:rPr>
          <w:rFonts w:eastAsia="Calibri"/>
          <w:u w:val="single"/>
        </w:rPr>
        <w:t>не являющихся вновь созданными организациями</w:t>
      </w:r>
      <w:r w:rsidRPr="008F7B18">
        <w:rPr>
          <w:rFonts w:eastAsia="Calibri"/>
        </w:rPr>
        <w:t>, условиями применения упомянутых пониженных тарифов страховых взносов являются:</w:t>
      </w:r>
    </w:p>
    <w:p w:rsidR="006D5059" w:rsidRPr="008F7B18" w:rsidRDefault="006D5059" w:rsidP="006D5059">
      <w:pPr>
        <w:snapToGrid w:val="0"/>
        <w:ind w:firstLine="709"/>
        <w:rPr>
          <w:rFonts w:eastAsia="Calibri"/>
        </w:rPr>
      </w:pPr>
      <w:r w:rsidRPr="008F7B18">
        <w:rPr>
          <w:rFonts w:eastAsia="Calibri"/>
        </w:rPr>
        <w:t xml:space="preserve">- получение документа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 или свидетельства, удостоверяющего регистрацию организации в качестве резидента технико-внедренческой особой экономической зоны </w:t>
      </w:r>
      <w:r w:rsidR="00BF0E93">
        <w:rPr>
          <w:rFonts w:eastAsia="Calibri"/>
        </w:rPr>
        <w:t xml:space="preserve">(далее - ОЭЗ) </w:t>
      </w:r>
      <w:r w:rsidRPr="008F7B18">
        <w:rPr>
          <w:rFonts w:eastAsia="Calibri"/>
        </w:rPr>
        <w:t xml:space="preserve">или промышленно-производственной </w:t>
      </w:r>
      <w:r w:rsidR="00BF0E93">
        <w:rPr>
          <w:rFonts w:eastAsia="Calibri"/>
        </w:rPr>
        <w:t>ОЭЗ</w:t>
      </w:r>
      <w:r w:rsidRPr="008F7B18">
        <w:rPr>
          <w:rFonts w:eastAsia="Calibri"/>
        </w:rPr>
        <w:t>;</w:t>
      </w:r>
    </w:p>
    <w:p w:rsidR="006D5059" w:rsidRPr="008F7B18" w:rsidRDefault="006D5059" w:rsidP="006D5059">
      <w:pPr>
        <w:snapToGrid w:val="0"/>
        <w:ind w:firstLine="709"/>
        <w:rPr>
          <w:rFonts w:eastAsia="Calibri"/>
        </w:rPr>
      </w:pPr>
      <w:proofErr w:type="gramStart"/>
      <w:r w:rsidRPr="008F7B18">
        <w:rPr>
          <w:rFonts w:eastAsia="Calibri"/>
        </w:rPr>
        <w:t>- доля доходов от реализации экземпляров разработанных организацией программ для ЭВМ, баз данных, передачи исключительных прав на разработанные ею программы для ЭВМ, базы данных, предоставления прав использования указанных программ для ЭВМ, баз данных по лицензионным договорам, в том числе путем предоставления удаленного доступа к программам для ЭВМ и базам данных, указанным в данном абзаце, включая обновления к ним и дополнительные функциональные</w:t>
      </w:r>
      <w:proofErr w:type="gramEnd"/>
      <w:r w:rsidRPr="008F7B18">
        <w:rPr>
          <w:rFonts w:eastAsia="Calibri"/>
        </w:rPr>
        <w:t xml:space="preserve"> </w:t>
      </w:r>
      <w:proofErr w:type="gramStart"/>
      <w:r w:rsidRPr="008F7B18">
        <w:rPr>
          <w:rFonts w:eastAsia="Calibri"/>
        </w:rPr>
        <w:t>возможности, через информационно-телекоммуникационную сеть «Интернет»,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w:t>
      </w:r>
      <w:r w:rsidRPr="008F7B18">
        <w:rPr>
          <w:rFonts w:eastAsia="Calibri"/>
          <w:b/>
        </w:rPr>
        <w:t>за исключением</w:t>
      </w:r>
      <w:r w:rsidRPr="008F7B18">
        <w:rPr>
          <w:rFonts w:eastAsia="Calibri"/>
        </w:rPr>
        <w:t xml:space="preserve"> доходов от предоставления прав использования программ для ЭВМ, баз данных (в том числе путем предоставления удаленного</w:t>
      </w:r>
      <w:proofErr w:type="gramEnd"/>
      <w:r w:rsidRPr="008F7B18">
        <w:rPr>
          <w:rFonts w:eastAsia="Calibri"/>
        </w:rPr>
        <w:t xml:space="preserve"> </w:t>
      </w:r>
      <w:proofErr w:type="gramStart"/>
      <w:r w:rsidRPr="008F7B18">
        <w:rPr>
          <w:rFonts w:eastAsia="Calibri"/>
        </w:rPr>
        <w:t xml:space="preserve">доступа к ним через информационно-телекоммуникационную сеть «Интернет»), если такие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такой информации, размещать предложения о приобретении (реализации) товаров </w:t>
      </w:r>
      <w:r w:rsidRPr="008F7B18">
        <w:rPr>
          <w:rFonts w:eastAsia="Calibri"/>
        </w:rPr>
        <w:lastRenderedPageBreak/>
        <w:t xml:space="preserve">(работ, услуг), имущественных прав в информационно-телекоммуникационной сети «Интернет», осуществлять поиск информации о потенциальных покупателях (продавцах) и (или) заключать сделки) </w:t>
      </w:r>
      <w:r w:rsidRPr="008F7B18">
        <w:rPr>
          <w:rFonts w:eastAsia="Calibri"/>
          <w:u w:val="single"/>
        </w:rPr>
        <w:t>по итогам девяти месяцев года, предшествующего году</w:t>
      </w:r>
      <w:proofErr w:type="gramEnd"/>
      <w:r w:rsidRPr="008F7B18">
        <w:rPr>
          <w:rFonts w:eastAsia="Calibri"/>
          <w:u w:val="single"/>
        </w:rPr>
        <w:t xml:space="preserve"> перехода организации на уплату страховых взносов по пониженным тарифам, составляет не менее 90 процентов</w:t>
      </w:r>
      <w:r w:rsidRPr="008F7B18">
        <w:rPr>
          <w:rFonts w:eastAsia="Calibri"/>
        </w:rPr>
        <w:t xml:space="preserve"> в сумме всех доходов организации за указанный период;</w:t>
      </w:r>
    </w:p>
    <w:p w:rsidR="006D5059" w:rsidRDefault="006D5059" w:rsidP="007853E4">
      <w:pPr>
        <w:snapToGrid w:val="0"/>
        <w:ind w:firstLine="709"/>
        <w:rPr>
          <w:rFonts w:eastAsia="Calibri"/>
        </w:rPr>
      </w:pPr>
      <w:r w:rsidRPr="008F7B18">
        <w:rPr>
          <w:rFonts w:eastAsia="Calibri"/>
        </w:rPr>
        <w:t xml:space="preserve">-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w:t>
      </w:r>
      <w:r w:rsidRPr="008F7B18">
        <w:rPr>
          <w:rFonts w:eastAsia="Calibri"/>
          <w:u w:val="single"/>
        </w:rPr>
        <w:t>за девять месяцев года, предшествующего году перехода организации на уплату страховых взносов по пониженным тарифам, составляет не менее семи человек</w:t>
      </w:r>
      <w:r w:rsidRPr="008F7B18">
        <w:rPr>
          <w:rFonts w:eastAsia="Calibri"/>
        </w:rPr>
        <w:t>.</w:t>
      </w:r>
    </w:p>
    <w:p w:rsidR="006D5059" w:rsidRDefault="006D5059" w:rsidP="007853E4">
      <w:pPr>
        <w:ind w:firstLine="709"/>
      </w:pPr>
      <w:proofErr w:type="gramStart"/>
      <w:r>
        <w:rPr>
          <w:rFonts w:eastAsia="Calibri"/>
        </w:rPr>
        <w:t>При этом исходя их положений абзаца 11 пункта 5 статьи 427 Кодекса,</w:t>
      </w:r>
      <w:r w:rsidRPr="009F4761">
        <w:rPr>
          <w:rFonts w:eastAsia="Calibri"/>
        </w:rPr>
        <w:t xml:space="preserve"> </w:t>
      </w:r>
      <w:r>
        <w:rPr>
          <w:rFonts w:eastAsia="Calibri"/>
        </w:rPr>
        <w:t>в</w:t>
      </w:r>
      <w:r>
        <w:t xml:space="preserve"> случае, если по итогам расчетного (отчетного) периода организация не выполняет хотя бы одно из условий (о доле доходов или численности работников), а также в случае лишения ее государственной аккредитации</w:t>
      </w:r>
      <w:r w:rsidR="00EB3877">
        <w:t xml:space="preserve"> </w:t>
      </w:r>
      <w:r w:rsidR="007853E4">
        <w:t xml:space="preserve">либо статуса резидента технико-внедренческой </w:t>
      </w:r>
      <w:r w:rsidR="00BF0E93">
        <w:t>ОЭЗ</w:t>
      </w:r>
      <w:r w:rsidR="007853E4">
        <w:t xml:space="preserve"> или промышленно-производственной </w:t>
      </w:r>
      <w:r w:rsidR="00BF0E93">
        <w:t>ОЭЗ</w:t>
      </w:r>
      <w:r>
        <w:t>, такая организация лишается права применять пониженные тарифы страховых взносов с</w:t>
      </w:r>
      <w:proofErr w:type="gramEnd"/>
      <w:r>
        <w:t xml:space="preserve"> начала расчетного периода, в котором допущено несоответствие установленным условиям, либо такая организация лишена государственной аккредитации</w:t>
      </w:r>
      <w:r w:rsidR="007853E4">
        <w:t xml:space="preserve">, либо в реестр резидентов </w:t>
      </w:r>
      <w:r w:rsidR="00BF0E93">
        <w:t>ОЭЗ</w:t>
      </w:r>
      <w:r w:rsidR="007853E4">
        <w:t xml:space="preserve"> внесена запись о лишении организации статуса резидента технико-внедренческой </w:t>
      </w:r>
      <w:r w:rsidR="00BF0E93">
        <w:t>ОЭЗ</w:t>
      </w:r>
      <w:r w:rsidR="007853E4">
        <w:t xml:space="preserve"> или промышленно-производственной </w:t>
      </w:r>
      <w:r w:rsidR="00BF0E93">
        <w:t>ОЭЗ</w:t>
      </w:r>
      <w:r>
        <w:t>.</w:t>
      </w:r>
    </w:p>
    <w:p w:rsidR="006D5059" w:rsidRDefault="006D5059" w:rsidP="007853E4">
      <w:pPr>
        <w:ind w:firstLine="709"/>
      </w:pPr>
      <w:proofErr w:type="gramStart"/>
      <w:r>
        <w:t xml:space="preserve">Таким образом, </w:t>
      </w:r>
      <w:r w:rsidRPr="000C608D">
        <w:rPr>
          <w:rFonts w:eastAsia="Calibri"/>
          <w:lang w:val="en-US"/>
        </w:rPr>
        <w:t>IT</w:t>
      </w:r>
      <w:r w:rsidRPr="000C608D">
        <w:rPr>
          <w:rFonts w:eastAsia="Calibri"/>
        </w:rPr>
        <w:t>-</w:t>
      </w:r>
      <w:r w:rsidRPr="00C55BAE">
        <w:t>организаци</w:t>
      </w:r>
      <w:r>
        <w:t xml:space="preserve">я, не являющаяся вновь созданной организацией, </w:t>
      </w:r>
      <w:r w:rsidRPr="008F7B18">
        <w:rPr>
          <w:rFonts w:eastAsia="Calibri"/>
        </w:rPr>
        <w:t xml:space="preserve">имеющая документ о государственной аккредитации организации, осуществляющей </w:t>
      </w:r>
      <w:r w:rsidRPr="008F7B18">
        <w:t>деятельность в области информа</w:t>
      </w:r>
      <w:r>
        <w:t>ционных технологий</w:t>
      </w:r>
      <w:r w:rsidR="004713B6">
        <w:t xml:space="preserve">, </w:t>
      </w:r>
      <w:r w:rsidR="004713B6" w:rsidRPr="008F7B18">
        <w:rPr>
          <w:rFonts w:eastAsia="Calibri"/>
        </w:rPr>
        <w:t>или свидетельств</w:t>
      </w:r>
      <w:r w:rsidR="004713B6">
        <w:rPr>
          <w:rFonts w:eastAsia="Calibri"/>
        </w:rPr>
        <w:t xml:space="preserve">о о </w:t>
      </w:r>
      <w:r w:rsidR="004713B6" w:rsidRPr="008F7B18">
        <w:rPr>
          <w:rFonts w:eastAsia="Calibri"/>
        </w:rPr>
        <w:t>регистраци</w:t>
      </w:r>
      <w:r w:rsidR="004713B6">
        <w:rPr>
          <w:rFonts w:eastAsia="Calibri"/>
        </w:rPr>
        <w:t>и</w:t>
      </w:r>
      <w:r w:rsidR="004713B6" w:rsidRPr="008F7B18">
        <w:rPr>
          <w:rFonts w:eastAsia="Calibri"/>
        </w:rPr>
        <w:t xml:space="preserve"> </w:t>
      </w:r>
      <w:r w:rsidR="004713B6">
        <w:rPr>
          <w:rFonts w:eastAsia="Calibri"/>
        </w:rPr>
        <w:t>в</w:t>
      </w:r>
      <w:r w:rsidR="004713B6" w:rsidRPr="008F7B18">
        <w:rPr>
          <w:rFonts w:eastAsia="Calibri"/>
        </w:rPr>
        <w:t xml:space="preserve"> качестве резидента технико-внедренческой </w:t>
      </w:r>
      <w:r w:rsidR="00BF0E93">
        <w:rPr>
          <w:rFonts w:eastAsia="Calibri"/>
        </w:rPr>
        <w:t>ОЭЗ</w:t>
      </w:r>
      <w:r w:rsidR="004713B6" w:rsidRPr="008F7B18">
        <w:rPr>
          <w:rFonts w:eastAsia="Calibri"/>
        </w:rPr>
        <w:t xml:space="preserve"> или промышленно-производственной </w:t>
      </w:r>
      <w:r w:rsidR="00BF0E93">
        <w:rPr>
          <w:rFonts w:eastAsia="Calibri"/>
        </w:rPr>
        <w:t>ОЭЗ</w:t>
      </w:r>
      <w:r>
        <w:t xml:space="preserve">, должна соблюдать условия о 90 процентной доле вышеуказанных доходов в сумме всех доходов организации по итогам девяти месяцев года, </w:t>
      </w:r>
      <w:r>
        <w:rPr>
          <w:rFonts w:eastAsia="Calibri"/>
        </w:rPr>
        <w:t>предшествующего году перехода организации на уплату страховых взносов по</w:t>
      </w:r>
      <w:proofErr w:type="gramEnd"/>
      <w:r>
        <w:rPr>
          <w:rFonts w:eastAsia="Calibri"/>
        </w:rPr>
        <w:t xml:space="preserve"> пониженным тарифам,</w:t>
      </w:r>
      <w:r>
        <w:t xml:space="preserve"> и средней численности работников не менее 7 человек за данный период </w:t>
      </w:r>
      <w:r w:rsidRPr="00D94D6D">
        <w:rPr>
          <w:u w:val="single"/>
        </w:rPr>
        <w:t xml:space="preserve">только один раз </w:t>
      </w:r>
      <w:r w:rsidR="00AC73F7">
        <w:rPr>
          <w:u w:val="single"/>
        </w:rPr>
        <w:t>-</w:t>
      </w:r>
      <w:r w:rsidRPr="00D94D6D">
        <w:rPr>
          <w:u w:val="single"/>
        </w:rPr>
        <w:t xml:space="preserve"> в год перехода на уплату страховых взносов по пониженным тарифам</w:t>
      </w:r>
      <w:r>
        <w:t xml:space="preserve">. Далее такая </w:t>
      </w:r>
      <w:r w:rsidRPr="008F7B18">
        <w:rPr>
          <w:lang w:val="en-US"/>
        </w:rPr>
        <w:t>IT</w:t>
      </w:r>
      <w:r w:rsidRPr="008F7B18">
        <w:t>-</w:t>
      </w:r>
      <w:r>
        <w:t>организация для применения пониженных тарифов страховых взносов должна соблюдать аналогичные условия о доле доходов и средней численности работников по итогам расчетного (отчетного) периода.</w:t>
      </w:r>
    </w:p>
    <w:p w:rsidR="00456889" w:rsidRDefault="00A20800" w:rsidP="007853E4">
      <w:pPr>
        <w:ind w:firstLine="709"/>
        <w:rPr>
          <w:rFonts w:eastAsia="Calibri"/>
        </w:rPr>
      </w:pPr>
      <w:r>
        <w:t xml:space="preserve">Если по итогам </w:t>
      </w:r>
      <w:r w:rsidR="003A527B">
        <w:t xml:space="preserve">какого-либо отчетного или расчетного периода </w:t>
      </w:r>
      <w:r w:rsidR="003A527B" w:rsidRPr="009B6356">
        <w:rPr>
          <w:rFonts w:eastAsia="Calibri"/>
        </w:rPr>
        <w:t xml:space="preserve">организация не выполнила хотя бы одно условие, установленное пунктом 5 статьи 427 </w:t>
      </w:r>
      <w:r w:rsidR="003A527B">
        <w:rPr>
          <w:rFonts w:eastAsia="Calibri"/>
        </w:rPr>
        <w:t>К</w:t>
      </w:r>
      <w:r w:rsidR="003A527B" w:rsidRPr="009B6356">
        <w:rPr>
          <w:rFonts w:eastAsia="Calibri"/>
        </w:rPr>
        <w:t>одекса, а также в случае лишения ее государственной аккредитации</w:t>
      </w:r>
      <w:r w:rsidR="003A527B" w:rsidRPr="003A527B">
        <w:t xml:space="preserve"> </w:t>
      </w:r>
      <w:r w:rsidR="003A527B">
        <w:t xml:space="preserve">или статуса резидента технико-внедренческой </w:t>
      </w:r>
      <w:r w:rsidR="00BF0E93">
        <w:t>ОЭЗ</w:t>
      </w:r>
      <w:r w:rsidR="003A527B">
        <w:t xml:space="preserve"> или промышленно-производственной </w:t>
      </w:r>
      <w:r w:rsidR="00BF0E93">
        <w:t>ОЭЗ</w:t>
      </w:r>
      <w:r w:rsidR="003A527B" w:rsidRPr="009B6356">
        <w:rPr>
          <w:rFonts w:eastAsia="Calibri"/>
        </w:rPr>
        <w:t xml:space="preserve"> такая организация</w:t>
      </w:r>
      <w:r w:rsidR="003A527B">
        <w:rPr>
          <w:rFonts w:eastAsia="Calibri"/>
        </w:rPr>
        <w:t xml:space="preserve"> обязана </w:t>
      </w:r>
      <w:r w:rsidR="003A527B" w:rsidRPr="00306E5B">
        <w:t>произвести перерасчет исходя из о</w:t>
      </w:r>
      <w:r w:rsidR="003A527B">
        <w:t>бщеустановленных</w:t>
      </w:r>
      <w:r w:rsidR="003A527B" w:rsidRPr="00306E5B">
        <w:t xml:space="preserve"> </w:t>
      </w:r>
      <w:proofErr w:type="gramStart"/>
      <w:r w:rsidR="003A527B" w:rsidRPr="00306E5B">
        <w:t>тариф</w:t>
      </w:r>
      <w:r w:rsidR="003A527B">
        <w:t>ов</w:t>
      </w:r>
      <w:proofErr w:type="gramEnd"/>
      <w:r w:rsidR="003A527B" w:rsidRPr="003A527B">
        <w:t xml:space="preserve"> </w:t>
      </w:r>
      <w:r w:rsidR="003A527B" w:rsidRPr="00306E5B">
        <w:t xml:space="preserve">ранее уплаченных </w:t>
      </w:r>
      <w:r w:rsidR="00340128">
        <w:t xml:space="preserve">с начала календарного года </w:t>
      </w:r>
      <w:r w:rsidR="003A527B" w:rsidRPr="00306E5B">
        <w:t>платежей по страховым взносам</w:t>
      </w:r>
      <w:r w:rsidR="003A527B">
        <w:t xml:space="preserve"> и представить уточненные расчеты по страховым взносам за каждый отчетный (расчетный) период </w:t>
      </w:r>
      <w:r w:rsidR="00C15695">
        <w:t xml:space="preserve">года, в котором произошло невыполнение перечисленных в </w:t>
      </w:r>
      <w:r w:rsidR="00C15695" w:rsidRPr="009B6356">
        <w:rPr>
          <w:rFonts w:eastAsia="Calibri"/>
        </w:rPr>
        <w:t>пункт</w:t>
      </w:r>
      <w:r w:rsidR="00C15695">
        <w:rPr>
          <w:rFonts w:eastAsia="Calibri"/>
        </w:rPr>
        <w:t>е</w:t>
      </w:r>
      <w:r w:rsidR="00C15695" w:rsidRPr="009B6356">
        <w:rPr>
          <w:rFonts w:eastAsia="Calibri"/>
        </w:rPr>
        <w:t xml:space="preserve"> 5 статьи 427 </w:t>
      </w:r>
      <w:r w:rsidR="00C15695">
        <w:rPr>
          <w:rFonts w:eastAsia="Calibri"/>
        </w:rPr>
        <w:t>К</w:t>
      </w:r>
      <w:r w:rsidR="00C15695" w:rsidRPr="009B6356">
        <w:rPr>
          <w:rFonts w:eastAsia="Calibri"/>
        </w:rPr>
        <w:t>одекса</w:t>
      </w:r>
      <w:r w:rsidR="00C15695">
        <w:rPr>
          <w:rFonts w:eastAsia="Calibri"/>
        </w:rPr>
        <w:t xml:space="preserve"> ус</w:t>
      </w:r>
      <w:r w:rsidR="00340128">
        <w:rPr>
          <w:rFonts w:eastAsia="Calibri"/>
        </w:rPr>
        <w:t>л</w:t>
      </w:r>
      <w:r w:rsidR="00C15695">
        <w:rPr>
          <w:rFonts w:eastAsia="Calibri"/>
        </w:rPr>
        <w:t>овий.</w:t>
      </w:r>
    </w:p>
    <w:p w:rsidR="00C15695" w:rsidRDefault="004713B6" w:rsidP="007853E4">
      <w:pPr>
        <w:ind w:firstLine="709"/>
      </w:pPr>
      <w:proofErr w:type="gramStart"/>
      <w:r w:rsidRPr="009B6356">
        <w:rPr>
          <w:rFonts w:eastAsia="Calibri"/>
        </w:rPr>
        <w:t>При этом в случае, если по итогам следующего отчетного периода или по итогам расчетного периода</w:t>
      </w:r>
      <w:r>
        <w:rPr>
          <w:rFonts w:eastAsia="Calibri"/>
        </w:rPr>
        <w:t xml:space="preserve"> </w:t>
      </w:r>
      <w:r w:rsidRPr="009B6356">
        <w:rPr>
          <w:rFonts w:eastAsia="Calibri"/>
        </w:rPr>
        <w:t>организация</w:t>
      </w:r>
      <w:r w:rsidR="00F661E2">
        <w:rPr>
          <w:rFonts w:eastAsia="Calibri"/>
        </w:rPr>
        <w:t xml:space="preserve">, имеющая </w:t>
      </w:r>
      <w:r w:rsidR="00F661E2" w:rsidRPr="008F7B18">
        <w:rPr>
          <w:rFonts w:eastAsia="Calibri"/>
        </w:rPr>
        <w:t xml:space="preserve">документ о государственной аккредитации организации, осуществляющей деятельность в области </w:t>
      </w:r>
      <w:r w:rsidR="00F661E2" w:rsidRPr="008F7B18">
        <w:rPr>
          <w:rFonts w:eastAsia="Calibri"/>
        </w:rPr>
        <w:lastRenderedPageBreak/>
        <w:t>информационных технологий,</w:t>
      </w:r>
      <w:r w:rsidR="00F661E2">
        <w:rPr>
          <w:rFonts w:eastAsia="Calibri"/>
        </w:rPr>
        <w:t xml:space="preserve"> </w:t>
      </w:r>
      <w:r w:rsidR="00F661E2" w:rsidRPr="008F7B18">
        <w:rPr>
          <w:rFonts w:eastAsia="Calibri"/>
        </w:rPr>
        <w:t>или свидетельств</w:t>
      </w:r>
      <w:r w:rsidR="00F661E2">
        <w:rPr>
          <w:rFonts w:eastAsia="Calibri"/>
        </w:rPr>
        <w:t>о</w:t>
      </w:r>
      <w:r w:rsidR="00F661E2" w:rsidRPr="008F7B18">
        <w:rPr>
          <w:rFonts w:eastAsia="Calibri"/>
        </w:rPr>
        <w:t xml:space="preserve"> </w:t>
      </w:r>
      <w:r w:rsidR="00F661E2">
        <w:rPr>
          <w:rFonts w:eastAsia="Calibri"/>
        </w:rPr>
        <w:t xml:space="preserve">о </w:t>
      </w:r>
      <w:r w:rsidR="00F661E2" w:rsidRPr="008F7B18">
        <w:rPr>
          <w:rFonts w:eastAsia="Calibri"/>
        </w:rPr>
        <w:t>регистраци</w:t>
      </w:r>
      <w:r w:rsidR="00F661E2">
        <w:rPr>
          <w:rFonts w:eastAsia="Calibri"/>
        </w:rPr>
        <w:t>и</w:t>
      </w:r>
      <w:r w:rsidR="00F661E2" w:rsidRPr="008F7B18">
        <w:rPr>
          <w:rFonts w:eastAsia="Calibri"/>
        </w:rPr>
        <w:t xml:space="preserve"> в качестве резидента технико-внедренческой </w:t>
      </w:r>
      <w:r w:rsidR="00BF0E93">
        <w:rPr>
          <w:rFonts w:eastAsia="Calibri"/>
        </w:rPr>
        <w:t>ОЭЗ</w:t>
      </w:r>
      <w:r w:rsidR="00F661E2" w:rsidRPr="008F7B18">
        <w:rPr>
          <w:rFonts w:eastAsia="Calibri"/>
        </w:rPr>
        <w:t xml:space="preserve"> или промышленно-производственной </w:t>
      </w:r>
      <w:r w:rsidR="00BF0E93">
        <w:rPr>
          <w:rFonts w:eastAsia="Calibri"/>
        </w:rPr>
        <w:t>ОЭЗ</w:t>
      </w:r>
      <w:r w:rsidR="00F661E2">
        <w:rPr>
          <w:rFonts w:eastAsia="Calibri"/>
        </w:rPr>
        <w:t>,</w:t>
      </w:r>
      <w:r w:rsidRPr="004713B6">
        <w:rPr>
          <w:rFonts w:eastAsia="Calibri"/>
        </w:rPr>
        <w:t xml:space="preserve"> </w:t>
      </w:r>
      <w:r w:rsidR="00F661E2">
        <w:rPr>
          <w:rFonts w:eastAsia="Calibri"/>
        </w:rPr>
        <w:t xml:space="preserve">снова </w:t>
      </w:r>
      <w:r w:rsidRPr="006731B3">
        <w:rPr>
          <w:rFonts w:eastAsia="Calibri"/>
        </w:rPr>
        <w:t>выполн</w:t>
      </w:r>
      <w:r w:rsidR="00F661E2">
        <w:rPr>
          <w:rFonts w:eastAsia="Calibri"/>
        </w:rPr>
        <w:t>яет</w:t>
      </w:r>
      <w:r w:rsidRPr="006731B3">
        <w:rPr>
          <w:rFonts w:eastAsia="Calibri"/>
        </w:rPr>
        <w:t xml:space="preserve"> установленные пунктом 5 статьи 427 </w:t>
      </w:r>
      <w:r w:rsidR="00F661E2">
        <w:rPr>
          <w:rFonts w:eastAsia="Calibri"/>
        </w:rPr>
        <w:t>К</w:t>
      </w:r>
      <w:r w:rsidRPr="006731B3">
        <w:rPr>
          <w:rFonts w:eastAsia="Calibri"/>
        </w:rPr>
        <w:t xml:space="preserve">одекса </w:t>
      </w:r>
      <w:r w:rsidRPr="006731B3">
        <w:t>условия</w:t>
      </w:r>
      <w:r w:rsidR="00180B8B">
        <w:t>, то</w:t>
      </w:r>
      <w:r w:rsidR="003F3C9B">
        <w:t xml:space="preserve"> она </w:t>
      </w:r>
      <w:r w:rsidR="003F3C9B" w:rsidRPr="00306E5B">
        <w:t>произв</w:t>
      </w:r>
      <w:r w:rsidR="003F3C9B">
        <w:t>одит</w:t>
      </w:r>
      <w:r w:rsidR="003F3C9B" w:rsidRPr="00306E5B">
        <w:t xml:space="preserve"> перерасчет</w:t>
      </w:r>
      <w:r w:rsidR="003F3C9B">
        <w:t xml:space="preserve"> </w:t>
      </w:r>
      <w:r w:rsidR="003F3C9B" w:rsidRPr="00306E5B">
        <w:t xml:space="preserve">платежей по страховым взносам </w:t>
      </w:r>
      <w:r w:rsidR="003F3C9B">
        <w:t>исходя из пониженных</w:t>
      </w:r>
      <w:proofErr w:type="gramEnd"/>
      <w:r w:rsidR="003F3C9B">
        <w:t xml:space="preserve"> тарифов с начала календарного года и представляет уточненные расчеты по страховым взносам за каждый отчетный (расчетный) период этого календарного года.</w:t>
      </w:r>
    </w:p>
    <w:p w:rsidR="00B00DB7" w:rsidRDefault="006D5059" w:rsidP="006D5059">
      <w:pPr>
        <w:ind w:firstLine="709"/>
      </w:pPr>
      <w:proofErr w:type="gramStart"/>
      <w:r>
        <w:t>Учитывая изложенное, для применения пониженных тарифов страховых взносов в 2021 г</w:t>
      </w:r>
      <w:r w:rsidR="003210D1">
        <w:t>.</w:t>
      </w:r>
      <w:r>
        <w:t xml:space="preserve"> имеющая государственную аккредитацию </w:t>
      </w:r>
      <w:r w:rsidR="00BF0E93" w:rsidRPr="008F7B18">
        <w:rPr>
          <w:rFonts w:eastAsia="Calibri"/>
        </w:rPr>
        <w:t>или свидетельств</w:t>
      </w:r>
      <w:r w:rsidR="00BF0E93">
        <w:rPr>
          <w:rFonts w:eastAsia="Calibri"/>
        </w:rPr>
        <w:t>о</w:t>
      </w:r>
      <w:r w:rsidR="00BF0E93" w:rsidRPr="008F7B18">
        <w:rPr>
          <w:rFonts w:eastAsia="Calibri"/>
        </w:rPr>
        <w:t xml:space="preserve"> </w:t>
      </w:r>
      <w:r w:rsidR="00BF0E93">
        <w:rPr>
          <w:rFonts w:eastAsia="Calibri"/>
        </w:rPr>
        <w:t xml:space="preserve">о </w:t>
      </w:r>
      <w:r w:rsidR="00BF0E93" w:rsidRPr="008F7B18">
        <w:rPr>
          <w:rFonts w:eastAsia="Calibri"/>
        </w:rPr>
        <w:t>регистраци</w:t>
      </w:r>
      <w:r w:rsidR="00BF0E93">
        <w:rPr>
          <w:rFonts w:eastAsia="Calibri"/>
        </w:rPr>
        <w:t>и</w:t>
      </w:r>
      <w:r w:rsidR="00BF0E93" w:rsidRPr="008F7B18">
        <w:rPr>
          <w:rFonts w:eastAsia="Calibri"/>
        </w:rPr>
        <w:t xml:space="preserve"> в качестве резидента технико-внедренческой </w:t>
      </w:r>
      <w:r w:rsidR="00BF0E93">
        <w:rPr>
          <w:rFonts w:eastAsia="Calibri"/>
        </w:rPr>
        <w:t>ОЭЗ</w:t>
      </w:r>
      <w:r w:rsidR="00BF0E93" w:rsidRPr="008F7B18">
        <w:rPr>
          <w:rFonts w:eastAsia="Calibri"/>
        </w:rPr>
        <w:t xml:space="preserve"> или промышленно-производственной </w:t>
      </w:r>
      <w:r w:rsidR="00BF0E93">
        <w:rPr>
          <w:rFonts w:eastAsia="Calibri"/>
        </w:rPr>
        <w:t>ОЭЗ</w:t>
      </w:r>
      <w:r w:rsidR="00BF0E93" w:rsidRPr="00BF0E93">
        <w:t xml:space="preserve"> </w:t>
      </w:r>
      <w:r w:rsidRPr="008F7B18">
        <w:rPr>
          <w:lang w:val="en-US"/>
        </w:rPr>
        <w:t>IT</w:t>
      </w:r>
      <w:r>
        <w:t>-организация, которая уже перешла на уплату страховых взносов по пониженным тарифам до 1 января 2021 г</w:t>
      </w:r>
      <w:r w:rsidR="004C4F52">
        <w:t>.</w:t>
      </w:r>
      <w:r>
        <w:t>,</w:t>
      </w:r>
      <w:r w:rsidRPr="008F7B18">
        <w:t xml:space="preserve"> </w:t>
      </w:r>
      <w:r>
        <w:t>должна выполня</w:t>
      </w:r>
      <w:r w:rsidRPr="008F7B18">
        <w:t>ть условия о доле доходов от</w:t>
      </w:r>
      <w:r>
        <w:t xml:space="preserve"> </w:t>
      </w:r>
      <w:r w:rsidRPr="008F7B18">
        <w:rPr>
          <w:lang w:val="en-US"/>
        </w:rPr>
        <w:t>IT</w:t>
      </w:r>
      <w:r w:rsidRPr="008F7B18">
        <w:t>-деятельности и средней численности р</w:t>
      </w:r>
      <w:r>
        <w:t>аботников за отчетные (расчетный) периоды 2021 г</w:t>
      </w:r>
      <w:proofErr w:type="gramEnd"/>
      <w:r w:rsidR="004C4F52">
        <w:t>.</w:t>
      </w:r>
      <w:r>
        <w:t>, независимо от соблюдения ею указанных условий за период с января по сентябрь 2020 г.</w:t>
      </w:r>
    </w:p>
    <w:p w:rsidR="00D303A4" w:rsidRDefault="00D303A4" w:rsidP="006D5059">
      <w:pPr>
        <w:ind w:firstLine="709"/>
      </w:pPr>
      <w:proofErr w:type="gramStart"/>
      <w:r>
        <w:t>Организация</w:t>
      </w:r>
      <w:r w:rsidRPr="00DD0670">
        <w:t xml:space="preserve">, </w:t>
      </w:r>
      <w:r>
        <w:t xml:space="preserve">не являющаяся вновь созданной, имеющая </w:t>
      </w:r>
      <w:r w:rsidRPr="004715C2">
        <w:t>документ о государственной аккредитации организации, осуществляющей деятельность в области информационных технологий,</w:t>
      </w:r>
      <w:r>
        <w:t xml:space="preserve"> </w:t>
      </w:r>
      <w:r w:rsidRPr="008F7B18">
        <w:rPr>
          <w:rFonts w:eastAsia="Calibri"/>
        </w:rPr>
        <w:t>или свидетельств</w:t>
      </w:r>
      <w:r>
        <w:rPr>
          <w:rFonts w:eastAsia="Calibri"/>
        </w:rPr>
        <w:t>о</w:t>
      </w:r>
      <w:r w:rsidRPr="008F7B18">
        <w:rPr>
          <w:rFonts w:eastAsia="Calibri"/>
        </w:rPr>
        <w:t xml:space="preserve"> </w:t>
      </w:r>
      <w:r>
        <w:rPr>
          <w:rFonts w:eastAsia="Calibri"/>
        </w:rPr>
        <w:t xml:space="preserve">о </w:t>
      </w:r>
      <w:r w:rsidRPr="008F7B18">
        <w:rPr>
          <w:rFonts w:eastAsia="Calibri"/>
        </w:rPr>
        <w:t>регистраци</w:t>
      </w:r>
      <w:r>
        <w:rPr>
          <w:rFonts w:eastAsia="Calibri"/>
        </w:rPr>
        <w:t>и</w:t>
      </w:r>
      <w:r w:rsidRPr="008F7B18">
        <w:rPr>
          <w:rFonts w:eastAsia="Calibri"/>
        </w:rPr>
        <w:t xml:space="preserve"> в качестве резидента технико-внедренческой </w:t>
      </w:r>
      <w:r>
        <w:rPr>
          <w:rFonts w:eastAsia="Calibri"/>
        </w:rPr>
        <w:t>ОЭЗ</w:t>
      </w:r>
      <w:r w:rsidRPr="008F7B18">
        <w:rPr>
          <w:rFonts w:eastAsia="Calibri"/>
        </w:rPr>
        <w:t xml:space="preserve"> или промышленно-производственной </w:t>
      </w:r>
      <w:r>
        <w:rPr>
          <w:rFonts w:eastAsia="Calibri"/>
        </w:rPr>
        <w:t xml:space="preserve">ОЭЗ, не применявшая установленные </w:t>
      </w:r>
      <w:r w:rsidRPr="008F7B18">
        <w:t>подпункт</w:t>
      </w:r>
      <w:r>
        <w:t>ом</w:t>
      </w:r>
      <w:r w:rsidRPr="008F7B18">
        <w:t xml:space="preserve"> 1.1 пункта 2 статьи 427 </w:t>
      </w:r>
      <w:r>
        <w:t>К</w:t>
      </w:r>
      <w:r w:rsidRPr="008F7B18">
        <w:t>одекса</w:t>
      </w:r>
      <w:r>
        <w:t xml:space="preserve"> </w:t>
      </w:r>
      <w:r>
        <w:rPr>
          <w:rFonts w:eastAsia="Calibri"/>
        </w:rPr>
        <w:t>пониженные тарифы страховых взносов до 1 января 2021 г</w:t>
      </w:r>
      <w:r w:rsidR="004911A4">
        <w:rPr>
          <w:rFonts w:eastAsia="Calibri"/>
        </w:rPr>
        <w:t>.</w:t>
      </w:r>
      <w:r>
        <w:rPr>
          <w:rFonts w:eastAsia="Calibri"/>
        </w:rPr>
        <w:t xml:space="preserve">, </w:t>
      </w:r>
      <w:r>
        <w:t>вправе</w:t>
      </w:r>
      <w:r w:rsidRPr="00DD0670">
        <w:t xml:space="preserve"> перейти на </w:t>
      </w:r>
      <w:r>
        <w:t xml:space="preserve">них </w:t>
      </w:r>
      <w:r w:rsidRPr="00DD0670">
        <w:t xml:space="preserve">с </w:t>
      </w:r>
      <w:r>
        <w:t xml:space="preserve">1 января </w:t>
      </w:r>
      <w:r w:rsidRPr="00DD0670">
        <w:t>202</w:t>
      </w:r>
      <w:r>
        <w:t>1</w:t>
      </w:r>
      <w:r w:rsidRPr="00DD0670">
        <w:t xml:space="preserve"> г</w:t>
      </w:r>
      <w:r w:rsidR="004911A4">
        <w:t>.</w:t>
      </w:r>
      <w:r w:rsidRPr="00DD0670">
        <w:t>, если выполняет вышеуказанные</w:t>
      </w:r>
      <w:proofErr w:type="gramEnd"/>
      <w:r w:rsidRPr="00DD0670">
        <w:t xml:space="preserve"> условия о доле доходов от осуществления деятельности в области информационных технологий и средней численности работников за период с января по сентябрь 20</w:t>
      </w:r>
      <w:r>
        <w:t>20</w:t>
      </w:r>
      <w:r w:rsidRPr="00DD0670">
        <w:t xml:space="preserve"> г.</w:t>
      </w:r>
    </w:p>
    <w:p w:rsidR="00D303A4" w:rsidRDefault="00D303A4" w:rsidP="006D5059">
      <w:pPr>
        <w:ind w:firstLine="709"/>
      </w:pPr>
      <w:proofErr w:type="gramStart"/>
      <w:r>
        <w:t>При этом</w:t>
      </w:r>
      <w:r w:rsidR="002F757F">
        <w:t xml:space="preserve"> </w:t>
      </w:r>
      <w:r w:rsidR="003210D1">
        <w:t>в целях</w:t>
      </w:r>
      <w:r w:rsidR="002F757F">
        <w:t xml:space="preserve"> перехода на пониженные тарифы страховых взносов </w:t>
      </w:r>
      <w:r w:rsidR="003210D1">
        <w:t xml:space="preserve">с </w:t>
      </w:r>
      <w:r w:rsidR="003210D1">
        <w:rPr>
          <w:rFonts w:eastAsia="Calibri"/>
        </w:rPr>
        <w:t xml:space="preserve">1 января 2021 г. </w:t>
      </w:r>
      <w:r w:rsidR="002F757F">
        <w:t xml:space="preserve">в </w:t>
      </w:r>
      <w:r w:rsidR="002F757F" w:rsidRPr="00D27078">
        <w:t>дол</w:t>
      </w:r>
      <w:r w:rsidR="002F757F">
        <w:t>ю</w:t>
      </w:r>
      <w:r w:rsidR="002F757F" w:rsidRPr="00D27078">
        <w:t xml:space="preserve"> доходов</w:t>
      </w:r>
      <w:r w:rsidR="002F757F" w:rsidRPr="00CF2B8C">
        <w:t xml:space="preserve"> </w:t>
      </w:r>
      <w:r w:rsidR="002F757F" w:rsidRPr="00DC139E">
        <w:t>от</w:t>
      </w:r>
      <w:r w:rsidR="002F757F">
        <w:t xml:space="preserve"> </w:t>
      </w:r>
      <w:r w:rsidR="002F757F" w:rsidRPr="00DC139E">
        <w:t>осуществления деятельности в области информационных технологий</w:t>
      </w:r>
      <w:r w:rsidR="00721898">
        <w:t>, определяемую</w:t>
      </w:r>
      <w:r w:rsidR="002F757F" w:rsidRPr="00CF2B8C">
        <w:t xml:space="preserve"> </w:t>
      </w:r>
      <w:r w:rsidR="003210D1" w:rsidRPr="00DD0670">
        <w:t>за период с января по сентябрь 20</w:t>
      </w:r>
      <w:r w:rsidR="003210D1">
        <w:t>20</w:t>
      </w:r>
      <w:r w:rsidR="003210D1" w:rsidRPr="00DD0670">
        <w:t xml:space="preserve"> г.</w:t>
      </w:r>
      <w:r w:rsidR="00721898">
        <w:t>,</w:t>
      </w:r>
      <w:r w:rsidR="002F757F" w:rsidRPr="00D27078">
        <w:t xml:space="preserve"> </w:t>
      </w:r>
      <w:r w:rsidR="002F757F">
        <w:t xml:space="preserve">не включаются доходы </w:t>
      </w:r>
      <w:r w:rsidR="002F757F" w:rsidRPr="00853331">
        <w:t>от</w:t>
      </w:r>
      <w:r w:rsidR="002F757F">
        <w:t xml:space="preserve"> </w:t>
      </w:r>
      <w:r w:rsidR="002F757F" w:rsidRPr="00853331">
        <w:t xml:space="preserve">предоставления прав использования </w:t>
      </w:r>
      <w:r w:rsidR="002F757F">
        <w:t xml:space="preserve">разработанных организацией </w:t>
      </w:r>
      <w:r w:rsidR="002F757F" w:rsidRPr="00853331">
        <w:t xml:space="preserve">программ для ЭВМ, баз данных </w:t>
      </w:r>
      <w:r w:rsidR="002F757F" w:rsidRPr="00F34418">
        <w:t>по лицензионным договорам</w:t>
      </w:r>
      <w:r w:rsidR="002F757F" w:rsidRPr="00853331">
        <w:t xml:space="preserve"> (в том числе путем предоставления удаленного доступа к ним</w:t>
      </w:r>
      <w:proofErr w:type="gramEnd"/>
      <w:r w:rsidR="002F757F" w:rsidRPr="00853331">
        <w:t xml:space="preserve"> </w:t>
      </w:r>
      <w:proofErr w:type="gramStart"/>
      <w:r w:rsidR="002F757F" w:rsidRPr="00853331">
        <w:t>через информационно-телекоммуникационную сеть «Интернет»), если такие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такой информации, размещать предложения о приобретении (реализации) товаров (работ, услуг), имущественных прав в информационно-телекоммуникационной сети «Интернет», осуществлять поиск информации о потенциальных покупателях (продавцах) и (или) заключать сделки</w:t>
      </w:r>
      <w:r w:rsidR="003210D1">
        <w:t>.</w:t>
      </w:r>
      <w:proofErr w:type="gramEnd"/>
    </w:p>
    <w:p w:rsidR="00011E0D" w:rsidRDefault="00011E0D" w:rsidP="006D5059">
      <w:pPr>
        <w:ind w:firstLine="709"/>
      </w:pPr>
    </w:p>
    <w:p w:rsidR="003716CF" w:rsidRDefault="003716CF" w:rsidP="00E3460B">
      <w:pPr>
        <w:ind w:firstLine="709"/>
      </w:pPr>
    </w:p>
    <w:p w:rsidR="00950267" w:rsidRDefault="00950267" w:rsidP="00E3460B">
      <w:pPr>
        <w:ind w:firstLine="709"/>
      </w:pPr>
    </w:p>
    <w:p w:rsidR="003529BB" w:rsidRDefault="003529BB" w:rsidP="00E3460B">
      <w:pPr>
        <w:ind w:firstLine="709"/>
      </w:pPr>
    </w:p>
    <w:p w:rsidR="00B66CC8" w:rsidRDefault="00B66CC8" w:rsidP="00E3460B">
      <w:pPr>
        <w:ind w:firstLine="709"/>
      </w:pPr>
    </w:p>
    <w:p w:rsidR="00F41902" w:rsidRDefault="00106826" w:rsidP="00F41902">
      <w:r>
        <w:t>Д</w:t>
      </w:r>
      <w:r w:rsidR="00F41902">
        <w:t>иректор Департамента</w:t>
      </w:r>
      <w:r w:rsidR="00864780">
        <w:tab/>
        <w:t xml:space="preserve">                                               </w:t>
      </w:r>
      <w:r w:rsidR="00F41902">
        <w:t xml:space="preserve"> </w:t>
      </w:r>
      <w:r>
        <w:t xml:space="preserve">                      Д</w:t>
      </w:r>
      <w:r w:rsidR="00F41902">
        <w:t>.</w:t>
      </w:r>
      <w:r>
        <w:t>В</w:t>
      </w:r>
      <w:r w:rsidR="00F41902">
        <w:t xml:space="preserve">. </w:t>
      </w:r>
      <w:r>
        <w:t>Волко</w:t>
      </w:r>
      <w:r w:rsidR="00F41902">
        <w:t>в</w:t>
      </w:r>
      <w:bookmarkStart w:id="0" w:name="_GoBack"/>
      <w:bookmarkEnd w:id="0"/>
    </w:p>
    <w:sectPr w:rsidR="00F41902" w:rsidSect="00FD5D2A">
      <w:pgSz w:w="11906" w:h="16838"/>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191" w:rsidRDefault="00A23191" w:rsidP="00041E4A">
      <w:r>
        <w:separator/>
      </w:r>
    </w:p>
  </w:endnote>
  <w:endnote w:type="continuationSeparator" w:id="0">
    <w:p w:rsidR="00A23191" w:rsidRDefault="00A23191" w:rsidP="0004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191" w:rsidRDefault="00A23191" w:rsidP="00041E4A">
      <w:r>
        <w:separator/>
      </w:r>
    </w:p>
  </w:footnote>
  <w:footnote w:type="continuationSeparator" w:id="0">
    <w:p w:rsidR="00A23191" w:rsidRDefault="00A23191" w:rsidP="00041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34"/>
  <w:drawingGridVerticalSpacing w:val="113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FD"/>
    <w:rsid w:val="00011E0D"/>
    <w:rsid w:val="00013BD9"/>
    <w:rsid w:val="00027294"/>
    <w:rsid w:val="00041E4A"/>
    <w:rsid w:val="00043FF0"/>
    <w:rsid w:val="00056C74"/>
    <w:rsid w:val="00082512"/>
    <w:rsid w:val="000862AB"/>
    <w:rsid w:val="00087F95"/>
    <w:rsid w:val="00095328"/>
    <w:rsid w:val="00096F3D"/>
    <w:rsid w:val="000B2030"/>
    <w:rsid w:val="000C293D"/>
    <w:rsid w:val="000C51A5"/>
    <w:rsid w:val="000F6166"/>
    <w:rsid w:val="00106826"/>
    <w:rsid w:val="0011310E"/>
    <w:rsid w:val="0011351A"/>
    <w:rsid w:val="00156BE9"/>
    <w:rsid w:val="0016266E"/>
    <w:rsid w:val="00173D49"/>
    <w:rsid w:val="0017721D"/>
    <w:rsid w:val="00180B8B"/>
    <w:rsid w:val="00192067"/>
    <w:rsid w:val="001945D0"/>
    <w:rsid w:val="001A1A1F"/>
    <w:rsid w:val="001B4823"/>
    <w:rsid w:val="001C38FF"/>
    <w:rsid w:val="001E4E96"/>
    <w:rsid w:val="001E70FE"/>
    <w:rsid w:val="001E7D42"/>
    <w:rsid w:val="001F21DA"/>
    <w:rsid w:val="00215BC5"/>
    <w:rsid w:val="00216B80"/>
    <w:rsid w:val="00251675"/>
    <w:rsid w:val="0026024C"/>
    <w:rsid w:val="00261879"/>
    <w:rsid w:val="002623DA"/>
    <w:rsid w:val="002766F2"/>
    <w:rsid w:val="0028127F"/>
    <w:rsid w:val="0029124D"/>
    <w:rsid w:val="002A2E00"/>
    <w:rsid w:val="002A33D2"/>
    <w:rsid w:val="002C7485"/>
    <w:rsid w:val="002D1BB5"/>
    <w:rsid w:val="002D5E1B"/>
    <w:rsid w:val="002F2F33"/>
    <w:rsid w:val="002F757F"/>
    <w:rsid w:val="00301A50"/>
    <w:rsid w:val="0031296A"/>
    <w:rsid w:val="00315AE6"/>
    <w:rsid w:val="003210D1"/>
    <w:rsid w:val="00324458"/>
    <w:rsid w:val="00340128"/>
    <w:rsid w:val="00344D24"/>
    <w:rsid w:val="003529BB"/>
    <w:rsid w:val="00364B88"/>
    <w:rsid w:val="00371406"/>
    <w:rsid w:val="003716CF"/>
    <w:rsid w:val="003725C8"/>
    <w:rsid w:val="00374DCA"/>
    <w:rsid w:val="00391290"/>
    <w:rsid w:val="003A4837"/>
    <w:rsid w:val="003A527B"/>
    <w:rsid w:val="003A612E"/>
    <w:rsid w:val="003B554A"/>
    <w:rsid w:val="003B7B6D"/>
    <w:rsid w:val="003D772F"/>
    <w:rsid w:val="003F2BF5"/>
    <w:rsid w:val="003F3C9B"/>
    <w:rsid w:val="00406C1D"/>
    <w:rsid w:val="00413D5A"/>
    <w:rsid w:val="00416F67"/>
    <w:rsid w:val="00434AEF"/>
    <w:rsid w:val="00440C34"/>
    <w:rsid w:val="00455B8F"/>
    <w:rsid w:val="00456889"/>
    <w:rsid w:val="00470FEC"/>
    <w:rsid w:val="004713B6"/>
    <w:rsid w:val="00482FD3"/>
    <w:rsid w:val="00485041"/>
    <w:rsid w:val="00485A85"/>
    <w:rsid w:val="004866C0"/>
    <w:rsid w:val="004911A4"/>
    <w:rsid w:val="00494927"/>
    <w:rsid w:val="004A29F7"/>
    <w:rsid w:val="004C4F52"/>
    <w:rsid w:val="004E1B8E"/>
    <w:rsid w:val="00517A75"/>
    <w:rsid w:val="00524B83"/>
    <w:rsid w:val="0053329E"/>
    <w:rsid w:val="005524E0"/>
    <w:rsid w:val="00585243"/>
    <w:rsid w:val="00587E89"/>
    <w:rsid w:val="00590348"/>
    <w:rsid w:val="00590D33"/>
    <w:rsid w:val="005A37A2"/>
    <w:rsid w:val="005A3A2B"/>
    <w:rsid w:val="005A7233"/>
    <w:rsid w:val="005B1089"/>
    <w:rsid w:val="005F681E"/>
    <w:rsid w:val="00601C18"/>
    <w:rsid w:val="0060481F"/>
    <w:rsid w:val="00607F7E"/>
    <w:rsid w:val="00610A9E"/>
    <w:rsid w:val="006217AC"/>
    <w:rsid w:val="006266FF"/>
    <w:rsid w:val="00636EC6"/>
    <w:rsid w:val="00644A5E"/>
    <w:rsid w:val="00693AC7"/>
    <w:rsid w:val="006B74E2"/>
    <w:rsid w:val="006D403E"/>
    <w:rsid w:val="006D5059"/>
    <w:rsid w:val="006D5D8A"/>
    <w:rsid w:val="006E1355"/>
    <w:rsid w:val="006E7065"/>
    <w:rsid w:val="006F0705"/>
    <w:rsid w:val="006F223F"/>
    <w:rsid w:val="0070426B"/>
    <w:rsid w:val="00705788"/>
    <w:rsid w:val="0071258D"/>
    <w:rsid w:val="00717939"/>
    <w:rsid w:val="00721898"/>
    <w:rsid w:val="00724FB3"/>
    <w:rsid w:val="00725946"/>
    <w:rsid w:val="00733462"/>
    <w:rsid w:val="007345B9"/>
    <w:rsid w:val="007530B6"/>
    <w:rsid w:val="0075677F"/>
    <w:rsid w:val="00782FA4"/>
    <w:rsid w:val="007853E4"/>
    <w:rsid w:val="007958D8"/>
    <w:rsid w:val="007C6B51"/>
    <w:rsid w:val="007D5A9D"/>
    <w:rsid w:val="007E04CB"/>
    <w:rsid w:val="007F12C1"/>
    <w:rsid w:val="007F2C82"/>
    <w:rsid w:val="00805753"/>
    <w:rsid w:val="008120DE"/>
    <w:rsid w:val="00815A2E"/>
    <w:rsid w:val="00836604"/>
    <w:rsid w:val="00844FF1"/>
    <w:rsid w:val="00854A6C"/>
    <w:rsid w:val="00864780"/>
    <w:rsid w:val="0087170B"/>
    <w:rsid w:val="008729A7"/>
    <w:rsid w:val="008A20EE"/>
    <w:rsid w:val="008A5FB5"/>
    <w:rsid w:val="008B2BB0"/>
    <w:rsid w:val="008C28FD"/>
    <w:rsid w:val="008C7C47"/>
    <w:rsid w:val="008C7D71"/>
    <w:rsid w:val="008D6C73"/>
    <w:rsid w:val="008E748C"/>
    <w:rsid w:val="008F03EF"/>
    <w:rsid w:val="008F6887"/>
    <w:rsid w:val="009019B6"/>
    <w:rsid w:val="00905713"/>
    <w:rsid w:val="00911EE6"/>
    <w:rsid w:val="00914039"/>
    <w:rsid w:val="00926DAC"/>
    <w:rsid w:val="009305B6"/>
    <w:rsid w:val="00941E55"/>
    <w:rsid w:val="00941E94"/>
    <w:rsid w:val="00942522"/>
    <w:rsid w:val="00942643"/>
    <w:rsid w:val="00944D91"/>
    <w:rsid w:val="00945E9A"/>
    <w:rsid w:val="00950267"/>
    <w:rsid w:val="00950278"/>
    <w:rsid w:val="0095171A"/>
    <w:rsid w:val="00951C20"/>
    <w:rsid w:val="00953D25"/>
    <w:rsid w:val="00957434"/>
    <w:rsid w:val="00957EA4"/>
    <w:rsid w:val="0097727D"/>
    <w:rsid w:val="00986243"/>
    <w:rsid w:val="009A340E"/>
    <w:rsid w:val="009A7A6A"/>
    <w:rsid w:val="009B1DAF"/>
    <w:rsid w:val="009C1EAC"/>
    <w:rsid w:val="009D4D57"/>
    <w:rsid w:val="009E0477"/>
    <w:rsid w:val="009E6F47"/>
    <w:rsid w:val="00A1399B"/>
    <w:rsid w:val="00A13EE1"/>
    <w:rsid w:val="00A20800"/>
    <w:rsid w:val="00A23191"/>
    <w:rsid w:val="00A33791"/>
    <w:rsid w:val="00A522EF"/>
    <w:rsid w:val="00A53A74"/>
    <w:rsid w:val="00A57E45"/>
    <w:rsid w:val="00A770BB"/>
    <w:rsid w:val="00A81B81"/>
    <w:rsid w:val="00A8235D"/>
    <w:rsid w:val="00AB65CF"/>
    <w:rsid w:val="00AC73F7"/>
    <w:rsid w:val="00AE60A7"/>
    <w:rsid w:val="00AF7DB6"/>
    <w:rsid w:val="00AF7DE9"/>
    <w:rsid w:val="00B00DB7"/>
    <w:rsid w:val="00B03B9C"/>
    <w:rsid w:val="00B1006E"/>
    <w:rsid w:val="00B273FD"/>
    <w:rsid w:val="00B37474"/>
    <w:rsid w:val="00B42BE2"/>
    <w:rsid w:val="00B435CF"/>
    <w:rsid w:val="00B45A5A"/>
    <w:rsid w:val="00B51D0B"/>
    <w:rsid w:val="00B60451"/>
    <w:rsid w:val="00B62E27"/>
    <w:rsid w:val="00B660E4"/>
    <w:rsid w:val="00B66CC8"/>
    <w:rsid w:val="00B67C52"/>
    <w:rsid w:val="00B82278"/>
    <w:rsid w:val="00B86CE9"/>
    <w:rsid w:val="00BA55F6"/>
    <w:rsid w:val="00BB2D3B"/>
    <w:rsid w:val="00BE1117"/>
    <w:rsid w:val="00BF0E93"/>
    <w:rsid w:val="00BF1B80"/>
    <w:rsid w:val="00BF25D8"/>
    <w:rsid w:val="00C034E8"/>
    <w:rsid w:val="00C14A8D"/>
    <w:rsid w:val="00C15695"/>
    <w:rsid w:val="00C20DA6"/>
    <w:rsid w:val="00C71D95"/>
    <w:rsid w:val="00C75ECF"/>
    <w:rsid w:val="00C77198"/>
    <w:rsid w:val="00C8204F"/>
    <w:rsid w:val="00C8768B"/>
    <w:rsid w:val="00C93A05"/>
    <w:rsid w:val="00CB2214"/>
    <w:rsid w:val="00CC7013"/>
    <w:rsid w:val="00CD16AF"/>
    <w:rsid w:val="00CD7ACE"/>
    <w:rsid w:val="00CE577D"/>
    <w:rsid w:val="00CF38BE"/>
    <w:rsid w:val="00D003A1"/>
    <w:rsid w:val="00D056BA"/>
    <w:rsid w:val="00D05976"/>
    <w:rsid w:val="00D303A4"/>
    <w:rsid w:val="00D32C7F"/>
    <w:rsid w:val="00D34267"/>
    <w:rsid w:val="00D54CC6"/>
    <w:rsid w:val="00D55FBF"/>
    <w:rsid w:val="00D6060D"/>
    <w:rsid w:val="00D66961"/>
    <w:rsid w:val="00D70668"/>
    <w:rsid w:val="00D7208D"/>
    <w:rsid w:val="00D77960"/>
    <w:rsid w:val="00DA4D4F"/>
    <w:rsid w:val="00DB4094"/>
    <w:rsid w:val="00DC364D"/>
    <w:rsid w:val="00DD1C52"/>
    <w:rsid w:val="00DD6825"/>
    <w:rsid w:val="00E03595"/>
    <w:rsid w:val="00E15E3B"/>
    <w:rsid w:val="00E301B9"/>
    <w:rsid w:val="00E3460B"/>
    <w:rsid w:val="00E47D14"/>
    <w:rsid w:val="00E5006B"/>
    <w:rsid w:val="00E60893"/>
    <w:rsid w:val="00E64651"/>
    <w:rsid w:val="00E74F7F"/>
    <w:rsid w:val="00E91ABD"/>
    <w:rsid w:val="00EA625F"/>
    <w:rsid w:val="00EB3877"/>
    <w:rsid w:val="00EC0A08"/>
    <w:rsid w:val="00EE3385"/>
    <w:rsid w:val="00EE60FD"/>
    <w:rsid w:val="00EF2490"/>
    <w:rsid w:val="00EF590D"/>
    <w:rsid w:val="00F0255A"/>
    <w:rsid w:val="00F14B84"/>
    <w:rsid w:val="00F14CE4"/>
    <w:rsid w:val="00F30BE9"/>
    <w:rsid w:val="00F41160"/>
    <w:rsid w:val="00F41902"/>
    <w:rsid w:val="00F661E2"/>
    <w:rsid w:val="00F72D26"/>
    <w:rsid w:val="00F72DAD"/>
    <w:rsid w:val="00F7459B"/>
    <w:rsid w:val="00FC6946"/>
    <w:rsid w:val="00FD5D2A"/>
    <w:rsid w:val="00FE1215"/>
    <w:rsid w:val="00FE22BC"/>
    <w:rsid w:val="00FF2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87"/>
    <w:pPr>
      <w:spacing w:after="0" w:line="240" w:lineRule="auto"/>
      <w:contextualSpacing/>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E4A"/>
    <w:pPr>
      <w:tabs>
        <w:tab w:val="center" w:pos="4677"/>
        <w:tab w:val="right" w:pos="9355"/>
      </w:tabs>
    </w:pPr>
  </w:style>
  <w:style w:type="character" w:customStyle="1" w:styleId="a4">
    <w:name w:val="Верхний колонтитул Знак"/>
    <w:basedOn w:val="a0"/>
    <w:link w:val="a3"/>
    <w:uiPriority w:val="99"/>
    <w:rsid w:val="00041E4A"/>
  </w:style>
  <w:style w:type="paragraph" w:styleId="a5">
    <w:name w:val="footer"/>
    <w:basedOn w:val="a"/>
    <w:link w:val="a6"/>
    <w:uiPriority w:val="99"/>
    <w:unhideWhenUsed/>
    <w:rsid w:val="00041E4A"/>
    <w:pPr>
      <w:tabs>
        <w:tab w:val="center" w:pos="4677"/>
        <w:tab w:val="right" w:pos="9355"/>
      </w:tabs>
    </w:pPr>
  </w:style>
  <w:style w:type="character" w:customStyle="1" w:styleId="a6">
    <w:name w:val="Нижний колонтитул Знак"/>
    <w:basedOn w:val="a0"/>
    <w:link w:val="a5"/>
    <w:uiPriority w:val="99"/>
    <w:rsid w:val="00041E4A"/>
  </w:style>
  <w:style w:type="table" w:styleId="a7">
    <w:name w:val="Table Grid"/>
    <w:basedOn w:val="a1"/>
    <w:uiPriority w:val="39"/>
    <w:rsid w:val="00EF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исунок"/>
    <w:basedOn w:val="a"/>
    <w:link w:val="a9"/>
    <w:qFormat/>
    <w:rsid w:val="006E7065"/>
    <w:rPr>
      <w:noProof/>
    </w:rPr>
  </w:style>
  <w:style w:type="character" w:customStyle="1" w:styleId="a9">
    <w:name w:val="Рисунок Знак"/>
    <w:basedOn w:val="a0"/>
    <w:link w:val="a8"/>
    <w:rsid w:val="006E7065"/>
    <w:rPr>
      <w:noProof/>
    </w:rPr>
  </w:style>
  <w:style w:type="paragraph" w:styleId="aa">
    <w:name w:val="Balloon Text"/>
    <w:basedOn w:val="a"/>
    <w:link w:val="ab"/>
    <w:uiPriority w:val="99"/>
    <w:semiHidden/>
    <w:unhideWhenUsed/>
    <w:rsid w:val="00F14B84"/>
    <w:rPr>
      <w:rFonts w:ascii="Tahoma" w:hAnsi="Tahoma" w:cs="Tahoma"/>
      <w:sz w:val="16"/>
      <w:szCs w:val="16"/>
    </w:rPr>
  </w:style>
  <w:style w:type="character" w:customStyle="1" w:styleId="ab">
    <w:name w:val="Текст выноски Знак"/>
    <w:basedOn w:val="a0"/>
    <w:link w:val="aa"/>
    <w:uiPriority w:val="99"/>
    <w:semiHidden/>
    <w:rsid w:val="00F14B84"/>
    <w:rPr>
      <w:rFonts w:ascii="Tahoma" w:hAnsi="Tahoma" w:cs="Tahoma"/>
      <w:sz w:val="16"/>
      <w:szCs w:val="16"/>
    </w:rPr>
  </w:style>
  <w:style w:type="character" w:styleId="ac">
    <w:name w:val="Hyperlink"/>
    <w:rsid w:val="00DC36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87"/>
    <w:pPr>
      <w:spacing w:after="0" w:line="240" w:lineRule="auto"/>
      <w:contextualSpacing/>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E4A"/>
    <w:pPr>
      <w:tabs>
        <w:tab w:val="center" w:pos="4677"/>
        <w:tab w:val="right" w:pos="9355"/>
      </w:tabs>
    </w:pPr>
  </w:style>
  <w:style w:type="character" w:customStyle="1" w:styleId="a4">
    <w:name w:val="Верхний колонтитул Знак"/>
    <w:basedOn w:val="a0"/>
    <w:link w:val="a3"/>
    <w:uiPriority w:val="99"/>
    <w:rsid w:val="00041E4A"/>
  </w:style>
  <w:style w:type="paragraph" w:styleId="a5">
    <w:name w:val="footer"/>
    <w:basedOn w:val="a"/>
    <w:link w:val="a6"/>
    <w:uiPriority w:val="99"/>
    <w:unhideWhenUsed/>
    <w:rsid w:val="00041E4A"/>
    <w:pPr>
      <w:tabs>
        <w:tab w:val="center" w:pos="4677"/>
        <w:tab w:val="right" w:pos="9355"/>
      </w:tabs>
    </w:pPr>
  </w:style>
  <w:style w:type="character" w:customStyle="1" w:styleId="a6">
    <w:name w:val="Нижний колонтитул Знак"/>
    <w:basedOn w:val="a0"/>
    <w:link w:val="a5"/>
    <w:uiPriority w:val="99"/>
    <w:rsid w:val="00041E4A"/>
  </w:style>
  <w:style w:type="table" w:styleId="a7">
    <w:name w:val="Table Grid"/>
    <w:basedOn w:val="a1"/>
    <w:uiPriority w:val="39"/>
    <w:rsid w:val="00EF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исунок"/>
    <w:basedOn w:val="a"/>
    <w:link w:val="a9"/>
    <w:qFormat/>
    <w:rsid w:val="006E7065"/>
    <w:rPr>
      <w:noProof/>
    </w:rPr>
  </w:style>
  <w:style w:type="character" w:customStyle="1" w:styleId="a9">
    <w:name w:val="Рисунок Знак"/>
    <w:basedOn w:val="a0"/>
    <w:link w:val="a8"/>
    <w:rsid w:val="006E7065"/>
    <w:rPr>
      <w:noProof/>
    </w:rPr>
  </w:style>
  <w:style w:type="paragraph" w:styleId="aa">
    <w:name w:val="Balloon Text"/>
    <w:basedOn w:val="a"/>
    <w:link w:val="ab"/>
    <w:uiPriority w:val="99"/>
    <w:semiHidden/>
    <w:unhideWhenUsed/>
    <w:rsid w:val="00F14B84"/>
    <w:rPr>
      <w:rFonts w:ascii="Tahoma" w:hAnsi="Tahoma" w:cs="Tahoma"/>
      <w:sz w:val="16"/>
      <w:szCs w:val="16"/>
    </w:rPr>
  </w:style>
  <w:style w:type="character" w:customStyle="1" w:styleId="ab">
    <w:name w:val="Текст выноски Знак"/>
    <w:basedOn w:val="a0"/>
    <w:link w:val="aa"/>
    <w:uiPriority w:val="99"/>
    <w:semiHidden/>
    <w:rsid w:val="00F14B84"/>
    <w:rPr>
      <w:rFonts w:ascii="Tahoma" w:hAnsi="Tahoma" w:cs="Tahoma"/>
      <w:sz w:val="16"/>
      <w:szCs w:val="16"/>
    </w:rPr>
  </w:style>
  <w:style w:type="character" w:styleId="ac">
    <w:name w:val="Hyperlink"/>
    <w:rsid w:val="00DC3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0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41456-3A2B-4C1E-9476-7946C8B8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 Afanasyev</dc:creator>
  <cp:lastModifiedBy>ШЕРШНЕВА ОЛЬГА СЕРГЕЕВНА</cp:lastModifiedBy>
  <cp:revision>42</cp:revision>
  <cp:lastPrinted>2020-02-18T15:32:00Z</cp:lastPrinted>
  <dcterms:created xsi:type="dcterms:W3CDTF">2021-09-14T16:01:00Z</dcterms:created>
  <dcterms:modified xsi:type="dcterms:W3CDTF">2021-12-17T13:10:00Z</dcterms:modified>
</cp:coreProperties>
</file>