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D" w:rsidRDefault="005B0D5D">
      <w:pPr>
        <w:pStyle w:val="ConsPlusTitlePage"/>
      </w:pPr>
      <w:bookmarkStart w:id="0" w:name="_GoBack"/>
      <w:bookmarkEnd w:id="0"/>
      <w:r>
        <w:br/>
      </w:r>
    </w:p>
    <w:p w:rsidR="005B0D5D" w:rsidRDefault="005B0D5D">
      <w:pPr>
        <w:pStyle w:val="ConsPlusNormal"/>
        <w:jc w:val="both"/>
        <w:outlineLvl w:val="0"/>
      </w:pPr>
    </w:p>
    <w:p w:rsidR="005B0D5D" w:rsidRDefault="005B0D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0D5D" w:rsidRDefault="005B0D5D">
      <w:pPr>
        <w:pStyle w:val="ConsPlusTitle"/>
        <w:jc w:val="center"/>
      </w:pPr>
    </w:p>
    <w:p w:rsidR="005B0D5D" w:rsidRDefault="005B0D5D">
      <w:pPr>
        <w:pStyle w:val="ConsPlusTitle"/>
        <w:jc w:val="center"/>
      </w:pPr>
      <w:r>
        <w:t>ПОСТАНОВЛЕНИЕ</w:t>
      </w:r>
    </w:p>
    <w:p w:rsidR="005B0D5D" w:rsidRDefault="005B0D5D">
      <w:pPr>
        <w:pStyle w:val="ConsPlusTitle"/>
        <w:jc w:val="center"/>
      </w:pPr>
      <w:r>
        <w:t>от 14 августа 2020 г. N 1216</w:t>
      </w:r>
    </w:p>
    <w:p w:rsidR="005B0D5D" w:rsidRDefault="005B0D5D">
      <w:pPr>
        <w:pStyle w:val="ConsPlusTitle"/>
        <w:jc w:val="center"/>
      </w:pPr>
    </w:p>
    <w:p w:rsidR="005B0D5D" w:rsidRDefault="005B0D5D">
      <w:pPr>
        <w:pStyle w:val="ConsPlusTitle"/>
        <w:jc w:val="center"/>
      </w:pPr>
      <w:r>
        <w:t>О ДОПОЛНИТЕЛЬНЫХ ТРЕБОВАНИЯХ К ОРГАНИЗАТОРАМ АЗАРТНЫХ ИГР</w:t>
      </w:r>
    </w:p>
    <w:p w:rsidR="005B0D5D" w:rsidRDefault="005B0D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D5D" w:rsidRDefault="005B0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D5D" w:rsidRDefault="005B0D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28.05.2021 N 818)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</w:tr>
    </w:tbl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6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 xml:space="preserve">1. Утвердить прилагаемые дополнительные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организаторам азартных игр.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</w:t>
      </w:r>
    </w:p>
    <w:p w:rsidR="005B0D5D" w:rsidRDefault="005B0D5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818)</w:t>
      </w: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right"/>
      </w:pPr>
      <w:r>
        <w:t>Председатель Правительства</w:t>
      </w:r>
    </w:p>
    <w:p w:rsidR="005B0D5D" w:rsidRDefault="005B0D5D">
      <w:pPr>
        <w:pStyle w:val="ConsPlusNormal"/>
        <w:jc w:val="right"/>
      </w:pPr>
      <w:r>
        <w:t>Российской Федерации</w:t>
      </w:r>
    </w:p>
    <w:p w:rsidR="005B0D5D" w:rsidRDefault="005B0D5D">
      <w:pPr>
        <w:pStyle w:val="ConsPlusNormal"/>
        <w:jc w:val="right"/>
      </w:pPr>
      <w:r>
        <w:t>М.МИШУСТИН</w:t>
      </w: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right"/>
        <w:outlineLvl w:val="0"/>
      </w:pPr>
      <w:r>
        <w:t>Утверждены</w:t>
      </w:r>
    </w:p>
    <w:p w:rsidR="005B0D5D" w:rsidRDefault="005B0D5D">
      <w:pPr>
        <w:pStyle w:val="ConsPlusNormal"/>
        <w:jc w:val="right"/>
      </w:pPr>
      <w:r>
        <w:t>постановлением Правительства</w:t>
      </w:r>
    </w:p>
    <w:p w:rsidR="005B0D5D" w:rsidRDefault="005B0D5D">
      <w:pPr>
        <w:pStyle w:val="ConsPlusNormal"/>
        <w:jc w:val="right"/>
      </w:pPr>
      <w:r>
        <w:t>Российской Федерации</w:t>
      </w:r>
    </w:p>
    <w:p w:rsidR="005B0D5D" w:rsidRDefault="005B0D5D">
      <w:pPr>
        <w:pStyle w:val="ConsPlusNormal"/>
        <w:jc w:val="right"/>
      </w:pPr>
      <w:r>
        <w:t>от 14 августа 2020 г. N 1216</w:t>
      </w: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Title"/>
        <w:jc w:val="center"/>
      </w:pPr>
      <w:bookmarkStart w:id="1" w:name="P28"/>
      <w:bookmarkEnd w:id="1"/>
      <w:r>
        <w:t>ДОПОЛНИТЕЛЬНЫЕ ТРЕБОВАНИЯ К ОРГАНИЗАТОРАМ АЗАРТНЫХ ИГР</w:t>
      </w:r>
    </w:p>
    <w:p w:rsidR="005B0D5D" w:rsidRDefault="005B0D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D5D" w:rsidRDefault="005B0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D5D" w:rsidRDefault="005B0D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28.05.2021 N 818)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5D" w:rsidRDefault="005B0D5D"/>
        </w:tc>
      </w:tr>
    </w:tbl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Организатор азартных игр в букмекерских конторах или тотализаторах (далее - организатор азартных игр), осуществляющий деятельность по приему интерактивных ставок, переданных путем перевода денежных средств, в том числе электронных денежных средств (за исключением почтовых переводов), единым центром учета переводов ставок букмекерских контор и тотализаторов с использованием электронных средств платежа по поручениям участников азартных игр:</w:t>
      </w:r>
      <w:proofErr w:type="gramEnd"/>
    </w:p>
    <w:p w:rsidR="005B0D5D" w:rsidRDefault="005B0D5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818)</w:t>
      </w:r>
    </w:p>
    <w:p w:rsidR="005B0D5D" w:rsidRDefault="005B0D5D">
      <w:pPr>
        <w:pStyle w:val="ConsPlusNormal"/>
        <w:spacing w:before="220"/>
        <w:ind w:firstLine="540"/>
        <w:jc w:val="both"/>
      </w:pPr>
      <w:proofErr w:type="gramStart"/>
      <w:r>
        <w:t xml:space="preserve">а) использует для каждого вида оказываемых услуг, указанных в лицензии на осуществление деятельности по организации и проведению азартных игр в букмекерских конторах или тотализаторах, не более одного доменного имени, которое зарегистрировано в установленном </w:t>
      </w:r>
      <w:r>
        <w:lastRenderedPageBreak/>
        <w:t>порядке на имя организатора азартных игр или в отношении которого организатору азартных игр переданы права администрирования (права управления доменным именем);</w:t>
      </w:r>
      <w:proofErr w:type="gramEnd"/>
    </w:p>
    <w:p w:rsidR="005B0D5D" w:rsidRDefault="005B0D5D">
      <w:pPr>
        <w:pStyle w:val="ConsPlusNormal"/>
        <w:spacing w:before="220"/>
        <w:ind w:firstLine="540"/>
        <w:jc w:val="both"/>
      </w:pPr>
      <w:r>
        <w:t>б) использует для приема интерактивных ставок и выплаты выигрышей физическим лицам - участникам азартных игр, от которых приняты интерактивные ставки, банковский счет, открытый в едином центре учета переводов ставок букмекерских контор и тотализаторов;</w:t>
      </w:r>
    </w:p>
    <w:p w:rsidR="005B0D5D" w:rsidRDefault="005B0D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818)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 xml:space="preserve">в) хранит на территории Российской Федерации информацию о принятых интерактивных ставках, выплаченных и невыплаченных выигрышах, а также о развитии </w:t>
      </w:r>
      <w:proofErr w:type="gramStart"/>
      <w:r>
        <w:t>и</w:t>
      </w:r>
      <w:proofErr w:type="gramEnd"/>
      <w:r>
        <w:t xml:space="preserve"> об исходе событий, от которых зависит результат пари, в соответствии с </w:t>
      </w:r>
      <w:hyperlink r:id="rId11" w:history="1">
        <w:r>
          <w:rPr>
            <w:color w:val="0000FF"/>
          </w:rPr>
          <w:t>частью 3 статьи 10.1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>2. Организатор азартных игр размещает на своем сайте в информационно-телекоммуникационной сети "Интернет":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>а) информацию о фирменном наименовании организатора азартных игр, а также о товарном знаке (знаке обслуживания) и (или) коммерческом обозначении, используемых организатором азартных игр при осуществлении деятельности по организации и проведению азартных игр в букмекерских конторах или тотализаторах;</w:t>
      </w:r>
    </w:p>
    <w:p w:rsidR="005B0D5D" w:rsidRDefault="005B0D5D">
      <w:pPr>
        <w:pStyle w:val="ConsPlusNormal"/>
        <w:spacing w:before="220"/>
        <w:ind w:firstLine="540"/>
        <w:jc w:val="both"/>
      </w:pPr>
      <w:proofErr w:type="gramStart"/>
      <w:r>
        <w:t xml:space="preserve">б) текст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либо ссылку на указанный Федеральный </w:t>
      </w:r>
      <w:hyperlink r:id="rId13" w:history="1">
        <w:r>
          <w:rPr>
            <w:color w:val="0000FF"/>
          </w:rPr>
          <w:t>закон</w:t>
        </w:r>
      </w:hyperlink>
      <w:r>
        <w:t>, размещенный на "Официальном интернет-портале правовой информации" (www.pravo.gov.ru);</w:t>
      </w:r>
      <w:proofErr w:type="gramEnd"/>
    </w:p>
    <w:p w:rsidR="005B0D5D" w:rsidRDefault="005B0D5D">
      <w:pPr>
        <w:pStyle w:val="ConsPlusNormal"/>
        <w:spacing w:before="220"/>
        <w:ind w:firstLine="540"/>
        <w:jc w:val="both"/>
      </w:pPr>
      <w:r>
        <w:t>в) установленные организатором азартных игр правила азартных игр, правила приема ставок и выплаты выигрышей;</w:t>
      </w:r>
    </w:p>
    <w:p w:rsidR="005B0D5D" w:rsidRDefault="005B0D5D">
      <w:pPr>
        <w:pStyle w:val="ConsPlusNormal"/>
        <w:spacing w:before="220"/>
        <w:ind w:firstLine="540"/>
        <w:jc w:val="both"/>
      </w:pPr>
      <w:r>
        <w:t>г)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тотализаторах;</w:t>
      </w:r>
    </w:p>
    <w:p w:rsidR="005B0D5D" w:rsidRDefault="005B0D5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818)</w:t>
      </w:r>
    </w:p>
    <w:p w:rsidR="005B0D5D" w:rsidRDefault="005B0D5D">
      <w:pPr>
        <w:pStyle w:val="ConsPlusNormal"/>
        <w:spacing w:before="220"/>
        <w:ind w:firstLine="540"/>
        <w:jc w:val="both"/>
      </w:pPr>
      <w:proofErr w:type="gramStart"/>
      <w:r>
        <w:t xml:space="preserve">д) сведения о банковской гарантии исполнения обязательств перед участниками азартных игр, соответствующей требованиям </w:t>
      </w:r>
      <w:hyperlink r:id="rId15" w:history="1">
        <w:r>
          <w:rPr>
            <w:color w:val="0000FF"/>
          </w:rPr>
          <w:t>части 10 статьи 6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включая информацию, предусмотренную </w:t>
      </w:r>
      <w:hyperlink r:id="rId16" w:history="1">
        <w:r>
          <w:rPr>
            <w:color w:val="0000FF"/>
          </w:rPr>
          <w:t>пунктом 4 статьи 368</w:t>
        </w:r>
      </w:hyperlink>
      <w:r>
        <w:t xml:space="preserve"> Гражданского кодекса Российской Федерации, и информацию о перечне документов, необходимых для представления требований об</w:t>
      </w:r>
      <w:proofErr w:type="gramEnd"/>
      <w:r>
        <w:t xml:space="preserve"> уплате денежной суммы по такой гарантии.</w:t>
      </w:r>
    </w:p>
    <w:p w:rsidR="005B0D5D" w:rsidRDefault="005B0D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818)</w:t>
      </w: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jc w:val="both"/>
      </w:pPr>
    </w:p>
    <w:p w:rsidR="005B0D5D" w:rsidRDefault="005B0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FC1" w:rsidRDefault="002A5FC1"/>
    <w:sectPr w:rsidR="002A5FC1" w:rsidSect="0035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5D"/>
    <w:rsid w:val="002A5FC1"/>
    <w:rsid w:val="005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8C40CDA55145DD6FA06C16987E958CF7BB495390A5CBEA5B263FA817F0A89036282DE34F4C3BBB4D67B3702FDCCEj128G" TargetMode="External"/><Relationship Id="rId13" Type="http://schemas.openxmlformats.org/officeDocument/2006/relationships/hyperlink" Target="consultantplus://offline/ref=19F3924F1EDFE8DC3F5E8C40CDA55145DD61AC6C18957E958CF7BB495390A5CBF85B7E33A915EEA996237E7CA5j12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3924F1EDFE8DC3F5E8C40CDA55145DD6FA06C16987E958CF7BB495390A5CBEA5B263FA817F0A89136282DE34F4C3BBB4D67B3702FDCCEj128G" TargetMode="External"/><Relationship Id="rId12" Type="http://schemas.openxmlformats.org/officeDocument/2006/relationships/hyperlink" Target="consultantplus://offline/ref=19F3924F1EDFE8DC3F5E8C40CDA55145DD61AC6C18957E958CF7BB495390A5CBF85B7E33A915EEA996237E7CA5j12BG" TargetMode="External"/><Relationship Id="rId17" Type="http://schemas.openxmlformats.org/officeDocument/2006/relationships/hyperlink" Target="consultantplus://offline/ref=19F3924F1EDFE8DC3F5E8C40CDA55145DD6FA06C16987E958CF7BB495390A5CBEA5B263FA817F0A99336282DE34F4C3BBB4D67B3702FDCCEj12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F3924F1EDFE8DC3F5E8C40CDA55145DD6EAC691D957E958CF7BB495390A5CBEA5B263FA811F1A99C692D38F2174038A75267AC6C2DDEjC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8C40CDA55145DD61AC6C18957E958CF7BB495390A5CBEA5B263FA817F1A19036282DE34F4C3BBB4D67B3702FDCCEj128G" TargetMode="External"/><Relationship Id="rId11" Type="http://schemas.openxmlformats.org/officeDocument/2006/relationships/hyperlink" Target="consultantplus://offline/ref=19F3924F1EDFE8DC3F5E8C40CDA55145DD6EAD641B937E958CF7BB495390A5CBEA5B263CAC15FBFCC6792971A6185F3BB84D64B26Cj22CG" TargetMode="External"/><Relationship Id="rId5" Type="http://schemas.openxmlformats.org/officeDocument/2006/relationships/hyperlink" Target="consultantplus://offline/ref=19F3924F1EDFE8DC3F5E8C40CDA55145DD6FA06C16987E958CF7BB495390A5CBEA5B263FA817F0A89236282DE34F4C3BBB4D67B3702FDCCEj128G" TargetMode="External"/><Relationship Id="rId15" Type="http://schemas.openxmlformats.org/officeDocument/2006/relationships/hyperlink" Target="consultantplus://offline/ref=19F3924F1EDFE8DC3F5E8C40CDA55145DD61AC6C18957E958CF7BB495390A5CBEA5B263CAF12FBFCC6792971A6185F3BB84D64B26Cj22CG" TargetMode="External"/><Relationship Id="rId10" Type="http://schemas.openxmlformats.org/officeDocument/2006/relationships/hyperlink" Target="consultantplus://offline/ref=19F3924F1EDFE8DC3F5E8C40CDA55145DD6FA06C16987E958CF7BB495390A5CBEA5B263FA817F0A99736282DE34F4C3BBB4D67B3702FDCCEj12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3924F1EDFE8DC3F5E8C40CDA55145DD6FA06C16987E958CF7BB495390A5CBEA5B263FA817F0A89E36282DE34F4C3BBB4D67B3702FDCCEj128G" TargetMode="External"/><Relationship Id="rId14" Type="http://schemas.openxmlformats.org/officeDocument/2006/relationships/hyperlink" Target="consultantplus://offline/ref=19F3924F1EDFE8DC3F5E8C40CDA55145DD6FA06C16987E958CF7BB495390A5CBEA5B263FA817F0A99436282DE34F4C3BBB4D67B3702FDCCEj1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2021-11-12T06:54:00Z</dcterms:created>
  <dcterms:modified xsi:type="dcterms:W3CDTF">2021-11-12T06:54:00Z</dcterms:modified>
</cp:coreProperties>
</file>