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3408" w14:textId="77777777" w:rsidR="0075231E" w:rsidRPr="00E36261" w:rsidRDefault="0075231E" w:rsidP="00126DE5">
      <w:pPr>
        <w:tabs>
          <w:tab w:val="left" w:pos="709"/>
          <w:tab w:val="left" w:pos="851"/>
        </w:tabs>
        <w:ind w:firstLine="0"/>
        <w:jc w:val="center"/>
        <w:rPr>
          <w:b/>
          <w:szCs w:val="28"/>
        </w:rPr>
      </w:pPr>
      <w:bookmarkStart w:id="0" w:name="_GoBack"/>
      <w:bookmarkEnd w:id="0"/>
    </w:p>
    <w:p w14:paraId="19BAF9E4" w14:textId="77777777" w:rsidR="0069548E" w:rsidRPr="002E6165" w:rsidRDefault="0069548E" w:rsidP="00832274">
      <w:pPr>
        <w:ind w:firstLine="0"/>
        <w:jc w:val="center"/>
        <w:rPr>
          <w:b/>
          <w:szCs w:val="28"/>
        </w:rPr>
      </w:pPr>
      <w:r w:rsidRPr="002E6165">
        <w:rPr>
          <w:b/>
          <w:szCs w:val="28"/>
        </w:rPr>
        <w:t>МИНИСТЕРСТВО ФИНАНСОВ</w:t>
      </w:r>
    </w:p>
    <w:p w14:paraId="35115148" w14:textId="77777777" w:rsidR="00173B65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РОССИЙСКОЙ ФЕДЕРАЦИИ</w:t>
      </w:r>
    </w:p>
    <w:p w14:paraId="74680C7F" w14:textId="77777777" w:rsidR="00173B65" w:rsidRPr="00A54D8E" w:rsidRDefault="00173B65" w:rsidP="00832274">
      <w:pPr>
        <w:ind w:firstLine="0"/>
        <w:rPr>
          <w:szCs w:val="28"/>
        </w:rPr>
      </w:pPr>
    </w:p>
    <w:p w14:paraId="56B46011" w14:textId="77777777" w:rsidR="009079A2" w:rsidRPr="00A54D8E" w:rsidRDefault="009079A2" w:rsidP="00832274">
      <w:pPr>
        <w:ind w:firstLine="0"/>
        <w:rPr>
          <w:szCs w:val="28"/>
        </w:rPr>
      </w:pPr>
    </w:p>
    <w:p w14:paraId="60D656CC" w14:textId="77777777" w:rsidR="00173B65" w:rsidRPr="00A54D8E" w:rsidRDefault="00173B65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ПРОТОКОЛ</w:t>
      </w:r>
    </w:p>
    <w:p w14:paraId="19CCBC29" w14:textId="7D5D1058" w:rsidR="005C7069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 xml:space="preserve">заочного </w:t>
      </w:r>
      <w:r w:rsidR="00CA16AC">
        <w:rPr>
          <w:b/>
          <w:szCs w:val="28"/>
        </w:rPr>
        <w:t xml:space="preserve">голосования </w:t>
      </w:r>
      <w:r w:rsidR="005C7069" w:rsidRPr="00A54D8E">
        <w:rPr>
          <w:b/>
          <w:szCs w:val="28"/>
        </w:rPr>
        <w:t>Общественного совета</w:t>
      </w:r>
    </w:p>
    <w:p w14:paraId="5E5B2185" w14:textId="77777777" w:rsidR="005C7069" w:rsidRPr="00A54D8E" w:rsidRDefault="005C7069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при Министерстве финансов Российской Федерации</w:t>
      </w:r>
    </w:p>
    <w:p w14:paraId="6921E719" w14:textId="77777777" w:rsidR="005C7069" w:rsidRPr="00A54D8E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60"/>
        <w:gridCol w:w="3334"/>
      </w:tblGrid>
      <w:tr w:rsidR="00E36261" w:rsidRPr="007D6294" w14:paraId="3ED67682" w14:textId="77777777" w:rsidTr="00941C4A">
        <w:tc>
          <w:tcPr>
            <w:tcW w:w="4077" w:type="dxa"/>
            <w:shd w:val="clear" w:color="auto" w:fill="auto"/>
          </w:tcPr>
          <w:p w14:paraId="54AB869E" w14:textId="485F5755" w:rsidR="005E253B" w:rsidRPr="007D6294" w:rsidRDefault="002D0D9C" w:rsidP="007B7B02">
            <w:pPr>
              <w:spacing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A3F20" w:rsidRPr="007D6294">
              <w:rPr>
                <w:szCs w:val="28"/>
              </w:rPr>
              <w:t xml:space="preserve"> </w:t>
            </w:r>
            <w:r w:rsidR="006C0764" w:rsidRPr="007D6294">
              <w:rPr>
                <w:szCs w:val="28"/>
              </w:rPr>
              <w:t xml:space="preserve">– </w:t>
            </w:r>
            <w:r>
              <w:rPr>
                <w:szCs w:val="28"/>
              </w:rPr>
              <w:t>19</w:t>
            </w:r>
            <w:r w:rsidR="007A3F20" w:rsidRPr="007D6294">
              <w:rPr>
                <w:szCs w:val="28"/>
              </w:rPr>
              <w:t xml:space="preserve"> </w:t>
            </w:r>
            <w:r>
              <w:rPr>
                <w:szCs w:val="28"/>
              </w:rPr>
              <w:t>ок</w:t>
            </w:r>
            <w:r w:rsidR="007A3F20">
              <w:rPr>
                <w:szCs w:val="28"/>
              </w:rPr>
              <w:t>тября</w:t>
            </w:r>
            <w:r w:rsidR="007A3F20" w:rsidRPr="007D6294">
              <w:rPr>
                <w:szCs w:val="28"/>
              </w:rPr>
              <w:t xml:space="preserve"> </w:t>
            </w:r>
            <w:r w:rsidR="006C0764" w:rsidRPr="007D6294">
              <w:rPr>
                <w:szCs w:val="28"/>
              </w:rPr>
              <w:t>202</w:t>
            </w:r>
            <w:r w:rsidR="00D17604">
              <w:rPr>
                <w:szCs w:val="28"/>
              </w:rPr>
              <w:t>1</w:t>
            </w:r>
            <w:r w:rsidR="006C0764" w:rsidRPr="007D6294">
              <w:rPr>
                <w:szCs w:val="28"/>
              </w:rPr>
              <w:t xml:space="preserve"> </w:t>
            </w:r>
            <w:r w:rsidR="005E253B" w:rsidRPr="007D6294">
              <w:rPr>
                <w:szCs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14:paraId="535841C0" w14:textId="77777777" w:rsidR="005E253B" w:rsidRPr="007D6294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7D6294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14:paraId="7BDF413B" w14:textId="0126A0AD" w:rsidR="005E253B" w:rsidRPr="005C28CF" w:rsidRDefault="005E253B" w:rsidP="007B7B02">
            <w:pPr>
              <w:spacing w:after="120"/>
              <w:ind w:firstLine="0"/>
              <w:jc w:val="right"/>
              <w:rPr>
                <w:szCs w:val="28"/>
              </w:rPr>
            </w:pPr>
            <w:r w:rsidRPr="007D6294">
              <w:rPr>
                <w:szCs w:val="28"/>
              </w:rPr>
              <w:t xml:space="preserve">№ </w:t>
            </w:r>
            <w:r w:rsidR="002D0D9C">
              <w:rPr>
                <w:szCs w:val="28"/>
                <w:lang w:val="en-US"/>
              </w:rPr>
              <w:t>1</w:t>
            </w:r>
            <w:r w:rsidR="002D0D9C">
              <w:rPr>
                <w:szCs w:val="28"/>
              </w:rPr>
              <w:t>3</w:t>
            </w:r>
          </w:p>
        </w:tc>
      </w:tr>
    </w:tbl>
    <w:p w14:paraId="448D3FA7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79CFCF1E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3449AFDB" w14:textId="11A85104" w:rsidR="005E253B" w:rsidRPr="00A54D8E" w:rsidRDefault="005E253B" w:rsidP="00832274">
      <w:pPr>
        <w:ind w:firstLine="0"/>
        <w:rPr>
          <w:b/>
          <w:i/>
          <w:szCs w:val="28"/>
        </w:rPr>
      </w:pPr>
      <w:r w:rsidRPr="00A54D8E">
        <w:rPr>
          <w:b/>
          <w:szCs w:val="28"/>
        </w:rPr>
        <w:t>Председательствующий</w:t>
      </w:r>
      <w:r w:rsidR="00D71066"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="0033558D" w:rsidRPr="0033558D">
        <w:rPr>
          <w:b/>
          <w:i/>
          <w:szCs w:val="28"/>
        </w:rPr>
        <w:t>Синельников-Мурыл</w:t>
      </w:r>
      <w:r w:rsidR="0033558D">
        <w:rPr>
          <w:b/>
          <w:i/>
          <w:szCs w:val="28"/>
        </w:rPr>
        <w:t>е</w:t>
      </w:r>
      <w:r w:rsidR="0033558D" w:rsidRPr="0033558D">
        <w:rPr>
          <w:b/>
          <w:i/>
          <w:szCs w:val="28"/>
        </w:rPr>
        <w:t>в С.Г.</w:t>
      </w:r>
    </w:p>
    <w:p w14:paraId="09EC2513" w14:textId="77777777" w:rsidR="005E253B" w:rsidRPr="00A54D8E" w:rsidRDefault="005E253B" w:rsidP="00832274">
      <w:pPr>
        <w:ind w:firstLine="0"/>
        <w:rPr>
          <w:i/>
          <w:szCs w:val="28"/>
        </w:rPr>
      </w:pPr>
      <w:r w:rsidRPr="00A54D8E">
        <w:rPr>
          <w:b/>
          <w:szCs w:val="28"/>
        </w:rPr>
        <w:t>Ответственный секретарь</w:t>
      </w:r>
      <w:r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Pr="00A54D8E">
        <w:rPr>
          <w:b/>
          <w:i/>
          <w:szCs w:val="28"/>
        </w:rPr>
        <w:t>Колычев В.В.</w:t>
      </w:r>
    </w:p>
    <w:p w14:paraId="43570C70" w14:textId="77777777" w:rsidR="005E253B" w:rsidRPr="00A54D8E" w:rsidRDefault="005E253B" w:rsidP="00832274">
      <w:pPr>
        <w:spacing w:before="60" w:after="120"/>
        <w:ind w:left="2040" w:firstLine="0"/>
        <w:rPr>
          <w:szCs w:val="28"/>
        </w:rPr>
      </w:pPr>
    </w:p>
    <w:p w14:paraId="7D8509EA" w14:textId="77777777" w:rsidR="0075231E" w:rsidRPr="00A54D8E" w:rsidRDefault="0075231E" w:rsidP="00832274">
      <w:pPr>
        <w:spacing w:before="60"/>
        <w:ind w:firstLine="0"/>
        <w:rPr>
          <w:szCs w:val="28"/>
        </w:rPr>
      </w:pPr>
    </w:p>
    <w:p w14:paraId="73DA3F0E" w14:textId="77777777" w:rsidR="00863DEF" w:rsidRPr="00A54D8E" w:rsidRDefault="0069548E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Уча</w:t>
      </w:r>
      <w:r w:rsidR="003A44DD" w:rsidRPr="00A54D8E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295"/>
        <w:gridCol w:w="6380"/>
      </w:tblGrid>
      <w:tr w:rsidR="00E36261" w:rsidRPr="00A54D8E" w14:paraId="24BFFFA7" w14:textId="77777777" w:rsidTr="00712AFE">
        <w:tc>
          <w:tcPr>
            <w:tcW w:w="1703" w:type="pct"/>
            <w:shd w:val="clear" w:color="auto" w:fill="auto"/>
          </w:tcPr>
          <w:p w14:paraId="16B1EF67" w14:textId="77777777" w:rsidR="00E14421" w:rsidRPr="00A54D8E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A54D8E">
              <w:rPr>
                <w:szCs w:val="28"/>
              </w:rPr>
              <w:t>Ч</w:t>
            </w:r>
            <w:r w:rsidR="00E14421" w:rsidRPr="00A54D8E">
              <w:rPr>
                <w:szCs w:val="28"/>
              </w:rPr>
              <w:t>лены Общественного совета</w:t>
            </w:r>
            <w:r w:rsidR="005E253B" w:rsidRPr="00A54D8E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14:paraId="433A0AE0" w14:textId="21EAA587" w:rsidR="00E14421" w:rsidRPr="002E6165" w:rsidRDefault="006A69BD" w:rsidP="0082290F">
            <w:pPr>
              <w:spacing w:before="60"/>
              <w:ind w:firstLine="0"/>
              <w:rPr>
                <w:szCs w:val="28"/>
              </w:rPr>
            </w:pPr>
            <w:r w:rsidRPr="00EB6E26">
              <w:t>Беляков</w:t>
            </w:r>
            <w:r>
              <w:t> </w:t>
            </w:r>
            <w:r w:rsidRPr="00EB6E26">
              <w:t>С.Ю.</w:t>
            </w:r>
            <w:r>
              <w:t xml:space="preserve">, </w:t>
            </w:r>
            <w:r w:rsidRPr="00EB6E26">
              <w:t>Гришин</w:t>
            </w:r>
            <w:r>
              <w:t> </w:t>
            </w:r>
            <w:r w:rsidRPr="00EB6E26">
              <w:t>П.А.</w:t>
            </w:r>
            <w:r>
              <w:t xml:space="preserve">, </w:t>
            </w:r>
            <w:r w:rsidRPr="00EB6E26">
              <w:t>Зверев</w:t>
            </w:r>
            <w:r>
              <w:t> </w:t>
            </w:r>
            <w:r w:rsidRPr="00EB6E26">
              <w:t>С.А.</w:t>
            </w:r>
            <w:r>
              <w:t xml:space="preserve">, </w:t>
            </w:r>
            <w:r w:rsidRPr="00EB6E26">
              <w:t>Калинин</w:t>
            </w:r>
            <w:r>
              <w:t> </w:t>
            </w:r>
            <w:r w:rsidRPr="00EB6E26">
              <w:t>А.С.</w:t>
            </w:r>
            <w:r>
              <w:t xml:space="preserve">, </w:t>
            </w:r>
            <w:r w:rsidRPr="00EB6E26">
              <w:t>Климанов</w:t>
            </w:r>
            <w:r>
              <w:t> </w:t>
            </w:r>
            <w:r w:rsidRPr="00EB6E26">
              <w:t>В.В.</w:t>
            </w:r>
            <w:r>
              <w:t xml:space="preserve">, </w:t>
            </w:r>
            <w:r w:rsidRPr="00EB6E26">
              <w:t>Косарев</w:t>
            </w:r>
            <w:r>
              <w:t> </w:t>
            </w:r>
            <w:r w:rsidRPr="00EB6E26">
              <w:t>И.Б.</w:t>
            </w:r>
            <w:r>
              <w:t xml:space="preserve">, </w:t>
            </w:r>
            <w:r w:rsidRPr="00EB6E26">
              <w:t>Кривцов</w:t>
            </w:r>
            <w:r>
              <w:t> </w:t>
            </w:r>
            <w:r w:rsidRPr="00EB6E26">
              <w:t>А.И.</w:t>
            </w:r>
            <w:r>
              <w:t xml:space="preserve">, </w:t>
            </w:r>
            <w:r w:rsidRPr="00EB6E26">
              <w:t>Лисин</w:t>
            </w:r>
            <w:r>
              <w:t> </w:t>
            </w:r>
            <w:r w:rsidRPr="00EB6E26">
              <w:t>В.С.</w:t>
            </w:r>
            <w:r>
              <w:t xml:space="preserve">, </w:t>
            </w:r>
            <w:r w:rsidRPr="00EB6E26">
              <w:t>Мурычев</w:t>
            </w:r>
            <w:r>
              <w:t> </w:t>
            </w:r>
            <w:r w:rsidRPr="00EB6E26">
              <w:t>А.В.</w:t>
            </w:r>
            <w:r>
              <w:t xml:space="preserve">, </w:t>
            </w:r>
            <w:r w:rsidRPr="00EB6E26">
              <w:t>Русакова</w:t>
            </w:r>
            <w:r>
              <w:t> </w:t>
            </w:r>
            <w:r w:rsidRPr="00EB6E26">
              <w:t>А.С.</w:t>
            </w:r>
            <w:r>
              <w:t xml:space="preserve">, </w:t>
            </w:r>
            <w:r w:rsidRPr="00EB6E26">
              <w:t>Синельников-Мурылёв</w:t>
            </w:r>
            <w:r>
              <w:t> </w:t>
            </w:r>
            <w:r w:rsidRPr="00EB6E26">
              <w:t>С.Г.</w:t>
            </w:r>
            <w:r>
              <w:t xml:space="preserve">, </w:t>
            </w:r>
            <w:r w:rsidRPr="00EB6E26">
              <w:t>Фадеев</w:t>
            </w:r>
            <w:r>
              <w:t> </w:t>
            </w:r>
            <w:r w:rsidRPr="00EB6E26">
              <w:t>Д.Е.</w:t>
            </w:r>
            <w:r>
              <w:t xml:space="preserve">, </w:t>
            </w:r>
            <w:r w:rsidRPr="00EB6E26">
              <w:t>Эскиндаров</w:t>
            </w:r>
            <w:r>
              <w:t> </w:t>
            </w:r>
            <w:r w:rsidRPr="00EB6E26">
              <w:t>М.А.</w:t>
            </w:r>
            <w:r>
              <w:t xml:space="preserve">, </w:t>
            </w:r>
            <w:r w:rsidRPr="00EB6E26">
              <w:t>Юргенс</w:t>
            </w:r>
            <w:r>
              <w:t> </w:t>
            </w:r>
            <w:r w:rsidRPr="00EB6E26">
              <w:t>И.Ю.</w:t>
            </w:r>
          </w:p>
        </w:tc>
      </w:tr>
    </w:tbl>
    <w:p w14:paraId="74BF800F" w14:textId="77777777" w:rsidR="00264CFC" w:rsidRPr="00A54D8E" w:rsidRDefault="00264CFC" w:rsidP="00264CFC">
      <w:pPr>
        <w:spacing w:before="60"/>
        <w:rPr>
          <w:szCs w:val="28"/>
        </w:rPr>
      </w:pPr>
    </w:p>
    <w:p w14:paraId="71A0A9D8" w14:textId="385B29C0" w:rsidR="0063150D" w:rsidRPr="00A54D8E" w:rsidRDefault="00B5611E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В период с </w:t>
      </w:r>
      <w:r w:rsidR="002D0D9C">
        <w:rPr>
          <w:szCs w:val="28"/>
        </w:rPr>
        <w:t xml:space="preserve">13 </w:t>
      </w:r>
      <w:r w:rsidR="00E54B61" w:rsidRPr="00A54D8E">
        <w:rPr>
          <w:szCs w:val="28"/>
        </w:rPr>
        <w:t xml:space="preserve">по </w:t>
      </w:r>
      <w:r w:rsidR="002D0D9C">
        <w:rPr>
          <w:szCs w:val="28"/>
        </w:rPr>
        <w:t>19</w:t>
      </w:r>
      <w:r w:rsidR="002D0D9C" w:rsidRPr="00A54D8E">
        <w:rPr>
          <w:szCs w:val="28"/>
        </w:rPr>
        <w:t xml:space="preserve"> </w:t>
      </w:r>
      <w:r w:rsidR="002D0D9C">
        <w:rPr>
          <w:szCs w:val="28"/>
        </w:rPr>
        <w:t>ок</w:t>
      </w:r>
      <w:r w:rsidR="002D0D9C" w:rsidRPr="007A3F20">
        <w:rPr>
          <w:szCs w:val="28"/>
        </w:rPr>
        <w:t xml:space="preserve">тября </w:t>
      </w:r>
      <w:r w:rsidR="00E00A2B" w:rsidRPr="00A54D8E">
        <w:rPr>
          <w:szCs w:val="28"/>
        </w:rPr>
        <w:t>20</w:t>
      </w:r>
      <w:r w:rsidR="00E00A2B">
        <w:rPr>
          <w:szCs w:val="28"/>
        </w:rPr>
        <w:t>21</w:t>
      </w:r>
      <w:r w:rsidR="00E00A2B" w:rsidRPr="00A54D8E">
        <w:rPr>
          <w:szCs w:val="28"/>
        </w:rPr>
        <w:t xml:space="preserve"> </w:t>
      </w:r>
      <w:r w:rsidR="0063150D" w:rsidRPr="00A54D8E">
        <w:rPr>
          <w:szCs w:val="28"/>
        </w:rPr>
        <w:t xml:space="preserve">года проводилось заочное </w:t>
      </w:r>
      <w:r w:rsidR="00842824">
        <w:rPr>
          <w:szCs w:val="28"/>
        </w:rPr>
        <w:t>голосов</w:t>
      </w:r>
      <w:r w:rsidR="0063150D" w:rsidRPr="00A54D8E">
        <w:rPr>
          <w:szCs w:val="28"/>
        </w:rPr>
        <w:t>ание Общественного совета при Министерстве финансов Российской Федерации (далее – Общественный совет).</w:t>
      </w:r>
    </w:p>
    <w:p w14:paraId="3BA0C0F9" w14:textId="54500B20" w:rsidR="00E14421" w:rsidRPr="00A54D8E" w:rsidRDefault="00264CFC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Из </w:t>
      </w:r>
      <w:r w:rsidR="007D6294" w:rsidRPr="00A54D8E">
        <w:rPr>
          <w:szCs w:val="28"/>
        </w:rPr>
        <w:t>2</w:t>
      </w:r>
      <w:r w:rsidR="0033558D">
        <w:rPr>
          <w:szCs w:val="28"/>
        </w:rPr>
        <w:t>4</w:t>
      </w:r>
      <w:r w:rsidR="007D6294" w:rsidRPr="00A54D8E">
        <w:rPr>
          <w:szCs w:val="28"/>
        </w:rPr>
        <w:t xml:space="preserve"> </w:t>
      </w:r>
      <w:r w:rsidRPr="00A54D8E">
        <w:rPr>
          <w:szCs w:val="28"/>
        </w:rPr>
        <w:t xml:space="preserve">членов Общественного совета в голосовании приняли участие (к установленному сроку представили секретарю Общественного совета соответствующую информацию) </w:t>
      </w:r>
      <w:r w:rsidR="002D0D9C" w:rsidRPr="00A54D8E">
        <w:rPr>
          <w:szCs w:val="28"/>
        </w:rPr>
        <w:t>1</w:t>
      </w:r>
      <w:r w:rsidR="002D0D9C">
        <w:rPr>
          <w:szCs w:val="28"/>
        </w:rPr>
        <w:t>4</w:t>
      </w:r>
      <w:r w:rsidR="002D0D9C" w:rsidRPr="00A54D8E">
        <w:rPr>
          <w:szCs w:val="28"/>
        </w:rPr>
        <w:t xml:space="preserve"> </w:t>
      </w:r>
      <w:r w:rsidR="009105DB" w:rsidRPr="00A54D8E">
        <w:rPr>
          <w:szCs w:val="28"/>
        </w:rPr>
        <w:t>член</w:t>
      </w:r>
      <w:r w:rsidR="002F4314" w:rsidRPr="00A54D8E">
        <w:rPr>
          <w:szCs w:val="28"/>
        </w:rPr>
        <w:t>ов</w:t>
      </w:r>
      <w:r w:rsidRPr="00A54D8E">
        <w:rPr>
          <w:szCs w:val="28"/>
        </w:rPr>
        <w:t>.</w:t>
      </w:r>
    </w:p>
    <w:p w14:paraId="2117F3E4" w14:textId="77777777" w:rsidR="00E14421" w:rsidRPr="00A54D8E" w:rsidRDefault="00264CFC" w:rsidP="00326555">
      <w:pPr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Кворум имеется.</w:t>
      </w:r>
    </w:p>
    <w:p w14:paraId="2EF426BB" w14:textId="77777777" w:rsidR="000B343E" w:rsidRPr="00A54D8E" w:rsidRDefault="000B343E" w:rsidP="00832274">
      <w:pPr>
        <w:spacing w:before="60"/>
        <w:ind w:hanging="142"/>
        <w:rPr>
          <w:szCs w:val="28"/>
        </w:rPr>
      </w:pPr>
    </w:p>
    <w:p w14:paraId="677E908C" w14:textId="77777777" w:rsidR="008D23DD" w:rsidRPr="00A54D8E" w:rsidRDefault="008D23DD" w:rsidP="00326555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ПОВЕСТКА:</w:t>
      </w:r>
    </w:p>
    <w:p w14:paraId="7D7C4909" w14:textId="61073B15" w:rsidR="00657291" w:rsidRPr="00A54D8E" w:rsidRDefault="007A3F20" w:rsidP="00B63BE9">
      <w:pPr>
        <w:pStyle w:val="ab"/>
        <w:numPr>
          <w:ilvl w:val="0"/>
          <w:numId w:val="25"/>
        </w:numPr>
        <w:spacing w:before="60"/>
        <w:rPr>
          <w:szCs w:val="28"/>
        </w:rPr>
      </w:pPr>
      <w:r w:rsidRPr="00261128">
        <w:rPr>
          <w:szCs w:val="28"/>
        </w:rPr>
        <w:t xml:space="preserve">О рассмотрении </w:t>
      </w:r>
      <w:bookmarkStart w:id="1" w:name="_Hlk71241597"/>
      <w:r w:rsidR="002D0D9C" w:rsidRPr="002D0D9C">
        <w:rPr>
          <w:szCs w:val="28"/>
        </w:rPr>
        <w:t>Основных направлений бюджетной, налоговой и таможенно-тарифной политики на 2022 год и на плановый период 2023 и 2024 годов</w:t>
      </w:r>
      <w:bookmarkEnd w:id="1"/>
      <w:r w:rsidR="00D93585" w:rsidRPr="00A54D8E">
        <w:rPr>
          <w:szCs w:val="28"/>
        </w:rPr>
        <w:t>.</w:t>
      </w:r>
    </w:p>
    <w:p w14:paraId="240AD9FA" w14:textId="77777777" w:rsidR="00E307D9" w:rsidRPr="00A54D8E" w:rsidRDefault="00E307D9" w:rsidP="00A64409">
      <w:pPr>
        <w:spacing w:before="60"/>
        <w:rPr>
          <w:szCs w:val="28"/>
        </w:rPr>
      </w:pPr>
    </w:p>
    <w:p w14:paraId="4F592176" w14:textId="77777777" w:rsidR="005E381B" w:rsidRPr="00A54D8E" w:rsidRDefault="00E3338F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ВОПР</w:t>
      </w:r>
      <w:r w:rsidR="008915FC" w:rsidRPr="00A54D8E">
        <w:rPr>
          <w:b/>
          <w:szCs w:val="28"/>
        </w:rPr>
        <w:t>ОС, ПОСТАВЛЕННЫ</w:t>
      </w:r>
      <w:r w:rsidR="00ED3FCA" w:rsidRPr="00A54D8E">
        <w:rPr>
          <w:b/>
          <w:szCs w:val="28"/>
        </w:rPr>
        <w:t>Й</w:t>
      </w:r>
      <w:r w:rsidRPr="00A54D8E">
        <w:rPr>
          <w:b/>
          <w:szCs w:val="28"/>
        </w:rPr>
        <w:t xml:space="preserve"> НА ГОЛОСОВАНИЕ:</w:t>
      </w:r>
    </w:p>
    <w:p w14:paraId="29659D4F" w14:textId="76B595C3" w:rsidR="00BA0196" w:rsidRPr="00A54D8E" w:rsidRDefault="005E673E" w:rsidP="000D656C">
      <w:pPr>
        <w:spacing w:before="60"/>
        <w:rPr>
          <w:szCs w:val="28"/>
        </w:rPr>
      </w:pPr>
      <w:r w:rsidRPr="00A54D8E">
        <w:t xml:space="preserve">Одобряете ли Вы </w:t>
      </w:r>
      <w:r w:rsidR="002D0D9C" w:rsidRPr="002D0D9C">
        <w:rPr>
          <w:szCs w:val="28"/>
        </w:rPr>
        <w:t>Основны</w:t>
      </w:r>
      <w:r w:rsidR="002D0D9C">
        <w:rPr>
          <w:szCs w:val="28"/>
        </w:rPr>
        <w:t>е</w:t>
      </w:r>
      <w:r w:rsidR="002D0D9C" w:rsidRPr="002D0D9C">
        <w:rPr>
          <w:szCs w:val="28"/>
        </w:rPr>
        <w:t xml:space="preserve"> направлени</w:t>
      </w:r>
      <w:r w:rsidR="002D0D9C">
        <w:rPr>
          <w:szCs w:val="28"/>
        </w:rPr>
        <w:t>я</w:t>
      </w:r>
      <w:r w:rsidR="002D0D9C" w:rsidRPr="002D0D9C">
        <w:rPr>
          <w:szCs w:val="28"/>
        </w:rPr>
        <w:t xml:space="preserve"> бюджетной, налоговой и таможенно-тарифной политики на 2022 год и на плановый период 2023 и 2024 годов</w:t>
      </w:r>
      <w:r w:rsidR="00A72A47" w:rsidRPr="00A54D8E">
        <w:rPr>
          <w:szCs w:val="28"/>
        </w:rPr>
        <w:t>?</w:t>
      </w:r>
    </w:p>
    <w:p w14:paraId="3A50B9B0" w14:textId="77777777" w:rsidR="00E307D9" w:rsidRPr="00A54D8E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szCs w:val="28"/>
        </w:rPr>
      </w:pPr>
    </w:p>
    <w:p w14:paraId="45F0748C" w14:textId="77777777" w:rsidR="00E3338F" w:rsidRPr="00A54D8E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lastRenderedPageBreak/>
        <w:t>ИТОГИ ГОЛОСОВАНИЯ:</w:t>
      </w:r>
    </w:p>
    <w:p w14:paraId="34B3F002" w14:textId="77777777" w:rsidR="00BA0196" w:rsidRPr="00A54D8E" w:rsidRDefault="00BA0196" w:rsidP="00C007D3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760B4BB3" w14:textId="4C9AB9E5" w:rsidR="00264CFC" w:rsidRPr="005C28CF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5C28CF">
        <w:rPr>
          <w:szCs w:val="28"/>
        </w:rPr>
        <w:t>«за»</w:t>
      </w:r>
      <w:r w:rsidR="00AC2240" w:rsidRPr="005C28CF">
        <w:rPr>
          <w:szCs w:val="28"/>
        </w:rPr>
        <w:tab/>
      </w:r>
      <w:r w:rsidR="00AC2240" w:rsidRPr="005C28CF">
        <w:rPr>
          <w:szCs w:val="28"/>
        </w:rPr>
        <w:tab/>
      </w:r>
      <w:r w:rsidR="00AC2240" w:rsidRPr="005C28CF">
        <w:rPr>
          <w:szCs w:val="28"/>
        </w:rPr>
        <w:tab/>
      </w:r>
      <w:r w:rsidR="007A3F20" w:rsidRPr="005C28CF">
        <w:rPr>
          <w:szCs w:val="28"/>
        </w:rPr>
        <w:t xml:space="preserve">13 </w:t>
      </w:r>
      <w:r w:rsidR="008915FC" w:rsidRPr="005C28CF">
        <w:rPr>
          <w:szCs w:val="28"/>
        </w:rPr>
        <w:t>(</w:t>
      </w:r>
      <w:r w:rsidR="007A3F20" w:rsidRPr="005C28CF">
        <w:rPr>
          <w:szCs w:val="28"/>
        </w:rPr>
        <w:t>Тринадцать</w:t>
      </w:r>
      <w:r w:rsidR="008915FC" w:rsidRPr="005C28CF">
        <w:rPr>
          <w:szCs w:val="28"/>
        </w:rPr>
        <w:t>)</w:t>
      </w:r>
    </w:p>
    <w:p w14:paraId="2A63FD1A" w14:textId="29ADE981" w:rsidR="00264CFC" w:rsidRPr="005C28CF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5C28CF">
        <w:rPr>
          <w:szCs w:val="28"/>
        </w:rPr>
        <w:t>«против»</w:t>
      </w:r>
      <w:r w:rsidR="00AC2240" w:rsidRPr="005C28CF">
        <w:rPr>
          <w:szCs w:val="28"/>
        </w:rPr>
        <w:tab/>
      </w:r>
      <w:r w:rsidR="00AC2240" w:rsidRPr="005C28CF">
        <w:rPr>
          <w:szCs w:val="28"/>
        </w:rPr>
        <w:tab/>
      </w:r>
      <w:r w:rsidR="005C28CF" w:rsidRPr="00CC6134">
        <w:rPr>
          <w:szCs w:val="28"/>
        </w:rPr>
        <w:t>0</w:t>
      </w:r>
      <w:r w:rsidR="005C28CF" w:rsidRPr="005C28CF">
        <w:rPr>
          <w:szCs w:val="28"/>
        </w:rPr>
        <w:t xml:space="preserve"> </w:t>
      </w:r>
      <w:r w:rsidR="008915FC" w:rsidRPr="005C28CF">
        <w:rPr>
          <w:szCs w:val="28"/>
        </w:rPr>
        <w:t>(</w:t>
      </w:r>
      <w:r w:rsidR="00894AEC" w:rsidRPr="005C28CF">
        <w:rPr>
          <w:szCs w:val="28"/>
        </w:rPr>
        <w:t>Ноль</w:t>
      </w:r>
      <w:r w:rsidR="008915FC" w:rsidRPr="005C28CF">
        <w:rPr>
          <w:szCs w:val="28"/>
        </w:rPr>
        <w:t>)</w:t>
      </w:r>
    </w:p>
    <w:p w14:paraId="58F197A6" w14:textId="3057A7EB" w:rsidR="00264CFC" w:rsidRPr="002E6165" w:rsidRDefault="00AC2240" w:rsidP="00C007D3">
      <w:pPr>
        <w:pStyle w:val="a4"/>
        <w:spacing w:line="276" w:lineRule="auto"/>
        <w:ind w:left="708" w:firstLine="0"/>
        <w:rPr>
          <w:szCs w:val="28"/>
        </w:rPr>
      </w:pPr>
      <w:r w:rsidRPr="005C28CF">
        <w:rPr>
          <w:szCs w:val="28"/>
        </w:rPr>
        <w:t>«</w:t>
      </w:r>
      <w:r w:rsidR="00264CFC" w:rsidRPr="005C28CF">
        <w:rPr>
          <w:szCs w:val="28"/>
        </w:rPr>
        <w:t>воздержался»</w:t>
      </w:r>
      <w:r w:rsidRPr="005C28CF">
        <w:rPr>
          <w:szCs w:val="28"/>
        </w:rPr>
        <w:tab/>
      </w:r>
      <w:r w:rsidR="00894AEC" w:rsidRPr="005C28CF">
        <w:rPr>
          <w:szCs w:val="28"/>
        </w:rPr>
        <w:t xml:space="preserve">1 </w:t>
      </w:r>
      <w:r w:rsidR="0000731B" w:rsidRPr="005C28CF">
        <w:rPr>
          <w:szCs w:val="28"/>
        </w:rPr>
        <w:t>(</w:t>
      </w:r>
      <w:r w:rsidR="00894AEC" w:rsidRPr="005C28CF">
        <w:rPr>
          <w:szCs w:val="28"/>
        </w:rPr>
        <w:t>Один</w:t>
      </w:r>
      <w:r w:rsidR="0000731B" w:rsidRPr="005C28CF">
        <w:rPr>
          <w:szCs w:val="28"/>
        </w:rPr>
        <w:t>)</w:t>
      </w:r>
    </w:p>
    <w:p w14:paraId="4753A6E7" w14:textId="77777777" w:rsidR="00BA0196" w:rsidRPr="00A54D8E" w:rsidRDefault="00BA0196" w:rsidP="00C007D3">
      <w:pPr>
        <w:pStyle w:val="a4"/>
        <w:spacing w:line="276" w:lineRule="auto"/>
        <w:ind w:left="708" w:firstLine="0"/>
        <w:rPr>
          <w:szCs w:val="28"/>
        </w:rPr>
      </w:pPr>
    </w:p>
    <w:p w14:paraId="6F36BF76" w14:textId="77777777" w:rsidR="0075231E" w:rsidRPr="00A54D8E" w:rsidRDefault="0075231E" w:rsidP="00C007D3">
      <w:pPr>
        <w:pStyle w:val="a4"/>
        <w:spacing w:line="276" w:lineRule="auto"/>
        <w:ind w:left="708" w:firstLine="0"/>
        <w:rPr>
          <w:szCs w:val="28"/>
        </w:rPr>
      </w:pPr>
    </w:p>
    <w:p w14:paraId="225C0004" w14:textId="77777777" w:rsidR="00A62DB1" w:rsidRPr="00A54D8E" w:rsidRDefault="005E381B" w:rsidP="00C007D3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ПРИНЯТ</w:t>
      </w:r>
      <w:r w:rsidR="00ED3FCA" w:rsidRPr="00A54D8E">
        <w:rPr>
          <w:b/>
          <w:szCs w:val="28"/>
        </w:rPr>
        <w:t>О</w:t>
      </w:r>
      <w:r w:rsidRPr="00A54D8E">
        <w:rPr>
          <w:b/>
          <w:szCs w:val="28"/>
        </w:rPr>
        <w:t>Е РЕШЕНИ</w:t>
      </w:r>
      <w:r w:rsidR="00ED3FCA" w:rsidRPr="00A54D8E">
        <w:rPr>
          <w:b/>
          <w:szCs w:val="28"/>
        </w:rPr>
        <w:t>Е</w:t>
      </w:r>
      <w:r w:rsidRPr="00A54D8E">
        <w:rPr>
          <w:b/>
          <w:szCs w:val="28"/>
        </w:rPr>
        <w:t>:</w:t>
      </w:r>
    </w:p>
    <w:p w14:paraId="3E794D87" w14:textId="2F94F775" w:rsidR="00A72A47" w:rsidRPr="00A54D8E" w:rsidRDefault="00A72A47" w:rsidP="00611238">
      <w:pPr>
        <w:spacing w:before="60"/>
        <w:rPr>
          <w:szCs w:val="28"/>
        </w:rPr>
      </w:pPr>
      <w:r w:rsidRPr="00A54D8E">
        <w:rPr>
          <w:szCs w:val="28"/>
        </w:rPr>
        <w:t xml:space="preserve">Одобрить </w:t>
      </w:r>
      <w:r w:rsidR="002D0D9C" w:rsidRPr="002D0D9C">
        <w:rPr>
          <w:szCs w:val="28"/>
        </w:rPr>
        <w:t>Основны</w:t>
      </w:r>
      <w:r w:rsidR="002D0D9C">
        <w:rPr>
          <w:szCs w:val="28"/>
        </w:rPr>
        <w:t>е</w:t>
      </w:r>
      <w:r w:rsidR="002D0D9C" w:rsidRPr="002D0D9C">
        <w:rPr>
          <w:szCs w:val="28"/>
        </w:rPr>
        <w:t xml:space="preserve"> направлени</w:t>
      </w:r>
      <w:r w:rsidR="002D0D9C">
        <w:rPr>
          <w:szCs w:val="28"/>
        </w:rPr>
        <w:t>я</w:t>
      </w:r>
      <w:r w:rsidR="002D0D9C" w:rsidRPr="002D0D9C">
        <w:rPr>
          <w:szCs w:val="28"/>
        </w:rPr>
        <w:t xml:space="preserve"> бюджетной, налоговой и таможенно-тарифной политики на 2022 год и на плановый период 2023 и 2024 годов</w:t>
      </w:r>
      <w:r w:rsidRPr="00A54D8E">
        <w:rPr>
          <w:szCs w:val="28"/>
        </w:rPr>
        <w:t>.</w:t>
      </w:r>
    </w:p>
    <w:p w14:paraId="4EA01719" w14:textId="77777777" w:rsidR="00656DCD" w:rsidRPr="00A54D8E" w:rsidRDefault="00656DCD" w:rsidP="00C007D3">
      <w:pPr>
        <w:rPr>
          <w:szCs w:val="28"/>
        </w:rPr>
      </w:pPr>
    </w:p>
    <w:p w14:paraId="6EA2F8DD" w14:textId="77777777" w:rsidR="00ED3FCA" w:rsidRPr="00A54D8E" w:rsidRDefault="00ED3FCA" w:rsidP="00656DCD">
      <w:pPr>
        <w:rPr>
          <w:szCs w:val="28"/>
        </w:rPr>
      </w:pPr>
    </w:p>
    <w:p w14:paraId="0DD0AC3B" w14:textId="77777777" w:rsidR="007D6294" w:rsidRPr="00E36261" w:rsidRDefault="007D6294" w:rsidP="007D6294">
      <w:pPr>
        <w:rPr>
          <w:szCs w:val="28"/>
        </w:rPr>
      </w:pPr>
      <w:r w:rsidRPr="00E36261">
        <w:rPr>
          <w:szCs w:val="28"/>
        </w:rPr>
        <w:t>Особое мнение членов Общественного совета представлено в приложении.</w:t>
      </w:r>
    </w:p>
    <w:p w14:paraId="091699F5" w14:textId="77777777" w:rsidR="00ED3FCA" w:rsidRPr="00A54D8E" w:rsidRDefault="00ED3FCA" w:rsidP="00656DCD">
      <w:pPr>
        <w:rPr>
          <w:szCs w:val="28"/>
        </w:rPr>
      </w:pPr>
    </w:p>
    <w:p w14:paraId="431D0CAB" w14:textId="77777777" w:rsidR="00ED3FCA" w:rsidRPr="00A54D8E" w:rsidRDefault="00ED3FCA" w:rsidP="00656DCD">
      <w:pPr>
        <w:rPr>
          <w:szCs w:val="28"/>
        </w:rPr>
      </w:pPr>
    </w:p>
    <w:p w14:paraId="67EE084D" w14:textId="4D03E036" w:rsidR="006C0764" w:rsidRPr="00E36261" w:rsidRDefault="006C0764" w:rsidP="006C0764">
      <w:pPr>
        <w:ind w:firstLine="0"/>
        <w:rPr>
          <w:szCs w:val="28"/>
        </w:rPr>
      </w:pPr>
      <w:r w:rsidRPr="00E36261">
        <w:rPr>
          <w:szCs w:val="28"/>
        </w:rPr>
        <w:t>Председател</w:t>
      </w:r>
      <w:r w:rsidR="0033558D">
        <w:rPr>
          <w:szCs w:val="28"/>
        </w:rPr>
        <w:t>ь</w:t>
      </w:r>
    </w:p>
    <w:p w14:paraId="77B5D91A" w14:textId="77777777" w:rsidR="003148CE" w:rsidRDefault="006C0764" w:rsidP="007D6294">
      <w:pPr>
        <w:ind w:firstLine="0"/>
        <w:rPr>
          <w:szCs w:val="28"/>
        </w:r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="0033558D" w:rsidRPr="0033558D">
        <w:rPr>
          <w:szCs w:val="28"/>
        </w:rPr>
        <w:t>С.Г.</w:t>
      </w:r>
      <w:r w:rsidR="0033558D">
        <w:rPr>
          <w:szCs w:val="28"/>
        </w:rPr>
        <w:t xml:space="preserve"> </w:t>
      </w:r>
      <w:r w:rsidR="0033558D" w:rsidRPr="0033558D">
        <w:rPr>
          <w:szCs w:val="28"/>
        </w:rPr>
        <w:t>Синельников-Мурылев</w:t>
      </w:r>
    </w:p>
    <w:p w14:paraId="1656C3F1" w14:textId="5BA7DB7E" w:rsidR="003148CE" w:rsidRDefault="003148CE" w:rsidP="003148CE">
      <w:pPr>
        <w:ind w:firstLine="0"/>
        <w:rPr>
          <w:szCs w:val="28"/>
        </w:rPr>
      </w:pPr>
    </w:p>
    <w:p w14:paraId="140E466C" w14:textId="77777777" w:rsidR="003148CE" w:rsidRPr="00E36261" w:rsidRDefault="003148CE" w:rsidP="003148CE">
      <w:pPr>
        <w:ind w:firstLine="0"/>
        <w:rPr>
          <w:szCs w:val="28"/>
        </w:rPr>
      </w:pPr>
    </w:p>
    <w:p w14:paraId="19A7B405" w14:textId="77777777" w:rsidR="003148CE" w:rsidRPr="00E36261" w:rsidRDefault="003148CE" w:rsidP="003148CE">
      <w:pPr>
        <w:ind w:firstLine="0"/>
        <w:rPr>
          <w:szCs w:val="28"/>
        </w:rPr>
      </w:pPr>
      <w:r w:rsidRPr="00E36261">
        <w:rPr>
          <w:szCs w:val="28"/>
        </w:rPr>
        <w:t>Ответственный секретарь</w:t>
      </w:r>
    </w:p>
    <w:p w14:paraId="51B1D186" w14:textId="45A9E837" w:rsidR="003148CE" w:rsidRPr="00E36261" w:rsidRDefault="003148CE" w:rsidP="003148CE">
      <w:pPr>
        <w:ind w:firstLine="0"/>
        <w:rPr>
          <w:szCs w:val="28"/>
        </w:rPr>
        <w:sectPr w:rsidR="003148CE" w:rsidRPr="00E36261" w:rsidSect="00A56C4A">
          <w:footerReference w:type="even" r:id="rId8"/>
          <w:footerReference w:type="default" r:id="rId9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  <w:t>В.В.</w:t>
      </w:r>
      <w:r w:rsidR="00A47BA1" w:rsidRPr="00A47BA1">
        <w:rPr>
          <w:szCs w:val="28"/>
        </w:rPr>
        <w:t xml:space="preserve"> </w:t>
      </w:r>
      <w:r w:rsidRPr="00E36261">
        <w:rPr>
          <w:szCs w:val="28"/>
        </w:rPr>
        <w:t>Колычев</w:t>
      </w:r>
      <w:r w:rsidRPr="00040C52">
        <w:rPr>
          <w:szCs w:val="28"/>
        </w:rPr>
        <w:t xml:space="preserve"> </w:t>
      </w:r>
    </w:p>
    <w:p w14:paraId="45C30898" w14:textId="00E61ABA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lastRenderedPageBreak/>
        <w:t>Приложение к Протоколу №</w:t>
      </w:r>
      <w:r w:rsidR="002D0D9C">
        <w:rPr>
          <w:szCs w:val="28"/>
        </w:rPr>
        <w:t>13</w:t>
      </w:r>
    </w:p>
    <w:p w14:paraId="662D9964" w14:textId="2F911A6A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 xml:space="preserve">заочного </w:t>
      </w:r>
      <w:r w:rsidR="001E19C7">
        <w:rPr>
          <w:szCs w:val="28"/>
        </w:rPr>
        <w:t>голосования</w:t>
      </w:r>
      <w:r w:rsidRPr="00E36261">
        <w:rPr>
          <w:szCs w:val="28"/>
        </w:rPr>
        <w:t xml:space="preserve"> Общественного совета</w:t>
      </w:r>
    </w:p>
    <w:p w14:paraId="7E6279ED" w14:textId="77777777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>при Министерстве финансов Российской Федерации</w:t>
      </w:r>
    </w:p>
    <w:p w14:paraId="22EC68D1" w14:textId="1D641EA7" w:rsidR="007D6294" w:rsidRPr="00E36261" w:rsidRDefault="002D0D9C" w:rsidP="007D6294">
      <w:pPr>
        <w:ind w:firstLine="0"/>
        <w:jc w:val="right"/>
        <w:rPr>
          <w:szCs w:val="28"/>
        </w:rPr>
      </w:pPr>
      <w:r>
        <w:rPr>
          <w:szCs w:val="28"/>
        </w:rPr>
        <w:t>13</w:t>
      </w:r>
      <w:r w:rsidRPr="007D6294">
        <w:rPr>
          <w:szCs w:val="28"/>
        </w:rPr>
        <w:t xml:space="preserve"> </w:t>
      </w:r>
      <w:r w:rsidR="007D6294" w:rsidRPr="007D6294">
        <w:rPr>
          <w:szCs w:val="28"/>
        </w:rPr>
        <w:t xml:space="preserve">– </w:t>
      </w:r>
      <w:r>
        <w:rPr>
          <w:szCs w:val="28"/>
        </w:rPr>
        <w:t>19</w:t>
      </w:r>
      <w:r w:rsidRPr="007D6294">
        <w:rPr>
          <w:szCs w:val="28"/>
        </w:rPr>
        <w:t xml:space="preserve"> </w:t>
      </w:r>
      <w:r>
        <w:rPr>
          <w:szCs w:val="28"/>
        </w:rPr>
        <w:t>октября</w:t>
      </w:r>
      <w:r w:rsidRPr="007D6294">
        <w:rPr>
          <w:szCs w:val="28"/>
        </w:rPr>
        <w:t xml:space="preserve"> </w:t>
      </w:r>
      <w:r w:rsidR="007D6294" w:rsidRPr="00E36261">
        <w:rPr>
          <w:szCs w:val="28"/>
        </w:rPr>
        <w:t>20</w:t>
      </w:r>
      <w:r w:rsidR="007D6294">
        <w:rPr>
          <w:szCs w:val="28"/>
        </w:rPr>
        <w:t>2</w:t>
      </w:r>
      <w:r w:rsidR="00D17604">
        <w:rPr>
          <w:szCs w:val="28"/>
        </w:rPr>
        <w:t>1</w:t>
      </w:r>
      <w:r w:rsidR="007D6294" w:rsidRPr="00E36261">
        <w:rPr>
          <w:szCs w:val="28"/>
        </w:rPr>
        <w:t xml:space="preserve"> г.</w:t>
      </w:r>
    </w:p>
    <w:p w14:paraId="627DED2B" w14:textId="77777777" w:rsidR="007D6294" w:rsidRPr="00E36261" w:rsidRDefault="007D6294" w:rsidP="007D6294">
      <w:pPr>
        <w:ind w:firstLine="0"/>
        <w:jc w:val="right"/>
        <w:rPr>
          <w:szCs w:val="28"/>
        </w:rPr>
      </w:pPr>
    </w:p>
    <w:p w14:paraId="14008342" w14:textId="77777777" w:rsidR="007D6294" w:rsidRPr="00E36261" w:rsidRDefault="007D6294" w:rsidP="007D6294">
      <w:pPr>
        <w:ind w:left="5580"/>
        <w:rPr>
          <w:szCs w:val="28"/>
        </w:rPr>
      </w:pPr>
    </w:p>
    <w:p w14:paraId="72B83F62" w14:textId="00153BF6" w:rsidR="007D6294" w:rsidRPr="00E36261" w:rsidRDefault="007D6294" w:rsidP="007D6294">
      <w:pPr>
        <w:ind w:right="4506"/>
        <w:rPr>
          <w:szCs w:val="28"/>
        </w:rPr>
      </w:pPr>
      <w:r w:rsidRPr="00E36261">
        <w:rPr>
          <w:szCs w:val="28"/>
        </w:rPr>
        <w:t xml:space="preserve">Особое мнение членов Общественного совета в отношении </w:t>
      </w:r>
      <w:r w:rsidR="002D0D9C" w:rsidRPr="002D0D9C">
        <w:rPr>
          <w:szCs w:val="28"/>
        </w:rPr>
        <w:t>Основных направлений бюджетной, налоговой и таможенно-тарифной политики на 2022 год и на плановый период 2023 и 2024 годов</w:t>
      </w:r>
      <w:r w:rsidRPr="00E36261">
        <w:rPr>
          <w:szCs w:val="28"/>
        </w:rPr>
        <w:t>.</w:t>
      </w:r>
    </w:p>
    <w:p w14:paraId="21648C96" w14:textId="77777777" w:rsidR="007D6294" w:rsidRPr="00E36261" w:rsidRDefault="007D6294" w:rsidP="007D6294"/>
    <w:p w14:paraId="2972253E" w14:textId="11EE4988" w:rsidR="007D6294" w:rsidRDefault="007D6294" w:rsidP="007D6294">
      <w:pPr>
        <w:rPr>
          <w:highlight w:val="yellow"/>
        </w:rPr>
      </w:pPr>
    </w:p>
    <w:p w14:paraId="7D879708" w14:textId="057A913C" w:rsidR="00895D7B" w:rsidRPr="00666521" w:rsidRDefault="00894AEC" w:rsidP="005C28CF">
      <w:pPr>
        <w:keepNext/>
        <w:spacing w:line="360" w:lineRule="auto"/>
        <w:ind w:firstLine="0"/>
        <w:outlineLvl w:val="1"/>
        <w:rPr>
          <w:b/>
          <w:szCs w:val="28"/>
        </w:rPr>
      </w:pPr>
      <w:r w:rsidRPr="00666521">
        <w:rPr>
          <w:b/>
          <w:szCs w:val="28"/>
        </w:rPr>
        <w:t>Синельников-Мурылёв С.Г.</w:t>
      </w:r>
      <w:r>
        <w:rPr>
          <w:b/>
          <w:szCs w:val="28"/>
        </w:rPr>
        <w:t xml:space="preserve">, </w:t>
      </w:r>
      <w:r>
        <w:rPr>
          <w:b/>
          <w:color w:val="000000" w:themeColor="text1"/>
          <w:szCs w:val="28"/>
        </w:rPr>
        <w:t xml:space="preserve">эксперты </w:t>
      </w:r>
      <w:r w:rsidRPr="005A74B0">
        <w:rPr>
          <w:b/>
          <w:color w:val="000000" w:themeColor="text1"/>
          <w:szCs w:val="28"/>
        </w:rPr>
        <w:t>Ф</w:t>
      </w:r>
      <w:r>
        <w:rPr>
          <w:b/>
          <w:color w:val="000000" w:themeColor="text1"/>
          <w:szCs w:val="28"/>
        </w:rPr>
        <w:t>ГБОУ ВО</w:t>
      </w:r>
      <w:r w:rsidRPr="005A74B0">
        <w:rPr>
          <w:b/>
          <w:color w:val="000000" w:themeColor="text1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b/>
          <w:color w:val="000000" w:themeColor="text1"/>
          <w:szCs w:val="28"/>
        </w:rPr>
        <w:t xml:space="preserve"> и Фонда «</w:t>
      </w:r>
      <w:r w:rsidRPr="005A74B0">
        <w:rPr>
          <w:b/>
          <w:color w:val="000000" w:themeColor="text1"/>
          <w:szCs w:val="28"/>
        </w:rPr>
        <w:t>Институт экономической политики имени Е.Т. Гайдара</w:t>
      </w:r>
      <w:r>
        <w:rPr>
          <w:b/>
          <w:color w:val="000000" w:themeColor="text1"/>
          <w:szCs w:val="28"/>
        </w:rPr>
        <w:t>»</w:t>
      </w:r>
    </w:p>
    <w:p w14:paraId="7CA263B8" w14:textId="28ABD510" w:rsidR="00894AEC" w:rsidRPr="00666521" w:rsidRDefault="00894AEC" w:rsidP="005C28CF">
      <w:pPr>
        <w:keepNext/>
        <w:spacing w:line="360" w:lineRule="auto"/>
        <w:ind w:firstLine="0"/>
        <w:outlineLvl w:val="1"/>
        <w:rPr>
          <w:b/>
          <w:szCs w:val="28"/>
        </w:rPr>
      </w:pPr>
    </w:p>
    <w:p w14:paraId="149257E3" w14:textId="624798C4" w:rsidR="00894AEC" w:rsidRDefault="00894AEC" w:rsidP="00666521">
      <w:pPr>
        <w:spacing w:line="360" w:lineRule="auto"/>
      </w:pPr>
      <w:r>
        <w:t>В целом следует отметить высокое качество подготовленного документа</w:t>
      </w:r>
      <w:r w:rsidR="0016303C">
        <w:t>, а также очевидный прогресс в части взаимоувязки описания</w:t>
      </w:r>
      <w:r>
        <w:t xml:space="preserve"> реализованных в 2020-2021 гг. мер и условий проведения налогово-бюджетной политики с теми планами, которые были заявлены в ОНБНТТП в рамках предыдущего бюджетного цикла (прошлогоднем документе)</w:t>
      </w:r>
      <w:r w:rsidR="0016303C">
        <w:t>, что</w:t>
      </w:r>
      <w:r>
        <w:t xml:space="preserve"> </w:t>
      </w:r>
      <w:r w:rsidR="0016303C">
        <w:t xml:space="preserve">обеспечивает </w:t>
      </w:r>
      <w:r>
        <w:t>преемственность и взаимосвязь между последовательно принимаемыми документами бюджетного планирования на федеральном уровне.</w:t>
      </w:r>
      <w:r w:rsidR="0016303C">
        <w:t xml:space="preserve"> Вместе с тем, есть ря</w:t>
      </w:r>
      <w:r w:rsidR="00E5003C">
        <w:t>д вопросов, на которые хотелось бы обратить внимание.</w:t>
      </w:r>
    </w:p>
    <w:p w14:paraId="4D426B11" w14:textId="6FBC94C8" w:rsidR="00894AEC" w:rsidRDefault="00E5003C" w:rsidP="00666521">
      <w:pPr>
        <w:spacing w:line="360" w:lineRule="auto"/>
      </w:pPr>
      <w:r>
        <w:t>1</w:t>
      </w:r>
      <w:r w:rsidR="00894AEC">
        <w:t xml:space="preserve">. В 2022-2024 гг. ожидается сближение базовой цены на нефть (44,2 $/барр., 45,0 $/барр. и 45,9 $/барр. в 2022, 2023 и 2024 гг. соответственно) и ее прогнозных значений (62,2 $/барр., 58,4 $/барр. и 55,7 $/барр. в 2022, 2023 и 2024 гг. соответственно), т.е. в условиях 2021 г. разница между фактической и расчетной ценой на нефть составит порядка 23 $/барр., в то время как в 2024 г. – уже менее 10 $/барр. Данное обстоятельность для федерального бюджета указывает на заметное сокращение в среднесрочной перспективе дополнительных нефтегазовых доходов, а значит, ежегодное пополнение ФНБ также будет </w:t>
      </w:r>
      <w:r w:rsidR="00894AEC">
        <w:lastRenderedPageBreak/>
        <w:t xml:space="preserve">сокращаться. Более того, уже на горизонте 5-7 лет, не говоря о более долгосрочной перспективе, когда будет реализовываться переход к зеленой энергетике при одновременном сокращении спроса на нефть, ФНБ и вовсе не будет пополняться. </w:t>
      </w:r>
    </w:p>
    <w:p w14:paraId="08124F95" w14:textId="77777777" w:rsidR="00894AEC" w:rsidRDefault="00894AEC" w:rsidP="00666521">
      <w:pPr>
        <w:spacing w:line="360" w:lineRule="auto"/>
      </w:pPr>
      <w:r>
        <w:t xml:space="preserve">При этом циклический характер развития экономики будет периодически вынуждать Минфин России использовать суверенные резервные активы для балансировки федерального бюджета, причем кризисы последних десятилетий (1998-1999 гг., 2008-2010 гг., 2020-2021 гг.) означали для федерального бюджета выпадение нефтегазовых доходов в среднем не менее 4% ВВП. Другими словами, ожидаемого объема ФНБ на конец 2024 г. в 15,4% ВВП при возможных неликвидных финансовых вложениях в 5,3% ВВП будет достаточно лишь для полноценного прохождения не более двух кризисов. </w:t>
      </w:r>
    </w:p>
    <w:p w14:paraId="4183C9E4" w14:textId="77777777" w:rsidR="00894AEC" w:rsidRDefault="00894AEC" w:rsidP="00666521">
      <w:pPr>
        <w:spacing w:line="360" w:lineRule="auto"/>
      </w:pPr>
      <w:r>
        <w:t>В этой связи обоснованность ежегодного расходования средств ФНБ на финансирование новых самоокупаемых инфраструктурных проектов (в совокупном объеме 2,5 трлн руб.) вызывает сомнение. Более того, подобная ритмичность трат из ФНБ означает де-факто смягчение бюджетного правила, добавляя к предельным расходам еще порядка 400 млрд рублей в год.</w:t>
      </w:r>
    </w:p>
    <w:p w14:paraId="77E50398" w14:textId="77777777" w:rsidR="00894AEC" w:rsidRDefault="00894AEC" w:rsidP="00666521">
      <w:pPr>
        <w:spacing w:line="360" w:lineRule="auto"/>
      </w:pPr>
      <w:r>
        <w:t xml:space="preserve">Кроме того, с учетом предстоящего сокращения поступлений в ФНБ следует уже сейчас начинать обсуждение возможных подходов к формированию новой модели пополнения суверенных резервов. </w:t>
      </w:r>
    </w:p>
    <w:p w14:paraId="3A19E211" w14:textId="217FBA95" w:rsidR="00894AEC" w:rsidRDefault="00E5003C" w:rsidP="00666521">
      <w:pPr>
        <w:spacing w:line="360" w:lineRule="auto"/>
      </w:pPr>
      <w:r>
        <w:t>2</w:t>
      </w:r>
      <w:r w:rsidR="00894AEC">
        <w:t xml:space="preserve">. В документе несколько раз (например, ст.7, 65) указывается на безопасный и устойчивый уровень долговой нагрузки. С одной стороны, действительно, объем государственного долга возрастет с 22,1 трлн руб. (17,8% ВВП) в 2021 г. до 31,9 трлн руб. (21,1% ВВП) к 2024 г., что не является сколь-нибудь критичным для устойчивости государственных финансов. В то же время в ситуации увеличение ключевой ставки ЦБР, а значит, и стоимости заимствований, и раскручивания инфляционной спирали в мировой экономике, чему способствует проводимая развитыми странами мягкая ДКП, следование политике дальнейшего наращивания государственного долга в долгосрочной перспективе может актуализировать риск заметного роста расходов федерального бюджета на обслуживание долга, которые и так с 2008 года имеют тенденцию к </w:t>
      </w:r>
      <w:r w:rsidR="00894AEC">
        <w:lastRenderedPageBreak/>
        <w:t>повышению (с 0,35% ВВП в 2008 г. до 1,1% ВВП в 2024 г.) Аргументом в пользу реализации подобного риска выступает мировой опыт: для ряда развивающихся стран (например, Аргентина, Бразилия, Беларусь, Алжир) за последние три десятилетия характерна устойчивая положительная корреляция между приростом государственного долга и ростом расходов на его обслуживание в последующие несколько лет. Как результат, возможно уже на горизонте после 2025 г. вытеснение государственных инвестиционных расходов процентными платежами, доля который превысит 10% суммарных расходов бюджета.</w:t>
      </w:r>
    </w:p>
    <w:p w14:paraId="50BAE7CD" w14:textId="3C25AAC4" w:rsidR="00894AEC" w:rsidRDefault="00E5003C" w:rsidP="00666521">
      <w:pPr>
        <w:spacing w:line="360" w:lineRule="auto"/>
        <w:rPr>
          <w:highlight w:val="yellow"/>
        </w:rPr>
      </w:pPr>
      <w:r>
        <w:t>3</w:t>
      </w:r>
      <w:r w:rsidR="00894AEC">
        <w:t>. В структуре расходов бюджета расширенного правительства обращает на себя внимание «обратный бюджетный маневр». Дело в том, что в 2020 г. России наконец-таки удалось нарастить долю производительных расходов до уровня, характерного для стран ОЭСР. Во многом это было обусловлено реализацией антикризисных мер. С учетом снижающихся в среднесрочной перспективе финансовых возможностей государства (доходы БРП сокращаются с 35,8% ВВП в 2020 г. до 34,5% ВВП в 2024 г.) потребность в балансировке бюджетной системы вынуждает консолидировать ее расходную часть. К сожалению, основными источниками экономии являются расходы на социальную политику (с 14,1% ВВП в 2020 г. до 11,6% ВВП в 2024 г.), национальную экономику (с 5,7% ВВП до 4,5% ВВП), здравоохранение (с 4,6% ВВП до 3,7% ВВП), образование (с 4,0% ВВП до 3,7% ВВП). Фактически это означает возврат к уровню 2019 г. по всем производительным статьям расходов расширенного правительства, что даже при условии повышения отдачи от запланированных трат сокращает потенциал влияния бюджета на экономический рост.</w:t>
      </w:r>
    </w:p>
    <w:p w14:paraId="25AC9AEA" w14:textId="339F033A" w:rsidR="00894AEC" w:rsidRDefault="00894AEC" w:rsidP="00666521">
      <w:pPr>
        <w:spacing w:line="360" w:lineRule="auto"/>
        <w:rPr>
          <w:highlight w:val="yellow"/>
        </w:rPr>
      </w:pPr>
    </w:p>
    <w:p w14:paraId="764BAA4C" w14:textId="77777777" w:rsidR="00F97E68" w:rsidRDefault="00F97E68" w:rsidP="00666521">
      <w:pPr>
        <w:spacing w:line="360" w:lineRule="auto"/>
        <w:rPr>
          <w:highlight w:val="yellow"/>
        </w:rPr>
      </w:pPr>
    </w:p>
    <w:p w14:paraId="61DE3E01" w14:textId="7DED3541" w:rsidR="00F97E68" w:rsidRPr="00C337A2" w:rsidRDefault="00F97E68" w:rsidP="00F97E68">
      <w:pPr>
        <w:keepNext/>
        <w:spacing w:line="360" w:lineRule="auto"/>
        <w:ind w:firstLine="0"/>
        <w:outlineLvl w:val="1"/>
        <w:rPr>
          <w:b/>
          <w:color w:val="000000" w:themeColor="text1"/>
          <w:szCs w:val="28"/>
        </w:rPr>
      </w:pPr>
      <w:r w:rsidRPr="00C337A2">
        <w:rPr>
          <w:b/>
          <w:color w:val="000000" w:themeColor="text1"/>
          <w:szCs w:val="28"/>
        </w:rPr>
        <w:t>Мурычев А.В.</w:t>
      </w:r>
      <w:r w:rsidR="0041580E">
        <w:rPr>
          <w:b/>
          <w:color w:val="000000" w:themeColor="text1"/>
          <w:szCs w:val="28"/>
        </w:rPr>
        <w:t>,</w:t>
      </w:r>
      <w:r w:rsidR="0041580E" w:rsidRPr="0041580E">
        <w:rPr>
          <w:b/>
          <w:szCs w:val="28"/>
        </w:rPr>
        <w:t xml:space="preserve"> </w:t>
      </w:r>
      <w:r w:rsidR="0041580E" w:rsidRPr="00D855B2">
        <w:rPr>
          <w:b/>
          <w:szCs w:val="28"/>
        </w:rPr>
        <w:t>Лисин В.С.</w:t>
      </w:r>
      <w:r w:rsidR="0041580E" w:rsidRPr="00C337A2">
        <w:rPr>
          <w:b/>
          <w:color w:val="000000" w:themeColor="text1"/>
          <w:szCs w:val="28"/>
        </w:rPr>
        <w:t>, эксперты ООО «Российский союз промышленников и предпринимателей»</w:t>
      </w:r>
      <w:r w:rsidRPr="00C337A2">
        <w:rPr>
          <w:b/>
          <w:color w:val="000000" w:themeColor="text1"/>
          <w:szCs w:val="28"/>
        </w:rPr>
        <w:t>:</w:t>
      </w:r>
    </w:p>
    <w:p w14:paraId="25FD9A0F" w14:textId="77777777" w:rsidR="00F97E68" w:rsidRPr="00C337A2" w:rsidRDefault="00F97E68" w:rsidP="00F97E68">
      <w:pPr>
        <w:keepNext/>
        <w:spacing w:line="360" w:lineRule="auto"/>
        <w:ind w:firstLine="0"/>
        <w:outlineLvl w:val="1"/>
        <w:rPr>
          <w:b/>
          <w:color w:val="000000" w:themeColor="text1"/>
          <w:szCs w:val="28"/>
        </w:rPr>
      </w:pPr>
    </w:p>
    <w:p w14:paraId="4966A293" w14:textId="546E0CCB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1.</w:t>
      </w:r>
      <w:r w:rsidRPr="00F97E68">
        <w:rPr>
          <w:color w:val="000000" w:themeColor="text1"/>
          <w:szCs w:val="28"/>
        </w:rPr>
        <w:tab/>
        <w:t xml:space="preserve">В рамках развития единой системы учета, контроля и оценки налоговых расходов планируется ряд мероприятий по совершенствованию оценки эффективности налоговых льгот и их донастройки. Такая работа должна </w:t>
      </w:r>
      <w:r w:rsidRPr="00F97E68">
        <w:rPr>
          <w:color w:val="000000" w:themeColor="text1"/>
          <w:szCs w:val="28"/>
        </w:rPr>
        <w:lastRenderedPageBreak/>
        <w:t>проводиться с участием бизнеса (в том числе РСПП и других объединений). В противном случае может получиться неполный анализ, из-за недостатков которого будут отменены эффективные льготы.</w:t>
      </w:r>
    </w:p>
    <w:p w14:paraId="0177AEA8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2.</w:t>
      </w:r>
      <w:r w:rsidRPr="00F97E68">
        <w:rPr>
          <w:color w:val="000000" w:themeColor="text1"/>
          <w:szCs w:val="28"/>
        </w:rPr>
        <w:tab/>
        <w:t>Предусмотрен переход к новому порядку предоставления налоговых льгот инвестиционного характера, предусматривающему заключение инвестиционных соглашений между получателем льгот и Правительством РФ. Необходимо участие бизнеса и субъектов Российской Федерации в подготовке данного порядка.</w:t>
      </w:r>
    </w:p>
    <w:p w14:paraId="677420EC" w14:textId="787EB251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3.</w:t>
      </w:r>
      <w:r w:rsidRPr="00F97E68">
        <w:rPr>
          <w:color w:val="000000" w:themeColor="text1"/>
          <w:szCs w:val="28"/>
        </w:rPr>
        <w:tab/>
        <w:t>В качестве одной из мер повышения инвестиционной активности заявлено стимулирование применения инвестиционного налогового вычета. Одним из главных стимулов к применению вычета могло бы стать его продление на период после 2027 года. Сейчас интерес к инструменту у многих инвесторов теряется в первую очередь из-за коротких сроков его применения.</w:t>
      </w:r>
    </w:p>
    <w:p w14:paraId="6D1FD8EC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4.</w:t>
      </w:r>
      <w:r w:rsidRPr="00F97E68">
        <w:rPr>
          <w:color w:val="000000" w:themeColor="text1"/>
          <w:szCs w:val="28"/>
        </w:rPr>
        <w:tab/>
        <w:t>Среди итогов рассмотрения актуальных вопросов налогообложения отмечается продление нормы об ограничении использования накопленных налоговых убытков до 31.12.2024. Бизнес давно и последовательно указывает на целесообразность смягчения данного ограничения как минимум путем увеличения доли прибыли для зачета с 50% до 75%. Смягчение ограничения оказало бы значительную поддержку бизнесу, пострадавшему от пандемии.</w:t>
      </w:r>
    </w:p>
    <w:p w14:paraId="79D1BD35" w14:textId="13C4A778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5.</w:t>
      </w:r>
      <w:r w:rsidRPr="00F97E68">
        <w:rPr>
          <w:color w:val="000000" w:themeColor="text1"/>
          <w:szCs w:val="28"/>
        </w:rPr>
        <w:tab/>
        <w:t xml:space="preserve">Для борьбы с уклонением от уплаты налогов предлагается ввести возможность обращения взыскания задолженности по налогам и сборам с банковских счетом дебиторов должника. Данное предложение вызывает серьезное беспокойство, так как перекладывает ответственность по уплате налогов с налогоплательщика на его контрагентов. Разработка механизма должна проводиться с участием бизнеса. Ситуации, при которых возможны списания, должны быть четко определены и должны учитывать сроки погашения дебиторской задолженности согласно условиям договоров. Добросовестные дебиторы не имеют возможности контролировать статус расчетов своих поставщиков с бюджетом </w:t>
      </w:r>
      <w:r>
        <w:rPr>
          <w:color w:val="000000" w:themeColor="text1"/>
          <w:szCs w:val="28"/>
        </w:rPr>
        <w:t xml:space="preserve">в </w:t>
      </w:r>
      <w:r w:rsidRPr="00F97E68">
        <w:rPr>
          <w:color w:val="000000" w:themeColor="text1"/>
          <w:szCs w:val="28"/>
        </w:rPr>
        <w:t>режиме онлайн, поэтому не должны страдать из-за их недобросовестности.</w:t>
      </w:r>
    </w:p>
    <w:p w14:paraId="7E54949C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lastRenderedPageBreak/>
        <w:t>6.</w:t>
      </w:r>
      <w:r w:rsidRPr="00F97E68">
        <w:rPr>
          <w:color w:val="000000" w:themeColor="text1"/>
          <w:szCs w:val="28"/>
        </w:rPr>
        <w:tab/>
        <w:t>Планируется введение института «единого налогового платежа». Необходимо активное участие бизнеса для максимально гладкого внедрения механизма.</w:t>
      </w:r>
    </w:p>
    <w:p w14:paraId="0DD61657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</w:p>
    <w:p w14:paraId="6923D035" w14:textId="77777777" w:rsidR="00F97E68" w:rsidRPr="00F97E68" w:rsidRDefault="00F97E68" w:rsidP="00F97E68">
      <w:pPr>
        <w:spacing w:line="360" w:lineRule="auto"/>
        <w:rPr>
          <w:b/>
          <w:bCs/>
          <w:i/>
          <w:iCs/>
          <w:color w:val="000000" w:themeColor="text1"/>
          <w:szCs w:val="28"/>
        </w:rPr>
      </w:pPr>
      <w:r w:rsidRPr="00F97E68">
        <w:rPr>
          <w:b/>
          <w:bCs/>
          <w:i/>
          <w:iCs/>
          <w:color w:val="000000" w:themeColor="text1"/>
          <w:szCs w:val="28"/>
        </w:rPr>
        <w:t>Важные области доработки законодательства о налогах и сборах, не нашедшие отражения в ОННП на 2022-2024 гг.</w:t>
      </w:r>
    </w:p>
    <w:p w14:paraId="1DF781D5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1.</w:t>
      </w:r>
      <w:r w:rsidRPr="00F97E68">
        <w:rPr>
          <w:color w:val="000000" w:themeColor="text1"/>
          <w:szCs w:val="28"/>
        </w:rPr>
        <w:tab/>
        <w:t xml:space="preserve">Повышение рентного налогообложения твердых полезных ископаемых рассматривается бизнесом как временная мера (до 2024 года), после чего необходимо вернуться к текущему уровню рентного изъятия. Такой подход позволит аккумулировать в бюджете необходимые источники доходов на бюджетный цикл, после чего вернуться к стимулированию развития бизнеса и улучшения инвестиционного климата в России. </w:t>
      </w:r>
    </w:p>
    <w:p w14:paraId="3B3C9688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2.</w:t>
      </w:r>
      <w:r w:rsidRPr="00F97E68">
        <w:rPr>
          <w:color w:val="000000" w:themeColor="text1"/>
          <w:szCs w:val="28"/>
        </w:rPr>
        <w:tab/>
        <w:t>Кроме того, при достижении фискальных целей нельзя игнорировать необходимость сохранения мер, стимулирующих инвестиции. В связи с этим считаем необходимым установить ограничение на применение нового порядка рентного налогообложения твердых полезных ископаемых только к объемам производства в пределах 2021 года (это хороший год для сравнения, поскольку при благоприятной макроэкономической конъюнктуре налогоплательщики максимизировали добычу и производство, использовали все внутренние резервы для наращивания объемов). При этом дополнительные к 2021 году объемы добычи и производства необходимо облагать по правилам, действовавшим в 2020 году. Предлагаемый подход, с одной стороны, обеспечит фискальные интересы государства (оценка дополнительных доходов производилась на основании данных об объемах добычи и производства 2021 года), а с другой стороны заставит бизнес максимизировать инвестиции, ради налоговых послаблений в отношении дополнительных объемов.</w:t>
      </w:r>
    </w:p>
    <w:p w14:paraId="1E67A431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3.</w:t>
      </w:r>
      <w:r w:rsidRPr="00F97E68">
        <w:rPr>
          <w:color w:val="000000" w:themeColor="text1"/>
          <w:szCs w:val="28"/>
        </w:rPr>
        <w:tab/>
        <w:t xml:space="preserve">ОННП на 2021 и 2022-2023 предполагалось рассмотрение вопроса о необходимости снятия ограничений, предусмотренных для применения холдингового режима налогообложения, в части: </w:t>
      </w:r>
    </w:p>
    <w:p w14:paraId="0912BBE7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•</w:t>
      </w:r>
      <w:r w:rsidRPr="00F97E68">
        <w:rPr>
          <w:color w:val="000000" w:themeColor="text1"/>
          <w:szCs w:val="28"/>
        </w:rPr>
        <w:tab/>
        <w:t xml:space="preserve">уменьшения минимальной доли владения капиталом компаний, выплачивающих дивиденды; </w:t>
      </w:r>
    </w:p>
    <w:p w14:paraId="2EBF4710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lastRenderedPageBreak/>
        <w:t>•</w:t>
      </w:r>
      <w:r w:rsidRPr="00F97E68">
        <w:rPr>
          <w:color w:val="000000" w:themeColor="text1"/>
          <w:szCs w:val="28"/>
        </w:rPr>
        <w:tab/>
        <w:t xml:space="preserve">уточнения нормы об освобождении продажи акций российских организаций (уменьшение минимально установленного срока владения с пяти до трех лет). </w:t>
      </w:r>
    </w:p>
    <w:p w14:paraId="7B1608DA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 xml:space="preserve">Данные вопросы не утратили своей актуальности. Предлагается продолжить работу по внесению соответствующих поправок в законодательство о налогах и сборах. </w:t>
      </w:r>
    </w:p>
    <w:p w14:paraId="175E7D72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4.</w:t>
      </w:r>
      <w:r w:rsidRPr="00F97E68">
        <w:rPr>
          <w:color w:val="000000" w:themeColor="text1"/>
          <w:szCs w:val="28"/>
        </w:rPr>
        <w:tab/>
        <w:t>В 2020 году были доработаны правила применения ставки налога на прибыль 0% при продаже акций/долей после пяти лет владения. В частности, для применения льготы доля недвижимости на территории РФ на балансе реализуемой компании не должна превышать 50%. Бизнес понимает, что целью данной нормы является защита от реализации коммерческой и жилой недвижимости без уплаты налога. Для достижения данной цели достаточно тестировать долю недвижимости, облагаемой налогом на имущество по кадастровой стоимости. Такой подход повысит инвестиционную привлекательность капиталоемких отраслей с высокой долей недвижимых производственных мощностей, где применение льготы на долгосрочное владение сейчас ограничено.</w:t>
      </w:r>
    </w:p>
    <w:p w14:paraId="1EFF47C5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5.</w:t>
      </w:r>
      <w:r w:rsidRPr="00F97E68">
        <w:rPr>
          <w:color w:val="000000" w:themeColor="text1"/>
          <w:szCs w:val="28"/>
        </w:rPr>
        <w:tab/>
        <w:t>Необходимо устранить давно существующую коллизию об отсутствии возможности непропорционального распределения дивидендов в целях налогообложения. Данная коллизия существенно ограничивает возможности акционерных соглашений и, следовательно, препятствует развитию холдинговой деятельности в РФ.</w:t>
      </w:r>
    </w:p>
    <w:p w14:paraId="427123BD" w14:textId="77777777" w:rsidR="00F97E68" w:rsidRP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6.</w:t>
      </w:r>
      <w:r w:rsidRPr="00F97E68">
        <w:rPr>
          <w:color w:val="000000" w:themeColor="text1"/>
          <w:szCs w:val="28"/>
        </w:rPr>
        <w:tab/>
        <w:t>Необходимо предоставить право на вычет НДС при применении ставки 0% в отношении логистических и транспортно-экспедиционных услуг до сбора пакета документов, подтверждающих экспорт. Данный подход успешно зарекомендовал себя при экспорте несырьевых товаров и позволит стимулировать развитие услуг, связанных с экспортом.</w:t>
      </w:r>
    </w:p>
    <w:p w14:paraId="73A1D47B" w14:textId="0974D4F7" w:rsidR="00F97E68" w:rsidRDefault="00F97E68" w:rsidP="00F97E68">
      <w:pPr>
        <w:spacing w:line="360" w:lineRule="auto"/>
        <w:rPr>
          <w:color w:val="000000" w:themeColor="text1"/>
          <w:szCs w:val="28"/>
        </w:rPr>
      </w:pPr>
      <w:r w:rsidRPr="00F97E68">
        <w:rPr>
          <w:color w:val="000000" w:themeColor="text1"/>
          <w:szCs w:val="28"/>
        </w:rPr>
        <w:t>7.</w:t>
      </w:r>
      <w:r w:rsidRPr="00F97E68">
        <w:rPr>
          <w:color w:val="000000" w:themeColor="text1"/>
          <w:szCs w:val="28"/>
        </w:rPr>
        <w:tab/>
        <w:t xml:space="preserve">С 2022 года меняются стандарты бухгалтерского учета (ФСБУ) основных средств, капитальных вложений, ремонтов и арены. Пересмотр бухгалтерской стоимости основных средств автоматически приведет к изменению налоговой нагрузки по налогу на имущество, что не было </w:t>
      </w:r>
      <w:r w:rsidRPr="00F97E68">
        <w:rPr>
          <w:color w:val="000000" w:themeColor="text1"/>
          <w:szCs w:val="28"/>
        </w:rPr>
        <w:lastRenderedPageBreak/>
        <w:t>предусмотрено ни предыдущими ОННП, ни иными инициативами. Необходимо проработать механизм исключения влияния новых ФСБУ на базу по налогу на имущество и налогу на прибыль, а также максимально гармонизировать правила налогового учета с новыми ФСБУ.</w:t>
      </w:r>
    </w:p>
    <w:p w14:paraId="6ED71369" w14:textId="1FFBAF73" w:rsidR="00F97E68" w:rsidRDefault="00F97E68" w:rsidP="00666521">
      <w:pPr>
        <w:spacing w:line="360" w:lineRule="auto"/>
        <w:rPr>
          <w:highlight w:val="yellow"/>
        </w:rPr>
      </w:pPr>
    </w:p>
    <w:p w14:paraId="158692AA" w14:textId="77777777" w:rsidR="00F97E68" w:rsidRDefault="00F97E68" w:rsidP="004C3CA9">
      <w:pPr>
        <w:spacing w:line="360" w:lineRule="auto"/>
        <w:rPr>
          <w:highlight w:val="yellow"/>
        </w:rPr>
      </w:pPr>
    </w:p>
    <w:p w14:paraId="2781B368" w14:textId="77777777" w:rsidR="001C4718" w:rsidRPr="00CC6134" w:rsidRDefault="001C4718" w:rsidP="004C3CA9">
      <w:pPr>
        <w:keepNext/>
        <w:spacing w:line="360" w:lineRule="auto"/>
        <w:ind w:firstLine="0"/>
        <w:outlineLvl w:val="1"/>
        <w:rPr>
          <w:b/>
          <w:szCs w:val="28"/>
        </w:rPr>
      </w:pPr>
      <w:r w:rsidRPr="00EC2862">
        <w:rPr>
          <w:b/>
          <w:szCs w:val="28"/>
        </w:rPr>
        <w:t>Юргенс И.Ю.</w:t>
      </w:r>
      <w:r>
        <w:rPr>
          <w:b/>
          <w:szCs w:val="28"/>
        </w:rPr>
        <w:t>:</w:t>
      </w:r>
    </w:p>
    <w:p w14:paraId="35CC72D6" w14:textId="77777777" w:rsidR="001C4718" w:rsidRPr="00895D7B" w:rsidRDefault="001C4718" w:rsidP="004C3CA9">
      <w:pPr>
        <w:keepNext/>
        <w:spacing w:line="360" w:lineRule="auto"/>
        <w:ind w:firstLine="0"/>
        <w:outlineLvl w:val="1"/>
        <w:rPr>
          <w:b/>
          <w:szCs w:val="28"/>
        </w:rPr>
      </w:pPr>
    </w:p>
    <w:p w14:paraId="2DB32D4F" w14:textId="77777777" w:rsidR="001C4718" w:rsidRDefault="001C4718" w:rsidP="00854C19">
      <w:pPr>
        <w:spacing w:line="360" w:lineRule="auto"/>
      </w:pPr>
      <w:r>
        <w:t>В сентябре 2021 года завершено обсуждение Стратегии развития финансового рынка до 2030 года (далее – Стратегия 2030), являющегося первым стратегическим документом, основная часть которого посвящена развитию рынка капитала, страхованию, международной интеграции, содействию устойчивому развитию, защите прав потребителей финансовых услуг и финансовому просвещению.</w:t>
      </w:r>
    </w:p>
    <w:p w14:paraId="4DDDEB0B" w14:textId="77777777" w:rsidR="001C4718" w:rsidRDefault="001C4718" w:rsidP="00854C19">
      <w:pPr>
        <w:spacing w:line="360" w:lineRule="auto"/>
      </w:pPr>
      <w:r>
        <w:t>Стратегия формирует целеполагание для иных стратегических документов, затрагивающих вопросы развития финансового рынка, в том числе Основных направлений развития финансового рынка, Федерального бюджета на трехлетнюю перспективу и Основных направлений бюджетно-налоговой и таможенно-тарифной политики, утверждаемых Правительством Российской Федерации.</w:t>
      </w:r>
    </w:p>
    <w:p w14:paraId="558ED970" w14:textId="77777777" w:rsidR="001C4718" w:rsidRDefault="001C4718" w:rsidP="00854C19">
      <w:pPr>
        <w:spacing w:line="360" w:lineRule="auto"/>
      </w:pPr>
      <w:r>
        <w:t xml:space="preserve">В Стратегии 2030 представлены направления и задачи развития финансового рынка, которые являются приоритетными на ближайшее десятилетие, и прежде всего за пределами 2024 года. </w:t>
      </w:r>
    </w:p>
    <w:p w14:paraId="643892B9" w14:textId="77777777" w:rsidR="001C4718" w:rsidRDefault="001C4718" w:rsidP="00854C19">
      <w:pPr>
        <w:spacing w:line="360" w:lineRule="auto"/>
      </w:pPr>
      <w:r>
        <w:t>Инструментом реализации Стратегии являются среднесрочные документы и дорожные карты Правительства Российской Федерации и Банка России, а также местных органов исполнительной власти, затрагивающие вопросы развития финансового рынка и содержащие конкретные мероприятия с обозначением сроков и состава вовлеченных в их реализацию сторон. В частности, одними из ключевых среднесрочных документов являются Основные направления бюджетной, налоговой и таможенно-тарифной политики и Основные направления развития финансового рынка.</w:t>
      </w:r>
    </w:p>
    <w:p w14:paraId="6961B8C4" w14:textId="77777777" w:rsidR="001C4718" w:rsidRDefault="001C4718" w:rsidP="00854C19">
      <w:pPr>
        <w:spacing w:line="360" w:lineRule="auto"/>
      </w:pPr>
      <w:r>
        <w:lastRenderedPageBreak/>
        <w:t>Более детальное описание основных направлений и задач развития финансового рынка, на ближайшие 3 года подлежит изложению в проекте Основных направлений развития финансового рынка на 2022 год и период 2023 и 2024 годов и соответствующей дорожной карте, в проекте Основных направлениях бюджетной, налоговой и таможенно-тарифной политики на 2021 год и плановый период 2022 и 2023 годов в части налоговых стимулов, а также иных документах, затрагивающих среднесрочные перспективы развития финансового рынка.</w:t>
      </w:r>
    </w:p>
    <w:p w14:paraId="64FA372E" w14:textId="77777777" w:rsidR="001C4718" w:rsidRDefault="001C4718" w:rsidP="00854C19">
      <w:pPr>
        <w:spacing w:line="360" w:lineRule="auto"/>
      </w:pPr>
      <w:r>
        <w:t>Следует отметить, что Стратегией 2030 (раздел 3.3. Государственное стимулирование развития финансового рынка) предусматривается применение государственной поддержки на финансовом рынке, в первую очередь, направленной на формирование стимулов для долгосрочных сбережений и инвестиций в экономике.</w:t>
      </w:r>
    </w:p>
    <w:p w14:paraId="6E23C2D7" w14:textId="28D9AE04" w:rsidR="001C4718" w:rsidRDefault="001C4718" w:rsidP="00854C19">
      <w:pPr>
        <w:spacing w:line="360" w:lineRule="auto"/>
      </w:pPr>
      <w:r>
        <w:t xml:space="preserve">В Стратегии 2030 указывается, что налоговое стимулирование является наиболее затратным, но весьма действенным с точки зрения его потенциального влияния механизмом воздействия на рынок. Использование этого инструмента исторически показало смешанную эффективность для того или иного вида деятельности на финансовых рынках. Налоговое стимулирование должно применяться временно и только в тех обстоятельствах, где это действительно необходимо и будет соответствовать целям и задачам государственной политики на финансовых рынках. </w:t>
      </w:r>
    </w:p>
    <w:p w14:paraId="6CF697DB" w14:textId="77777777" w:rsidR="001C4718" w:rsidRDefault="001C4718" w:rsidP="00854C19">
      <w:pPr>
        <w:spacing w:line="360" w:lineRule="auto"/>
      </w:pPr>
      <w:r>
        <w:t>Стимулирование целесообразно в том числе и по следующему направлению:</w:t>
      </w:r>
    </w:p>
    <w:p w14:paraId="4B2CA02C" w14:textId="77777777" w:rsidR="001C4718" w:rsidRDefault="001C4718" w:rsidP="00854C19">
      <w:pPr>
        <w:spacing w:line="360" w:lineRule="auto"/>
      </w:pPr>
      <w:r>
        <w:t>•</w:t>
      </w:r>
      <w:r>
        <w:tab/>
        <w:t>стимулирование долгосрочных инвестиций граждан в российскую экономику (в том числе, пассивных инвестиционных стратегий), в том числе с использованием механизма индивидуальных инвестиционных счетов, а также вовлечение граждан в долгосрочные сбережения с использованием негосударственных пенсионных фондов и страховых организаций;</w:t>
      </w:r>
    </w:p>
    <w:p w14:paraId="0A099C51" w14:textId="77777777" w:rsidR="001C4718" w:rsidRDefault="001C4718" w:rsidP="00854C19">
      <w:pPr>
        <w:spacing w:line="360" w:lineRule="auto"/>
      </w:pPr>
      <w:r>
        <w:t xml:space="preserve">Непосредственно в разделе 3.7 Развитие рынка страхования Стратегии 2030 отмечается необходимость создания дополнительных стимулов для развития страхования жизни, прежде всего, как долгосрочного инструмента защиты </w:t>
      </w:r>
      <w:r>
        <w:lastRenderedPageBreak/>
        <w:t>имущественных интересов граждан, в том числе в части долевого страхования жизни.</w:t>
      </w:r>
    </w:p>
    <w:p w14:paraId="2DBE8B38" w14:textId="77777777" w:rsidR="001C4718" w:rsidRDefault="001C4718" w:rsidP="00854C19">
      <w:pPr>
        <w:spacing w:line="360" w:lineRule="auto"/>
      </w:pPr>
      <w:r>
        <w:t>Согласно указанному разделу Стратегии 2030 планируется развитие страховых продуктов, в большей степени адаптированных к задаче формирования накоплений граждан для целей использования после завершения трудовой деятельности, наряду с инструментами пенсионных накоплений. Кроме того, поддержку развитию данных видов страхования окажет распространение на них системы гарантирования, администрируемой ГК АСВ.</w:t>
      </w:r>
    </w:p>
    <w:p w14:paraId="64EEC91B" w14:textId="77777777" w:rsidR="001C4718" w:rsidRPr="00854C19" w:rsidRDefault="001C4718" w:rsidP="005C28CF">
      <w:pPr>
        <w:spacing w:line="360" w:lineRule="auto"/>
        <w:rPr>
          <w:b/>
          <w:bCs/>
        </w:rPr>
      </w:pPr>
      <w:r w:rsidRPr="00854C19">
        <w:rPr>
          <w:b/>
          <w:bCs/>
        </w:rPr>
        <w:t>В этой связи необходимо отметить следующее.</w:t>
      </w:r>
    </w:p>
    <w:p w14:paraId="37A6089F" w14:textId="77777777" w:rsidR="001C4718" w:rsidRDefault="001C4718" w:rsidP="00854C19">
      <w:pPr>
        <w:spacing w:line="360" w:lineRule="auto"/>
      </w:pPr>
      <w:r>
        <w:t>В проекте Основных направлений бюджетной, налоговой и таможенно-тарифной политики на 2021 год и плановый период 2022 и 2023 годов (далее – проект ОНБНиТТП) представлены основные меры бюджетной и налоговой политики, направленные на достижение национальных целей развития.</w:t>
      </w:r>
    </w:p>
    <w:p w14:paraId="77A5973F" w14:textId="4337B631" w:rsidR="001C4718" w:rsidRPr="00854C19" w:rsidRDefault="001C4718" w:rsidP="005C28CF">
      <w:pPr>
        <w:spacing w:line="360" w:lineRule="auto"/>
        <w:rPr>
          <w:b/>
          <w:bCs/>
        </w:rPr>
      </w:pPr>
      <w:r w:rsidRPr="00854C19">
        <w:rPr>
          <w:b/>
          <w:bCs/>
        </w:rPr>
        <w:t>По национальной цели развития</w:t>
      </w:r>
    </w:p>
    <w:p w14:paraId="26A843C6" w14:textId="77777777" w:rsidR="001C4718" w:rsidRPr="00854C19" w:rsidRDefault="001C4718" w:rsidP="005C28CF">
      <w:pPr>
        <w:spacing w:line="360" w:lineRule="auto"/>
        <w:rPr>
          <w:b/>
          <w:bCs/>
        </w:rPr>
      </w:pPr>
      <w:r w:rsidRPr="00854C19">
        <w:rPr>
          <w:b/>
          <w:bCs/>
        </w:rPr>
        <w:t>I.</w:t>
      </w:r>
      <w:r w:rsidRPr="00854C19">
        <w:rPr>
          <w:b/>
          <w:bCs/>
        </w:rPr>
        <w:tab/>
        <w:t>Достойный, эффективный труд и успешное предпринимательство</w:t>
      </w:r>
    </w:p>
    <w:p w14:paraId="203CCE62" w14:textId="77777777" w:rsidR="001C4718" w:rsidRDefault="001C4718" w:rsidP="00854C19">
      <w:pPr>
        <w:spacing w:line="360" w:lineRule="auto"/>
      </w:pPr>
      <w:r>
        <w:t>предусматриваются стимулирующие налоговые и финансовые меры, в том числе:</w:t>
      </w:r>
    </w:p>
    <w:p w14:paraId="57C65C11" w14:textId="77777777" w:rsidR="001C4718" w:rsidRDefault="001C4718" w:rsidP="00854C19">
      <w:pPr>
        <w:spacing w:line="360" w:lineRule="auto"/>
      </w:pPr>
      <w:r>
        <w:t>•</w:t>
      </w:r>
      <w:r>
        <w:tab/>
        <w:t>стимулирование применения инвестиционного налогового вычета;</w:t>
      </w:r>
    </w:p>
    <w:p w14:paraId="6FC6E98A" w14:textId="77777777" w:rsidR="001C4718" w:rsidRDefault="001C4718" w:rsidP="00854C19">
      <w:pPr>
        <w:spacing w:line="360" w:lineRule="auto"/>
      </w:pPr>
      <w:r>
        <w:t>•</w:t>
      </w:r>
      <w:r>
        <w:tab/>
        <w:t>разработка мер налогового стимулирования привлечения денежных средств физических лиц на финансовый рынок на долгосрочной основе, в том числе с использованием индивидуальных инвестиционных счетов нового типа;</w:t>
      </w:r>
    </w:p>
    <w:p w14:paraId="3CFA4C84" w14:textId="062CB073" w:rsidR="001C4718" w:rsidRDefault="001C4718" w:rsidP="00854C19">
      <w:pPr>
        <w:spacing w:line="360" w:lineRule="auto"/>
      </w:pPr>
      <w:r>
        <w:t>При этом указанные меры предусмотрены только в Приложении 4</w:t>
      </w:r>
      <w:r w:rsidR="00854C19">
        <w:t xml:space="preserve">. </w:t>
      </w:r>
      <w:r>
        <w:t>Актуальные вопросы налогообложения на перспективу проекта ОНБНиТТП по налогу на доходы физических лиц, а не в приложении 2</w:t>
      </w:r>
      <w:r w:rsidR="00854C19">
        <w:t xml:space="preserve">. </w:t>
      </w:r>
      <w:r>
        <w:t>Меры налоговой политики по видам налогов.</w:t>
      </w:r>
    </w:p>
    <w:p w14:paraId="2E08D559" w14:textId="3B72E993" w:rsidR="001C4718" w:rsidRDefault="001C4718" w:rsidP="00854C19">
      <w:pPr>
        <w:spacing w:line="360" w:lineRule="auto"/>
      </w:pPr>
      <w:r>
        <w:t xml:space="preserve">Вместе с тем, в ходе обсуждения разработанного Банком России проекта Основных направлений развития финансового рынка на 2022 год и период 2023 и 2024 годов (далее – проект ОНРФР) с представителями страхового сектора, Банком России было поддержано предложение о включении в План реализации </w:t>
      </w:r>
      <w:r>
        <w:lastRenderedPageBreak/>
        <w:t>ОНРФР на 2022 инициативы «проработать вопросы законодательного создания института unit-linked insurance».</w:t>
      </w:r>
    </w:p>
    <w:p w14:paraId="23ED89D5" w14:textId="77777777" w:rsidR="001C4718" w:rsidRDefault="001C4718" w:rsidP="00854C19">
      <w:pPr>
        <w:spacing w:line="360" w:lineRule="auto"/>
      </w:pPr>
      <w:r>
        <w:t>Однако, в среднесрочной перспективе проект ОНБНиТТП не содержит мер налогового стимулирования в сегменте накопительного/инвестиционного страхования жизни, что является сдерживающим фактором в вовлечении граждан в долгосрочные сбережения с использованием страховых организаций.</w:t>
      </w:r>
    </w:p>
    <w:p w14:paraId="6ACD6354" w14:textId="77777777" w:rsidR="001C4718" w:rsidRDefault="001C4718" w:rsidP="00393F37">
      <w:pPr>
        <w:spacing w:line="360" w:lineRule="auto"/>
      </w:pPr>
      <w:r>
        <w:t>Для активного развития накопительного/инвестиционного страхования жизни налоговые требования должны быть установлены, как минимум, до уровня налогообложения сходных продуктов иных секторов финансового рынка, что будет способствовать повышению привлекательности страхования жизни с точки зрения потенциальных страхователей и может стать одним из основных драйверов роста такого вида страхования.</w:t>
      </w:r>
    </w:p>
    <w:p w14:paraId="64687B22" w14:textId="624C7371" w:rsidR="001C4718" w:rsidRDefault="001C4718" w:rsidP="00393F37">
      <w:pPr>
        <w:spacing w:line="360" w:lineRule="auto"/>
      </w:pPr>
      <w:r>
        <w:t xml:space="preserve">В связи с изложенным, предлагается включить в Приложение 2 к проекту ОНБНиТП меры по разработке налогового стимулирования привлечения денежных средств физических лиц на долгосрочной основе для сегмента накопительного/инвестиционного страхования жизни, предусматривающие возможность применения инвестиционного налогового вычета, регулируемого ст. 219.1 НК РФ на средства, вносимые гражданами в соответствие с договорами ИСЖ/НСЖ, либо на доход, полученный гражданами по таким договорам по аналогии со схожей деятельностью, например: </w:t>
      </w:r>
    </w:p>
    <w:p w14:paraId="1748BDAB" w14:textId="77777777" w:rsidR="001C4718" w:rsidRDefault="001C4718" w:rsidP="00393F37">
      <w:pPr>
        <w:spacing w:line="360" w:lineRule="auto"/>
      </w:pPr>
      <w:r>
        <w:t xml:space="preserve">- в части НДФЛ с инвестиционного дохода по договорам ИСЖ и НСЖ по сравнению с доходами в виде процентов (купона) по отдельным облигациям или процентов, получаемых по вкладам в банках; </w:t>
      </w:r>
    </w:p>
    <w:p w14:paraId="5CA0F554" w14:textId="77777777" w:rsidR="001C4718" w:rsidRDefault="001C4718" w:rsidP="00393F37">
      <w:pPr>
        <w:spacing w:line="360" w:lineRule="auto"/>
      </w:pPr>
      <w:r>
        <w:t xml:space="preserve">- в части сумм, освобождаемых от НДФЛ по договорам страхования жизни для расчета социального налогового вычета, по сравнению с инвестиционным налоговым вычетом; </w:t>
      </w:r>
    </w:p>
    <w:p w14:paraId="7F5E59F6" w14:textId="25F077CD" w:rsidR="001C4718" w:rsidRDefault="001C4718" w:rsidP="00393F37">
      <w:pPr>
        <w:spacing w:line="360" w:lineRule="auto"/>
      </w:pPr>
      <w:r>
        <w:t>- в части освобождения работодателей от уплаты взносов в государственные социальные фонды по договорам добровольного пенсионного страхования по сравнению договорами негосударственного обеспечения с НПФ и др.</w:t>
      </w:r>
    </w:p>
    <w:p w14:paraId="21A2B12E" w14:textId="75A5DE42" w:rsidR="001C4718" w:rsidRPr="00393F37" w:rsidRDefault="001C4718" w:rsidP="00393F37">
      <w:pPr>
        <w:spacing w:line="360" w:lineRule="auto"/>
      </w:pPr>
    </w:p>
    <w:p w14:paraId="774C8934" w14:textId="77777777" w:rsidR="001C4718" w:rsidRPr="00393F37" w:rsidRDefault="001C4718" w:rsidP="00393F37">
      <w:pPr>
        <w:spacing w:line="360" w:lineRule="auto"/>
      </w:pPr>
    </w:p>
    <w:p w14:paraId="66A8D242" w14:textId="2D326E0F" w:rsidR="004C3CA9" w:rsidRPr="0041580E" w:rsidRDefault="004C3CA9" w:rsidP="0041580E">
      <w:pPr>
        <w:keepNext/>
        <w:spacing w:line="360" w:lineRule="auto"/>
        <w:ind w:firstLine="0"/>
        <w:outlineLvl w:val="1"/>
        <w:rPr>
          <w:b/>
          <w:szCs w:val="28"/>
        </w:rPr>
      </w:pPr>
      <w:r w:rsidRPr="0041580E">
        <w:rPr>
          <w:b/>
          <w:szCs w:val="28"/>
        </w:rPr>
        <w:lastRenderedPageBreak/>
        <w:t>Зверев С.А.</w:t>
      </w:r>
      <w:r>
        <w:rPr>
          <w:b/>
          <w:szCs w:val="28"/>
        </w:rPr>
        <w:t>:</w:t>
      </w:r>
    </w:p>
    <w:p w14:paraId="3DC6D5AC" w14:textId="43831F0E" w:rsidR="004C3CA9" w:rsidRPr="0041580E" w:rsidRDefault="004C3CA9" w:rsidP="0041580E">
      <w:pPr>
        <w:keepNext/>
        <w:spacing w:line="360" w:lineRule="auto"/>
        <w:ind w:firstLine="0"/>
        <w:outlineLvl w:val="1"/>
        <w:rPr>
          <w:b/>
          <w:szCs w:val="28"/>
        </w:rPr>
      </w:pPr>
    </w:p>
    <w:p w14:paraId="33D531DE" w14:textId="6965EA8E" w:rsidR="0041580E" w:rsidRPr="0041580E" w:rsidRDefault="0041580E" w:rsidP="007A413E">
      <w:pPr>
        <w:pStyle w:val="ab"/>
        <w:spacing w:line="360" w:lineRule="auto"/>
        <w:ind w:left="0"/>
        <w:rPr>
          <w:b/>
          <w:bCs/>
        </w:rPr>
      </w:pPr>
      <w:r w:rsidRPr="0041580E">
        <w:rPr>
          <w:b/>
          <w:bCs/>
        </w:rPr>
        <w:t>I. К вопросу одобрения «Основных направлений бюджетной, налоговой и таможенно-тарифной политики на 2022 год и на плановый период 2023 и 2024 годов»</w:t>
      </w:r>
    </w:p>
    <w:p w14:paraId="77790936" w14:textId="5B4770B6" w:rsidR="007A413E" w:rsidRDefault="007A413E" w:rsidP="0041580E">
      <w:pPr>
        <w:pStyle w:val="ab"/>
        <w:spacing w:line="360" w:lineRule="auto"/>
        <w:ind w:left="0"/>
      </w:pPr>
      <w:r>
        <w:t>Предложенный к рассмотрению документ носит цельный и сбалансированный характер. Проведённый в первой части анализ итогов реализации «Основных направлений…» за период 2020-2021 гг. содержит целостную и непротиворечивую картину развития экономики и социальной сферы с точки зрения бюджетной, налоговой и таможенно-тарифной политики. Внешние условия, в которых будет развиваться экономика и социальная сфера России в 2022-2024 гг., изложены полно и аргументировано. Цели и задачи соответствуют стратегическим национальным целям развития, закреплённым в Указе Президента Российской Федерации от 21.07.2020 № 474 "О национальных целях развития Российской Федерации на период до 2030 года"</w:t>
      </w:r>
      <w:r w:rsidR="00BB2C62">
        <w:rPr>
          <w:rStyle w:val="afc"/>
        </w:rPr>
        <w:footnoteReference w:id="1"/>
      </w:r>
      <w:r>
        <w:t>. В свою очередь, приведенные в документе параметры бюджетов бюджетной системы охватывают заявленные в тексте цели в полном объеме.</w:t>
      </w:r>
    </w:p>
    <w:p w14:paraId="79635E77" w14:textId="77777777" w:rsidR="007A413E" w:rsidRDefault="007A413E" w:rsidP="0041580E">
      <w:pPr>
        <w:pStyle w:val="ab"/>
        <w:spacing w:line="360" w:lineRule="auto"/>
        <w:ind w:left="0"/>
      </w:pPr>
      <w:r>
        <w:t>Всё это даёт основание одобрить «Основные направления бюджетной, налоговой и таможенно-тарифной политики на 2022 год и на плановый период 2023 и 2024 годов».</w:t>
      </w:r>
    </w:p>
    <w:p w14:paraId="742BF330" w14:textId="77777777" w:rsidR="007A413E" w:rsidRDefault="007A413E" w:rsidP="0041580E">
      <w:pPr>
        <w:pStyle w:val="ab"/>
        <w:spacing w:line="360" w:lineRule="auto"/>
        <w:ind w:left="0"/>
      </w:pPr>
      <w:r>
        <w:t>Одновременно текст позволяет сформулировать некоторое число конкретных предложений, которые предлагаются к рассмотрению.</w:t>
      </w:r>
    </w:p>
    <w:p w14:paraId="551D714C" w14:textId="77777777" w:rsidR="007A413E" w:rsidRDefault="007A413E" w:rsidP="0041580E">
      <w:pPr>
        <w:pStyle w:val="ab"/>
        <w:spacing w:line="360" w:lineRule="auto"/>
        <w:ind w:left="0"/>
      </w:pPr>
    </w:p>
    <w:p w14:paraId="659049FF" w14:textId="77777777" w:rsidR="007A413E" w:rsidRPr="0041580E" w:rsidRDefault="007A413E" w:rsidP="0041580E">
      <w:pPr>
        <w:pStyle w:val="ab"/>
        <w:spacing w:line="360" w:lineRule="auto"/>
        <w:ind w:left="0"/>
        <w:rPr>
          <w:b/>
          <w:bCs/>
        </w:rPr>
      </w:pPr>
      <w:r w:rsidRPr="0041580E">
        <w:rPr>
          <w:b/>
          <w:bCs/>
        </w:rPr>
        <w:t>II. Предложения и замечания</w:t>
      </w:r>
    </w:p>
    <w:p w14:paraId="6B73B039" w14:textId="77777777" w:rsidR="007A413E" w:rsidRPr="005C28CF" w:rsidRDefault="007A413E" w:rsidP="0041580E">
      <w:pPr>
        <w:pStyle w:val="ab"/>
        <w:spacing w:line="360" w:lineRule="auto"/>
        <w:ind w:left="0"/>
      </w:pPr>
      <w:r w:rsidRPr="005C28CF">
        <w:t>II.I. Общий подход и причины, позволяющие сформулировать предложения и замечания.</w:t>
      </w:r>
    </w:p>
    <w:p w14:paraId="503C6CD2" w14:textId="6DAF8898" w:rsidR="007A413E" w:rsidRDefault="007A413E" w:rsidP="00BB2C62">
      <w:pPr>
        <w:pStyle w:val="ab"/>
        <w:spacing w:line="360" w:lineRule="auto"/>
        <w:ind w:left="0"/>
      </w:pPr>
      <w:r>
        <w:t xml:space="preserve">За период 2019-2021 гг. экономика, трудовые отношения и социальная сфера России претерпели значительные трансформации. Многие из них в полной мере изложены в разделе «Итоги реализации….», однако хотелось бы обратить </w:t>
      </w:r>
      <w:r>
        <w:lastRenderedPageBreak/>
        <w:t>внимание на одно системное изменение, не нашедшее в документе внимания, соответствующего его значению</w:t>
      </w:r>
      <w:r w:rsidR="00BB2C62">
        <w:t>.</w:t>
      </w:r>
    </w:p>
    <w:p w14:paraId="3927A6B5" w14:textId="77777777" w:rsidR="007A413E" w:rsidRDefault="007A413E" w:rsidP="00BB2C62">
      <w:pPr>
        <w:pStyle w:val="ab"/>
        <w:spacing w:line="360" w:lineRule="auto"/>
        <w:ind w:left="0"/>
      </w:pPr>
      <w:r>
        <w:t xml:space="preserve">Речь идет о двух тесно связанных процессах. </w:t>
      </w:r>
    </w:p>
    <w:p w14:paraId="41332F3E" w14:textId="55D08A3A" w:rsidR="007A413E" w:rsidRDefault="007A413E" w:rsidP="00BB2C62">
      <w:pPr>
        <w:pStyle w:val="ab"/>
        <w:spacing w:line="360" w:lineRule="auto"/>
        <w:ind w:left="0"/>
      </w:pPr>
      <w:r>
        <w:t>Первый из них – проведение эксперимента по установлению специального налогового режима "Налог на профессиональный доход" (федеральный закон 422-ФЗ от 27.11.2018), с последующим расширением эксперимента на всю территорию России, что привело к формированию массовому распространению новой для России формы занятости, получившей в широком обсуждении определение «самозанятости». Сегодня, по данным ФНС, в России уже более трех миллионов самозанятых. По прогнозам Минтруда России, к 2024 году их количество превысит 5 млн человек, а к 2030-му может вырасти до 10-11 млн. Между тем, в предложенном документе самозанятые упоминаются только в двух местах текста во второстепенных контекстах</w:t>
      </w:r>
      <w:r w:rsidR="00BB2C62">
        <w:rPr>
          <w:rStyle w:val="afc"/>
        </w:rPr>
        <w:footnoteReference w:id="2"/>
      </w:r>
      <w:r>
        <w:t>, что не соответствует их сегодняшнему и прогнозируемому месту в структуре занятых в производстве товаров и услуг.</w:t>
      </w:r>
    </w:p>
    <w:p w14:paraId="63A82DEB" w14:textId="1553694A" w:rsidR="007A413E" w:rsidRDefault="007A413E" w:rsidP="00BB2C62">
      <w:pPr>
        <w:pStyle w:val="ab"/>
        <w:spacing w:line="360" w:lineRule="auto"/>
        <w:ind w:left="0"/>
      </w:pPr>
      <w:r>
        <w:t>Второй процесс – развитие платформенной экономики. Уже сегодня пользователями услуг и покупателями товаров с использованием платформ в России являются десятки миллионов человек. С другой стороны, по оценкам Финансового университета при правительстве РФ, уже к 2023 году число сотрудничающих с платформами в стране удвоится</w:t>
      </w:r>
      <w:r w:rsidR="00BB2C62">
        <w:rPr>
          <w:rStyle w:val="afc"/>
        </w:rPr>
        <w:footnoteReference w:id="3"/>
      </w:r>
      <w:r>
        <w:t>. К сожалению, отсутствие методик государственной статистики не позволяет пока Росстату количественно показать уровень платформенной экономики в общей структуре экономики России, но и приведённых показателей достаточно, чтобы показать значение платформенной экономики для учета в бюджетной политике. Между тем в предлагаемых к рассмотрению «Основных направлениях….» цифровые платформы упоминаются один раз и только в контексте совершенствования государственных сервисов.</w:t>
      </w:r>
    </w:p>
    <w:p w14:paraId="45F68CC1" w14:textId="77777777" w:rsidR="007A413E" w:rsidRDefault="007A413E" w:rsidP="00BB2C62">
      <w:pPr>
        <w:pStyle w:val="ab"/>
        <w:spacing w:line="360" w:lineRule="auto"/>
        <w:ind w:left="0"/>
      </w:pPr>
      <w:r>
        <w:lastRenderedPageBreak/>
        <w:t>Представляется, что оба эти сложившиеся экономические реальности – самозанятость и платформенная экономика – требуют значительно большего внимания в документе.</w:t>
      </w:r>
    </w:p>
    <w:p w14:paraId="1E828FAC" w14:textId="77777777" w:rsidR="007A413E" w:rsidRDefault="007A413E" w:rsidP="00BB2C62">
      <w:pPr>
        <w:pStyle w:val="ab"/>
        <w:spacing w:line="360" w:lineRule="auto"/>
        <w:ind w:left="0"/>
      </w:pPr>
      <w:r>
        <w:t>Конкретные предложения в документ приведены в следующих разделах.</w:t>
      </w:r>
    </w:p>
    <w:p w14:paraId="11CE7EDF" w14:textId="77777777" w:rsidR="007A413E" w:rsidRDefault="007A413E" w:rsidP="00BB2C62">
      <w:pPr>
        <w:pStyle w:val="ab"/>
        <w:spacing w:line="360" w:lineRule="auto"/>
        <w:ind w:left="0"/>
      </w:pPr>
    </w:p>
    <w:p w14:paraId="39E5EC21" w14:textId="77777777" w:rsidR="007A413E" w:rsidRDefault="007A413E" w:rsidP="007F7916">
      <w:pPr>
        <w:pStyle w:val="ab"/>
        <w:spacing w:line="360" w:lineRule="auto"/>
        <w:ind w:left="0"/>
      </w:pPr>
      <w:r>
        <w:t>II.2. Анализ проведенных структурных изменения бюджетной политики, оказавших значительное влияние на социальную устойчивость в период пандемии (стр.11), дополнить информацией о реализованной поддержке самозанятых:</w:t>
      </w:r>
    </w:p>
    <w:p w14:paraId="44A093E4" w14:textId="48D77641" w:rsidR="007A413E" w:rsidRDefault="007A413E" w:rsidP="007F7916">
      <w:pPr>
        <w:pStyle w:val="ab"/>
        <w:spacing w:line="360" w:lineRule="auto"/>
        <w:ind w:left="0"/>
      </w:pPr>
      <w:r>
        <w:t xml:space="preserve">«…Структурный маневр в налоговой системе: существенное сокращение налоговой нагрузки на сектор МСП (двукратное снижение тарифов страховых взносов, </w:t>
      </w:r>
      <w:r w:rsidRPr="007F7916">
        <w:rPr>
          <w:i/>
          <w:iCs/>
        </w:rPr>
        <w:t>полный возврат уплаченных налогов за 2019 год пользователям специального налогового режима на профессиональный доход</w:t>
      </w:r>
      <w:r>
        <w:t>)</w:t>
      </w:r>
      <w:r w:rsidR="00BB2C62">
        <w:rPr>
          <w:rStyle w:val="afc"/>
        </w:rPr>
        <w:footnoteReference w:id="4"/>
      </w:r>
      <w:r>
        <w:t xml:space="preserve"> …»</w:t>
      </w:r>
    </w:p>
    <w:p w14:paraId="119B4EBA" w14:textId="087FC3B3" w:rsidR="007A413E" w:rsidRDefault="007A413E" w:rsidP="007F7916">
      <w:pPr>
        <w:pStyle w:val="ab"/>
        <w:spacing w:line="360" w:lineRule="auto"/>
        <w:ind w:left="0"/>
      </w:pPr>
      <w:r>
        <w:t>II.3. Раздел Справедливая конкурентная среда и сокращение теневого сектора в части ключевых результатов дополнить пунктом:</w:t>
      </w:r>
    </w:p>
    <w:p w14:paraId="0E27F364" w14:textId="4B1B13B1" w:rsidR="007A413E" w:rsidRPr="007F7916" w:rsidRDefault="007A413E" w:rsidP="005C28CF">
      <w:pPr>
        <w:pStyle w:val="ab"/>
        <w:spacing w:line="360" w:lineRule="auto"/>
        <w:ind w:left="0"/>
        <w:rPr>
          <w:i/>
          <w:iCs/>
        </w:rPr>
      </w:pPr>
      <w:r w:rsidRPr="007F7916">
        <w:rPr>
          <w:i/>
          <w:iCs/>
        </w:rPr>
        <w:t>•</w:t>
      </w:r>
      <w:r w:rsidRPr="007F7916">
        <w:rPr>
          <w:i/>
          <w:iCs/>
        </w:rPr>
        <w:tab/>
        <w:t>«Расширение в 2020г. на самозанятых мер поддержки, предусмотренных нацпроектом «Малое и среднее предпринимательство и поддержка индивидуальной предпринимательской инициативы»</w:t>
      </w:r>
    </w:p>
    <w:p w14:paraId="2DB0F130" w14:textId="77777777" w:rsidR="007A413E" w:rsidRDefault="007A413E" w:rsidP="007F7916">
      <w:pPr>
        <w:pStyle w:val="ab"/>
        <w:spacing w:line="360" w:lineRule="auto"/>
        <w:ind w:left="0"/>
      </w:pPr>
    </w:p>
    <w:p w14:paraId="78217834" w14:textId="77777777" w:rsidR="007A413E" w:rsidRDefault="007A413E" w:rsidP="007F7916">
      <w:pPr>
        <w:pStyle w:val="ab"/>
        <w:spacing w:line="360" w:lineRule="auto"/>
        <w:ind w:left="0"/>
      </w:pPr>
      <w:r>
        <w:t>II.4. В разделе СТРУКТУРНЫЕ МЕРЫ НАЛОГОВОЙ ПОЛИТИКИ положение о введении нового налогового режима УСН.онлайн изложить в следующей редакции:</w:t>
      </w:r>
    </w:p>
    <w:p w14:paraId="370D64D1" w14:textId="77777777" w:rsidR="007A413E" w:rsidRPr="007F7916" w:rsidRDefault="007A413E" w:rsidP="005C28CF">
      <w:pPr>
        <w:pStyle w:val="ab"/>
        <w:spacing w:line="360" w:lineRule="auto"/>
        <w:ind w:left="0"/>
        <w:rPr>
          <w:i/>
          <w:iCs/>
        </w:rPr>
      </w:pPr>
      <w:r w:rsidRPr="007F7916">
        <w:rPr>
          <w:i/>
          <w:iCs/>
        </w:rPr>
        <w:t>•</w:t>
      </w:r>
      <w:r w:rsidRPr="007F7916">
        <w:rPr>
          <w:i/>
          <w:iCs/>
        </w:rPr>
        <w:tab/>
        <w:t>«…Трансформировать налоговый режим НПД для желающих самозанятых в новый налоговый режим УСН.онлайн для микропредприятий с численностью сотрудников до 5 человек в заявительном порядке без перерегистрации…»</w:t>
      </w:r>
    </w:p>
    <w:p w14:paraId="17E17E92" w14:textId="77777777" w:rsidR="007A413E" w:rsidRDefault="007A413E" w:rsidP="007F7916">
      <w:pPr>
        <w:pStyle w:val="ab"/>
        <w:spacing w:line="360" w:lineRule="auto"/>
        <w:ind w:left="0"/>
      </w:pPr>
      <w:r>
        <w:t>Такая норма придаст динамику введению УСН.онлайн и окажет существенную помощь самозанятым, желающим расширить сферу предоставления товаров и услуг.</w:t>
      </w:r>
    </w:p>
    <w:p w14:paraId="40C155F2" w14:textId="77777777" w:rsidR="007A413E" w:rsidRDefault="007A413E" w:rsidP="007F7916">
      <w:pPr>
        <w:pStyle w:val="ab"/>
        <w:spacing w:line="360" w:lineRule="auto"/>
        <w:ind w:left="0"/>
      </w:pPr>
    </w:p>
    <w:p w14:paraId="540AF383" w14:textId="77777777" w:rsidR="007A413E" w:rsidRDefault="007A413E" w:rsidP="007F7916">
      <w:pPr>
        <w:pStyle w:val="ab"/>
        <w:spacing w:line="360" w:lineRule="auto"/>
        <w:ind w:left="0"/>
      </w:pPr>
      <w:r>
        <w:t>II.5. Раздел Достойный, эффективный труд и успешное предпринимательство в части мер ускорения экономического роста изложить в следующей редакции:</w:t>
      </w:r>
    </w:p>
    <w:p w14:paraId="432CD72F" w14:textId="77777777" w:rsidR="007A413E" w:rsidRDefault="007A413E" w:rsidP="007F7916">
      <w:pPr>
        <w:pStyle w:val="ab"/>
        <w:spacing w:line="360" w:lineRule="auto"/>
        <w:ind w:left="0"/>
      </w:pPr>
      <w:r>
        <w:t>•</w:t>
      </w:r>
      <w:r>
        <w:tab/>
        <w:t xml:space="preserve">«…увеличения уровня занятости, в том числе в сфере МСП, </w:t>
      </w:r>
      <w:r w:rsidRPr="007F7916">
        <w:rPr>
          <w:i/>
          <w:iCs/>
        </w:rPr>
        <w:t>стимулирование современных форм легальной неформальной занятости, в т.ч. в форматах самозанятости и устойчивого партнерства в платформенной экономике...</w:t>
      </w:r>
      <w:r>
        <w:t xml:space="preserve">» </w:t>
      </w:r>
    </w:p>
    <w:p w14:paraId="2A4803D0" w14:textId="77777777" w:rsidR="007A413E" w:rsidRDefault="007A413E" w:rsidP="007F7916">
      <w:pPr>
        <w:pStyle w:val="ab"/>
        <w:spacing w:line="360" w:lineRule="auto"/>
        <w:ind w:left="0"/>
      </w:pPr>
      <w:r>
        <w:t>II. 6. Параграф «II. Поддержка субъектов малого и среднего бизнеса» расширить в части пользователей налогового режима НПД:</w:t>
      </w:r>
    </w:p>
    <w:p w14:paraId="27C6FEF5" w14:textId="77777777" w:rsidR="007A413E" w:rsidRDefault="007A413E" w:rsidP="007F7916">
      <w:pPr>
        <w:pStyle w:val="ab"/>
        <w:spacing w:line="360" w:lineRule="auto"/>
        <w:ind w:left="0"/>
      </w:pPr>
      <w:r>
        <w:t>•</w:t>
      </w:r>
      <w:r>
        <w:tab/>
        <w:t xml:space="preserve">«…программа льготного кредитования субъектов МСП </w:t>
      </w:r>
      <w:r w:rsidRPr="007F7916">
        <w:rPr>
          <w:i/>
          <w:iCs/>
        </w:rPr>
        <w:t>и самозанятых…</w:t>
      </w:r>
      <w:r>
        <w:t>»</w:t>
      </w:r>
    </w:p>
    <w:p w14:paraId="182FBFEB" w14:textId="77777777" w:rsidR="007A413E" w:rsidRDefault="007A413E" w:rsidP="007F7916">
      <w:pPr>
        <w:pStyle w:val="ab"/>
        <w:spacing w:line="360" w:lineRule="auto"/>
        <w:ind w:left="0"/>
      </w:pPr>
      <w:r>
        <w:t>•</w:t>
      </w:r>
      <w:r>
        <w:tab/>
        <w:t xml:space="preserve">«… развитие цифровых инструментов, упрощающих открытие и ведение бизнеса, и объединенных в одну экосистему с механизмами адресного подбора и проактивного одобрения инструментов поддержки </w:t>
      </w:r>
      <w:r w:rsidRPr="007F7916">
        <w:rPr>
          <w:i/>
          <w:iCs/>
        </w:rPr>
        <w:t>и инструментами доступа к добровольному присоединению к государственным инструментам социальной защиты…</w:t>
      </w:r>
      <w:r>
        <w:t>»</w:t>
      </w:r>
    </w:p>
    <w:p w14:paraId="7AE255B6" w14:textId="77777777" w:rsidR="007A413E" w:rsidRDefault="007A413E" w:rsidP="007F7916">
      <w:pPr>
        <w:pStyle w:val="ab"/>
        <w:spacing w:line="360" w:lineRule="auto"/>
        <w:ind w:left="0"/>
      </w:pPr>
      <w:r>
        <w:t>•</w:t>
      </w:r>
      <w:r>
        <w:tab/>
        <w:t xml:space="preserve">« … поддержка самозанятых граждан: запуск программы предоставления трехлетних микрозаймов до 1 млн рублей по льготной ставке, не превышающей 1,5 размера ключевой ставки Банка России </w:t>
      </w:r>
      <w:r w:rsidRPr="007F7916">
        <w:rPr>
          <w:i/>
          <w:iCs/>
        </w:rPr>
        <w:t>и программ госгарантий целевого кредитования на расширение производства товаров и услуг, повышение квалификации, закупку основных средств и развитие деятельности, имеющей социально-значимую ориентацию…</w:t>
      </w:r>
      <w:r>
        <w:t>»</w:t>
      </w:r>
    </w:p>
    <w:p w14:paraId="71C54FD8" w14:textId="77777777" w:rsidR="007A413E" w:rsidRDefault="007A413E" w:rsidP="00F46ABF">
      <w:pPr>
        <w:pStyle w:val="ab"/>
        <w:spacing w:line="360" w:lineRule="auto"/>
        <w:ind w:left="0"/>
      </w:pPr>
      <w:r>
        <w:t>II.7. В разделе «III. Сохранение населения, здоровье и благополучие людей и новый общественный договор» внести следующие дополнения:</w:t>
      </w:r>
    </w:p>
    <w:p w14:paraId="39950E00" w14:textId="77777777" w:rsidR="007A413E" w:rsidRDefault="007A413E" w:rsidP="00F46ABF">
      <w:pPr>
        <w:pStyle w:val="ab"/>
        <w:spacing w:line="360" w:lineRule="auto"/>
        <w:ind w:left="0"/>
      </w:pPr>
      <w:r>
        <w:t>•</w:t>
      </w:r>
      <w:r>
        <w:tab/>
        <w:t xml:space="preserve">создание условий для трудовой деятельности родителей малолетних детей (обеспечение доступности дошкольного образования для детей от полутора до семи лет, расширение возможностей неполной и дистанционной занятости, развитие профессиональной подготовки и переподготовки родителей, </w:t>
      </w:r>
      <w:r w:rsidRPr="00F46ABF">
        <w:rPr>
          <w:i/>
          <w:iCs/>
        </w:rPr>
        <w:t xml:space="preserve">расширение практики социальных контрактов для самозанятых родителей малолетних детей, государственная поддержка сотрудничества родителей </w:t>
      </w:r>
      <w:r w:rsidRPr="00F46ABF">
        <w:rPr>
          <w:i/>
          <w:iCs/>
        </w:rPr>
        <w:lastRenderedPageBreak/>
        <w:t>малолетних детей с интернет-платформами в качестве постоянных привилегированных партнёров</w:t>
      </w:r>
      <w:r>
        <w:t>)</w:t>
      </w:r>
    </w:p>
    <w:p w14:paraId="09CAE406" w14:textId="77777777" w:rsidR="007A413E" w:rsidRDefault="007A413E" w:rsidP="00F46ABF">
      <w:pPr>
        <w:pStyle w:val="ab"/>
        <w:spacing w:line="360" w:lineRule="auto"/>
        <w:ind w:left="0"/>
      </w:pPr>
      <w:r>
        <w:t>II.8. В части мер по поддержке доходов граждан предлагается такая редакция пунктов:</w:t>
      </w:r>
    </w:p>
    <w:p w14:paraId="479A6DCE" w14:textId="77777777" w:rsidR="007A413E" w:rsidRDefault="007A413E" w:rsidP="00F46ABF">
      <w:pPr>
        <w:pStyle w:val="ab"/>
        <w:spacing w:line="360" w:lineRule="auto"/>
        <w:ind w:left="0"/>
      </w:pPr>
      <w:r>
        <w:t>•</w:t>
      </w:r>
      <w:r>
        <w:tab/>
        <w:t xml:space="preserve">«…содействие в поиске работы (в т.ч. за счет повышения эффективности деятельности службы занятости населения), а также развитие гибких форм занятости. </w:t>
      </w:r>
      <w:r w:rsidRPr="00F46ABF">
        <w:rPr>
          <w:i/>
          <w:iCs/>
        </w:rPr>
        <w:t>Стимулирование распространения современных легальных форм неформальной занятости, включая самозанятость, семейное предпринимательство и постоянное партнерство в платформенной экономике…</w:t>
      </w:r>
      <w:r>
        <w:t>»</w:t>
      </w:r>
    </w:p>
    <w:p w14:paraId="0A735773" w14:textId="77777777" w:rsidR="007A413E" w:rsidRDefault="007A413E" w:rsidP="00F46ABF">
      <w:pPr>
        <w:pStyle w:val="ab"/>
        <w:spacing w:line="360" w:lineRule="auto"/>
        <w:ind w:left="0"/>
      </w:pPr>
      <w:r>
        <w:t>•</w:t>
      </w:r>
      <w:r>
        <w:tab/>
        <w:t xml:space="preserve">«… предоставление бюджетам субъектов РФ субсидий для оказания нуждающимся гражданам социальной помощи на основании социального контракта. </w:t>
      </w:r>
      <w:r w:rsidRPr="00F46ABF">
        <w:rPr>
          <w:i/>
          <w:iCs/>
        </w:rPr>
        <w:t>Расширение практики поддержки самозанятости граждан защищенных категорий …</w:t>
      </w:r>
      <w:r>
        <w:t>».</w:t>
      </w:r>
    </w:p>
    <w:p w14:paraId="29ED404A" w14:textId="77777777" w:rsidR="007A413E" w:rsidRDefault="007A413E" w:rsidP="00F46ABF">
      <w:pPr>
        <w:pStyle w:val="ab"/>
        <w:spacing w:line="360" w:lineRule="auto"/>
        <w:ind w:left="0"/>
      </w:pPr>
      <w:r>
        <w:t>II.9. Раздел IV. Возможности для самореализации и развития талантов в его нынешней содержательной части не ориентирован на получение подростками предпринимательских компетенций, которые, безусловно, в той или иной части им необходимы для дальнейшей трудовой самореализации. В силу это в раздел предлагаются следующе дополнения:</w:t>
      </w:r>
    </w:p>
    <w:p w14:paraId="0DC81B98" w14:textId="77777777" w:rsidR="007A413E" w:rsidRDefault="007A413E" w:rsidP="00F46ABF">
      <w:pPr>
        <w:pStyle w:val="ab"/>
        <w:spacing w:line="360" w:lineRule="auto"/>
        <w:ind w:left="0"/>
      </w:pPr>
      <w:r>
        <w:t>•</w:t>
      </w:r>
      <w:r>
        <w:tab/>
        <w:t>«…</w:t>
      </w:r>
      <w:r w:rsidRPr="00F46ABF">
        <w:rPr>
          <w:i/>
          <w:iCs/>
        </w:rPr>
        <w:t>Стимулировать формирование у подростков предпринимательских компетенций. Снизить возрастной порог вхождения в деловую среду в формате самозанятого до 16-лет</w:t>
      </w:r>
      <w:r>
        <w:t>…»</w:t>
      </w:r>
    </w:p>
    <w:p w14:paraId="50D75F59" w14:textId="10974743" w:rsidR="007A413E" w:rsidRDefault="007A413E" w:rsidP="00F46ABF">
      <w:pPr>
        <w:pStyle w:val="ab"/>
        <w:spacing w:line="360" w:lineRule="auto"/>
        <w:ind w:left="0"/>
      </w:pPr>
      <w:r>
        <w:t>Предлагаемое направление реализует прямое поручение Президента РФ В.В.Путина, сформулированное им во время телеобращения 23 июня 2020 года</w:t>
      </w:r>
      <w:r w:rsidR="005B02A5">
        <w:rPr>
          <w:rStyle w:val="afc"/>
        </w:rPr>
        <w:footnoteReference w:id="5"/>
      </w:r>
      <w:r>
        <w:t>.</w:t>
      </w:r>
    </w:p>
    <w:p w14:paraId="556B2DF7" w14:textId="12976602" w:rsidR="004C3CA9" w:rsidRDefault="007A413E" w:rsidP="00F46ABF">
      <w:pPr>
        <w:pStyle w:val="ab"/>
        <w:spacing w:line="360" w:lineRule="auto"/>
        <w:ind w:left="0" w:firstLine="709"/>
        <w:contextualSpacing w:val="0"/>
      </w:pPr>
      <w:r>
        <w:t>Предлагаемые дополнения, на наш взгляд, не противоречат основным тезисам документа и, одновременно, позволяют учесть тенденции в развитии экономики России, в первую очередь самозанятость и платформенную экономику, делая «Основны</w:t>
      </w:r>
      <w:r w:rsidR="00F46ABF">
        <w:t>е</w:t>
      </w:r>
      <w:r>
        <w:t xml:space="preserve"> направлени</w:t>
      </w:r>
      <w:r w:rsidR="00F46ABF">
        <w:t>я</w:t>
      </w:r>
      <w:r>
        <w:t xml:space="preserve"> бюджетной, налоговой и таможенно-</w:t>
      </w:r>
      <w:r>
        <w:lastRenderedPageBreak/>
        <w:t>тарифной политики на 2022 год и на плановый период 2023 и 2024 годов» более цельными и сбалансированными.</w:t>
      </w:r>
    </w:p>
    <w:p w14:paraId="3C004B8B" w14:textId="385C510B" w:rsidR="004C3CA9" w:rsidRDefault="004C3CA9" w:rsidP="007A413E">
      <w:pPr>
        <w:pStyle w:val="ab"/>
        <w:spacing w:line="360" w:lineRule="auto"/>
        <w:ind w:left="0" w:firstLine="709"/>
        <w:contextualSpacing w:val="0"/>
        <w:rPr>
          <w:szCs w:val="28"/>
        </w:rPr>
      </w:pPr>
    </w:p>
    <w:p w14:paraId="489DE498" w14:textId="6BDA7BBA" w:rsidR="00E0247E" w:rsidRDefault="00E0247E" w:rsidP="007A413E">
      <w:pPr>
        <w:pStyle w:val="ab"/>
        <w:spacing w:line="360" w:lineRule="auto"/>
        <w:ind w:left="0" w:firstLine="709"/>
        <w:contextualSpacing w:val="0"/>
        <w:rPr>
          <w:szCs w:val="28"/>
        </w:rPr>
      </w:pPr>
    </w:p>
    <w:p w14:paraId="37C97B24" w14:textId="335D7F9D" w:rsidR="00E0247E" w:rsidRPr="00F46ABF" w:rsidRDefault="00E0247E" w:rsidP="005C28CF">
      <w:pPr>
        <w:keepNext/>
        <w:spacing w:line="360" w:lineRule="auto"/>
        <w:ind w:firstLine="0"/>
        <w:outlineLvl w:val="1"/>
        <w:rPr>
          <w:b/>
          <w:szCs w:val="28"/>
        </w:rPr>
      </w:pPr>
      <w:r w:rsidRPr="00F46ABF">
        <w:rPr>
          <w:b/>
          <w:szCs w:val="28"/>
        </w:rPr>
        <w:t>Калинин А.С.:</w:t>
      </w:r>
    </w:p>
    <w:p w14:paraId="4C026EA8" w14:textId="4713897F" w:rsidR="00E0247E" w:rsidRPr="00F46ABF" w:rsidRDefault="00E0247E" w:rsidP="005C28CF">
      <w:pPr>
        <w:keepNext/>
        <w:spacing w:line="360" w:lineRule="auto"/>
        <w:ind w:firstLine="0"/>
        <w:outlineLvl w:val="1"/>
        <w:rPr>
          <w:b/>
          <w:szCs w:val="28"/>
        </w:rPr>
      </w:pPr>
    </w:p>
    <w:p w14:paraId="78903251" w14:textId="77777777" w:rsidR="00E0247E" w:rsidRPr="00E0247E" w:rsidRDefault="00E0247E" w:rsidP="00F46ABF">
      <w:pPr>
        <w:pStyle w:val="ab"/>
        <w:spacing w:line="360" w:lineRule="auto"/>
        <w:ind w:left="0" w:firstLine="709"/>
        <w:contextualSpacing w:val="0"/>
        <w:rPr>
          <w:szCs w:val="28"/>
        </w:rPr>
      </w:pPr>
      <w:r w:rsidRPr="00E0247E">
        <w:rPr>
          <w:szCs w:val="28"/>
        </w:rPr>
        <w:t>Общероссийская общественная организация малого и среднего предпринимательства «ОПОРА РОССИИ» рассмотрела проект «Основных направлений бюджетной, налоговой и таможенно-тарифной политики на 2022 год и на плановый период 2023 и 2024 годов» и сообщает следующее.</w:t>
      </w:r>
    </w:p>
    <w:p w14:paraId="4EE75220" w14:textId="77777777" w:rsidR="00E0247E" w:rsidRPr="00E0247E" w:rsidRDefault="00E0247E" w:rsidP="00F46ABF">
      <w:pPr>
        <w:pStyle w:val="ab"/>
        <w:spacing w:line="360" w:lineRule="auto"/>
        <w:ind w:left="0" w:firstLine="709"/>
        <w:contextualSpacing w:val="0"/>
        <w:rPr>
          <w:szCs w:val="28"/>
        </w:rPr>
      </w:pPr>
      <w:r w:rsidRPr="00E0247E">
        <w:rPr>
          <w:szCs w:val="28"/>
        </w:rPr>
        <w:t>«ОПОРА РОССИИ» считает преждевременным рассмотрение меры по введение налога на сахаросодержащие напитки и предлагаем исключить это предложение из «Основных направлениях бюджетной, налоговой и таможеннотарифной политики на 2022 год и плановый период 2023 и 2024 годов».</w:t>
      </w:r>
    </w:p>
    <w:p w14:paraId="1B46637A" w14:textId="798695A8" w:rsidR="00E0247E" w:rsidRPr="00CC6134" w:rsidRDefault="00E0247E" w:rsidP="005C28CF">
      <w:pPr>
        <w:pStyle w:val="ab"/>
        <w:spacing w:line="360" w:lineRule="auto"/>
        <w:ind w:left="0" w:firstLine="709"/>
        <w:contextualSpacing w:val="0"/>
        <w:rPr>
          <w:szCs w:val="28"/>
        </w:rPr>
      </w:pPr>
      <w:r w:rsidRPr="00E0247E">
        <w:rPr>
          <w:szCs w:val="28"/>
        </w:rPr>
        <w:t>Введение налога на напитки с содержанием сахара обладает высокой степенью регулирующего воздействия, сказывается на конечной стоимости продукции и, соответственно, на объёме производства и потребления сахаросодержащих напитков</w:t>
      </w:r>
      <w:r w:rsidR="00F46ABF">
        <w:rPr>
          <w:szCs w:val="28"/>
        </w:rPr>
        <w:t>.</w:t>
      </w:r>
    </w:p>
    <w:p w14:paraId="76630E97" w14:textId="77777777" w:rsidR="00E0247E" w:rsidRPr="00E0247E" w:rsidRDefault="00E0247E" w:rsidP="00B64354">
      <w:pPr>
        <w:pStyle w:val="ab"/>
        <w:spacing w:line="360" w:lineRule="auto"/>
        <w:ind w:left="0" w:firstLine="709"/>
        <w:contextualSpacing w:val="0"/>
        <w:rPr>
          <w:szCs w:val="28"/>
        </w:rPr>
      </w:pPr>
      <w:r w:rsidRPr="00E0247E">
        <w:rPr>
          <w:szCs w:val="28"/>
        </w:rPr>
        <w:t>По экспертным оценкам (в т.ч. исследование НИУ ВШЭ «Анализ социально-экономических последствий введения акцизного обложения напитков с добавлением сахара в Российской Федерации»), доля сахаросодержащих напитков в общем объёме потребления сахара составляет менее 2%. В этой связи введение акциза в отношении указанной продукции не повлияет существенно на потребление сахара населением, т.е. декларируемая социальная цель принятия рассматриваемого нормативно-правового акта не будет достигнута.</w:t>
      </w:r>
    </w:p>
    <w:p w14:paraId="72953B88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 xml:space="preserve">Бюджетный эффект от введения указанного регулирования оценивается экспертами на уровне дополнительных 14 -27 млрд руб. в год в зависимости от уровня бюджета и выбора объекта обложения акцизом (сахар, сахаросодержащие газированные безалкогольные напитки, все сахаросодержащие безалкогольные напитки). Однако эти поступления будут нивелированы снижением налоговых поступлений по иным налогам (порядка 7 млрд руб./год) в связи с сокращением </w:t>
      </w:r>
      <w:r w:rsidRPr="00E0247E">
        <w:rPr>
          <w:szCs w:val="28"/>
        </w:rPr>
        <w:lastRenderedPageBreak/>
        <w:t>производства и потребления. При этом за 3 года на 8-9% сократится объём производства подакцизной продукции, произойдёт сокращение почти 5 тыс. рабочих мест, уменьшатся инвестиции в основной капитал почти до 2,5 млрд руб. ежегодно. Кроме того, неизбежный в случае введение акциза существенный рост</w:t>
      </w:r>
      <w:r>
        <w:rPr>
          <w:szCs w:val="28"/>
        </w:rPr>
        <w:t xml:space="preserve"> </w:t>
      </w:r>
      <w:r w:rsidRPr="00E0247E">
        <w:rPr>
          <w:szCs w:val="28"/>
        </w:rPr>
        <w:t>конечной цены продукции вызовет падение объёма потребления. Всё это, безусловно, негативно повлияет на отрасль производства безалкогольных напитков. Это ставит под сомнение и достижение экономических целей предлагаемого регулирования.</w:t>
      </w:r>
    </w:p>
    <w:p w14:paraId="6219BD5A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Отдельно следует отметить трудности в налоговом администрировании при определении налогооблагаемой базы из-за отсутствия на уровне классификаторов разделения продукции с добавленным сахаром (сахарозаменителем) и без него.</w:t>
      </w:r>
    </w:p>
    <w:p w14:paraId="108203BC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Дополнительным аргументом против введения акциза на сахаросодержащие напитки является то, что компании, производящие безалкогольные напитки уже подписали Кодекс добровольных обязательств по снижению сахара в продукции. Охват рынка в литрах теми компаниями, которые подписали кодекс, составляет 60%. К 2024 году компании самостоятельно снизят содержание сахара в своих напитках на 10%.</w:t>
      </w:r>
    </w:p>
    <w:p w14:paraId="66D5F532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Имеющийся в распоряжении «ОПОРЫ РОССИИ» анализ зарубежного опыта введения акциза на сахаросодержащие напитки (Дания, Финляндия, Норвегия, Ирландия) показывает тенденцию к отказу от признания сахаросодержащих напитком подакцизным товаром.</w:t>
      </w:r>
    </w:p>
    <w:p w14:paraId="392C7E51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Также обращаем внимание, что с 2014 г. индивидуальные предприниматели уплачивают страховые взносы исходя их дохода за расчетный период. При этом доход в данном случае является фактически годовым оборотом индивидуального предпринимателя, а не его прибылью. Если величина дохода не превышает 300 тыс. руб., то страховые взносы уплачиваются в фиксированном размере. Размер дохода (300 тыс. руб.) действует с 2014 г. и к настоящему времени доля страховых взносов, уплачиваемых индивидуальными предпринимателями, в их доходе существенно увеличилась. Так, в 2014 г. индивидуальный предприниматель, имеющий доход до 300 тыс. руб., уплачивал 22 260 руб. в качестве страховых взносов, в 2020 г. уплатит 40 874 руб., т.е. на 83,62% больше.</w:t>
      </w:r>
    </w:p>
    <w:p w14:paraId="7AF6CCA1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lastRenderedPageBreak/>
        <w:t>В связи с существенным ростом величины суммы страховых взносов «ОПОРА РОССИИ» считает необходимым произвести индексацию величины дохода налогоплательщика за расчетный период для расчета фиксированного размера страховых взносов и установить ее в размере не менее 600 тыс. руб.</w:t>
      </w:r>
    </w:p>
    <w:p w14:paraId="69152935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Также «ОПОРА РОССИИ» предлагает следующие меры для поддержки малого и среднего предпринимательства:</w:t>
      </w:r>
    </w:p>
    <w:p w14:paraId="6BDAC5AC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-</w:t>
      </w:r>
      <w:r w:rsidRPr="00E0247E">
        <w:rPr>
          <w:szCs w:val="28"/>
        </w:rPr>
        <w:tab/>
        <w:t>Создание переходного налогового режима для акселерационного роста отдельных отраслей (туризм, клининг, охранные услуги, производство спортивных товаров и т.п.) с существенным снижением ставки НДС.</w:t>
      </w:r>
    </w:p>
    <w:p w14:paraId="42DE3525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-</w:t>
      </w:r>
      <w:r w:rsidRPr="00E0247E">
        <w:rPr>
          <w:szCs w:val="28"/>
        </w:rPr>
        <w:tab/>
        <w:t>Внести изменения в главу 26.2 Налогового кодекса РФ (Упрощенная система налогообложения) в части дальнейшего повышения порогов применения УСН по обороту и численности (с нынешних 200 млн. руб. до 300 млн. руб.).</w:t>
      </w:r>
    </w:p>
    <w:p w14:paraId="538E9E48" w14:textId="61A9A860" w:rsidR="00E0247E" w:rsidRDefault="00E0247E" w:rsidP="00E0247E">
      <w:pPr>
        <w:pStyle w:val="ab"/>
        <w:spacing w:line="360" w:lineRule="auto"/>
        <w:ind w:left="0" w:firstLine="709"/>
        <w:contextualSpacing w:val="0"/>
        <w:rPr>
          <w:szCs w:val="28"/>
        </w:rPr>
      </w:pPr>
      <w:r w:rsidRPr="00E0247E">
        <w:rPr>
          <w:szCs w:val="28"/>
        </w:rPr>
        <w:t>-</w:t>
      </w:r>
      <w:r w:rsidRPr="00E0247E">
        <w:rPr>
          <w:szCs w:val="28"/>
        </w:rPr>
        <w:tab/>
        <w:t>Внести изменения в главу 30 Налогового кодекса РФ (Налог на имущество организаций) в части снижения предельной ставки налогов, исчисляемых от кадастровой стоимости (сейчас это 2 % от кадастровой стоимости) либо установление необлагаемого минимума площади.</w:t>
      </w:r>
    </w:p>
    <w:p w14:paraId="3D3912F3" w14:textId="77777777" w:rsidR="00E0247E" w:rsidRPr="00E0247E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-</w:t>
      </w:r>
      <w:r w:rsidRPr="00E0247E">
        <w:rPr>
          <w:szCs w:val="28"/>
        </w:rPr>
        <w:tab/>
        <w:t>Внести изменения в Федеральный закон от 27.11.2018 № 422-ФЗ «О проведении эксперимента по установлению специального налогового режима «Налог на профессиональный доход» в части распространения налога на профессиональный доход на сдачу в наем апартаментов.</w:t>
      </w:r>
    </w:p>
    <w:p w14:paraId="7A0CC029" w14:textId="0F383CB4" w:rsidR="00E0247E" w:rsidRPr="00895D7B" w:rsidRDefault="00E0247E" w:rsidP="00B64354">
      <w:pPr>
        <w:pStyle w:val="ab"/>
        <w:spacing w:line="360" w:lineRule="auto"/>
        <w:ind w:left="0"/>
        <w:rPr>
          <w:szCs w:val="28"/>
        </w:rPr>
      </w:pPr>
      <w:r w:rsidRPr="00E0247E">
        <w:rPr>
          <w:szCs w:val="28"/>
        </w:rPr>
        <w:t>-</w:t>
      </w:r>
      <w:r w:rsidRPr="00E0247E">
        <w:rPr>
          <w:szCs w:val="28"/>
        </w:rPr>
        <w:tab/>
        <w:t>В рамках поддержки некоммерческих организаций предусмотреть в Налоговом кодексе РФ снижение ставки страховых взносов до 15 % по аналогии с мерами, предусмотренными для поддержки малого и среднего бизнеса.</w:t>
      </w:r>
    </w:p>
    <w:sectPr w:rsidR="00E0247E" w:rsidRPr="00895D7B" w:rsidSect="00A56C4A">
      <w:headerReference w:type="default" r:id="rId10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A7F58" w14:textId="77777777" w:rsidR="00254705" w:rsidRDefault="00254705">
      <w:r>
        <w:separator/>
      </w:r>
    </w:p>
    <w:p w14:paraId="7BD3F6EE" w14:textId="77777777" w:rsidR="00254705" w:rsidRDefault="00254705"/>
  </w:endnote>
  <w:endnote w:type="continuationSeparator" w:id="0">
    <w:p w14:paraId="762E2716" w14:textId="77777777" w:rsidR="00254705" w:rsidRDefault="00254705">
      <w:r>
        <w:continuationSeparator/>
      </w:r>
    </w:p>
    <w:p w14:paraId="639E71B9" w14:textId="77777777" w:rsidR="00254705" w:rsidRDefault="00254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D3E1" w14:textId="77777777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01C2E" w14:textId="77777777" w:rsidR="003148CE" w:rsidRDefault="003148CE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7883" w14:textId="2BEBD4DC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6E5A">
      <w:rPr>
        <w:rStyle w:val="a8"/>
        <w:noProof/>
      </w:rPr>
      <w:t>2</w:t>
    </w:r>
    <w:r>
      <w:rPr>
        <w:rStyle w:val="a8"/>
      </w:rPr>
      <w:fldChar w:fldCharType="end"/>
    </w:r>
  </w:p>
  <w:p w14:paraId="325339A5" w14:textId="77777777" w:rsidR="003148CE" w:rsidRDefault="003148CE" w:rsidP="0018153E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B091" w14:textId="77777777" w:rsidR="00254705" w:rsidRDefault="00254705">
      <w:r>
        <w:separator/>
      </w:r>
    </w:p>
    <w:p w14:paraId="0FF995E7" w14:textId="77777777" w:rsidR="00254705" w:rsidRDefault="00254705"/>
  </w:footnote>
  <w:footnote w:type="continuationSeparator" w:id="0">
    <w:p w14:paraId="79DF0325" w14:textId="77777777" w:rsidR="00254705" w:rsidRDefault="00254705">
      <w:r>
        <w:continuationSeparator/>
      </w:r>
    </w:p>
    <w:p w14:paraId="7B88A14B" w14:textId="77777777" w:rsidR="00254705" w:rsidRDefault="00254705"/>
  </w:footnote>
  <w:footnote w:id="1">
    <w:p w14:paraId="5EBBCA7C" w14:textId="77777777" w:rsidR="00BB2C62" w:rsidRPr="00D807AE" w:rsidRDefault="00BB2C62" w:rsidP="00BB2C62">
      <w:pPr>
        <w:pStyle w:val="afa"/>
        <w:rPr>
          <w:sz w:val="16"/>
          <w:szCs w:val="16"/>
        </w:rPr>
      </w:pPr>
      <w:r w:rsidRPr="00D807AE">
        <w:rPr>
          <w:rStyle w:val="afc"/>
          <w:sz w:val="16"/>
          <w:szCs w:val="16"/>
        </w:rPr>
        <w:footnoteRef/>
      </w:r>
      <w:r w:rsidRPr="00D807AE">
        <w:rPr>
          <w:sz w:val="16"/>
          <w:szCs w:val="16"/>
        </w:rPr>
        <w:t xml:space="preserve"> http://kremlin.ru/events/president/news/63728</w:t>
      </w:r>
    </w:p>
  </w:footnote>
  <w:footnote w:id="2">
    <w:p w14:paraId="3C53AF88" w14:textId="77777777" w:rsidR="00BB2C62" w:rsidRPr="00EE6BD4" w:rsidRDefault="00BB2C62" w:rsidP="00BB2C62">
      <w:pPr>
        <w:pStyle w:val="afa"/>
        <w:rPr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E6BD4">
        <w:rPr>
          <w:sz w:val="16"/>
          <w:szCs w:val="16"/>
        </w:rPr>
        <w:t>Стр.46 и стр.73</w:t>
      </w:r>
    </w:p>
  </w:footnote>
  <w:footnote w:id="3">
    <w:p w14:paraId="3BFB0517" w14:textId="77777777" w:rsidR="00BB2C62" w:rsidRDefault="00BB2C62" w:rsidP="00BB2C62">
      <w:pPr>
        <w:pStyle w:val="afa"/>
      </w:pPr>
      <w:r>
        <w:rPr>
          <w:rStyle w:val="afc"/>
        </w:rPr>
        <w:footnoteRef/>
      </w:r>
      <w:r>
        <w:t xml:space="preserve"> </w:t>
      </w:r>
      <w:r w:rsidRPr="000A30F1">
        <w:rPr>
          <w:sz w:val="16"/>
          <w:szCs w:val="16"/>
        </w:rPr>
        <w:t>http://www.fa.ru/org/science/lr/Pages/Home.aspx</w:t>
      </w:r>
    </w:p>
  </w:footnote>
  <w:footnote w:id="4">
    <w:p w14:paraId="7FFBCC1C" w14:textId="7571840A" w:rsidR="00BB2C62" w:rsidRPr="00EE4866" w:rsidRDefault="00BB2C62" w:rsidP="00BB2C62">
      <w:pPr>
        <w:pStyle w:val="afa"/>
        <w:rPr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E4866">
        <w:rPr>
          <w:sz w:val="16"/>
          <w:szCs w:val="16"/>
        </w:rPr>
        <w:t xml:space="preserve">Здесь и далее предлагаемые дополнения выделены в тексте </w:t>
      </w:r>
      <w:r>
        <w:rPr>
          <w:sz w:val="16"/>
          <w:szCs w:val="16"/>
        </w:rPr>
        <w:t>курсивом</w:t>
      </w:r>
    </w:p>
  </w:footnote>
  <w:footnote w:id="5">
    <w:p w14:paraId="16959DA7" w14:textId="77777777" w:rsidR="005B02A5" w:rsidRDefault="005B02A5" w:rsidP="005B02A5">
      <w:pPr>
        <w:pStyle w:val="afa"/>
      </w:pPr>
      <w:r>
        <w:rPr>
          <w:rStyle w:val="afc"/>
        </w:rPr>
        <w:footnoteRef/>
      </w:r>
      <w:r>
        <w:t xml:space="preserve"> </w:t>
      </w:r>
      <w:r w:rsidRPr="00A95975">
        <w:rPr>
          <w:sz w:val="16"/>
          <w:szCs w:val="16"/>
        </w:rPr>
        <w:t>https://www.youtube.com/watch?v=dLwKtS5Rb3M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F928" w14:textId="77777777" w:rsidR="009F690F" w:rsidRDefault="009F69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021CE"/>
    <w:multiLevelType w:val="hybridMultilevel"/>
    <w:tmpl w:val="3AE4C0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57F0DF8"/>
    <w:multiLevelType w:val="hybridMultilevel"/>
    <w:tmpl w:val="E5C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3948E2"/>
    <w:multiLevelType w:val="hybridMultilevel"/>
    <w:tmpl w:val="9FD0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F03729"/>
    <w:multiLevelType w:val="multilevel"/>
    <w:tmpl w:val="A470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A4876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7CF65BD"/>
    <w:multiLevelType w:val="hybridMultilevel"/>
    <w:tmpl w:val="4E52EED4"/>
    <w:lvl w:ilvl="0" w:tplc="BE36AA2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404A"/>
    <w:multiLevelType w:val="hybridMultilevel"/>
    <w:tmpl w:val="AC107EAA"/>
    <w:lvl w:ilvl="0" w:tplc="859AF168"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590B12"/>
    <w:multiLevelType w:val="multilevel"/>
    <w:tmpl w:val="C1AE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0F84631"/>
    <w:multiLevelType w:val="hybridMultilevel"/>
    <w:tmpl w:val="01CADC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357A08"/>
    <w:multiLevelType w:val="hybridMultilevel"/>
    <w:tmpl w:val="AB7E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793A4D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0E2"/>
    <w:multiLevelType w:val="hybridMultilevel"/>
    <w:tmpl w:val="D17AC9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6C2301"/>
    <w:multiLevelType w:val="multilevel"/>
    <w:tmpl w:val="2698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A777FC"/>
    <w:multiLevelType w:val="multilevel"/>
    <w:tmpl w:val="B70A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5B77BAA"/>
    <w:multiLevelType w:val="hybridMultilevel"/>
    <w:tmpl w:val="BBEE4C1C"/>
    <w:lvl w:ilvl="0" w:tplc="5C1C11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FB0DC5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0A6D12"/>
    <w:multiLevelType w:val="hybridMultilevel"/>
    <w:tmpl w:val="A8E4BA00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4F23271E"/>
    <w:multiLevelType w:val="hybridMultilevel"/>
    <w:tmpl w:val="BF9AF7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B3F2F"/>
    <w:multiLevelType w:val="hybridMultilevel"/>
    <w:tmpl w:val="5F804C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30832CF"/>
    <w:multiLevelType w:val="hybridMultilevel"/>
    <w:tmpl w:val="D044556E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ED01E7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6D2161"/>
    <w:multiLevelType w:val="hybridMultilevel"/>
    <w:tmpl w:val="FC10787C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E971A0E"/>
    <w:multiLevelType w:val="hybridMultilevel"/>
    <w:tmpl w:val="66EC06EE"/>
    <w:lvl w:ilvl="0" w:tplc="F640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D4580C"/>
    <w:multiLevelType w:val="hybridMultilevel"/>
    <w:tmpl w:val="0E92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ED2134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7F4"/>
    <w:multiLevelType w:val="multilevel"/>
    <w:tmpl w:val="8B34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B233834"/>
    <w:multiLevelType w:val="multilevel"/>
    <w:tmpl w:val="C520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45"/>
  </w:num>
  <w:num w:numId="5">
    <w:abstractNumId w:val="24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30"/>
  </w:num>
  <w:num w:numId="11">
    <w:abstractNumId w:val="11"/>
  </w:num>
  <w:num w:numId="12">
    <w:abstractNumId w:val="43"/>
  </w:num>
  <w:num w:numId="13">
    <w:abstractNumId w:val="5"/>
  </w:num>
  <w:num w:numId="14">
    <w:abstractNumId w:val="41"/>
  </w:num>
  <w:num w:numId="15">
    <w:abstractNumId w:val="3"/>
  </w:num>
  <w:num w:numId="16">
    <w:abstractNumId w:val="42"/>
  </w:num>
  <w:num w:numId="17">
    <w:abstractNumId w:val="27"/>
  </w:num>
  <w:num w:numId="18">
    <w:abstractNumId w:val="2"/>
  </w:num>
  <w:num w:numId="19">
    <w:abstractNumId w:val="33"/>
  </w:num>
  <w:num w:numId="20">
    <w:abstractNumId w:val="7"/>
  </w:num>
  <w:num w:numId="21">
    <w:abstractNumId w:val="20"/>
  </w:num>
  <w:num w:numId="22">
    <w:abstractNumId w:val="26"/>
  </w:num>
  <w:num w:numId="23">
    <w:abstractNumId w:val="36"/>
  </w:num>
  <w:num w:numId="24">
    <w:abstractNumId w:val="9"/>
  </w:num>
  <w:num w:numId="25">
    <w:abstractNumId w:val="38"/>
  </w:num>
  <w:num w:numId="26">
    <w:abstractNumId w:val="16"/>
  </w:num>
  <w:num w:numId="27">
    <w:abstractNumId w:val="8"/>
  </w:num>
  <w:num w:numId="28">
    <w:abstractNumId w:val="22"/>
  </w:num>
  <w:num w:numId="29">
    <w:abstractNumId w:val="23"/>
  </w:num>
  <w:num w:numId="30">
    <w:abstractNumId w:val="46"/>
  </w:num>
  <w:num w:numId="31">
    <w:abstractNumId w:val="44"/>
  </w:num>
  <w:num w:numId="32">
    <w:abstractNumId w:val="4"/>
  </w:num>
  <w:num w:numId="33">
    <w:abstractNumId w:val="32"/>
  </w:num>
  <w:num w:numId="34">
    <w:abstractNumId w:val="35"/>
  </w:num>
  <w:num w:numId="35">
    <w:abstractNumId w:val="1"/>
  </w:num>
  <w:num w:numId="36">
    <w:abstractNumId w:val="37"/>
  </w:num>
  <w:num w:numId="37">
    <w:abstractNumId w:val="21"/>
  </w:num>
  <w:num w:numId="38">
    <w:abstractNumId w:val="25"/>
  </w:num>
  <w:num w:numId="39">
    <w:abstractNumId w:val="29"/>
  </w:num>
  <w:num w:numId="40">
    <w:abstractNumId w:val="34"/>
  </w:num>
  <w:num w:numId="41">
    <w:abstractNumId w:val="12"/>
  </w:num>
  <w:num w:numId="42">
    <w:abstractNumId w:val="40"/>
  </w:num>
  <w:num w:numId="43">
    <w:abstractNumId w:val="28"/>
  </w:num>
  <w:num w:numId="44">
    <w:abstractNumId w:val="18"/>
  </w:num>
  <w:num w:numId="45">
    <w:abstractNumId w:val="15"/>
  </w:num>
  <w:num w:numId="46">
    <w:abstractNumId w:val="39"/>
  </w:num>
  <w:num w:numId="4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A"/>
    <w:rsid w:val="0000473C"/>
    <w:rsid w:val="00004E44"/>
    <w:rsid w:val="000071B4"/>
    <w:rsid w:val="0000731B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27B16"/>
    <w:rsid w:val="000326F5"/>
    <w:rsid w:val="00033783"/>
    <w:rsid w:val="000341A2"/>
    <w:rsid w:val="00040C52"/>
    <w:rsid w:val="00042959"/>
    <w:rsid w:val="00042C92"/>
    <w:rsid w:val="00045417"/>
    <w:rsid w:val="00047A4B"/>
    <w:rsid w:val="00060974"/>
    <w:rsid w:val="00064D90"/>
    <w:rsid w:val="000651A9"/>
    <w:rsid w:val="00095C7F"/>
    <w:rsid w:val="000971B5"/>
    <w:rsid w:val="00097D88"/>
    <w:rsid w:val="000A0A22"/>
    <w:rsid w:val="000B343E"/>
    <w:rsid w:val="000B3BEF"/>
    <w:rsid w:val="000C0742"/>
    <w:rsid w:val="000C105C"/>
    <w:rsid w:val="000C3B17"/>
    <w:rsid w:val="000C5F6B"/>
    <w:rsid w:val="000D132D"/>
    <w:rsid w:val="000D5880"/>
    <w:rsid w:val="000D656C"/>
    <w:rsid w:val="000E5C75"/>
    <w:rsid w:val="000F023E"/>
    <w:rsid w:val="000F468E"/>
    <w:rsid w:val="000F65FD"/>
    <w:rsid w:val="000F7591"/>
    <w:rsid w:val="00101D96"/>
    <w:rsid w:val="001102AE"/>
    <w:rsid w:val="0011055B"/>
    <w:rsid w:val="001113E1"/>
    <w:rsid w:val="001114EA"/>
    <w:rsid w:val="00111589"/>
    <w:rsid w:val="00111B5B"/>
    <w:rsid w:val="00112DA0"/>
    <w:rsid w:val="00112F54"/>
    <w:rsid w:val="001227BB"/>
    <w:rsid w:val="00126862"/>
    <w:rsid w:val="001269CD"/>
    <w:rsid w:val="00126DE5"/>
    <w:rsid w:val="001277DB"/>
    <w:rsid w:val="00127E82"/>
    <w:rsid w:val="0013642F"/>
    <w:rsid w:val="00146427"/>
    <w:rsid w:val="00155A6A"/>
    <w:rsid w:val="001562C5"/>
    <w:rsid w:val="00156BC8"/>
    <w:rsid w:val="00157A3D"/>
    <w:rsid w:val="00161CDB"/>
    <w:rsid w:val="00162791"/>
    <w:rsid w:val="0016303C"/>
    <w:rsid w:val="0016721B"/>
    <w:rsid w:val="00167A5D"/>
    <w:rsid w:val="00172D10"/>
    <w:rsid w:val="00173429"/>
    <w:rsid w:val="00173B65"/>
    <w:rsid w:val="0018153E"/>
    <w:rsid w:val="001909A6"/>
    <w:rsid w:val="001919D6"/>
    <w:rsid w:val="001928A1"/>
    <w:rsid w:val="00192A9A"/>
    <w:rsid w:val="00196773"/>
    <w:rsid w:val="001B0898"/>
    <w:rsid w:val="001B1A5B"/>
    <w:rsid w:val="001B560D"/>
    <w:rsid w:val="001B636C"/>
    <w:rsid w:val="001C3D50"/>
    <w:rsid w:val="001C4718"/>
    <w:rsid w:val="001D4D9C"/>
    <w:rsid w:val="001E19B3"/>
    <w:rsid w:val="001E19C7"/>
    <w:rsid w:val="001E1B14"/>
    <w:rsid w:val="001E2EA9"/>
    <w:rsid w:val="001E71F5"/>
    <w:rsid w:val="001F17BB"/>
    <w:rsid w:val="001F1CE5"/>
    <w:rsid w:val="001F2D1D"/>
    <w:rsid w:val="00200BD8"/>
    <w:rsid w:val="0020396E"/>
    <w:rsid w:val="0020793C"/>
    <w:rsid w:val="00220AEE"/>
    <w:rsid w:val="00223391"/>
    <w:rsid w:val="0022434F"/>
    <w:rsid w:val="00224AC1"/>
    <w:rsid w:val="00226E5A"/>
    <w:rsid w:val="00231156"/>
    <w:rsid w:val="00235568"/>
    <w:rsid w:val="002367F8"/>
    <w:rsid w:val="00237E2E"/>
    <w:rsid w:val="00247F69"/>
    <w:rsid w:val="00251B85"/>
    <w:rsid w:val="002536AA"/>
    <w:rsid w:val="00254705"/>
    <w:rsid w:val="0025561C"/>
    <w:rsid w:val="00257768"/>
    <w:rsid w:val="00264322"/>
    <w:rsid w:val="00264CFC"/>
    <w:rsid w:val="00265955"/>
    <w:rsid w:val="00266042"/>
    <w:rsid w:val="00266326"/>
    <w:rsid w:val="002664EA"/>
    <w:rsid w:val="0027421E"/>
    <w:rsid w:val="0027665F"/>
    <w:rsid w:val="00277EF2"/>
    <w:rsid w:val="00283B47"/>
    <w:rsid w:val="002A3E84"/>
    <w:rsid w:val="002A6328"/>
    <w:rsid w:val="002B0968"/>
    <w:rsid w:val="002C0FD4"/>
    <w:rsid w:val="002C27CE"/>
    <w:rsid w:val="002C27F8"/>
    <w:rsid w:val="002C705A"/>
    <w:rsid w:val="002D0D9C"/>
    <w:rsid w:val="002D30CC"/>
    <w:rsid w:val="002E5BB3"/>
    <w:rsid w:val="002E5E9F"/>
    <w:rsid w:val="002E6165"/>
    <w:rsid w:val="002E7BEB"/>
    <w:rsid w:val="002F12EE"/>
    <w:rsid w:val="002F4314"/>
    <w:rsid w:val="002F58FB"/>
    <w:rsid w:val="002F70E0"/>
    <w:rsid w:val="00305885"/>
    <w:rsid w:val="00307496"/>
    <w:rsid w:val="00311D75"/>
    <w:rsid w:val="003139DF"/>
    <w:rsid w:val="003148CE"/>
    <w:rsid w:val="00320C09"/>
    <w:rsid w:val="00326555"/>
    <w:rsid w:val="003269BB"/>
    <w:rsid w:val="0033258E"/>
    <w:rsid w:val="00332EF0"/>
    <w:rsid w:val="00334FFB"/>
    <w:rsid w:val="0033558D"/>
    <w:rsid w:val="00340577"/>
    <w:rsid w:val="003410F5"/>
    <w:rsid w:val="003420CD"/>
    <w:rsid w:val="00346601"/>
    <w:rsid w:val="003512B4"/>
    <w:rsid w:val="00352E9A"/>
    <w:rsid w:val="00353483"/>
    <w:rsid w:val="00355AFA"/>
    <w:rsid w:val="003570CA"/>
    <w:rsid w:val="00357B8D"/>
    <w:rsid w:val="00360AD7"/>
    <w:rsid w:val="003627CA"/>
    <w:rsid w:val="00366C04"/>
    <w:rsid w:val="003707B1"/>
    <w:rsid w:val="00370F70"/>
    <w:rsid w:val="00371E7C"/>
    <w:rsid w:val="003751F3"/>
    <w:rsid w:val="00382E22"/>
    <w:rsid w:val="003863B0"/>
    <w:rsid w:val="00391BED"/>
    <w:rsid w:val="00393F37"/>
    <w:rsid w:val="00395571"/>
    <w:rsid w:val="003A44DD"/>
    <w:rsid w:val="003A457E"/>
    <w:rsid w:val="003A63C2"/>
    <w:rsid w:val="003B2330"/>
    <w:rsid w:val="003B3E91"/>
    <w:rsid w:val="003B6462"/>
    <w:rsid w:val="003C4011"/>
    <w:rsid w:val="003C41A0"/>
    <w:rsid w:val="003C4B79"/>
    <w:rsid w:val="003C6BF0"/>
    <w:rsid w:val="003D055A"/>
    <w:rsid w:val="003D539D"/>
    <w:rsid w:val="003D59ED"/>
    <w:rsid w:val="003E0002"/>
    <w:rsid w:val="003E5435"/>
    <w:rsid w:val="003E547D"/>
    <w:rsid w:val="003F10A7"/>
    <w:rsid w:val="003F2B82"/>
    <w:rsid w:val="003F6FB0"/>
    <w:rsid w:val="0041580E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1E8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96AD3"/>
    <w:rsid w:val="004A28A5"/>
    <w:rsid w:val="004B1FDA"/>
    <w:rsid w:val="004B3339"/>
    <w:rsid w:val="004B5F72"/>
    <w:rsid w:val="004B6935"/>
    <w:rsid w:val="004C3CA9"/>
    <w:rsid w:val="004D1263"/>
    <w:rsid w:val="004D31F6"/>
    <w:rsid w:val="004D5746"/>
    <w:rsid w:val="004E2417"/>
    <w:rsid w:val="004E3F4C"/>
    <w:rsid w:val="004F05BB"/>
    <w:rsid w:val="004F19D3"/>
    <w:rsid w:val="004F3DFC"/>
    <w:rsid w:val="004F669B"/>
    <w:rsid w:val="004F7DB4"/>
    <w:rsid w:val="005001C7"/>
    <w:rsid w:val="00500932"/>
    <w:rsid w:val="005015B5"/>
    <w:rsid w:val="00502EAE"/>
    <w:rsid w:val="0050364F"/>
    <w:rsid w:val="00510C00"/>
    <w:rsid w:val="00514B82"/>
    <w:rsid w:val="00517B88"/>
    <w:rsid w:val="00522180"/>
    <w:rsid w:val="00524063"/>
    <w:rsid w:val="00526369"/>
    <w:rsid w:val="00533FA3"/>
    <w:rsid w:val="005403D4"/>
    <w:rsid w:val="005450FA"/>
    <w:rsid w:val="00550521"/>
    <w:rsid w:val="00553100"/>
    <w:rsid w:val="005638D9"/>
    <w:rsid w:val="00564B61"/>
    <w:rsid w:val="0056719F"/>
    <w:rsid w:val="005671C9"/>
    <w:rsid w:val="00567CB0"/>
    <w:rsid w:val="00570E27"/>
    <w:rsid w:val="00571D5A"/>
    <w:rsid w:val="00573F06"/>
    <w:rsid w:val="005744B1"/>
    <w:rsid w:val="00576295"/>
    <w:rsid w:val="005778EB"/>
    <w:rsid w:val="00581802"/>
    <w:rsid w:val="00584E81"/>
    <w:rsid w:val="005B02A5"/>
    <w:rsid w:val="005B0F8C"/>
    <w:rsid w:val="005B3C01"/>
    <w:rsid w:val="005B7B77"/>
    <w:rsid w:val="005C28CF"/>
    <w:rsid w:val="005C4072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E673E"/>
    <w:rsid w:val="005F15AF"/>
    <w:rsid w:val="005F5916"/>
    <w:rsid w:val="00600023"/>
    <w:rsid w:val="006024C7"/>
    <w:rsid w:val="00604065"/>
    <w:rsid w:val="006065A5"/>
    <w:rsid w:val="00606895"/>
    <w:rsid w:val="00606FB2"/>
    <w:rsid w:val="00610A2D"/>
    <w:rsid w:val="00611238"/>
    <w:rsid w:val="00620858"/>
    <w:rsid w:val="00621AAB"/>
    <w:rsid w:val="00626806"/>
    <w:rsid w:val="0063150D"/>
    <w:rsid w:val="00633742"/>
    <w:rsid w:val="006356F9"/>
    <w:rsid w:val="00635CD2"/>
    <w:rsid w:val="0064662E"/>
    <w:rsid w:val="00652495"/>
    <w:rsid w:val="00656DCD"/>
    <w:rsid w:val="00657291"/>
    <w:rsid w:val="00663179"/>
    <w:rsid w:val="00666521"/>
    <w:rsid w:val="0067013D"/>
    <w:rsid w:val="00671699"/>
    <w:rsid w:val="0067236E"/>
    <w:rsid w:val="00673822"/>
    <w:rsid w:val="006873B0"/>
    <w:rsid w:val="0069548E"/>
    <w:rsid w:val="00696634"/>
    <w:rsid w:val="00696FF8"/>
    <w:rsid w:val="006A5116"/>
    <w:rsid w:val="006A5F0D"/>
    <w:rsid w:val="006A69BD"/>
    <w:rsid w:val="006B1015"/>
    <w:rsid w:val="006B2062"/>
    <w:rsid w:val="006B3A7F"/>
    <w:rsid w:val="006B3DFA"/>
    <w:rsid w:val="006B5EE0"/>
    <w:rsid w:val="006B5FA7"/>
    <w:rsid w:val="006B630F"/>
    <w:rsid w:val="006B6FB5"/>
    <w:rsid w:val="006C0764"/>
    <w:rsid w:val="006C1EF0"/>
    <w:rsid w:val="006F2C5C"/>
    <w:rsid w:val="007071B1"/>
    <w:rsid w:val="00711577"/>
    <w:rsid w:val="00712AFE"/>
    <w:rsid w:val="00716CE3"/>
    <w:rsid w:val="00720949"/>
    <w:rsid w:val="00724710"/>
    <w:rsid w:val="0072501C"/>
    <w:rsid w:val="007252C5"/>
    <w:rsid w:val="00733458"/>
    <w:rsid w:val="007360B0"/>
    <w:rsid w:val="00746451"/>
    <w:rsid w:val="00747A42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740E4"/>
    <w:rsid w:val="0078172A"/>
    <w:rsid w:val="00784E69"/>
    <w:rsid w:val="00791BD4"/>
    <w:rsid w:val="007921E3"/>
    <w:rsid w:val="007A3F20"/>
    <w:rsid w:val="007A413E"/>
    <w:rsid w:val="007A4D4F"/>
    <w:rsid w:val="007A77D7"/>
    <w:rsid w:val="007B0231"/>
    <w:rsid w:val="007B0BBF"/>
    <w:rsid w:val="007B7B02"/>
    <w:rsid w:val="007C0B67"/>
    <w:rsid w:val="007D22E0"/>
    <w:rsid w:val="007D6294"/>
    <w:rsid w:val="007D6E46"/>
    <w:rsid w:val="007E1D2D"/>
    <w:rsid w:val="007E5F0B"/>
    <w:rsid w:val="007E7057"/>
    <w:rsid w:val="007E727A"/>
    <w:rsid w:val="007F490E"/>
    <w:rsid w:val="007F623C"/>
    <w:rsid w:val="007F6A8A"/>
    <w:rsid w:val="007F744B"/>
    <w:rsid w:val="007F7916"/>
    <w:rsid w:val="00800D99"/>
    <w:rsid w:val="00801BE2"/>
    <w:rsid w:val="00802BB8"/>
    <w:rsid w:val="00803425"/>
    <w:rsid w:val="008069D2"/>
    <w:rsid w:val="0081626F"/>
    <w:rsid w:val="0082290F"/>
    <w:rsid w:val="00823B98"/>
    <w:rsid w:val="00826531"/>
    <w:rsid w:val="00832274"/>
    <w:rsid w:val="008329A2"/>
    <w:rsid w:val="00837339"/>
    <w:rsid w:val="008408BD"/>
    <w:rsid w:val="00842824"/>
    <w:rsid w:val="00850237"/>
    <w:rsid w:val="00851391"/>
    <w:rsid w:val="00854C19"/>
    <w:rsid w:val="008609D6"/>
    <w:rsid w:val="00863DEF"/>
    <w:rsid w:val="00881A09"/>
    <w:rsid w:val="00882C75"/>
    <w:rsid w:val="008835F9"/>
    <w:rsid w:val="00884DD0"/>
    <w:rsid w:val="00886B31"/>
    <w:rsid w:val="00886D10"/>
    <w:rsid w:val="008915FC"/>
    <w:rsid w:val="00894AEC"/>
    <w:rsid w:val="00895D7B"/>
    <w:rsid w:val="00896FC6"/>
    <w:rsid w:val="008A22AC"/>
    <w:rsid w:val="008A32D6"/>
    <w:rsid w:val="008A4087"/>
    <w:rsid w:val="008A534D"/>
    <w:rsid w:val="008B763D"/>
    <w:rsid w:val="008C13D9"/>
    <w:rsid w:val="008C1A45"/>
    <w:rsid w:val="008C2EDB"/>
    <w:rsid w:val="008C458C"/>
    <w:rsid w:val="008D17C1"/>
    <w:rsid w:val="008D23DD"/>
    <w:rsid w:val="008D279E"/>
    <w:rsid w:val="008E048C"/>
    <w:rsid w:val="008E0C5D"/>
    <w:rsid w:val="008E36FC"/>
    <w:rsid w:val="008E5917"/>
    <w:rsid w:val="008E6A4E"/>
    <w:rsid w:val="008F2251"/>
    <w:rsid w:val="008F291E"/>
    <w:rsid w:val="008F4CB0"/>
    <w:rsid w:val="008F79D6"/>
    <w:rsid w:val="0090183C"/>
    <w:rsid w:val="00902CD8"/>
    <w:rsid w:val="009035E1"/>
    <w:rsid w:val="009079A2"/>
    <w:rsid w:val="009105DB"/>
    <w:rsid w:val="00923284"/>
    <w:rsid w:val="009234F1"/>
    <w:rsid w:val="0092402C"/>
    <w:rsid w:val="00934700"/>
    <w:rsid w:val="0093553F"/>
    <w:rsid w:val="009372B7"/>
    <w:rsid w:val="00941C4A"/>
    <w:rsid w:val="00944B7B"/>
    <w:rsid w:val="00951AD0"/>
    <w:rsid w:val="00951B03"/>
    <w:rsid w:val="00951B1B"/>
    <w:rsid w:val="00957069"/>
    <w:rsid w:val="00963F3E"/>
    <w:rsid w:val="00971D5B"/>
    <w:rsid w:val="009752D1"/>
    <w:rsid w:val="00981C94"/>
    <w:rsid w:val="00982EB6"/>
    <w:rsid w:val="00983D81"/>
    <w:rsid w:val="00984979"/>
    <w:rsid w:val="00985B97"/>
    <w:rsid w:val="009919CA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063D"/>
    <w:rsid w:val="009C1400"/>
    <w:rsid w:val="009C39CC"/>
    <w:rsid w:val="009C6E81"/>
    <w:rsid w:val="009D1749"/>
    <w:rsid w:val="009D2B7E"/>
    <w:rsid w:val="009D48C6"/>
    <w:rsid w:val="009D512A"/>
    <w:rsid w:val="009D580A"/>
    <w:rsid w:val="009D5F6F"/>
    <w:rsid w:val="009E18FB"/>
    <w:rsid w:val="009E54F4"/>
    <w:rsid w:val="009E63BB"/>
    <w:rsid w:val="009F0D97"/>
    <w:rsid w:val="009F65C0"/>
    <w:rsid w:val="009F690F"/>
    <w:rsid w:val="00A0394C"/>
    <w:rsid w:val="00A0502F"/>
    <w:rsid w:val="00A07802"/>
    <w:rsid w:val="00A10834"/>
    <w:rsid w:val="00A130A2"/>
    <w:rsid w:val="00A15E00"/>
    <w:rsid w:val="00A25592"/>
    <w:rsid w:val="00A31CC9"/>
    <w:rsid w:val="00A47BA1"/>
    <w:rsid w:val="00A50EE3"/>
    <w:rsid w:val="00A54D8E"/>
    <w:rsid w:val="00A56C4A"/>
    <w:rsid w:val="00A56FBB"/>
    <w:rsid w:val="00A6204F"/>
    <w:rsid w:val="00A62064"/>
    <w:rsid w:val="00A62DB1"/>
    <w:rsid w:val="00A62ED3"/>
    <w:rsid w:val="00A64409"/>
    <w:rsid w:val="00A702F5"/>
    <w:rsid w:val="00A70B86"/>
    <w:rsid w:val="00A72A47"/>
    <w:rsid w:val="00A73891"/>
    <w:rsid w:val="00A81370"/>
    <w:rsid w:val="00A82579"/>
    <w:rsid w:val="00A8552F"/>
    <w:rsid w:val="00A868CA"/>
    <w:rsid w:val="00A92BBB"/>
    <w:rsid w:val="00A9667F"/>
    <w:rsid w:val="00AA75E4"/>
    <w:rsid w:val="00AB3590"/>
    <w:rsid w:val="00AB3F42"/>
    <w:rsid w:val="00AC2240"/>
    <w:rsid w:val="00AC23B9"/>
    <w:rsid w:val="00AC493B"/>
    <w:rsid w:val="00AC7DCF"/>
    <w:rsid w:val="00AD1FAC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1D8A"/>
    <w:rsid w:val="00B227D1"/>
    <w:rsid w:val="00B23703"/>
    <w:rsid w:val="00B32864"/>
    <w:rsid w:val="00B32AC7"/>
    <w:rsid w:val="00B36D69"/>
    <w:rsid w:val="00B3776D"/>
    <w:rsid w:val="00B43A4F"/>
    <w:rsid w:val="00B549C9"/>
    <w:rsid w:val="00B55A73"/>
    <w:rsid w:val="00B5611E"/>
    <w:rsid w:val="00B57D0E"/>
    <w:rsid w:val="00B61E39"/>
    <w:rsid w:val="00B62E75"/>
    <w:rsid w:val="00B63BE9"/>
    <w:rsid w:val="00B64354"/>
    <w:rsid w:val="00B67F3A"/>
    <w:rsid w:val="00B67FB3"/>
    <w:rsid w:val="00B845F9"/>
    <w:rsid w:val="00B850E8"/>
    <w:rsid w:val="00B8577C"/>
    <w:rsid w:val="00B858CA"/>
    <w:rsid w:val="00B86F5D"/>
    <w:rsid w:val="00B8737E"/>
    <w:rsid w:val="00B927B3"/>
    <w:rsid w:val="00B9347D"/>
    <w:rsid w:val="00B93F85"/>
    <w:rsid w:val="00BA0196"/>
    <w:rsid w:val="00BA36EA"/>
    <w:rsid w:val="00BA3D3F"/>
    <w:rsid w:val="00BA6D84"/>
    <w:rsid w:val="00BB2003"/>
    <w:rsid w:val="00BB2C62"/>
    <w:rsid w:val="00BB4403"/>
    <w:rsid w:val="00BB6C67"/>
    <w:rsid w:val="00BC169B"/>
    <w:rsid w:val="00BC3471"/>
    <w:rsid w:val="00BC579F"/>
    <w:rsid w:val="00BC6F3F"/>
    <w:rsid w:val="00BC7864"/>
    <w:rsid w:val="00BD3193"/>
    <w:rsid w:val="00BD3DEF"/>
    <w:rsid w:val="00BD50C9"/>
    <w:rsid w:val="00BD517B"/>
    <w:rsid w:val="00BE1A44"/>
    <w:rsid w:val="00BE29E2"/>
    <w:rsid w:val="00BE7ED4"/>
    <w:rsid w:val="00BF2B0E"/>
    <w:rsid w:val="00BF4186"/>
    <w:rsid w:val="00BF6C29"/>
    <w:rsid w:val="00C007D3"/>
    <w:rsid w:val="00C03AF8"/>
    <w:rsid w:val="00C11D48"/>
    <w:rsid w:val="00C12EF6"/>
    <w:rsid w:val="00C208BF"/>
    <w:rsid w:val="00C21593"/>
    <w:rsid w:val="00C2162D"/>
    <w:rsid w:val="00C259E0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4C4B"/>
    <w:rsid w:val="00C768B1"/>
    <w:rsid w:val="00C77652"/>
    <w:rsid w:val="00C80BD3"/>
    <w:rsid w:val="00C8189F"/>
    <w:rsid w:val="00C8234C"/>
    <w:rsid w:val="00C843E0"/>
    <w:rsid w:val="00C8474A"/>
    <w:rsid w:val="00C871FA"/>
    <w:rsid w:val="00C923B5"/>
    <w:rsid w:val="00C94353"/>
    <w:rsid w:val="00CA16AC"/>
    <w:rsid w:val="00CA3B66"/>
    <w:rsid w:val="00CB2D69"/>
    <w:rsid w:val="00CC522A"/>
    <w:rsid w:val="00CC6134"/>
    <w:rsid w:val="00CC7CD7"/>
    <w:rsid w:val="00CD28B0"/>
    <w:rsid w:val="00CD30B4"/>
    <w:rsid w:val="00CD653D"/>
    <w:rsid w:val="00CE2C9D"/>
    <w:rsid w:val="00CE3139"/>
    <w:rsid w:val="00CE34F1"/>
    <w:rsid w:val="00CF65DF"/>
    <w:rsid w:val="00CF66CE"/>
    <w:rsid w:val="00D01125"/>
    <w:rsid w:val="00D01D75"/>
    <w:rsid w:val="00D037F1"/>
    <w:rsid w:val="00D0385F"/>
    <w:rsid w:val="00D03C46"/>
    <w:rsid w:val="00D06934"/>
    <w:rsid w:val="00D11E88"/>
    <w:rsid w:val="00D12174"/>
    <w:rsid w:val="00D14B04"/>
    <w:rsid w:val="00D17604"/>
    <w:rsid w:val="00D22316"/>
    <w:rsid w:val="00D24009"/>
    <w:rsid w:val="00D27EBD"/>
    <w:rsid w:val="00D3124F"/>
    <w:rsid w:val="00D32000"/>
    <w:rsid w:val="00D3708B"/>
    <w:rsid w:val="00D452BB"/>
    <w:rsid w:val="00D56B7A"/>
    <w:rsid w:val="00D609A4"/>
    <w:rsid w:val="00D66316"/>
    <w:rsid w:val="00D71066"/>
    <w:rsid w:val="00D73902"/>
    <w:rsid w:val="00D86A2F"/>
    <w:rsid w:val="00D87AE7"/>
    <w:rsid w:val="00D9113D"/>
    <w:rsid w:val="00D92AA3"/>
    <w:rsid w:val="00D93585"/>
    <w:rsid w:val="00D93AA9"/>
    <w:rsid w:val="00D93E3D"/>
    <w:rsid w:val="00D9625F"/>
    <w:rsid w:val="00DA271B"/>
    <w:rsid w:val="00DB10FA"/>
    <w:rsid w:val="00DC1089"/>
    <w:rsid w:val="00DC40D2"/>
    <w:rsid w:val="00DC758D"/>
    <w:rsid w:val="00DD3593"/>
    <w:rsid w:val="00DD7F9A"/>
    <w:rsid w:val="00DE1766"/>
    <w:rsid w:val="00DE42B0"/>
    <w:rsid w:val="00DE4AF7"/>
    <w:rsid w:val="00DE57F9"/>
    <w:rsid w:val="00DE5D0C"/>
    <w:rsid w:val="00DF1242"/>
    <w:rsid w:val="00DF168E"/>
    <w:rsid w:val="00DF5499"/>
    <w:rsid w:val="00E00A2B"/>
    <w:rsid w:val="00E0247E"/>
    <w:rsid w:val="00E105EB"/>
    <w:rsid w:val="00E121F9"/>
    <w:rsid w:val="00E14421"/>
    <w:rsid w:val="00E21391"/>
    <w:rsid w:val="00E307D9"/>
    <w:rsid w:val="00E3338F"/>
    <w:rsid w:val="00E35931"/>
    <w:rsid w:val="00E36261"/>
    <w:rsid w:val="00E37BBE"/>
    <w:rsid w:val="00E37C24"/>
    <w:rsid w:val="00E41E0F"/>
    <w:rsid w:val="00E440D2"/>
    <w:rsid w:val="00E4589A"/>
    <w:rsid w:val="00E45DAD"/>
    <w:rsid w:val="00E47EDF"/>
    <w:rsid w:val="00E5003C"/>
    <w:rsid w:val="00E53E12"/>
    <w:rsid w:val="00E54B5A"/>
    <w:rsid w:val="00E54B61"/>
    <w:rsid w:val="00E613AE"/>
    <w:rsid w:val="00E65086"/>
    <w:rsid w:val="00E67254"/>
    <w:rsid w:val="00E73B5A"/>
    <w:rsid w:val="00E773AD"/>
    <w:rsid w:val="00E85C81"/>
    <w:rsid w:val="00E93B78"/>
    <w:rsid w:val="00E976C3"/>
    <w:rsid w:val="00EA0254"/>
    <w:rsid w:val="00EA6442"/>
    <w:rsid w:val="00EB1CA3"/>
    <w:rsid w:val="00EB4AA3"/>
    <w:rsid w:val="00EC6CA0"/>
    <w:rsid w:val="00ED3FCA"/>
    <w:rsid w:val="00EE2026"/>
    <w:rsid w:val="00EE34BC"/>
    <w:rsid w:val="00EE374E"/>
    <w:rsid w:val="00F0237B"/>
    <w:rsid w:val="00F04A3D"/>
    <w:rsid w:val="00F1168A"/>
    <w:rsid w:val="00F123D5"/>
    <w:rsid w:val="00F1358B"/>
    <w:rsid w:val="00F14FBA"/>
    <w:rsid w:val="00F2307C"/>
    <w:rsid w:val="00F27149"/>
    <w:rsid w:val="00F2744F"/>
    <w:rsid w:val="00F30796"/>
    <w:rsid w:val="00F31BA7"/>
    <w:rsid w:val="00F37BC0"/>
    <w:rsid w:val="00F404EA"/>
    <w:rsid w:val="00F420E5"/>
    <w:rsid w:val="00F46ABF"/>
    <w:rsid w:val="00F47B84"/>
    <w:rsid w:val="00F56247"/>
    <w:rsid w:val="00F60354"/>
    <w:rsid w:val="00F65602"/>
    <w:rsid w:val="00F70CFC"/>
    <w:rsid w:val="00F745EE"/>
    <w:rsid w:val="00F74608"/>
    <w:rsid w:val="00F7750C"/>
    <w:rsid w:val="00F8167D"/>
    <w:rsid w:val="00F8306B"/>
    <w:rsid w:val="00F85822"/>
    <w:rsid w:val="00F86BC8"/>
    <w:rsid w:val="00F97A81"/>
    <w:rsid w:val="00F97E68"/>
    <w:rsid w:val="00FC18C5"/>
    <w:rsid w:val="00FC6855"/>
    <w:rsid w:val="00FE1D5B"/>
    <w:rsid w:val="00FE2F14"/>
    <w:rsid w:val="00FF11C5"/>
    <w:rsid w:val="00FF5184"/>
    <w:rsid w:val="00FF5602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A4A24"/>
  <w15:docId w15:val="{8FD0651E-3EF2-4CB7-A93B-DB98740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uiPriority w:val="99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21391"/>
    <w:rPr>
      <w:lang w:val="ru-RU" w:eastAsia="ru-RU"/>
    </w:rPr>
  </w:style>
  <w:style w:type="character" w:styleId="afc">
    <w:name w:val="footnote reference"/>
    <w:basedOn w:val="a0"/>
    <w:uiPriority w:val="99"/>
    <w:semiHidden/>
    <w:unhideWhenUsed/>
    <w:rsid w:val="00E21391"/>
    <w:rPr>
      <w:vertAlign w:val="superscript"/>
    </w:rPr>
  </w:style>
  <w:style w:type="character" w:customStyle="1" w:styleId="Bodytext20">
    <w:name w:val="Body text (2)_"/>
    <w:basedOn w:val="a0"/>
    <w:link w:val="Bodytext21"/>
    <w:rsid w:val="009F690F"/>
    <w:rPr>
      <w:b/>
      <w:bCs/>
      <w:spacing w:val="10"/>
      <w:shd w:val="clear" w:color="auto" w:fill="FFFFFF"/>
    </w:rPr>
  </w:style>
  <w:style w:type="character" w:customStyle="1" w:styleId="Bodytext10pt">
    <w:name w:val="Body text + 10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105ptItalic">
    <w:name w:val="Body text (3) + 10;5 pt;Italic"/>
    <w:basedOn w:val="Bodytext3"/>
    <w:rsid w:val="009F6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LucidaSansUnicode12ptBold">
    <w:name w:val="Body text + Lucida Sans Unicode;12 pt;Bold"/>
    <w:basedOn w:val="Bodytext"/>
    <w:rsid w:val="009F69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LucidaSansUnicode12pt">
    <w:name w:val="Body text + Lucida Sans Unicode;12 pt"/>
    <w:basedOn w:val="Bodytext"/>
    <w:rsid w:val="009F69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pt">
    <w:name w:val="Body text + 8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ConstantiaSpacing0pt">
    <w:name w:val="Body text + Constantia;Spacing 0 pt"/>
    <w:basedOn w:val="Bodytext"/>
    <w:rsid w:val="009F690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9F690F"/>
    <w:pPr>
      <w:widowControl w:val="0"/>
      <w:shd w:val="clear" w:color="auto" w:fill="FFFFFF"/>
      <w:spacing w:line="370" w:lineRule="exact"/>
      <w:ind w:firstLine="0"/>
      <w:jc w:val="center"/>
    </w:pPr>
    <w:rPr>
      <w:b/>
      <w:bCs/>
      <w:spacing w:val="10"/>
      <w:sz w:val="20"/>
      <w:szCs w:val="20"/>
      <w:lang w:val="en-US" w:eastAsia="en-US"/>
    </w:rPr>
  </w:style>
  <w:style w:type="paragraph" w:customStyle="1" w:styleId="21">
    <w:name w:val="Основной текст2"/>
    <w:basedOn w:val="a"/>
    <w:rsid w:val="0022434F"/>
    <w:pPr>
      <w:widowControl w:val="0"/>
      <w:shd w:val="clear" w:color="auto" w:fill="FFFFFF"/>
      <w:spacing w:before="600" w:line="480" w:lineRule="exact"/>
      <w:ind w:hanging="560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Bodytext"/>
    <w:rsid w:val="0022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d">
    <w:name w:val="Body Text"/>
    <w:basedOn w:val="a"/>
    <w:link w:val="afe"/>
    <w:semiHidden/>
    <w:unhideWhenUsed/>
    <w:rsid w:val="00720949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720949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6A2E-731C-4D79-8DEA-3E0107C7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5071</Words>
  <Characters>28910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2021-10-05T13:31:00Z</cp:lastPrinted>
  <dcterms:created xsi:type="dcterms:W3CDTF">2021-11-10T12:28:00Z</dcterms:created>
  <dcterms:modified xsi:type="dcterms:W3CDTF">2021-11-10T12:28:00Z</dcterms:modified>
</cp:coreProperties>
</file>