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C" w:rsidRDefault="00383DEC">
      <w:pPr>
        <w:pStyle w:val="ConsPlusTitlePage"/>
      </w:pPr>
      <w:bookmarkStart w:id="0" w:name="_GoBack"/>
      <w:bookmarkEnd w:id="0"/>
      <w:r>
        <w:br/>
      </w:r>
    </w:p>
    <w:p w:rsidR="00383DEC" w:rsidRDefault="00383DEC">
      <w:pPr>
        <w:pStyle w:val="ConsPlusNormal"/>
        <w:jc w:val="both"/>
        <w:outlineLvl w:val="0"/>
      </w:pPr>
    </w:p>
    <w:p w:rsidR="00383DEC" w:rsidRDefault="00383DEC">
      <w:pPr>
        <w:pStyle w:val="ConsPlusNormal"/>
        <w:outlineLvl w:val="0"/>
      </w:pPr>
      <w:r>
        <w:t>Зарегистрировано в Минюсте России 14 октября 2014 г. N 34299</w:t>
      </w:r>
    </w:p>
    <w:p w:rsidR="00383DEC" w:rsidRDefault="00383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DEC" w:rsidRDefault="00383DEC">
      <w:pPr>
        <w:pStyle w:val="ConsPlusNormal"/>
      </w:pPr>
    </w:p>
    <w:p w:rsidR="00383DEC" w:rsidRDefault="00383DEC">
      <w:pPr>
        <w:pStyle w:val="ConsPlusTitle"/>
        <w:jc w:val="center"/>
      </w:pPr>
      <w:r>
        <w:t>МИНИСТЕРСТВО ФИНАНСОВ РОССИЙСКОЙ ФЕДЕРАЦИИ</w:t>
      </w:r>
    </w:p>
    <w:p w:rsidR="00383DEC" w:rsidRDefault="00383DEC">
      <w:pPr>
        <w:pStyle w:val="ConsPlusTitle"/>
        <w:jc w:val="center"/>
      </w:pPr>
    </w:p>
    <w:p w:rsidR="00383DEC" w:rsidRDefault="00383DEC">
      <w:pPr>
        <w:pStyle w:val="ConsPlusTitle"/>
        <w:jc w:val="center"/>
      </w:pPr>
      <w:r>
        <w:t>ПРИКАЗ</w:t>
      </w:r>
    </w:p>
    <w:p w:rsidR="00383DEC" w:rsidRDefault="00383DEC">
      <w:pPr>
        <w:pStyle w:val="ConsPlusTitle"/>
        <w:jc w:val="center"/>
      </w:pPr>
      <w:r>
        <w:t>от 28 августа 2014 г. N 84н</w:t>
      </w:r>
    </w:p>
    <w:p w:rsidR="00383DEC" w:rsidRDefault="00383DEC">
      <w:pPr>
        <w:pStyle w:val="ConsPlusTitle"/>
        <w:jc w:val="center"/>
      </w:pPr>
    </w:p>
    <w:p w:rsidR="00383DEC" w:rsidRDefault="00383DEC">
      <w:pPr>
        <w:pStyle w:val="ConsPlusTitle"/>
        <w:jc w:val="center"/>
      </w:pPr>
      <w:r>
        <w:t>ОБ УТВЕРЖДЕНИИ ПОРЯДКА ОПРЕДЕЛЕНИЯ СТОИМОСТИ ЧИСТЫХ АКТИВОВ</w:t>
      </w:r>
    </w:p>
    <w:p w:rsidR="00383DEC" w:rsidRDefault="00383D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3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DEC" w:rsidRDefault="00383D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DEC" w:rsidRDefault="00383D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DEC" w:rsidRDefault="00383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DEC" w:rsidRDefault="00383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21.02.2018 </w:t>
            </w:r>
            <w:hyperlink r:id="rId5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3DEC" w:rsidRDefault="00383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6" w:history="1">
              <w:r>
                <w:rPr>
                  <w:color w:val="0000FF"/>
                </w:rPr>
                <w:t>N 179н</w:t>
              </w:r>
            </w:hyperlink>
            <w:r>
              <w:rPr>
                <w:color w:val="392C69"/>
              </w:rPr>
              <w:t xml:space="preserve">, от 27.11.2020 </w:t>
            </w:r>
            <w:hyperlink r:id="rId7" w:history="1">
              <w:r>
                <w:rPr>
                  <w:color w:val="0000FF"/>
                </w:rPr>
                <w:t>N 286н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DEC" w:rsidRDefault="00383DEC"/>
        </w:tc>
      </w:tr>
    </w:tbl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первым пункта 3 статьи 35</w:t>
        </w:r>
      </w:hyperlink>
      <w:r>
        <w:t xml:space="preserve"> Федерального закона от 26 декабря 1995 г. N 208-ФЗ "Об акционерных обществах" (Собрание законодательства Российской Федерации, 1996, N 1, ст. 1; 2001, N 33, ст. 3423; 2006, N 31, ст. 3445; 2009, N 52, ст. 6428; 2011, N 30, ст. 4576), </w:t>
      </w:r>
      <w:hyperlink r:id="rId9" w:history="1">
        <w:r>
          <w:rPr>
            <w:color w:val="0000FF"/>
          </w:rPr>
          <w:t>пунктом 5 статьи 10</w:t>
        </w:r>
      </w:hyperlink>
      <w:r>
        <w:t xml:space="preserve"> Федерального закона от 8 мая 1996 г. N 41-ФЗ "О производственных кооперативах" (Собрание законодательства Российской Федерации, 1996, N 20, ст. 2321; 2001, N 21, ст. 2062; 2011, N 49, ст. 7040), </w:t>
      </w:r>
      <w:hyperlink r:id="rId10" w:history="1">
        <w:r>
          <w:rPr>
            <w:color w:val="0000FF"/>
          </w:rPr>
          <w:t>абзацем первым пункта 2 статьи 30</w:t>
        </w:r>
      </w:hyperlink>
      <w:r>
        <w:t xml:space="preserve"> Федерального закона от 8 февраля 1998 г. N 14-ФЗ "Об обществах с ограниченной ответственностью" (Собрание законодательства Российской Федерации, 1998, N 7, ст. 785; 2011, N 30, ст. 4576), </w:t>
      </w:r>
      <w:hyperlink r:id="rId11" w:history="1">
        <w:r>
          <w:rPr>
            <w:color w:val="0000FF"/>
          </w:rPr>
          <w:t>абзацем третьим пункта 2 статьи 15</w:t>
        </w:r>
      </w:hyperlink>
      <w:r>
        <w:t xml:space="preserve"> Федерального закона от 14 ноября 2002 г. N 161-ФЗ "О государственных и муниципальных унитарных предприятиях" (Собрание законодательства Российской Федерации, 2002, N 48, ст. 4746; 2011, N 49, ст. 7040), </w:t>
      </w:r>
      <w:hyperlink r:id="rId12" w:history="1">
        <w:r>
          <w:rPr>
            <w:color w:val="0000FF"/>
          </w:rPr>
          <w:t>частью 3 статьи 32</w:t>
        </w:r>
      </w:hyperlink>
      <w:r>
        <w:t xml:space="preserve"> Федерального закона от 30 декабря 2004 г. N 215-ФЗ "О жилищных накопительных кооперативах" (Собрание законодательства Российской Федерации, 2005, N 1, ст. 41; 2011, N 49, ст. 7040; </w:t>
      </w:r>
      <w:proofErr w:type="gramStart"/>
      <w:r>
        <w:t xml:space="preserve">2013, N 30, ст. 4084), </w:t>
      </w:r>
      <w:hyperlink r:id="rId13" w:history="1">
        <w:r>
          <w:rPr>
            <w:color w:val="0000FF"/>
          </w:rPr>
          <w:t>частью 7 статьи 6</w:t>
        </w:r>
      </w:hyperlink>
      <w:r>
        <w:t xml:space="preserve"> Федерального закона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7; 2010, N 17, ст. 1987;</w:t>
      </w:r>
      <w:proofErr w:type="gramEnd"/>
      <w:r>
        <w:t xml:space="preserve"> 2011, N 30, ст. 4590; 2012, N 43, ст. 5781; </w:t>
      </w:r>
      <w:proofErr w:type="gramStart"/>
      <w:r>
        <w:t xml:space="preserve">2014, N 30, ст. 4223, 4279), </w:t>
      </w:r>
      <w:hyperlink r:id="rId14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3 декабря 2011 г. N 380-ФЗ "О хозяйственных партнерствах" (Собрание законодательства Российской Федерации, 2011, N 49, ст. 7058), </w:t>
      </w:r>
      <w:hyperlink r:id="rId15" w:history="1">
        <w:r>
          <w:rPr>
            <w:color w:val="0000FF"/>
          </w:rPr>
          <w:t>пунктом 1</w:t>
        </w:r>
      </w:hyperlink>
      <w:r>
        <w:t xml:space="preserve"> и </w:t>
      </w:r>
      <w:hyperlink r:id="rId16" w:history="1">
        <w:r>
          <w:rPr>
            <w:color w:val="0000FF"/>
          </w:rPr>
          <w:t>подпунктом 5.2.29(1)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</w:t>
      </w:r>
      <w:proofErr w:type="gramEnd"/>
      <w:r>
        <w:t xml:space="preserve">, N 31, ст. 3258; 2005, N 52, ст. 5755; 2007, N 23, ст. 2801; N 45, ст. 5491; 2008, N 5, ст. 441; 2010, N 5, ст. 531; 2011, N 1, ст. 238; N 36, ст. 5148; 2012, N 20, ст. 2562; </w:t>
      </w:r>
      <w:proofErr w:type="gramStart"/>
      <w:r>
        <w:t xml:space="preserve">2013, N 20, ст. 2488, N 36, ст. 4578), </w:t>
      </w:r>
      <w:hyperlink r:id="rId1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26 ноября 2012 г. N 1221 "О федеральном органе исполнительной власти, уполномоченном на установление порядка определения стоимости чистых активов хозяйственного партнерства на основании данных бухгалтерского учета" (Собрание законодательства Российской Федерации, 2012, N 49, ст. 6866) приказываю:</w:t>
      </w:r>
      <w:proofErr w:type="gramEnd"/>
    </w:p>
    <w:p w:rsidR="00383DEC" w:rsidRDefault="00383D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стоимости чистых активов.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83DEC" w:rsidRDefault="00383DEC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и Федеральной комиссии по рынку ценных бумаг от 29 января 2003 г. N 10н/03-6/</w:t>
      </w:r>
      <w:proofErr w:type="spellStart"/>
      <w:r>
        <w:t>пз</w:t>
      </w:r>
      <w:proofErr w:type="spellEnd"/>
      <w:r>
        <w:t xml:space="preserve"> "Об утверждении Порядка оценки стоимости чистых активов акционерных обществ" (зарегистрирован Министерством юстиции Российской Федерации 12 марта 2003 г., регистрационный N 4252; Бюллетень нормативных актов </w:t>
      </w:r>
      <w:r>
        <w:lastRenderedPageBreak/>
        <w:t>федеральных органов исполнительной власти, 2003, N 18);</w:t>
      </w:r>
      <w:proofErr w:type="gramEnd"/>
    </w:p>
    <w:p w:rsidR="00383DEC" w:rsidRDefault="00383DEC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и Федеральной службы по финансовым рынкам от 1 февраля 2007 г. N 7н/07-10/</w:t>
      </w:r>
      <w:proofErr w:type="spellStart"/>
      <w:r>
        <w:t>пз</w:t>
      </w:r>
      <w:proofErr w:type="spellEnd"/>
      <w:r>
        <w:t>-н "Об утверждении Порядка оценки стоимости чистых активов страховых организаций, созданных в форме акционерных обществ" (зарегистрирован Министерством юстиции Российской Федерации 5 апреля 2007 г., регистрационный N 9235; Бюллетень нормативных актов федеральных органов исполнительной власти, 2007, N 18);</w:t>
      </w:r>
      <w:proofErr w:type="gramEnd"/>
    </w:p>
    <w:p w:rsidR="00383DEC" w:rsidRDefault="00383DE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 мая 2007 г. N 29н "Об утверждении </w:t>
      </w:r>
      <w:proofErr w:type="gramStart"/>
      <w:r>
        <w:t>Порядка расчета стоимости чистых активов организаторов азартных</w:t>
      </w:r>
      <w:proofErr w:type="gramEnd"/>
      <w:r>
        <w:t xml:space="preserve"> игр" (зарегистрирован Министерством юстиции Российской Федерации 22 мая 2007 г., регистрационный N 9523, Российская газета, 2007, 26 мая).</w:t>
      </w: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jc w:val="right"/>
      </w:pPr>
      <w:r>
        <w:t>Министр финансов</w:t>
      </w:r>
    </w:p>
    <w:p w:rsidR="00383DEC" w:rsidRDefault="00383DEC">
      <w:pPr>
        <w:pStyle w:val="ConsPlusNormal"/>
        <w:jc w:val="right"/>
      </w:pPr>
      <w:r>
        <w:t>Российской Федерации</w:t>
      </w:r>
    </w:p>
    <w:p w:rsidR="00383DEC" w:rsidRDefault="00383DEC">
      <w:pPr>
        <w:pStyle w:val="ConsPlusNormal"/>
        <w:jc w:val="right"/>
      </w:pPr>
      <w:r>
        <w:t>А.Г.СИЛУАНОВ</w:t>
      </w: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jc w:val="right"/>
        <w:outlineLvl w:val="0"/>
      </w:pPr>
      <w:r>
        <w:t>Утвержден</w:t>
      </w:r>
    </w:p>
    <w:p w:rsidR="00383DEC" w:rsidRDefault="00383DEC">
      <w:pPr>
        <w:pStyle w:val="ConsPlusNormal"/>
        <w:jc w:val="right"/>
      </w:pPr>
      <w:r>
        <w:t>приказом Министерства финансов</w:t>
      </w:r>
    </w:p>
    <w:p w:rsidR="00383DEC" w:rsidRDefault="00383DEC">
      <w:pPr>
        <w:pStyle w:val="ConsPlusNormal"/>
        <w:jc w:val="right"/>
      </w:pPr>
      <w:r>
        <w:t>Российской Федерации</w:t>
      </w:r>
    </w:p>
    <w:p w:rsidR="00383DEC" w:rsidRDefault="00383DEC">
      <w:pPr>
        <w:pStyle w:val="ConsPlusNormal"/>
        <w:jc w:val="right"/>
      </w:pPr>
      <w:r>
        <w:t>от 28 августа 2014 г. N 84н</w:t>
      </w: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Title"/>
        <w:jc w:val="center"/>
      </w:pPr>
      <w:bookmarkStart w:id="1" w:name="P34"/>
      <w:bookmarkEnd w:id="1"/>
      <w:r>
        <w:t>ПОРЯДОК ОПРЕДЕЛЕНИЯ СТОИМОСТИ ЧИСТЫХ АКТИВОВ</w:t>
      </w:r>
    </w:p>
    <w:p w:rsidR="00383DEC" w:rsidRDefault="00383D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3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DEC" w:rsidRDefault="00383D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DEC" w:rsidRDefault="00383D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DEC" w:rsidRDefault="00383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DEC" w:rsidRDefault="00383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21.02.2018 </w:t>
            </w:r>
            <w:hyperlink r:id="rId21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3DEC" w:rsidRDefault="00383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22" w:history="1">
              <w:r>
                <w:rPr>
                  <w:color w:val="0000FF"/>
                </w:rPr>
                <w:t>N 179н</w:t>
              </w:r>
            </w:hyperlink>
            <w:r>
              <w:rPr>
                <w:color w:val="392C69"/>
              </w:rPr>
              <w:t xml:space="preserve">, от 27.11.2020 </w:t>
            </w:r>
            <w:hyperlink r:id="rId23" w:history="1">
              <w:r>
                <w:rPr>
                  <w:color w:val="0000FF"/>
                </w:rPr>
                <w:t>N 286н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DEC" w:rsidRDefault="00383DEC"/>
        </w:tc>
      </w:tr>
    </w:tbl>
    <w:p w:rsidR="00383DEC" w:rsidRDefault="00383DEC">
      <w:pPr>
        <w:pStyle w:val="ConsPlusNormal"/>
        <w:jc w:val="center"/>
      </w:pPr>
    </w:p>
    <w:p w:rsidR="00383DEC" w:rsidRDefault="00383DEC">
      <w:pPr>
        <w:pStyle w:val="ConsPlusNormal"/>
        <w:ind w:firstLine="540"/>
        <w:jc w:val="both"/>
      </w:pPr>
      <w:r>
        <w:t>1. Настоящий Порядок применяют акционерные общества, общества с ограниченной ответственностью, государственные унитарные предприятия, муниципальные унитарные предприятия, производственные кооперативы, жилищные накопительные кооперативы, хозяйственные партнерства (далее - организации).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>2. Настоящий Порядок распространяется на организаторов азартных игр.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>3. Настоящий Порядок не распространяется на кредитные организации, акционерные инвестиционные фонды.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 xml:space="preserve">4. 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организации. Объекты бухгалтерского учета, учитываемые организацией на </w:t>
      </w:r>
      <w:proofErr w:type="spellStart"/>
      <w:r>
        <w:t>забалансовых</w:t>
      </w:r>
      <w:proofErr w:type="spellEnd"/>
      <w:r>
        <w:t xml:space="preserve"> счетах, при определении стоимости чистых активов к расчету не принимаются.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Принимаемые к расчету активы включают все активы организации, 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акций.</w:t>
      </w:r>
      <w:proofErr w:type="gramEnd"/>
    </w:p>
    <w:p w:rsidR="00383DEC" w:rsidRDefault="00383DEC">
      <w:pPr>
        <w:pStyle w:val="ConsPlusNormal"/>
        <w:spacing w:before="220"/>
        <w:ind w:firstLine="540"/>
        <w:jc w:val="both"/>
      </w:pPr>
      <w:r>
        <w:t>6. Принимаемые к расчету обязательства включают все обязательства организации, за исключением доходов будущих периодов, признанных организацией в связи с получением государственной помощи, а также в связи с безвозмездным получением имущества.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>Организации, являющиеся ответственными исполнителями Программы строительства олимпийских объектов, не включают в принимаемые к расчету обязательства также денежные обязательства по полученным кредитам государственной корпорации развития "ВЭБ</w:t>
      </w:r>
      <w:proofErr w:type="gramStart"/>
      <w:r>
        <w:t>.Р</w:t>
      </w:r>
      <w:proofErr w:type="gramEnd"/>
      <w:r>
        <w:t>Ф".</w:t>
      </w:r>
    </w:p>
    <w:p w:rsidR="00383DEC" w:rsidRDefault="00383DEC">
      <w:pPr>
        <w:pStyle w:val="ConsPlusNormal"/>
        <w:spacing w:before="220"/>
        <w:ind w:firstLine="540"/>
        <w:jc w:val="both"/>
      </w:pPr>
      <w:proofErr w:type="gramStart"/>
      <w:r>
        <w:t>Организации, созданные в 2019 и 2020 годах (государственная регистрация юридических лиц и внесение записи о них в Единый государственный реестр юридических лиц осуществлены в 2019 и 2020 годах), 100 процентов акций (долей) которых принадлежит Российской Федерации, являющиеся специально созданными проектными компаниями, участвующими в реализации проекта "Арктик СПГ 2", не включают в принимаемые к расчету обязательства также денежные обязательства по полученным</w:t>
      </w:r>
      <w:proofErr w:type="gramEnd"/>
      <w:r>
        <w:t xml:space="preserve"> кредитам государственной корпорации развития "ВЭБ</w:t>
      </w:r>
      <w:proofErr w:type="gramStart"/>
      <w:r>
        <w:t>.Р</w:t>
      </w:r>
      <w:proofErr w:type="gramEnd"/>
      <w:r>
        <w:t>Ф".</w:t>
      </w:r>
    </w:p>
    <w:p w:rsidR="00383DEC" w:rsidRDefault="00383DE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Минфина России от 27.11.2020 N 286н)</w:t>
      </w:r>
    </w:p>
    <w:p w:rsidR="00383DEC" w:rsidRDefault="00383DEC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31.08.2020 N 179н)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>7. Стоимость чистых активов определяется по данным бухгалтерского учета. При этом активы и обязательства принимаются к расчету по стоимости, подлежащей отражению в бухгалтерском балансе организации (в нетто-оценке за вычетом регулирующих величин) исходя из правил оценки соответствующих статей бухгалтерского баланса.</w:t>
      </w:r>
    </w:p>
    <w:p w:rsidR="00383DEC" w:rsidRDefault="00383DEC">
      <w:pPr>
        <w:pStyle w:val="ConsPlusNormal"/>
        <w:spacing w:before="220"/>
        <w:ind w:firstLine="540"/>
        <w:jc w:val="both"/>
      </w:pPr>
      <w:proofErr w:type="gramStart"/>
      <w:r>
        <w:t xml:space="preserve">Организаторы азартных игр в казино и залах игровых автоматов, которым разрешения на осуществление деятельности по организации и проведению азартных игр в игорной зоне выданы до 1 апреля 2020 г., для целей определения величины чистых активов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2006 г. N 244-ФЗ "О государственном регулировании деятельности по организации и проведению азартных игр и о внесении</w:t>
      </w:r>
      <w:proofErr w:type="gramEnd"/>
      <w:r>
        <w:t xml:space="preserve"> изменений в некоторые законодательные акты Российской Федерации" (Собрание законодательства Российской Федерации, 2007, N 1, ст. 7; 2019, N 52, ст. 7813) в период до 31 декабря 2021 г.:</w:t>
      </w:r>
    </w:p>
    <w:p w:rsidR="00383DEC" w:rsidRDefault="00383DE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Минфина России от 31.08.2020 N 179н)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>принимают к расчету обязательства по полученным кредитам в сумме, не превышающей величину обязательств по полученным кредитам по состоянию на 1 апреля 2020 г.;</w:t>
      </w:r>
    </w:p>
    <w:p w:rsidR="00383DEC" w:rsidRDefault="00383DE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Минфина России от 31.08.2020 N 179н)</w:t>
      </w:r>
    </w:p>
    <w:p w:rsidR="00383DEC" w:rsidRDefault="00383DEC">
      <w:pPr>
        <w:pStyle w:val="ConsPlusNormal"/>
        <w:spacing w:before="220"/>
        <w:ind w:firstLine="540"/>
        <w:jc w:val="both"/>
      </w:pPr>
      <w:r>
        <w:t>принимают к расчету стоимость основных средств без вычета начисленной по ним амортизации.</w:t>
      </w:r>
    </w:p>
    <w:p w:rsidR="00383DEC" w:rsidRDefault="00383DEC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Минфина России от 31.08.2020 N 179н)</w:t>
      </w: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ind w:firstLine="540"/>
        <w:jc w:val="both"/>
      </w:pPr>
    </w:p>
    <w:p w:rsidR="00383DEC" w:rsidRDefault="00383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A1B" w:rsidRDefault="00522A1B"/>
    <w:sectPr w:rsidR="00522A1B" w:rsidSect="000F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C"/>
    <w:rsid w:val="00383DEC"/>
    <w:rsid w:val="005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E09CACC4CA8D7E7B6468E9503372D74BD1AAD866CB0D22D8039A718CA97CB74A7022DEF6F553265DDC0328686F41BD98AC3446BN4XDM" TargetMode="External"/><Relationship Id="rId13" Type="http://schemas.openxmlformats.org/officeDocument/2006/relationships/hyperlink" Target="consultantplus://offline/ref=955E09CACC4CA8D7E7B6468E9503372D74B21BA58768B0D22D8039A718CA97CB74A7022EE7675E603092C16EC3D3E71BD88AC045774E8B43N4X2M" TargetMode="External"/><Relationship Id="rId18" Type="http://schemas.openxmlformats.org/officeDocument/2006/relationships/hyperlink" Target="consultantplus://offline/ref=955E09CACC4CA8D7E7B6468E9503372D73B410A58267EDD825D935A51FC5C8CE73B6022EE7795F672A9B953DN8X6M" TargetMode="External"/><Relationship Id="rId26" Type="http://schemas.openxmlformats.org/officeDocument/2006/relationships/hyperlink" Target="consultantplus://offline/ref=955E09CACC4CA8D7E7B6468E9503372D74B21BA58768B0D22D8039A718CA97CB66A75A22E66740673587973F85N8X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5E09CACC4CA8D7E7B6468E9503372D75BC10A58065B0D22D8039A718CA97CB74A7022EE7675E663292C16EC3D3E71BD88AC045774E8B43N4X2M" TargetMode="External"/><Relationship Id="rId7" Type="http://schemas.openxmlformats.org/officeDocument/2006/relationships/hyperlink" Target="consultantplus://offline/ref=955E09CACC4CA8D7E7B6468E9503372D74B212A7816EB0D22D8039A718CA97CB74A7022EE7675E663292C16EC3D3E71BD88AC045774E8B43N4X2M" TargetMode="External"/><Relationship Id="rId12" Type="http://schemas.openxmlformats.org/officeDocument/2006/relationships/hyperlink" Target="consultantplus://offline/ref=955E09CACC4CA8D7E7B6468E9503372D74B714A2886EB0D22D8039A718CA97CB74A7022DEC330F226194943F9987EB04DA94C3N4X5M" TargetMode="External"/><Relationship Id="rId17" Type="http://schemas.openxmlformats.org/officeDocument/2006/relationships/hyperlink" Target="consultantplus://offline/ref=955E09CACC4CA8D7E7B6468E9503372D76B61BA7886DB0D22D8039A718CA97CB74A7022EE7675E663192C16EC3D3E71BD88AC045774E8B43N4X2M" TargetMode="External"/><Relationship Id="rId25" Type="http://schemas.openxmlformats.org/officeDocument/2006/relationships/hyperlink" Target="consultantplus://offline/ref=955E09CACC4CA8D7E7B6468E9503372D74B315A6826EB0D22D8039A718CA97CB74A7022EE7675E663D92C16EC3D3E71BD88AC045774E8B43N4X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E09CACC4CA8D7E7B6468E9503372D74BD1BA4816FB0D22D8039A718CA97CB74A7022EE7675C613C92C16EC3D3E71BD88AC045774E8B43N4X2M" TargetMode="External"/><Relationship Id="rId20" Type="http://schemas.openxmlformats.org/officeDocument/2006/relationships/hyperlink" Target="consultantplus://offline/ref=955E09CACC4CA8D7E7B6468E9503372D71BD16A18667EDD825D935A51FC5C8CE73B6022EE7795F672A9B953DN8X6M" TargetMode="External"/><Relationship Id="rId29" Type="http://schemas.openxmlformats.org/officeDocument/2006/relationships/hyperlink" Target="consultantplus://offline/ref=955E09CACC4CA8D7E7B6468E9503372D74B315A6826EB0D22D8039A718CA97CB74A7022EE7675E673192C16EC3D3E71BD88AC045774E8B43N4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E09CACC4CA8D7E7B6468E9503372D74B315A6826EB0D22D8039A718CA97CB74A7022EE7675E663292C16EC3D3E71BD88AC045774E8B43N4X2M" TargetMode="External"/><Relationship Id="rId11" Type="http://schemas.openxmlformats.org/officeDocument/2006/relationships/hyperlink" Target="consultantplus://offline/ref=955E09CACC4CA8D7E7B6468E9503372D74BD1AA2826DB0D22D8039A718CA97CB74A7022EE7675D653092C16EC3D3E71BD88AC045774E8B43N4X2M" TargetMode="External"/><Relationship Id="rId24" Type="http://schemas.openxmlformats.org/officeDocument/2006/relationships/hyperlink" Target="consultantplus://offline/ref=955E09CACC4CA8D7E7B6468E9503372D74B212A7816EB0D22D8039A718CA97CB74A7022EE7675E663292C16EC3D3E71BD88AC045774E8B43N4X2M" TargetMode="External"/><Relationship Id="rId5" Type="http://schemas.openxmlformats.org/officeDocument/2006/relationships/hyperlink" Target="consultantplus://offline/ref=955E09CACC4CA8D7E7B6468E9503372D75BC10A58065B0D22D8039A718CA97CB74A7022EE7675E663292C16EC3D3E71BD88AC045774E8B43N4X2M" TargetMode="External"/><Relationship Id="rId15" Type="http://schemas.openxmlformats.org/officeDocument/2006/relationships/hyperlink" Target="consultantplus://offline/ref=955E09CACC4CA8D7E7B6468E9503372D74BD1BA4816FB0D22D8039A718CA97CB74A7022EE7675C6E3392C16EC3D3E71BD88AC045774E8B43N4X2M" TargetMode="External"/><Relationship Id="rId23" Type="http://schemas.openxmlformats.org/officeDocument/2006/relationships/hyperlink" Target="consultantplus://offline/ref=955E09CACC4CA8D7E7B6468E9503372D74B212A7816EB0D22D8039A718CA97CB74A7022EE7675E663292C16EC3D3E71BD88AC045774E8B43N4X2M" TargetMode="External"/><Relationship Id="rId28" Type="http://schemas.openxmlformats.org/officeDocument/2006/relationships/hyperlink" Target="consultantplus://offline/ref=955E09CACC4CA8D7E7B6468E9503372D74B315A6826EB0D22D8039A718CA97CB74A7022EE7675E673092C16EC3D3E71BD88AC045774E8B43N4X2M" TargetMode="External"/><Relationship Id="rId10" Type="http://schemas.openxmlformats.org/officeDocument/2006/relationships/hyperlink" Target="consultantplus://offline/ref=955E09CACC4CA8D7E7B6468E9503372D74BD1AA2856FB0D22D8039A718CA97CB74A7022CE667553265DDC0328686F41BD98AC3446BN4XDM" TargetMode="External"/><Relationship Id="rId19" Type="http://schemas.openxmlformats.org/officeDocument/2006/relationships/hyperlink" Target="consultantplus://offline/ref=955E09CACC4CA8D7E7B6468E9503372D71B217A78367EDD825D935A51FC5C8CE73B6022EE7795F672A9B953DN8X6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E09CACC4CA8D7E7B6468E9503372D74BD12A1876BB0D22D8039A718CA97CB74A7022EE7675C673392C16EC3D3E71BD88AC045774E8B43N4X2M" TargetMode="External"/><Relationship Id="rId14" Type="http://schemas.openxmlformats.org/officeDocument/2006/relationships/hyperlink" Target="consultantplus://offline/ref=955E09CACC4CA8D7E7B6468E9503372D76B11AAD876EB0D22D8039A718CA97CB74A7022EE7675F623592C16EC3D3E71BD88AC045774E8B43N4X2M" TargetMode="External"/><Relationship Id="rId22" Type="http://schemas.openxmlformats.org/officeDocument/2006/relationships/hyperlink" Target="consultantplus://offline/ref=955E09CACC4CA8D7E7B6468E9503372D74B315A6826EB0D22D8039A718CA97CB74A7022EE7675E663292C16EC3D3E71BD88AC045774E8B43N4X2M" TargetMode="External"/><Relationship Id="rId27" Type="http://schemas.openxmlformats.org/officeDocument/2006/relationships/hyperlink" Target="consultantplus://offline/ref=955E09CACC4CA8D7E7B6468E9503372D74B315A6826EB0D22D8039A718CA97CB74A7022EE7675E673692C16EC3D3E71BD88AC045774E8B43N4X2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10160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14 октября 2014 г. N 34299</vt:lpstr>
      <vt:lpstr>Утвержден</vt:lpstr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2021-11-10T12:23:00Z</dcterms:created>
  <dcterms:modified xsi:type="dcterms:W3CDTF">2021-11-10T12:23:00Z</dcterms:modified>
</cp:coreProperties>
</file>