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F" w:rsidRDefault="00C9772F">
      <w:pPr>
        <w:pStyle w:val="ConsPlusNormal"/>
        <w:jc w:val="both"/>
        <w:outlineLvl w:val="0"/>
      </w:pPr>
      <w:bookmarkStart w:id="0" w:name="_GoBack"/>
      <w:bookmarkEnd w:id="0"/>
    </w:p>
    <w:p w:rsidR="00C9772F" w:rsidRDefault="00C9772F">
      <w:pPr>
        <w:pStyle w:val="ConsPlusNormal"/>
        <w:outlineLvl w:val="0"/>
      </w:pPr>
      <w:r>
        <w:t>Зарегистрировано в Минюсте России 12 мая 2011 г. N 20729</w:t>
      </w:r>
    </w:p>
    <w:p w:rsidR="00C9772F" w:rsidRDefault="00C97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72F" w:rsidRDefault="00C9772F">
      <w:pPr>
        <w:pStyle w:val="ConsPlusNormal"/>
      </w:pPr>
    </w:p>
    <w:p w:rsidR="00C9772F" w:rsidRDefault="00C9772F">
      <w:pPr>
        <w:pStyle w:val="ConsPlusTitle"/>
        <w:jc w:val="center"/>
      </w:pPr>
      <w:r>
        <w:t>МИНИСТЕРСТВО ФИНАНСОВ РОССИЙСКОЙ ФЕДЕРАЦИИ</w:t>
      </w:r>
    </w:p>
    <w:p w:rsidR="00C9772F" w:rsidRDefault="00C9772F">
      <w:pPr>
        <w:pStyle w:val="ConsPlusTitle"/>
        <w:jc w:val="center"/>
      </w:pPr>
    </w:p>
    <w:p w:rsidR="00C9772F" w:rsidRDefault="00C9772F">
      <w:pPr>
        <w:pStyle w:val="ConsPlusTitle"/>
        <w:jc w:val="center"/>
      </w:pPr>
      <w:r>
        <w:t>ПРИКАЗ</w:t>
      </w:r>
    </w:p>
    <w:p w:rsidR="00C9772F" w:rsidRDefault="00C9772F">
      <w:pPr>
        <w:pStyle w:val="ConsPlusTitle"/>
        <w:jc w:val="center"/>
      </w:pPr>
      <w:r>
        <w:t>от 3 марта 2011 г. N 27н</w:t>
      </w:r>
    </w:p>
    <w:p w:rsidR="00C9772F" w:rsidRDefault="00C9772F">
      <w:pPr>
        <w:pStyle w:val="ConsPlusTitle"/>
        <w:jc w:val="center"/>
      </w:pPr>
    </w:p>
    <w:p w:rsidR="00C9772F" w:rsidRDefault="00C9772F">
      <w:pPr>
        <w:pStyle w:val="ConsPlusTitle"/>
        <w:jc w:val="center"/>
      </w:pPr>
      <w:r>
        <w:t>О СОСТАВЕ</w:t>
      </w:r>
    </w:p>
    <w:p w:rsidR="00C9772F" w:rsidRDefault="00C9772F">
      <w:pPr>
        <w:pStyle w:val="ConsPlusTitle"/>
        <w:jc w:val="center"/>
      </w:pPr>
      <w:r>
        <w:t>СВЕДЕНИЙ, ВКЛЮЧАЕМЫХ В ГОДОВОЙ ОТЧЕТ О ПРОВЕДЕНИИ ЛОТЕРЕЙ,</w:t>
      </w:r>
    </w:p>
    <w:p w:rsidR="00C9772F" w:rsidRDefault="00C9772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ЕГО ОПУБЛИКОВАНИЯ</w:t>
      </w:r>
    </w:p>
    <w:p w:rsidR="00C9772F" w:rsidRDefault="00C97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72F" w:rsidRDefault="00C97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72F" w:rsidRDefault="00C97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29.05.2014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</w:tr>
    </w:tbl>
    <w:p w:rsidR="00C9772F" w:rsidRDefault="00C9772F">
      <w:pPr>
        <w:pStyle w:val="ConsPlusNormal"/>
        <w:jc w:val="center"/>
      </w:pPr>
    </w:p>
    <w:p w:rsidR="00C9772F" w:rsidRDefault="00C9772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 статьи 2</w:t>
        </w:r>
      </w:hyperlink>
      <w:r>
        <w:t xml:space="preserve"> Федерального закона от 11 ноября 2003 г. N 138-ФЗ "О лотереях" (Собрание законодательства Российской Федерации, 2003, N 46, ст. 4434; 2010, N 31, ст. 4183),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2004 г. N 338 "О мерах по реализации Федерального закона "О лотереях" (Собрание законодательства Российской Федерации, 2004, N 28, ст. 2907; 2009, N 2, ст. 237; </w:t>
      </w:r>
      <w:proofErr w:type="gramStart"/>
      <w:r>
        <w:t xml:space="preserve">2011, N 5, ст. 748) и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N 49, ст. 4908; 2005, N 23, ст. 2270; N 52, ст. 5755;</w:t>
      </w:r>
      <w:proofErr w:type="gramEnd"/>
      <w:r>
        <w:t xml:space="preserve"> </w:t>
      </w:r>
      <w:proofErr w:type="gramStart"/>
      <w:r>
        <w:t>2006, N 32, ст. 3569; N 47, ст. 4900; 2007, N 23, ст. 2801, N 45, ст. 5491; 2008, N 5, ст. 411, N 46, ст. 5337; 2009, N 3, ст. 378, N 6, ст. 738, N 8, ст. 973, N 11, ст. 1312, N 26, ст. 3212, N 31, ст. 3954;</w:t>
      </w:r>
      <w:proofErr w:type="gramEnd"/>
      <w:r>
        <w:t xml:space="preserve"> </w:t>
      </w:r>
      <w:proofErr w:type="gramStart"/>
      <w:r>
        <w:t>2010, N 5, ст. 531, N 9, ст. 967, N 11, ст. 1224, N 26, ст. 3350; N 38, ст. 4844), приказываю:</w:t>
      </w:r>
      <w:proofErr w:type="gramEnd"/>
    </w:p>
    <w:p w:rsidR="00C9772F" w:rsidRDefault="00C9772F">
      <w:pPr>
        <w:pStyle w:val="ConsPlusNormal"/>
        <w:spacing w:before="220"/>
        <w:ind w:firstLine="540"/>
        <w:jc w:val="both"/>
      </w:pPr>
      <w:r>
        <w:t xml:space="preserve">1. Утвердить Состав сведений, включаемых в годовой отчет о проведении лотереи, и порядок его опубликования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 xml:space="preserve">2. Требования настоящего Приказа применяются для опубликования годового </w:t>
      </w:r>
      <w:proofErr w:type="gramStart"/>
      <w:r>
        <w:t>отчета</w:t>
      </w:r>
      <w:proofErr w:type="gramEnd"/>
      <w:r>
        <w:t xml:space="preserve"> о проведении лотереи начиная с отчетности за 2010 год.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финансов Российской Федерации А.В. Моисеева.</w:t>
      </w:r>
    </w:p>
    <w:p w:rsidR="00C9772F" w:rsidRDefault="00C977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29.05.2014 N 44н)</w:t>
      </w: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jc w:val="right"/>
      </w:pPr>
      <w:r>
        <w:t>Заместитель</w:t>
      </w:r>
    </w:p>
    <w:p w:rsidR="00C9772F" w:rsidRDefault="00C9772F">
      <w:pPr>
        <w:pStyle w:val="ConsPlusNormal"/>
        <w:jc w:val="right"/>
      </w:pPr>
      <w:r>
        <w:t>Председателя Правительства</w:t>
      </w:r>
    </w:p>
    <w:p w:rsidR="00C9772F" w:rsidRDefault="00C9772F">
      <w:pPr>
        <w:pStyle w:val="ConsPlusNormal"/>
        <w:jc w:val="right"/>
      </w:pPr>
      <w:r>
        <w:t>Российской Федерации -</w:t>
      </w:r>
    </w:p>
    <w:p w:rsidR="00C9772F" w:rsidRDefault="00C9772F">
      <w:pPr>
        <w:pStyle w:val="ConsPlusNormal"/>
        <w:jc w:val="right"/>
      </w:pPr>
      <w:r>
        <w:t>Министр финансов</w:t>
      </w:r>
    </w:p>
    <w:p w:rsidR="00C9772F" w:rsidRDefault="00C9772F">
      <w:pPr>
        <w:pStyle w:val="ConsPlusNormal"/>
        <w:jc w:val="right"/>
      </w:pPr>
      <w:r>
        <w:t>Российской Федерации</w:t>
      </w:r>
    </w:p>
    <w:p w:rsidR="00C9772F" w:rsidRDefault="00C9772F">
      <w:pPr>
        <w:pStyle w:val="ConsPlusNormal"/>
        <w:jc w:val="right"/>
      </w:pPr>
      <w:r>
        <w:t>А.Л.КУДРИН</w:t>
      </w:r>
    </w:p>
    <w:p w:rsidR="00C9772F" w:rsidRDefault="00C9772F">
      <w:pPr>
        <w:pStyle w:val="ConsPlusNormal"/>
        <w:jc w:val="right"/>
      </w:pPr>
    </w:p>
    <w:p w:rsidR="00C9772F" w:rsidRDefault="00C9772F">
      <w:pPr>
        <w:pStyle w:val="ConsPlusNormal"/>
        <w:jc w:val="right"/>
      </w:pPr>
    </w:p>
    <w:p w:rsidR="00C9772F" w:rsidRDefault="00C9772F">
      <w:pPr>
        <w:pStyle w:val="ConsPlusNormal"/>
        <w:jc w:val="right"/>
      </w:pPr>
    </w:p>
    <w:p w:rsidR="00C9772F" w:rsidRDefault="00C9772F">
      <w:pPr>
        <w:pStyle w:val="ConsPlusNormal"/>
        <w:jc w:val="right"/>
      </w:pPr>
    </w:p>
    <w:p w:rsidR="00C9772F" w:rsidRDefault="00C9772F">
      <w:pPr>
        <w:pStyle w:val="ConsPlusNormal"/>
        <w:jc w:val="right"/>
      </w:pPr>
    </w:p>
    <w:p w:rsidR="00C9772F" w:rsidRDefault="00C9772F">
      <w:pPr>
        <w:pStyle w:val="ConsPlusNormal"/>
        <w:jc w:val="right"/>
        <w:outlineLvl w:val="0"/>
      </w:pPr>
      <w:r>
        <w:t>Приложение</w:t>
      </w:r>
    </w:p>
    <w:p w:rsidR="00C9772F" w:rsidRDefault="00C9772F">
      <w:pPr>
        <w:pStyle w:val="ConsPlusNormal"/>
        <w:jc w:val="right"/>
      </w:pPr>
      <w:r>
        <w:t>к Приказу Министерства финансов</w:t>
      </w:r>
    </w:p>
    <w:p w:rsidR="00C9772F" w:rsidRDefault="00C9772F">
      <w:pPr>
        <w:pStyle w:val="ConsPlusNormal"/>
        <w:jc w:val="right"/>
      </w:pPr>
      <w:r>
        <w:t>Российской Федерации</w:t>
      </w:r>
    </w:p>
    <w:p w:rsidR="00C9772F" w:rsidRDefault="00C9772F">
      <w:pPr>
        <w:pStyle w:val="ConsPlusNormal"/>
        <w:jc w:val="right"/>
      </w:pPr>
      <w:r>
        <w:lastRenderedPageBreak/>
        <w:t>от 3 марта 2011 г. N 27н</w:t>
      </w:r>
    </w:p>
    <w:p w:rsidR="00C9772F" w:rsidRDefault="00C9772F">
      <w:pPr>
        <w:pStyle w:val="ConsPlusNormal"/>
        <w:jc w:val="right"/>
      </w:pPr>
    </w:p>
    <w:p w:rsidR="00C9772F" w:rsidRDefault="00C9772F">
      <w:pPr>
        <w:pStyle w:val="ConsPlusTitle"/>
        <w:jc w:val="center"/>
      </w:pPr>
      <w:bookmarkStart w:id="1" w:name="P37"/>
      <w:bookmarkEnd w:id="1"/>
      <w:r>
        <w:t>СОСТАВ</w:t>
      </w:r>
    </w:p>
    <w:p w:rsidR="00C9772F" w:rsidRDefault="00C9772F">
      <w:pPr>
        <w:pStyle w:val="ConsPlusTitle"/>
        <w:jc w:val="center"/>
      </w:pPr>
      <w:r>
        <w:t>СВЕДЕНИЙ, ВКЛЮЧАЕМЫХ В ГОДОВОЙ ОТЧЕТ О ПРОВЕДЕНИИ ЛОТЕРЕИ,</w:t>
      </w:r>
    </w:p>
    <w:p w:rsidR="00C9772F" w:rsidRDefault="00C9772F">
      <w:pPr>
        <w:pStyle w:val="ConsPlusTitle"/>
        <w:jc w:val="center"/>
      </w:pPr>
      <w:r>
        <w:t>И ПОРЯДОК ЕГО ОПУБЛИКОВАНИЯ</w:t>
      </w:r>
    </w:p>
    <w:p w:rsidR="00C9772F" w:rsidRDefault="00C97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72F" w:rsidRDefault="00C97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72F" w:rsidRDefault="00C97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29.05.2014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</w:tr>
    </w:tbl>
    <w:p w:rsidR="00C9772F" w:rsidRDefault="00C9772F">
      <w:pPr>
        <w:pStyle w:val="ConsPlusNormal"/>
        <w:jc w:val="center"/>
      </w:pPr>
    </w:p>
    <w:p w:rsidR="00C9772F" w:rsidRDefault="00C9772F">
      <w:pPr>
        <w:pStyle w:val="ConsPlusNormal"/>
        <w:ind w:firstLine="540"/>
        <w:jc w:val="both"/>
      </w:pPr>
      <w:r>
        <w:t>1. Оператор лотереи ежегодно опубликовывает в средствах массовой информации и (или) размещает в информационно-телекоммуникационной сети "Интернет" годовой отчет о проведении лотереи, включающий следующие сведения:</w:t>
      </w:r>
    </w:p>
    <w:p w:rsidR="00C9772F" w:rsidRDefault="00C9772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29.05.2014 N 44н)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изготовленных лотерейных билетов;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реализованных лотерейных билетов;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нереализованных лотерейных билетов;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размер выручки от проведения лотереи;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сумму выплаченных выигрышей;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выплаченных выигрышей;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сумму невостребованных выигрышей;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невостребованных выигрышей;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сумму перечисленных целевых отчислений (с указанием размера средств, направленных на финансирование социально значимых объектов и мероприятий);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размер затрат, связанных с проведением лотереи (включая вознаграждение, выплачиваемое оператору лотереи);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выданных лотерейных квитанций;</w:t>
      </w:r>
    </w:p>
    <w:p w:rsidR="00C9772F" w:rsidRDefault="00C9772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Минфина России от 29.05.2014 N 44н)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количество зарегистрированных электронных лотерейных билетов.</w:t>
      </w:r>
    </w:p>
    <w:p w:rsidR="00C9772F" w:rsidRDefault="00C9772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29.05.2014 N 44н)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1.1. Сведения о лотерейных квитанциях, электронных лотерейных билетах подлежат включению в годовой отчет о проведении лотереи в случае, если условиями договора между оператором лотереи и участником лотереи предусмотрена выдача лотерейной квитанции, электронного лотерейного билета.</w:t>
      </w:r>
    </w:p>
    <w:p w:rsidR="00C9772F" w:rsidRDefault="00C977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Минфина России от 29.05.2014 N 44н)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 xml:space="preserve">2. Опубликованием годового отчета о проведении лотереи признается ежегодное размещение оператором лотереи сведений о проведении соответствующей лотереи в средствах массовой информации, распространяемых на территории проведения соответствующей лотереи, и (или) в информационно-телекоммуникационной сети "Интернет" по форме, указанной в </w:t>
      </w:r>
      <w:hyperlink w:anchor="P77" w:history="1">
        <w:r>
          <w:rPr>
            <w:color w:val="0000FF"/>
          </w:rPr>
          <w:t>приложении</w:t>
        </w:r>
      </w:hyperlink>
      <w:r>
        <w:t>.</w:t>
      </w:r>
    </w:p>
    <w:p w:rsidR="00C9772F" w:rsidRDefault="00C9772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29.05.2014 N 44н)</w:t>
      </w:r>
    </w:p>
    <w:p w:rsidR="00C9772F" w:rsidRDefault="00C9772F">
      <w:pPr>
        <w:pStyle w:val="ConsPlusNormal"/>
        <w:spacing w:before="220"/>
        <w:ind w:firstLine="540"/>
        <w:jc w:val="both"/>
      </w:pPr>
      <w:r>
        <w:t>3. Годовой отчет о проведении лотереи подлежит обязательному опубликованию не позднее 1 июня года, следующего за отчетным годом.</w:t>
      </w: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jc w:val="right"/>
        <w:outlineLvl w:val="1"/>
      </w:pPr>
      <w:r>
        <w:t>Приложение</w:t>
      </w:r>
    </w:p>
    <w:p w:rsidR="00C9772F" w:rsidRDefault="00C9772F">
      <w:pPr>
        <w:pStyle w:val="ConsPlusNormal"/>
        <w:jc w:val="right"/>
      </w:pPr>
      <w:r>
        <w:t>к составу сведений, включаемых</w:t>
      </w:r>
    </w:p>
    <w:p w:rsidR="00C9772F" w:rsidRDefault="00C9772F">
      <w:pPr>
        <w:pStyle w:val="ConsPlusNormal"/>
        <w:jc w:val="right"/>
      </w:pPr>
      <w:r>
        <w:t>в годовой отчет о проведении</w:t>
      </w:r>
    </w:p>
    <w:p w:rsidR="00C9772F" w:rsidRDefault="00C9772F">
      <w:pPr>
        <w:pStyle w:val="ConsPlusNormal"/>
        <w:jc w:val="right"/>
      </w:pPr>
      <w:r>
        <w:t>лотереи, и порядку</w:t>
      </w:r>
    </w:p>
    <w:p w:rsidR="00C9772F" w:rsidRDefault="00C9772F">
      <w:pPr>
        <w:pStyle w:val="ConsPlusNormal"/>
        <w:jc w:val="right"/>
      </w:pPr>
      <w:r>
        <w:t>его опубликования</w:t>
      </w:r>
    </w:p>
    <w:p w:rsidR="00C9772F" w:rsidRDefault="00C977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77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772F" w:rsidRDefault="00C97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72F" w:rsidRDefault="00C977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29.05.2014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72F" w:rsidRDefault="00C9772F"/>
        </w:tc>
      </w:tr>
    </w:tbl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nformat"/>
        <w:jc w:val="both"/>
      </w:pPr>
      <w:bookmarkStart w:id="2" w:name="P77"/>
      <w:bookmarkEnd w:id="2"/>
      <w:r>
        <w:t xml:space="preserve">                         Годовой отчет за ____ год</w:t>
      </w:r>
    </w:p>
    <w:p w:rsidR="00C9772F" w:rsidRDefault="00C9772F">
      <w:pPr>
        <w:pStyle w:val="ConsPlusNonformat"/>
        <w:jc w:val="both"/>
      </w:pPr>
      <w:r>
        <w:t xml:space="preserve">                о проведении лотереи ______________________</w:t>
      </w:r>
    </w:p>
    <w:p w:rsidR="00C9772F" w:rsidRDefault="00C9772F">
      <w:pPr>
        <w:pStyle w:val="ConsPlusNonformat"/>
        <w:jc w:val="both"/>
      </w:pPr>
      <w:r>
        <w:t xml:space="preserve">                                      наименование лотереи</w:t>
      </w:r>
    </w:p>
    <w:p w:rsidR="00C9772F" w:rsidRDefault="00C9772F">
      <w:pPr>
        <w:pStyle w:val="ConsPlusNonformat"/>
        <w:jc w:val="both"/>
      </w:pPr>
      <w:r>
        <w:t xml:space="preserve">               _____________________________________________</w:t>
      </w:r>
    </w:p>
    <w:p w:rsidR="00C9772F" w:rsidRDefault="00C9772F">
      <w:pPr>
        <w:pStyle w:val="ConsPlusNonformat"/>
        <w:jc w:val="both"/>
      </w:pPr>
      <w:r>
        <w:t xml:space="preserve">                     наименование оператора лотереи</w:t>
      </w:r>
    </w:p>
    <w:p w:rsidR="00C9772F" w:rsidRDefault="00C9772F">
      <w:pPr>
        <w:pStyle w:val="ConsPlusNormal"/>
        <w:jc w:val="both"/>
      </w:pPr>
    </w:p>
    <w:p w:rsidR="00C9772F" w:rsidRDefault="00C9772F">
      <w:pPr>
        <w:sectPr w:rsidR="00C9772F" w:rsidSect="00700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531"/>
        <w:gridCol w:w="1531"/>
      </w:tblGrid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  <w:r>
              <w:t>В процентах к выручке от проведения лотерей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изготовленных лотерейных билетов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штук)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реализованных лотерейных билетов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штук)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нереализованных лотерейных билетов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штук)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Выручка от проведения лотереи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рублей)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100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Сумма выплаченных выигрышей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рублей)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выплаченных выигрышей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штук)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Сумма невостребованных выигрышей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рублей)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невостребованных выигрышей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(тыс. штук)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Перечислено целевых отчислений от лотереи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перечень социально значимых объектов и мероприятий, на финансирование которых направлены целевые отчисления (тыс. рублей)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Затраты, связанные с проведением лотереи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вознаграждение, выплачиваемое оператору лотереи (тыс. рублей)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выданных лотерейных квитанций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тыс. шт.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  <w:tr w:rsidR="00C9772F">
        <w:tc>
          <w:tcPr>
            <w:tcW w:w="680" w:type="dxa"/>
          </w:tcPr>
          <w:p w:rsidR="00C9772F" w:rsidRDefault="00C977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C9772F" w:rsidRDefault="00C9772F">
            <w:pPr>
              <w:pStyle w:val="ConsPlusNormal"/>
              <w:jc w:val="center"/>
            </w:pPr>
            <w:r>
              <w:t>Количество зарегистрированных электронных лотерейных билетов</w:t>
            </w:r>
          </w:p>
          <w:p w:rsidR="00C9772F" w:rsidRDefault="00C9772F">
            <w:pPr>
              <w:pStyle w:val="ConsPlusNormal"/>
              <w:jc w:val="center"/>
            </w:pPr>
            <w:r>
              <w:t>в том числе:</w:t>
            </w:r>
          </w:p>
          <w:p w:rsidR="00C9772F" w:rsidRDefault="00C9772F">
            <w:pPr>
              <w:pStyle w:val="ConsPlusNormal"/>
              <w:jc w:val="center"/>
            </w:pPr>
            <w:r>
              <w:t>по выпускам (тиражам) тыс. шт.</w:t>
            </w:r>
          </w:p>
        </w:tc>
        <w:tc>
          <w:tcPr>
            <w:tcW w:w="1531" w:type="dxa"/>
          </w:tcPr>
          <w:p w:rsidR="00C9772F" w:rsidRDefault="00C9772F">
            <w:pPr>
              <w:pStyle w:val="ConsPlusNormal"/>
              <w:jc w:val="center"/>
            </w:pPr>
          </w:p>
        </w:tc>
        <w:tc>
          <w:tcPr>
            <w:tcW w:w="1531" w:type="dxa"/>
            <w:vAlign w:val="center"/>
          </w:tcPr>
          <w:p w:rsidR="00C9772F" w:rsidRDefault="00C9772F">
            <w:pPr>
              <w:pStyle w:val="ConsPlusNormal"/>
              <w:jc w:val="center"/>
            </w:pPr>
            <w:r>
              <w:t>X</w:t>
            </w:r>
          </w:p>
        </w:tc>
      </w:tr>
    </w:tbl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ind w:firstLine="540"/>
        <w:jc w:val="both"/>
      </w:pPr>
    </w:p>
    <w:p w:rsidR="00C9772F" w:rsidRDefault="00C97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F51" w:rsidRDefault="00777F51"/>
    <w:sectPr w:rsidR="00777F51" w:rsidSect="00051F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F"/>
    <w:rsid w:val="00777F51"/>
    <w:rsid w:val="00C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7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A0336F69DD0D314DD0BCCE1E6DEF52A6309A53BE1DD5E12D36D3FD3598D9E31867303A9E7918926E965A60F96609CC574F61E43S5M" TargetMode="External"/><Relationship Id="rId13" Type="http://schemas.openxmlformats.org/officeDocument/2006/relationships/hyperlink" Target="consultantplus://offline/ref=413A0336F69DD0D314DD0BCCE1E6DEF5286D04A53EE3DD5E12D36D3FD3598D9E31867307A1ECC5D96AB73CF64BDD6C9CDB68F71D2A44280E46S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3A0336F69DD0D314DD0BCCE1E6DEF5286B08AC39E5DD5E12D36D3FD3598D9E31867303AAB8949C37B169A711896083D976F441SDM" TargetMode="External"/><Relationship Id="rId12" Type="http://schemas.openxmlformats.org/officeDocument/2006/relationships/hyperlink" Target="consultantplus://offline/ref=413A0336F69DD0D314DD0BCCE1E6DEF5286D04A53EE3DD5E12D36D3FD3598D9E31867307A1ECC5D964B73CF64BDD6C9CDB68F71D2A44280E46S4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A0336F69DD0D314DD0BCCE1E6DEF5286D04A53EE3DD5E12D36D3FD3598D9E31867307A1ECC5DA60B73CF64BDD6C9CDB68F71D2A44280E46S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0336F69DD0D314DD0BCCE1E6DEF52A6308A73FE3DD5E12D36D3FD3598D9E31867303AAB8949C37B169A711896083D976F441SDM" TargetMode="External"/><Relationship Id="rId11" Type="http://schemas.openxmlformats.org/officeDocument/2006/relationships/hyperlink" Target="consultantplus://offline/ref=413A0336F69DD0D314DD0BCCE1E6DEF5286D04A53EE3DD5E12D36D3FD3598D9E31867307A1ECC5D966B73CF64BDD6C9CDB68F71D2A44280E46S4M" TargetMode="External"/><Relationship Id="rId5" Type="http://schemas.openxmlformats.org/officeDocument/2006/relationships/hyperlink" Target="consultantplus://offline/ref=6C51E03275F07A07F50E53881BB38FC95DBF840C55E30AA1084CAAA28119085550D7ED51DB59CDE4F863C1CCF3E0D81CF32F0E1750159E9E3FS8M" TargetMode="External"/><Relationship Id="rId15" Type="http://schemas.openxmlformats.org/officeDocument/2006/relationships/hyperlink" Target="consultantplus://offline/ref=413A0336F69DD0D314DD0BCCE1E6DEF5286D04A53EE3DD5E12D36D3FD3598D9E31867307A1ECC5DA63B73CF64BDD6C9CDB68F71D2A44280E46S4M" TargetMode="External"/><Relationship Id="rId10" Type="http://schemas.openxmlformats.org/officeDocument/2006/relationships/hyperlink" Target="consultantplus://offline/ref=413A0336F69DD0D314DD0BCCE1E6DEF5286D04A53EE3DD5E12D36D3FD3598D9E31867307A1ECC5D960B73CF64BDD6C9CDB68F71D2A44280E46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A0336F69DD0D314DD0BCCE1E6DEF5286D04A53EE3DD5E12D36D3FD3598D9E31867307A1ECC5D962B73CF64BDD6C9CDB68F71D2A44280E46S4M" TargetMode="External"/><Relationship Id="rId14" Type="http://schemas.openxmlformats.org/officeDocument/2006/relationships/hyperlink" Target="consultantplus://offline/ref=413A0336F69DD0D314DD0BCCE1E6DEF5286D04A53EE3DD5E12D36D3FD3598D9E31867307A1ECC5D96BB73CF64BDD6C9CDB68F71D2A44280E46S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Зарегистрировано в Минюсте России 12 мая 2011 г. N 20729</vt:lpstr>
      <vt:lpstr>Приложение</vt:lpstr>
      <vt:lpstr>    Приложение</vt:lpstr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2021-11-10T12:18:00Z</dcterms:created>
  <dcterms:modified xsi:type="dcterms:W3CDTF">2021-11-10T12:19:00Z</dcterms:modified>
</cp:coreProperties>
</file>