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76" w:rsidRDefault="00C95176">
      <w:pPr>
        <w:pStyle w:val="ConsPlusNormal"/>
        <w:jc w:val="both"/>
        <w:outlineLvl w:val="0"/>
      </w:pPr>
      <w:bookmarkStart w:id="0" w:name="_GoBack"/>
      <w:bookmarkEnd w:id="0"/>
    </w:p>
    <w:p w:rsidR="00C95176" w:rsidRDefault="00C95176">
      <w:pPr>
        <w:pStyle w:val="ConsPlusNormal"/>
        <w:outlineLvl w:val="0"/>
      </w:pPr>
      <w:r>
        <w:t>Зарегистрировано в Минюсте России 3 ноября 2016 г. N 44236</w:t>
      </w:r>
    </w:p>
    <w:p w:rsidR="00C95176" w:rsidRDefault="00C95176">
      <w:pPr>
        <w:pStyle w:val="ConsPlusNormal"/>
        <w:pBdr>
          <w:top w:val="single" w:sz="6" w:space="0" w:color="auto"/>
        </w:pBdr>
        <w:spacing w:before="100" w:after="100"/>
        <w:jc w:val="both"/>
        <w:rPr>
          <w:sz w:val="2"/>
          <w:szCs w:val="2"/>
        </w:rPr>
      </w:pPr>
    </w:p>
    <w:p w:rsidR="00C95176" w:rsidRDefault="00C95176">
      <w:pPr>
        <w:pStyle w:val="ConsPlusNormal"/>
        <w:jc w:val="both"/>
      </w:pPr>
    </w:p>
    <w:p w:rsidR="00C95176" w:rsidRDefault="00C95176">
      <w:pPr>
        <w:pStyle w:val="ConsPlusTitle"/>
        <w:jc w:val="center"/>
      </w:pPr>
      <w:r>
        <w:t>МИНИСТЕРСТВО ФИНАНСОВ РОССИЙСКОЙ ФЕДЕРАЦИИ</w:t>
      </w:r>
    </w:p>
    <w:p w:rsidR="00C95176" w:rsidRDefault="00C95176">
      <w:pPr>
        <w:pStyle w:val="ConsPlusTitle"/>
        <w:jc w:val="center"/>
      </w:pPr>
    </w:p>
    <w:p w:rsidR="00C95176" w:rsidRDefault="00C95176">
      <w:pPr>
        <w:pStyle w:val="ConsPlusTitle"/>
        <w:jc w:val="center"/>
      </w:pPr>
      <w:r>
        <w:t>ПРИКАЗ</w:t>
      </w:r>
    </w:p>
    <w:p w:rsidR="00C95176" w:rsidRDefault="00C95176">
      <w:pPr>
        <w:pStyle w:val="ConsPlusTitle"/>
        <w:jc w:val="center"/>
      </w:pPr>
      <w:r>
        <w:t>от 8 сентября 2016 г. N 153н</w:t>
      </w:r>
    </w:p>
    <w:p w:rsidR="00C95176" w:rsidRDefault="00C95176">
      <w:pPr>
        <w:pStyle w:val="ConsPlusTitle"/>
        <w:jc w:val="center"/>
      </w:pPr>
    </w:p>
    <w:p w:rsidR="00C95176" w:rsidRDefault="00C95176">
      <w:pPr>
        <w:pStyle w:val="ConsPlusTitle"/>
        <w:jc w:val="center"/>
      </w:pPr>
      <w:r>
        <w:t>ОБ УТВЕРЖДЕНИИ ПОРЯДКА</w:t>
      </w:r>
    </w:p>
    <w:p w:rsidR="00C95176" w:rsidRDefault="00C95176">
      <w:pPr>
        <w:pStyle w:val="ConsPlusTitle"/>
        <w:jc w:val="center"/>
      </w:pPr>
      <w:r>
        <w:t>ПРЕДОСТАВЛЕНИЯ И СОДЕРЖАНИЯ ОТЧЕТНОСТИ ОРГАНАМИ УПРАВЛЕНИЯ</w:t>
      </w:r>
    </w:p>
    <w:p w:rsidR="00C95176" w:rsidRDefault="00C95176">
      <w:pPr>
        <w:pStyle w:val="ConsPlusTitle"/>
        <w:jc w:val="center"/>
      </w:pPr>
      <w:r>
        <w:t>ИГОРНЫХ ЗОН</w:t>
      </w:r>
    </w:p>
    <w:p w:rsidR="00C95176" w:rsidRDefault="00C95176">
      <w:pPr>
        <w:pStyle w:val="ConsPlusNormal"/>
        <w:jc w:val="both"/>
      </w:pPr>
    </w:p>
    <w:p w:rsidR="00C95176" w:rsidRDefault="00C95176">
      <w:pPr>
        <w:pStyle w:val="ConsPlusNormal"/>
        <w:ind w:firstLine="540"/>
        <w:jc w:val="both"/>
      </w:pPr>
      <w:r>
        <w:t xml:space="preserve">В соответствии с </w:t>
      </w:r>
      <w:hyperlink r:id="rId5" w:history="1">
        <w:r>
          <w:rPr>
            <w:color w:val="0000FF"/>
          </w:rPr>
          <w:t>частью 5 статьи 10</w:t>
        </w:r>
      </w:hyperlink>
      <w:r>
        <w:t xml:space="preserve"> Федерального закона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2011, N 30, ст. 4590) и </w:t>
      </w:r>
      <w:hyperlink r:id="rId6" w:history="1">
        <w:r>
          <w:rPr>
            <w:color w:val="0000FF"/>
          </w:rPr>
          <w:t>подпунктом 5.2.25(1)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2013, N 36, ст. 4578), приказываю:</w:t>
      </w:r>
    </w:p>
    <w:p w:rsidR="00C95176" w:rsidRDefault="00C95176">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предоставления и содержание отчетности органами управления игорных зон.</w:t>
      </w:r>
    </w:p>
    <w:p w:rsidR="00C95176" w:rsidRDefault="00C95176">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финансов Российской Федерации от 25 мая 2007 г. N 45н "О Порядке предоставления и содержании отчетности органами управления игорных зон" (зарегистрирован в Министерстве юстиции Российской Федерации 19 июня 2007 г., регистрационный N 9665).</w:t>
      </w:r>
    </w:p>
    <w:p w:rsidR="00C95176" w:rsidRDefault="00C95176">
      <w:pPr>
        <w:pStyle w:val="ConsPlusNormal"/>
        <w:jc w:val="both"/>
      </w:pPr>
    </w:p>
    <w:p w:rsidR="00C95176" w:rsidRDefault="00C95176">
      <w:pPr>
        <w:pStyle w:val="ConsPlusNormal"/>
        <w:jc w:val="right"/>
      </w:pPr>
      <w:r>
        <w:t>Министр</w:t>
      </w:r>
    </w:p>
    <w:p w:rsidR="00C95176" w:rsidRDefault="00C95176">
      <w:pPr>
        <w:pStyle w:val="ConsPlusNormal"/>
        <w:jc w:val="right"/>
      </w:pPr>
      <w:r>
        <w:t>А.Г.СИЛУАНОВ</w:t>
      </w: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right"/>
        <w:outlineLvl w:val="0"/>
      </w:pPr>
      <w:r>
        <w:t>Приложение</w:t>
      </w:r>
    </w:p>
    <w:p w:rsidR="00C95176" w:rsidRDefault="00C95176">
      <w:pPr>
        <w:pStyle w:val="ConsPlusNormal"/>
        <w:jc w:val="right"/>
      </w:pPr>
      <w:r>
        <w:t>к приказу Министерства финансов</w:t>
      </w:r>
    </w:p>
    <w:p w:rsidR="00C95176" w:rsidRDefault="00C95176">
      <w:pPr>
        <w:pStyle w:val="ConsPlusNormal"/>
        <w:jc w:val="right"/>
      </w:pPr>
      <w:r>
        <w:t>Российской Федерации</w:t>
      </w:r>
    </w:p>
    <w:p w:rsidR="00C95176" w:rsidRDefault="00C95176">
      <w:pPr>
        <w:pStyle w:val="ConsPlusNormal"/>
        <w:jc w:val="right"/>
      </w:pPr>
      <w:r>
        <w:t>от 08.09.2016 N 153н</w:t>
      </w:r>
    </w:p>
    <w:p w:rsidR="00C95176" w:rsidRDefault="00C95176">
      <w:pPr>
        <w:pStyle w:val="ConsPlusNormal"/>
        <w:jc w:val="both"/>
      </w:pPr>
    </w:p>
    <w:p w:rsidR="00C95176" w:rsidRDefault="00C95176">
      <w:pPr>
        <w:pStyle w:val="ConsPlusTitle"/>
        <w:jc w:val="center"/>
      </w:pPr>
      <w:bookmarkStart w:id="1" w:name="P29"/>
      <w:bookmarkEnd w:id="1"/>
      <w:r>
        <w:t>ПОРЯДОК</w:t>
      </w:r>
    </w:p>
    <w:p w:rsidR="00C95176" w:rsidRDefault="00C95176">
      <w:pPr>
        <w:pStyle w:val="ConsPlusTitle"/>
        <w:jc w:val="center"/>
      </w:pPr>
      <w:r>
        <w:t>ПРЕДОСТАВЛЕНИЯ И СОДЕРЖАНИЕ ОТЧЕТНОСТИ ОРГАНАМИ УПРАВЛЕНИЯ</w:t>
      </w:r>
    </w:p>
    <w:p w:rsidR="00C95176" w:rsidRDefault="00C95176">
      <w:pPr>
        <w:pStyle w:val="ConsPlusTitle"/>
        <w:jc w:val="center"/>
      </w:pPr>
      <w:r>
        <w:t>ИГОРНЫХ ЗОН</w:t>
      </w:r>
    </w:p>
    <w:p w:rsidR="00C95176" w:rsidRDefault="00C95176">
      <w:pPr>
        <w:pStyle w:val="ConsPlusNormal"/>
        <w:jc w:val="both"/>
      </w:pPr>
    </w:p>
    <w:p w:rsidR="00C95176" w:rsidRDefault="00C95176">
      <w:pPr>
        <w:pStyle w:val="ConsPlusNormal"/>
        <w:ind w:firstLine="540"/>
        <w:jc w:val="both"/>
      </w:pPr>
      <w:r>
        <w:t>Настоящий Порядок устанавливает правила предоставления отчетности органами управления игорных зон, а также требования, предъявляемые к содержанию отчетности.</w:t>
      </w:r>
    </w:p>
    <w:p w:rsidR="00C95176" w:rsidRDefault="00C95176">
      <w:pPr>
        <w:pStyle w:val="ConsPlusNormal"/>
        <w:spacing w:before="220"/>
        <w:ind w:firstLine="540"/>
        <w:jc w:val="both"/>
      </w:pPr>
      <w:r>
        <w:t>Отчетность предоставляется органами управления игорных зон в Министерство финансов Российской Федерации и налоговые органы по месту установки игрового стола и (или) игрового автомата (месту нахождения пункта приема ставок букмекерской конторы или пункта приема ставок тотализатора, процессингового центра букмекерской конторы или процессингового центра тотализатора) (далее - налоговые органы).</w:t>
      </w:r>
    </w:p>
    <w:p w:rsidR="00C95176" w:rsidRDefault="00C95176">
      <w:pPr>
        <w:pStyle w:val="ConsPlusNormal"/>
        <w:spacing w:before="220"/>
        <w:ind w:firstLine="540"/>
        <w:jc w:val="both"/>
      </w:pPr>
      <w:proofErr w:type="gramStart"/>
      <w:r>
        <w:lastRenderedPageBreak/>
        <w:t xml:space="preserve">Отчетность предоставляется ежемесячно по состоянию на последний день отчетного месяца в срок не позднее 15 календарных дней по истечении срока представления сведений организатором азартных игр в орган управления игорной зоной, установленного </w:t>
      </w:r>
      <w:hyperlink r:id="rId8" w:history="1">
        <w:r>
          <w:rPr>
            <w:color w:val="0000FF"/>
          </w:rPr>
          <w:t>пунктом 4</w:t>
        </w:r>
      </w:hyperlink>
      <w:r>
        <w:t xml:space="preserve"> Правил представления организатором азартных игр сведений, необходимых для осуществления контроля за соблюдением законодательства о государственном регулировании деятельности по организации и проведению азартных игр, утвержденных постановлением Правительства Российской</w:t>
      </w:r>
      <w:proofErr w:type="gramEnd"/>
      <w:r>
        <w:t xml:space="preserve"> Федерации от 23 августа 2007 г. N 540 (Собрание законодательства Российской Федерации, 2007, N 35, ст. 4323; 2010, N 49, ст. 6525; 2013, N 16, ст. 1951; N 51, ст. 6882; 2015, N 28, ст. 4225; N 48, ст. 6840; 2016, N 28, ст. 4747).</w:t>
      </w:r>
    </w:p>
    <w:p w:rsidR="00C95176" w:rsidRDefault="00C95176">
      <w:pPr>
        <w:pStyle w:val="ConsPlusNormal"/>
        <w:spacing w:before="220"/>
        <w:ind w:firstLine="540"/>
        <w:jc w:val="both"/>
      </w:pPr>
      <w:r>
        <w:t xml:space="preserve">Отчетность составляется по рекомендуемому образцу согласно </w:t>
      </w:r>
      <w:hyperlink w:anchor="P70" w:history="1">
        <w:r>
          <w:rPr>
            <w:color w:val="0000FF"/>
          </w:rPr>
          <w:t>приложению</w:t>
        </w:r>
      </w:hyperlink>
      <w:r>
        <w:t xml:space="preserve"> к настоящему Порядку.</w:t>
      </w:r>
    </w:p>
    <w:p w:rsidR="00C95176" w:rsidRDefault="00C95176">
      <w:pPr>
        <w:pStyle w:val="ConsPlusNormal"/>
        <w:spacing w:before="220"/>
        <w:ind w:firstLine="540"/>
        <w:jc w:val="both"/>
      </w:pPr>
      <w:r>
        <w:t>В отчетности указывается следующая информация:</w:t>
      </w:r>
    </w:p>
    <w:p w:rsidR="00C95176" w:rsidRDefault="00C95176">
      <w:pPr>
        <w:pStyle w:val="ConsPlusNormal"/>
        <w:spacing w:before="220"/>
        <w:ind w:firstLine="540"/>
        <w:jc w:val="both"/>
      </w:pPr>
      <w:r>
        <w:t xml:space="preserve">в </w:t>
      </w:r>
      <w:hyperlink w:anchor="P107" w:history="1">
        <w:r>
          <w:rPr>
            <w:color w:val="0000FF"/>
          </w:rPr>
          <w:t>графе 1</w:t>
        </w:r>
      </w:hyperlink>
      <w:r>
        <w:t xml:space="preserve"> - порядковые номера;</w:t>
      </w:r>
    </w:p>
    <w:p w:rsidR="00C95176" w:rsidRDefault="00C95176">
      <w:pPr>
        <w:pStyle w:val="ConsPlusNormal"/>
        <w:spacing w:before="220"/>
        <w:ind w:firstLine="540"/>
        <w:jc w:val="both"/>
      </w:pPr>
      <w:r>
        <w:t xml:space="preserve">в </w:t>
      </w:r>
      <w:hyperlink w:anchor="P108" w:history="1">
        <w:r>
          <w:rPr>
            <w:color w:val="0000FF"/>
          </w:rPr>
          <w:t>графе 2</w:t>
        </w:r>
      </w:hyperlink>
      <w:r>
        <w:t xml:space="preserve"> - полное наименование организатора азартных игр, номер и дата разрешения на осуществление деятельности по организации и проведению азартных игр в игорной зоне;</w:t>
      </w:r>
    </w:p>
    <w:p w:rsidR="00C95176" w:rsidRDefault="00C95176">
      <w:pPr>
        <w:pStyle w:val="ConsPlusNormal"/>
        <w:spacing w:before="220"/>
        <w:ind w:firstLine="540"/>
        <w:jc w:val="both"/>
      </w:pPr>
      <w:r>
        <w:t xml:space="preserve">в </w:t>
      </w:r>
      <w:hyperlink w:anchor="P109" w:history="1">
        <w:r>
          <w:rPr>
            <w:color w:val="0000FF"/>
          </w:rPr>
          <w:t>графе 3</w:t>
        </w:r>
      </w:hyperlink>
      <w:r>
        <w:t xml:space="preserve"> - стоимость чистых активов организатора азартных игр;</w:t>
      </w:r>
    </w:p>
    <w:p w:rsidR="00C95176" w:rsidRDefault="00C95176">
      <w:pPr>
        <w:pStyle w:val="ConsPlusNormal"/>
        <w:spacing w:before="220"/>
        <w:ind w:firstLine="540"/>
        <w:jc w:val="both"/>
      </w:pPr>
      <w:r>
        <w:t xml:space="preserve">в </w:t>
      </w:r>
      <w:hyperlink w:anchor="P110" w:history="1">
        <w:r>
          <w:rPr>
            <w:color w:val="0000FF"/>
          </w:rPr>
          <w:t>графе 4</w:t>
        </w:r>
      </w:hyperlink>
      <w:r>
        <w:t xml:space="preserve"> - площадь земельных участков, расположенных в игорных зонах, переданных в аренду организаторам азартных игр;</w:t>
      </w:r>
    </w:p>
    <w:p w:rsidR="00C95176" w:rsidRDefault="00C95176">
      <w:pPr>
        <w:pStyle w:val="ConsPlusNormal"/>
        <w:spacing w:before="220"/>
        <w:ind w:firstLine="540"/>
        <w:jc w:val="both"/>
      </w:pPr>
      <w:r>
        <w:t xml:space="preserve">в </w:t>
      </w:r>
      <w:hyperlink w:anchor="P111" w:history="1">
        <w:r>
          <w:rPr>
            <w:color w:val="0000FF"/>
          </w:rPr>
          <w:t>графе 5</w:t>
        </w:r>
      </w:hyperlink>
      <w:r>
        <w:t xml:space="preserve"> - площадь земельных участков, расположенных в игорных зонах, переданных в собственность организаторам азартных игр;</w:t>
      </w:r>
    </w:p>
    <w:p w:rsidR="00C95176" w:rsidRDefault="00C95176">
      <w:pPr>
        <w:pStyle w:val="ConsPlusNormal"/>
        <w:spacing w:before="220"/>
        <w:ind w:firstLine="540"/>
        <w:jc w:val="both"/>
      </w:pPr>
      <w:r>
        <w:t xml:space="preserve">в </w:t>
      </w:r>
      <w:hyperlink w:anchor="P112" w:history="1">
        <w:r>
          <w:rPr>
            <w:color w:val="0000FF"/>
          </w:rPr>
          <w:t>графах 6</w:t>
        </w:r>
      </w:hyperlink>
      <w:r>
        <w:t xml:space="preserve">, </w:t>
      </w:r>
      <w:hyperlink w:anchor="P113" w:history="1">
        <w:r>
          <w:rPr>
            <w:color w:val="0000FF"/>
          </w:rPr>
          <w:t>7</w:t>
        </w:r>
      </w:hyperlink>
      <w:r>
        <w:t xml:space="preserve">, </w:t>
      </w:r>
      <w:hyperlink w:anchor="P114" w:history="1">
        <w:r>
          <w:rPr>
            <w:color w:val="0000FF"/>
          </w:rPr>
          <w:t>8</w:t>
        </w:r>
      </w:hyperlink>
      <w:r>
        <w:t xml:space="preserve">, </w:t>
      </w:r>
      <w:hyperlink w:anchor="P115" w:history="1">
        <w:r>
          <w:rPr>
            <w:color w:val="0000FF"/>
          </w:rPr>
          <w:t>9</w:t>
        </w:r>
      </w:hyperlink>
      <w:r>
        <w:t xml:space="preserve">, </w:t>
      </w:r>
      <w:hyperlink w:anchor="P116" w:history="1">
        <w:r>
          <w:rPr>
            <w:color w:val="0000FF"/>
          </w:rPr>
          <w:t>10</w:t>
        </w:r>
      </w:hyperlink>
      <w:r>
        <w:t xml:space="preserve">, </w:t>
      </w:r>
      <w:hyperlink w:anchor="P117" w:history="1">
        <w:r>
          <w:rPr>
            <w:color w:val="0000FF"/>
          </w:rPr>
          <w:t>11</w:t>
        </w:r>
      </w:hyperlink>
      <w:r>
        <w:t xml:space="preserve"> - количество игорных заведений, в которых осуществляется деятельность по организации и проведению азартных игр (в том числе филиалы или иные места осуществления деятельности по организации и проведению азартных игр) данного организатора азартных игр;</w:t>
      </w:r>
    </w:p>
    <w:p w:rsidR="00C95176" w:rsidRDefault="00C95176">
      <w:pPr>
        <w:pStyle w:val="ConsPlusNormal"/>
        <w:spacing w:before="220"/>
        <w:ind w:firstLine="540"/>
        <w:jc w:val="both"/>
      </w:pPr>
      <w:r>
        <w:t xml:space="preserve">в </w:t>
      </w:r>
      <w:hyperlink w:anchor="P118" w:history="1">
        <w:r>
          <w:rPr>
            <w:color w:val="0000FF"/>
          </w:rPr>
          <w:t>графах 12</w:t>
        </w:r>
      </w:hyperlink>
      <w:r>
        <w:t xml:space="preserve"> и </w:t>
      </w:r>
      <w:hyperlink w:anchor="P119" w:history="1">
        <w:r>
          <w:rPr>
            <w:color w:val="0000FF"/>
          </w:rPr>
          <w:t>13</w:t>
        </w:r>
      </w:hyperlink>
      <w:r>
        <w:t xml:space="preserve"> - количество игрового оборудования, используемого для проведения азартных игр данным организатором азартных игр;</w:t>
      </w:r>
    </w:p>
    <w:p w:rsidR="00C95176" w:rsidRDefault="00C95176">
      <w:pPr>
        <w:pStyle w:val="ConsPlusNormal"/>
        <w:spacing w:before="220"/>
        <w:ind w:firstLine="540"/>
        <w:jc w:val="both"/>
      </w:pPr>
      <w:r>
        <w:t xml:space="preserve">в </w:t>
      </w:r>
      <w:hyperlink w:anchor="P120" w:history="1">
        <w:r>
          <w:rPr>
            <w:color w:val="0000FF"/>
          </w:rPr>
          <w:t>графе 14</w:t>
        </w:r>
      </w:hyperlink>
      <w:r>
        <w:t xml:space="preserve"> - фактическое количество работников организатора азартных игр;</w:t>
      </w:r>
    </w:p>
    <w:p w:rsidR="00C95176" w:rsidRDefault="00C95176">
      <w:pPr>
        <w:pStyle w:val="ConsPlusNormal"/>
        <w:spacing w:before="220"/>
        <w:ind w:firstLine="540"/>
        <w:jc w:val="both"/>
      </w:pPr>
      <w:r>
        <w:t xml:space="preserve">в </w:t>
      </w:r>
      <w:hyperlink w:anchor="P121" w:history="1">
        <w:r>
          <w:rPr>
            <w:color w:val="0000FF"/>
          </w:rPr>
          <w:t>графе 15</w:t>
        </w:r>
      </w:hyperlink>
      <w:r>
        <w:t xml:space="preserve"> - количество посетителей игорного заведения за отчетный период;</w:t>
      </w:r>
    </w:p>
    <w:p w:rsidR="00C95176" w:rsidRDefault="00C95176">
      <w:pPr>
        <w:pStyle w:val="ConsPlusNormal"/>
        <w:spacing w:before="220"/>
        <w:ind w:firstLine="540"/>
        <w:jc w:val="both"/>
      </w:pPr>
      <w:r>
        <w:t xml:space="preserve">в </w:t>
      </w:r>
      <w:hyperlink w:anchor="P122" w:history="1">
        <w:r>
          <w:rPr>
            <w:color w:val="0000FF"/>
          </w:rPr>
          <w:t>графах 16</w:t>
        </w:r>
      </w:hyperlink>
      <w:r>
        <w:t xml:space="preserve">, </w:t>
      </w:r>
      <w:hyperlink w:anchor="P123" w:history="1">
        <w:r>
          <w:rPr>
            <w:color w:val="0000FF"/>
          </w:rPr>
          <w:t>17</w:t>
        </w:r>
      </w:hyperlink>
      <w:r>
        <w:t xml:space="preserve">, </w:t>
      </w:r>
      <w:hyperlink w:anchor="P124" w:history="1">
        <w:r>
          <w:rPr>
            <w:color w:val="0000FF"/>
          </w:rPr>
          <w:t>18</w:t>
        </w:r>
      </w:hyperlink>
      <w:r>
        <w:t xml:space="preserve"> - количество объектов, где оказываются сопутствующие азартным играм услуги;</w:t>
      </w:r>
    </w:p>
    <w:p w:rsidR="00C95176" w:rsidRDefault="00C95176">
      <w:pPr>
        <w:pStyle w:val="ConsPlusNormal"/>
        <w:spacing w:before="220"/>
        <w:ind w:firstLine="540"/>
        <w:jc w:val="both"/>
      </w:pPr>
      <w:r>
        <w:t xml:space="preserve">в </w:t>
      </w:r>
      <w:hyperlink w:anchor="P125" w:history="1">
        <w:r>
          <w:rPr>
            <w:color w:val="0000FF"/>
          </w:rPr>
          <w:t>графе 19</w:t>
        </w:r>
      </w:hyperlink>
      <w:r>
        <w:t xml:space="preserve"> - наименование лотереи, а также наименование оператора распространяемой лотереи;</w:t>
      </w:r>
    </w:p>
    <w:p w:rsidR="00C95176" w:rsidRDefault="00C95176">
      <w:pPr>
        <w:pStyle w:val="ConsPlusNormal"/>
        <w:spacing w:before="220"/>
        <w:ind w:firstLine="540"/>
        <w:jc w:val="both"/>
      </w:pPr>
      <w:r>
        <w:t xml:space="preserve">в </w:t>
      </w:r>
      <w:hyperlink w:anchor="P126" w:history="1">
        <w:r>
          <w:rPr>
            <w:color w:val="0000FF"/>
          </w:rPr>
          <w:t>графе 20</w:t>
        </w:r>
      </w:hyperlink>
      <w:r>
        <w:t xml:space="preserve"> - номер и дата решения об аннулировании разрешения на осуществление деятельности по организации и проведению азартных игр в игорной зоне (при наличии).</w:t>
      </w:r>
    </w:p>
    <w:p w:rsidR="00C95176" w:rsidRDefault="00C95176">
      <w:pPr>
        <w:pStyle w:val="ConsPlusNormal"/>
        <w:spacing w:before="220"/>
        <w:ind w:firstLine="540"/>
        <w:jc w:val="both"/>
      </w:pPr>
      <w:r>
        <w:t>При заполнении отчетности в каждую строку и соответствующие ей графы вписывается только один показатель. В случае отсутствия каких-либо показателей в строке и соответствующей графе ставится прочерк.</w:t>
      </w:r>
    </w:p>
    <w:p w:rsidR="00C95176" w:rsidRDefault="00C95176">
      <w:pPr>
        <w:pStyle w:val="ConsPlusNormal"/>
        <w:spacing w:before="220"/>
        <w:ind w:firstLine="540"/>
        <w:jc w:val="both"/>
      </w:pPr>
      <w:r>
        <w:t>Отчетность направляется в Министерство финансов Российской Федерации и налоговые органы на бумажном носителе или в форме электронного документа с использованием информационно-телекоммуникационных сетей общего пользования, в том числе сети "Интернет".</w:t>
      </w:r>
    </w:p>
    <w:p w:rsidR="00C95176" w:rsidRDefault="00C95176">
      <w:pPr>
        <w:pStyle w:val="ConsPlusNormal"/>
        <w:spacing w:before="220"/>
        <w:ind w:firstLine="540"/>
        <w:jc w:val="both"/>
      </w:pPr>
      <w:r>
        <w:t>Отчетность, предоставляемая на бумажном носителе, подписывается руководителем органа управления игорной зоной (лицом, исполняющим обязанности руководителя) и заверяется печатью (при наличии печати).</w:t>
      </w:r>
    </w:p>
    <w:p w:rsidR="00C95176" w:rsidRDefault="00C95176">
      <w:pPr>
        <w:pStyle w:val="ConsPlusNormal"/>
        <w:spacing w:before="220"/>
        <w:ind w:firstLine="540"/>
        <w:jc w:val="both"/>
      </w:pPr>
      <w:r>
        <w:t>Отчетность, предоставляемая в форме электронного документа, подписывается усиленной квалифицированной электронной подписью руководителем органа управления игорной зоной (лицом, исполняющим обязанности руководителя).</w:t>
      </w: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both"/>
      </w:pPr>
    </w:p>
    <w:p w:rsidR="00C95176" w:rsidRDefault="00C95176">
      <w:pPr>
        <w:pStyle w:val="ConsPlusNormal"/>
        <w:jc w:val="right"/>
        <w:outlineLvl w:val="1"/>
      </w:pPr>
      <w:r>
        <w:t>Приложение</w:t>
      </w:r>
    </w:p>
    <w:p w:rsidR="00C95176" w:rsidRDefault="00C95176">
      <w:pPr>
        <w:pStyle w:val="ConsPlusNormal"/>
        <w:jc w:val="right"/>
      </w:pPr>
      <w:r>
        <w:t>к Порядку предоставления</w:t>
      </w:r>
    </w:p>
    <w:p w:rsidR="00C95176" w:rsidRDefault="00C95176">
      <w:pPr>
        <w:pStyle w:val="ConsPlusNormal"/>
        <w:jc w:val="right"/>
      </w:pPr>
      <w:r>
        <w:t>и содержанию отчетности органами</w:t>
      </w:r>
    </w:p>
    <w:p w:rsidR="00C95176" w:rsidRDefault="00C95176">
      <w:pPr>
        <w:pStyle w:val="ConsPlusNormal"/>
        <w:jc w:val="right"/>
      </w:pPr>
      <w:r>
        <w:t>управления игорных зон,</w:t>
      </w:r>
    </w:p>
    <w:p w:rsidR="00C95176" w:rsidRDefault="00C95176">
      <w:pPr>
        <w:pStyle w:val="ConsPlusNormal"/>
        <w:jc w:val="right"/>
      </w:pPr>
      <w:proofErr w:type="gramStart"/>
      <w:r>
        <w:t>утвержденному</w:t>
      </w:r>
      <w:proofErr w:type="gramEnd"/>
      <w:r>
        <w:t xml:space="preserve"> приказом</w:t>
      </w:r>
    </w:p>
    <w:p w:rsidR="00C95176" w:rsidRDefault="00C95176">
      <w:pPr>
        <w:pStyle w:val="ConsPlusNormal"/>
        <w:jc w:val="right"/>
      </w:pPr>
      <w:r>
        <w:t>Министерства финансов</w:t>
      </w:r>
    </w:p>
    <w:p w:rsidR="00C95176" w:rsidRDefault="00C95176">
      <w:pPr>
        <w:pStyle w:val="ConsPlusNormal"/>
        <w:jc w:val="right"/>
      </w:pPr>
      <w:r>
        <w:t>Российской Федерации</w:t>
      </w:r>
    </w:p>
    <w:p w:rsidR="00C95176" w:rsidRDefault="00C95176">
      <w:pPr>
        <w:pStyle w:val="ConsPlusNormal"/>
        <w:jc w:val="right"/>
      </w:pPr>
      <w:r>
        <w:t>от 8 сентября 2016 г. N 153н</w:t>
      </w:r>
    </w:p>
    <w:p w:rsidR="00C95176" w:rsidRDefault="00C95176">
      <w:pPr>
        <w:pStyle w:val="ConsPlusNormal"/>
        <w:jc w:val="both"/>
      </w:pPr>
    </w:p>
    <w:p w:rsidR="00C95176" w:rsidRDefault="00C95176">
      <w:pPr>
        <w:pStyle w:val="ConsPlusNormal"/>
        <w:jc w:val="right"/>
      </w:pPr>
      <w:r>
        <w:t>(рекомендуемый образец)</w:t>
      </w:r>
    </w:p>
    <w:p w:rsidR="00C95176" w:rsidRDefault="00C95176">
      <w:pPr>
        <w:pStyle w:val="ConsPlusNormal"/>
        <w:jc w:val="both"/>
      </w:pPr>
    </w:p>
    <w:p w:rsidR="00C95176" w:rsidRDefault="00C95176">
      <w:pPr>
        <w:pStyle w:val="ConsPlusNonformat"/>
        <w:jc w:val="both"/>
      </w:pPr>
      <w:bookmarkStart w:id="2" w:name="P70"/>
      <w:bookmarkEnd w:id="2"/>
      <w:r>
        <w:t xml:space="preserve">                   Отчет органов управления игорной зоны</w:t>
      </w:r>
    </w:p>
    <w:p w:rsidR="00C95176" w:rsidRDefault="00C95176">
      <w:pPr>
        <w:pStyle w:val="ConsPlusNonformat"/>
        <w:jc w:val="both"/>
      </w:pPr>
    </w:p>
    <w:p w:rsidR="00C95176" w:rsidRDefault="00C95176">
      <w:pPr>
        <w:pStyle w:val="ConsPlusNonformat"/>
        <w:jc w:val="both"/>
      </w:pPr>
      <w:r>
        <w:t>на "__" ________ 20__ года</w:t>
      </w:r>
    </w:p>
    <w:p w:rsidR="00C95176" w:rsidRDefault="00C95176">
      <w:pPr>
        <w:pStyle w:val="ConsPlusNonformat"/>
        <w:jc w:val="both"/>
      </w:pPr>
    </w:p>
    <w:p w:rsidR="00C95176" w:rsidRDefault="00C95176">
      <w:pPr>
        <w:pStyle w:val="ConsPlusNonformat"/>
        <w:jc w:val="both"/>
      </w:pPr>
      <w:r>
        <w:t>Предоставляется органом управления игорной зоны ___________________________</w:t>
      </w:r>
    </w:p>
    <w:p w:rsidR="00C95176" w:rsidRDefault="00C95176">
      <w:pPr>
        <w:pStyle w:val="ConsPlusNonformat"/>
        <w:jc w:val="both"/>
      </w:pPr>
      <w:r>
        <w:t xml:space="preserve">                                                (наименование игорной зоны)</w:t>
      </w:r>
    </w:p>
    <w:p w:rsidR="00C95176" w:rsidRDefault="00C95176">
      <w:pPr>
        <w:pStyle w:val="ConsPlusNonformat"/>
        <w:jc w:val="both"/>
      </w:pPr>
      <w:r>
        <w:t>Адрес _____________________________________________________________________</w:t>
      </w:r>
    </w:p>
    <w:p w:rsidR="00C95176" w:rsidRDefault="00C95176">
      <w:pPr>
        <w:pStyle w:val="ConsPlusNonformat"/>
        <w:jc w:val="both"/>
      </w:pPr>
      <w:r>
        <w:t xml:space="preserve">        </w:t>
      </w:r>
      <w:proofErr w:type="gramStart"/>
      <w:r>
        <w:t>(адрес в пределах места нахождения органа управления игорной зоны</w:t>
      </w:r>
      <w:proofErr w:type="gramEnd"/>
    </w:p>
    <w:p w:rsidR="00C95176" w:rsidRDefault="00C95176">
      <w:pPr>
        <w:pStyle w:val="ConsPlusNonformat"/>
        <w:jc w:val="both"/>
      </w:pPr>
      <w:r>
        <w:t xml:space="preserve">             </w:t>
      </w:r>
      <w:proofErr w:type="gramStart"/>
      <w:r>
        <w:t>(адрес юридического лица в пределах места нахождения</w:t>
      </w:r>
      <w:proofErr w:type="gramEnd"/>
    </w:p>
    <w:p w:rsidR="00C95176" w:rsidRDefault="00C95176">
      <w:pPr>
        <w:pStyle w:val="ConsPlusNonformat"/>
        <w:jc w:val="both"/>
      </w:pPr>
      <w:r>
        <w:t xml:space="preserve">                               юридического лица)</w:t>
      </w:r>
    </w:p>
    <w:p w:rsidR="00C95176" w:rsidRDefault="00C95176">
      <w:pPr>
        <w:pStyle w:val="ConsPlusNormal"/>
        <w:jc w:val="both"/>
      </w:pPr>
    </w:p>
    <w:p w:rsidR="00C95176" w:rsidRDefault="00C95176">
      <w:pPr>
        <w:sectPr w:rsidR="00C95176" w:rsidSect="008E3DF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426"/>
        <w:gridCol w:w="850"/>
        <w:gridCol w:w="859"/>
        <w:gridCol w:w="964"/>
        <w:gridCol w:w="737"/>
        <w:gridCol w:w="737"/>
        <w:gridCol w:w="850"/>
        <w:gridCol w:w="850"/>
        <w:gridCol w:w="677"/>
        <w:gridCol w:w="850"/>
        <w:gridCol w:w="715"/>
        <w:gridCol w:w="710"/>
        <w:gridCol w:w="680"/>
        <w:gridCol w:w="850"/>
        <w:gridCol w:w="737"/>
        <w:gridCol w:w="794"/>
        <w:gridCol w:w="907"/>
        <w:gridCol w:w="2721"/>
        <w:gridCol w:w="964"/>
      </w:tblGrid>
      <w:tr w:rsidR="00C95176">
        <w:tc>
          <w:tcPr>
            <w:tcW w:w="557" w:type="dxa"/>
            <w:vMerge w:val="restart"/>
          </w:tcPr>
          <w:p w:rsidR="00C95176" w:rsidRDefault="00C95176">
            <w:pPr>
              <w:pStyle w:val="ConsPlusNormal"/>
              <w:jc w:val="center"/>
            </w:pPr>
            <w:r>
              <w:t xml:space="preserve">N </w:t>
            </w:r>
            <w:proofErr w:type="gramStart"/>
            <w:r>
              <w:t>п</w:t>
            </w:r>
            <w:proofErr w:type="gramEnd"/>
            <w:r>
              <w:t>/п</w:t>
            </w:r>
          </w:p>
        </w:tc>
        <w:tc>
          <w:tcPr>
            <w:tcW w:w="1426" w:type="dxa"/>
            <w:vMerge w:val="restart"/>
          </w:tcPr>
          <w:p w:rsidR="00C95176" w:rsidRDefault="00C95176">
            <w:pPr>
              <w:pStyle w:val="ConsPlusNormal"/>
              <w:jc w:val="center"/>
            </w:pPr>
            <w:r>
              <w:t>Наименование организатора азартных игр (юридического лица), номер и дата разрешения</w:t>
            </w:r>
          </w:p>
        </w:tc>
        <w:tc>
          <w:tcPr>
            <w:tcW w:w="850" w:type="dxa"/>
            <w:vMerge w:val="restart"/>
          </w:tcPr>
          <w:p w:rsidR="00C95176" w:rsidRDefault="00C95176">
            <w:pPr>
              <w:pStyle w:val="ConsPlusNormal"/>
              <w:jc w:val="center"/>
            </w:pPr>
            <w:r>
              <w:t>Стоимость чистых активов (млн. руб.)</w:t>
            </w:r>
          </w:p>
        </w:tc>
        <w:tc>
          <w:tcPr>
            <w:tcW w:w="1823" w:type="dxa"/>
            <w:gridSpan w:val="2"/>
          </w:tcPr>
          <w:p w:rsidR="00C95176" w:rsidRDefault="00C95176">
            <w:pPr>
              <w:pStyle w:val="ConsPlusNormal"/>
              <w:jc w:val="center"/>
            </w:pPr>
            <w:r>
              <w:t>Площадь земельных участков, расположенных в игорных зонах, переданных в собственность или аренду (кв. м)</w:t>
            </w:r>
          </w:p>
        </w:tc>
        <w:tc>
          <w:tcPr>
            <w:tcW w:w="4701" w:type="dxa"/>
            <w:gridSpan w:val="6"/>
          </w:tcPr>
          <w:p w:rsidR="00C95176" w:rsidRDefault="00C95176">
            <w:pPr>
              <w:pStyle w:val="ConsPlusNormal"/>
              <w:jc w:val="center"/>
            </w:pPr>
            <w:r>
              <w:t>Игорные заведения</w:t>
            </w:r>
          </w:p>
        </w:tc>
        <w:tc>
          <w:tcPr>
            <w:tcW w:w="1425" w:type="dxa"/>
            <w:gridSpan w:val="2"/>
          </w:tcPr>
          <w:p w:rsidR="00C95176" w:rsidRDefault="00C95176">
            <w:pPr>
              <w:pStyle w:val="ConsPlusNormal"/>
              <w:jc w:val="center"/>
            </w:pPr>
            <w:r>
              <w:t>Игровое оборудование</w:t>
            </w:r>
          </w:p>
        </w:tc>
        <w:tc>
          <w:tcPr>
            <w:tcW w:w="680" w:type="dxa"/>
            <w:vMerge w:val="restart"/>
          </w:tcPr>
          <w:p w:rsidR="00C95176" w:rsidRDefault="00C95176">
            <w:pPr>
              <w:pStyle w:val="ConsPlusNormal"/>
              <w:jc w:val="center"/>
            </w:pPr>
            <w:r>
              <w:t>Персонал</w:t>
            </w:r>
          </w:p>
        </w:tc>
        <w:tc>
          <w:tcPr>
            <w:tcW w:w="850" w:type="dxa"/>
            <w:vMerge w:val="restart"/>
          </w:tcPr>
          <w:p w:rsidR="00C95176" w:rsidRDefault="00C95176">
            <w:pPr>
              <w:pStyle w:val="ConsPlusNormal"/>
              <w:jc w:val="center"/>
            </w:pPr>
            <w:r>
              <w:t>Количество посетителей игорного заведения</w:t>
            </w:r>
          </w:p>
        </w:tc>
        <w:tc>
          <w:tcPr>
            <w:tcW w:w="5159" w:type="dxa"/>
            <w:gridSpan w:val="4"/>
          </w:tcPr>
          <w:p w:rsidR="00C95176" w:rsidRDefault="00C95176">
            <w:pPr>
              <w:pStyle w:val="ConsPlusNormal"/>
              <w:jc w:val="center"/>
            </w:pPr>
            <w:r>
              <w:t>Оказание сопутствующих азартным играм услуг (в том числе лицами, не являющимися организаторами азартных игр)</w:t>
            </w:r>
          </w:p>
        </w:tc>
        <w:tc>
          <w:tcPr>
            <w:tcW w:w="964" w:type="dxa"/>
            <w:vMerge w:val="restart"/>
          </w:tcPr>
          <w:p w:rsidR="00C95176" w:rsidRDefault="00C95176">
            <w:pPr>
              <w:pStyle w:val="ConsPlusNormal"/>
              <w:jc w:val="center"/>
            </w:pPr>
            <w:r>
              <w:t>Аннулированные разрешения</w:t>
            </w:r>
          </w:p>
        </w:tc>
      </w:tr>
      <w:tr w:rsidR="00C95176">
        <w:tc>
          <w:tcPr>
            <w:tcW w:w="557" w:type="dxa"/>
            <w:vMerge/>
          </w:tcPr>
          <w:p w:rsidR="00C95176" w:rsidRDefault="00C95176"/>
        </w:tc>
        <w:tc>
          <w:tcPr>
            <w:tcW w:w="1426" w:type="dxa"/>
            <w:vMerge/>
          </w:tcPr>
          <w:p w:rsidR="00C95176" w:rsidRDefault="00C95176"/>
        </w:tc>
        <w:tc>
          <w:tcPr>
            <w:tcW w:w="850" w:type="dxa"/>
            <w:vMerge/>
          </w:tcPr>
          <w:p w:rsidR="00C95176" w:rsidRDefault="00C95176"/>
        </w:tc>
        <w:tc>
          <w:tcPr>
            <w:tcW w:w="859" w:type="dxa"/>
            <w:vMerge w:val="restart"/>
          </w:tcPr>
          <w:p w:rsidR="00C95176" w:rsidRDefault="00C95176">
            <w:pPr>
              <w:pStyle w:val="ConsPlusNormal"/>
              <w:jc w:val="center"/>
            </w:pPr>
            <w:r>
              <w:t>аренда</w:t>
            </w:r>
          </w:p>
        </w:tc>
        <w:tc>
          <w:tcPr>
            <w:tcW w:w="964" w:type="dxa"/>
            <w:vMerge w:val="restart"/>
          </w:tcPr>
          <w:p w:rsidR="00C95176" w:rsidRDefault="00C95176">
            <w:pPr>
              <w:pStyle w:val="ConsPlusNormal"/>
              <w:jc w:val="center"/>
            </w:pPr>
            <w:r>
              <w:t>собственность</w:t>
            </w:r>
          </w:p>
        </w:tc>
        <w:tc>
          <w:tcPr>
            <w:tcW w:w="737" w:type="dxa"/>
            <w:vMerge w:val="restart"/>
          </w:tcPr>
          <w:p w:rsidR="00C95176" w:rsidRDefault="00C95176">
            <w:pPr>
              <w:pStyle w:val="ConsPlusNormal"/>
              <w:jc w:val="center"/>
            </w:pPr>
            <w:r>
              <w:t>казино</w:t>
            </w:r>
          </w:p>
        </w:tc>
        <w:tc>
          <w:tcPr>
            <w:tcW w:w="737" w:type="dxa"/>
            <w:vMerge w:val="restart"/>
          </w:tcPr>
          <w:p w:rsidR="00C95176" w:rsidRDefault="00C95176">
            <w:pPr>
              <w:pStyle w:val="ConsPlusNormal"/>
              <w:jc w:val="center"/>
            </w:pPr>
            <w:r>
              <w:t>залы игровых автоматов</w:t>
            </w:r>
          </w:p>
        </w:tc>
        <w:tc>
          <w:tcPr>
            <w:tcW w:w="1700" w:type="dxa"/>
            <w:gridSpan w:val="2"/>
          </w:tcPr>
          <w:p w:rsidR="00C95176" w:rsidRDefault="00C95176">
            <w:pPr>
              <w:pStyle w:val="ConsPlusNormal"/>
              <w:jc w:val="center"/>
            </w:pPr>
            <w:r>
              <w:t>букмекерские конторы</w:t>
            </w:r>
          </w:p>
        </w:tc>
        <w:tc>
          <w:tcPr>
            <w:tcW w:w="1527" w:type="dxa"/>
            <w:gridSpan w:val="2"/>
          </w:tcPr>
          <w:p w:rsidR="00C95176" w:rsidRDefault="00C95176">
            <w:pPr>
              <w:pStyle w:val="ConsPlusNormal"/>
              <w:jc w:val="center"/>
            </w:pPr>
            <w:r>
              <w:t>тотализаторы</w:t>
            </w:r>
          </w:p>
        </w:tc>
        <w:tc>
          <w:tcPr>
            <w:tcW w:w="715" w:type="dxa"/>
            <w:vMerge w:val="restart"/>
          </w:tcPr>
          <w:p w:rsidR="00C95176" w:rsidRDefault="00C95176">
            <w:pPr>
              <w:pStyle w:val="ConsPlusNormal"/>
              <w:jc w:val="center"/>
            </w:pPr>
            <w:r>
              <w:t>игровые столы</w:t>
            </w:r>
          </w:p>
        </w:tc>
        <w:tc>
          <w:tcPr>
            <w:tcW w:w="710" w:type="dxa"/>
            <w:vMerge w:val="restart"/>
          </w:tcPr>
          <w:p w:rsidR="00C95176" w:rsidRDefault="00C95176">
            <w:pPr>
              <w:pStyle w:val="ConsPlusNormal"/>
              <w:jc w:val="center"/>
            </w:pPr>
            <w:r>
              <w:t>игровые автоматы</w:t>
            </w:r>
          </w:p>
        </w:tc>
        <w:tc>
          <w:tcPr>
            <w:tcW w:w="680" w:type="dxa"/>
            <w:vMerge/>
          </w:tcPr>
          <w:p w:rsidR="00C95176" w:rsidRDefault="00C95176"/>
        </w:tc>
        <w:tc>
          <w:tcPr>
            <w:tcW w:w="850" w:type="dxa"/>
            <w:vMerge/>
          </w:tcPr>
          <w:p w:rsidR="00C95176" w:rsidRDefault="00C95176"/>
        </w:tc>
        <w:tc>
          <w:tcPr>
            <w:tcW w:w="737" w:type="dxa"/>
            <w:vMerge w:val="restart"/>
          </w:tcPr>
          <w:p w:rsidR="00C95176" w:rsidRDefault="00C95176">
            <w:pPr>
              <w:pStyle w:val="ConsPlusNormal"/>
              <w:jc w:val="center"/>
            </w:pPr>
            <w:r>
              <w:t>гостиничные</w:t>
            </w:r>
          </w:p>
        </w:tc>
        <w:tc>
          <w:tcPr>
            <w:tcW w:w="794" w:type="dxa"/>
            <w:vMerge w:val="restart"/>
          </w:tcPr>
          <w:p w:rsidR="00C95176" w:rsidRDefault="00C95176">
            <w:pPr>
              <w:pStyle w:val="ConsPlusNormal"/>
              <w:jc w:val="center"/>
            </w:pPr>
            <w:r>
              <w:t>общественного питания</w:t>
            </w:r>
          </w:p>
        </w:tc>
        <w:tc>
          <w:tcPr>
            <w:tcW w:w="907" w:type="dxa"/>
            <w:vMerge w:val="restart"/>
          </w:tcPr>
          <w:p w:rsidR="00C95176" w:rsidRDefault="00C95176">
            <w:pPr>
              <w:pStyle w:val="ConsPlusNormal"/>
              <w:jc w:val="center"/>
            </w:pPr>
            <w:r>
              <w:t>в сфере зрелищно-развлекательных мероприятий</w:t>
            </w:r>
          </w:p>
        </w:tc>
        <w:tc>
          <w:tcPr>
            <w:tcW w:w="2721" w:type="dxa"/>
            <w:vMerge w:val="restart"/>
          </w:tcPr>
          <w:p w:rsidR="00C95176" w:rsidRDefault="00C95176">
            <w:pPr>
              <w:pStyle w:val="ConsPlusNormal"/>
              <w:jc w:val="center"/>
            </w:pPr>
            <w:r>
              <w:t>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tc>
        <w:tc>
          <w:tcPr>
            <w:tcW w:w="964" w:type="dxa"/>
            <w:vMerge/>
          </w:tcPr>
          <w:p w:rsidR="00C95176" w:rsidRDefault="00C95176"/>
        </w:tc>
      </w:tr>
      <w:tr w:rsidR="00C95176">
        <w:tc>
          <w:tcPr>
            <w:tcW w:w="557" w:type="dxa"/>
            <w:vMerge/>
          </w:tcPr>
          <w:p w:rsidR="00C95176" w:rsidRDefault="00C95176"/>
        </w:tc>
        <w:tc>
          <w:tcPr>
            <w:tcW w:w="1426" w:type="dxa"/>
            <w:vMerge/>
          </w:tcPr>
          <w:p w:rsidR="00C95176" w:rsidRDefault="00C95176"/>
        </w:tc>
        <w:tc>
          <w:tcPr>
            <w:tcW w:w="850" w:type="dxa"/>
            <w:vMerge/>
          </w:tcPr>
          <w:p w:rsidR="00C95176" w:rsidRDefault="00C95176"/>
        </w:tc>
        <w:tc>
          <w:tcPr>
            <w:tcW w:w="859" w:type="dxa"/>
            <w:vMerge/>
          </w:tcPr>
          <w:p w:rsidR="00C95176" w:rsidRDefault="00C95176"/>
        </w:tc>
        <w:tc>
          <w:tcPr>
            <w:tcW w:w="964" w:type="dxa"/>
            <w:vMerge/>
          </w:tcPr>
          <w:p w:rsidR="00C95176" w:rsidRDefault="00C95176"/>
        </w:tc>
        <w:tc>
          <w:tcPr>
            <w:tcW w:w="737" w:type="dxa"/>
            <w:vMerge/>
          </w:tcPr>
          <w:p w:rsidR="00C95176" w:rsidRDefault="00C95176"/>
        </w:tc>
        <w:tc>
          <w:tcPr>
            <w:tcW w:w="737" w:type="dxa"/>
            <w:vMerge/>
          </w:tcPr>
          <w:p w:rsidR="00C95176" w:rsidRDefault="00C95176"/>
        </w:tc>
        <w:tc>
          <w:tcPr>
            <w:tcW w:w="850" w:type="dxa"/>
          </w:tcPr>
          <w:p w:rsidR="00C95176" w:rsidRDefault="00C95176">
            <w:pPr>
              <w:pStyle w:val="ConsPlusNormal"/>
              <w:jc w:val="center"/>
            </w:pPr>
            <w:r>
              <w:t>пункты приема ставок букмекерских контор</w:t>
            </w:r>
          </w:p>
        </w:tc>
        <w:tc>
          <w:tcPr>
            <w:tcW w:w="850" w:type="dxa"/>
          </w:tcPr>
          <w:p w:rsidR="00C95176" w:rsidRDefault="00C95176">
            <w:pPr>
              <w:pStyle w:val="ConsPlusNormal"/>
              <w:jc w:val="center"/>
            </w:pPr>
            <w:r>
              <w:t>процессинговые центры букмекерских контор</w:t>
            </w:r>
          </w:p>
        </w:tc>
        <w:tc>
          <w:tcPr>
            <w:tcW w:w="677" w:type="dxa"/>
          </w:tcPr>
          <w:p w:rsidR="00C95176" w:rsidRDefault="00C95176">
            <w:pPr>
              <w:pStyle w:val="ConsPlusNormal"/>
              <w:jc w:val="center"/>
            </w:pPr>
            <w:r>
              <w:t>пункты приема ставок тотализатора</w:t>
            </w:r>
          </w:p>
        </w:tc>
        <w:tc>
          <w:tcPr>
            <w:tcW w:w="850" w:type="dxa"/>
          </w:tcPr>
          <w:p w:rsidR="00C95176" w:rsidRDefault="00C95176">
            <w:pPr>
              <w:pStyle w:val="ConsPlusNormal"/>
              <w:jc w:val="center"/>
            </w:pPr>
            <w:r>
              <w:t>процессинговые центры тотализатора</w:t>
            </w:r>
          </w:p>
        </w:tc>
        <w:tc>
          <w:tcPr>
            <w:tcW w:w="715" w:type="dxa"/>
            <w:vMerge/>
          </w:tcPr>
          <w:p w:rsidR="00C95176" w:rsidRDefault="00C95176"/>
        </w:tc>
        <w:tc>
          <w:tcPr>
            <w:tcW w:w="710" w:type="dxa"/>
            <w:vMerge/>
          </w:tcPr>
          <w:p w:rsidR="00C95176" w:rsidRDefault="00C95176"/>
        </w:tc>
        <w:tc>
          <w:tcPr>
            <w:tcW w:w="680" w:type="dxa"/>
            <w:vMerge/>
          </w:tcPr>
          <w:p w:rsidR="00C95176" w:rsidRDefault="00C95176"/>
        </w:tc>
        <w:tc>
          <w:tcPr>
            <w:tcW w:w="850" w:type="dxa"/>
            <w:vMerge/>
          </w:tcPr>
          <w:p w:rsidR="00C95176" w:rsidRDefault="00C95176"/>
        </w:tc>
        <w:tc>
          <w:tcPr>
            <w:tcW w:w="737" w:type="dxa"/>
            <w:vMerge/>
          </w:tcPr>
          <w:p w:rsidR="00C95176" w:rsidRDefault="00C95176"/>
        </w:tc>
        <w:tc>
          <w:tcPr>
            <w:tcW w:w="794" w:type="dxa"/>
            <w:vMerge/>
          </w:tcPr>
          <w:p w:rsidR="00C95176" w:rsidRDefault="00C95176"/>
        </w:tc>
        <w:tc>
          <w:tcPr>
            <w:tcW w:w="907" w:type="dxa"/>
            <w:vMerge/>
          </w:tcPr>
          <w:p w:rsidR="00C95176" w:rsidRDefault="00C95176"/>
        </w:tc>
        <w:tc>
          <w:tcPr>
            <w:tcW w:w="2721" w:type="dxa"/>
            <w:vMerge/>
          </w:tcPr>
          <w:p w:rsidR="00C95176" w:rsidRDefault="00C95176"/>
        </w:tc>
        <w:tc>
          <w:tcPr>
            <w:tcW w:w="964" w:type="dxa"/>
            <w:vMerge/>
          </w:tcPr>
          <w:p w:rsidR="00C95176" w:rsidRDefault="00C95176"/>
        </w:tc>
      </w:tr>
      <w:tr w:rsidR="00C95176">
        <w:tc>
          <w:tcPr>
            <w:tcW w:w="557" w:type="dxa"/>
          </w:tcPr>
          <w:p w:rsidR="00C95176" w:rsidRDefault="00C95176">
            <w:pPr>
              <w:pStyle w:val="ConsPlusNormal"/>
              <w:jc w:val="center"/>
            </w:pPr>
            <w:bookmarkStart w:id="3" w:name="P107"/>
            <w:bookmarkEnd w:id="3"/>
            <w:r>
              <w:t>1</w:t>
            </w:r>
          </w:p>
        </w:tc>
        <w:tc>
          <w:tcPr>
            <w:tcW w:w="1426" w:type="dxa"/>
          </w:tcPr>
          <w:p w:rsidR="00C95176" w:rsidRDefault="00C95176">
            <w:pPr>
              <w:pStyle w:val="ConsPlusNormal"/>
              <w:jc w:val="center"/>
            </w:pPr>
            <w:bookmarkStart w:id="4" w:name="P108"/>
            <w:bookmarkEnd w:id="4"/>
            <w:r>
              <w:t>2</w:t>
            </w:r>
          </w:p>
        </w:tc>
        <w:tc>
          <w:tcPr>
            <w:tcW w:w="850" w:type="dxa"/>
          </w:tcPr>
          <w:p w:rsidR="00C95176" w:rsidRDefault="00C95176">
            <w:pPr>
              <w:pStyle w:val="ConsPlusNormal"/>
              <w:jc w:val="center"/>
            </w:pPr>
            <w:bookmarkStart w:id="5" w:name="P109"/>
            <w:bookmarkEnd w:id="5"/>
            <w:r>
              <w:t>3</w:t>
            </w:r>
          </w:p>
        </w:tc>
        <w:tc>
          <w:tcPr>
            <w:tcW w:w="859" w:type="dxa"/>
          </w:tcPr>
          <w:p w:rsidR="00C95176" w:rsidRDefault="00C95176">
            <w:pPr>
              <w:pStyle w:val="ConsPlusNormal"/>
              <w:jc w:val="center"/>
            </w:pPr>
            <w:bookmarkStart w:id="6" w:name="P110"/>
            <w:bookmarkEnd w:id="6"/>
            <w:r>
              <w:t>4</w:t>
            </w:r>
          </w:p>
        </w:tc>
        <w:tc>
          <w:tcPr>
            <w:tcW w:w="964" w:type="dxa"/>
          </w:tcPr>
          <w:p w:rsidR="00C95176" w:rsidRDefault="00C95176">
            <w:pPr>
              <w:pStyle w:val="ConsPlusNormal"/>
              <w:jc w:val="center"/>
            </w:pPr>
            <w:bookmarkStart w:id="7" w:name="P111"/>
            <w:bookmarkEnd w:id="7"/>
            <w:r>
              <w:t>5</w:t>
            </w:r>
          </w:p>
        </w:tc>
        <w:tc>
          <w:tcPr>
            <w:tcW w:w="737" w:type="dxa"/>
          </w:tcPr>
          <w:p w:rsidR="00C95176" w:rsidRDefault="00C95176">
            <w:pPr>
              <w:pStyle w:val="ConsPlusNormal"/>
              <w:jc w:val="center"/>
            </w:pPr>
            <w:bookmarkStart w:id="8" w:name="P112"/>
            <w:bookmarkEnd w:id="8"/>
            <w:r>
              <w:t>6</w:t>
            </w:r>
          </w:p>
        </w:tc>
        <w:tc>
          <w:tcPr>
            <w:tcW w:w="737" w:type="dxa"/>
          </w:tcPr>
          <w:p w:rsidR="00C95176" w:rsidRDefault="00C95176">
            <w:pPr>
              <w:pStyle w:val="ConsPlusNormal"/>
              <w:jc w:val="center"/>
            </w:pPr>
            <w:bookmarkStart w:id="9" w:name="P113"/>
            <w:bookmarkEnd w:id="9"/>
            <w:r>
              <w:t>7</w:t>
            </w:r>
          </w:p>
        </w:tc>
        <w:tc>
          <w:tcPr>
            <w:tcW w:w="850" w:type="dxa"/>
          </w:tcPr>
          <w:p w:rsidR="00C95176" w:rsidRDefault="00C95176">
            <w:pPr>
              <w:pStyle w:val="ConsPlusNormal"/>
              <w:jc w:val="center"/>
            </w:pPr>
            <w:bookmarkStart w:id="10" w:name="P114"/>
            <w:bookmarkEnd w:id="10"/>
            <w:r>
              <w:t>8</w:t>
            </w:r>
          </w:p>
        </w:tc>
        <w:tc>
          <w:tcPr>
            <w:tcW w:w="850" w:type="dxa"/>
          </w:tcPr>
          <w:p w:rsidR="00C95176" w:rsidRDefault="00C95176">
            <w:pPr>
              <w:pStyle w:val="ConsPlusNormal"/>
              <w:jc w:val="center"/>
            </w:pPr>
            <w:bookmarkStart w:id="11" w:name="P115"/>
            <w:bookmarkEnd w:id="11"/>
            <w:r>
              <w:t>9</w:t>
            </w:r>
          </w:p>
        </w:tc>
        <w:tc>
          <w:tcPr>
            <w:tcW w:w="677" w:type="dxa"/>
          </w:tcPr>
          <w:p w:rsidR="00C95176" w:rsidRDefault="00C95176">
            <w:pPr>
              <w:pStyle w:val="ConsPlusNormal"/>
              <w:jc w:val="center"/>
            </w:pPr>
            <w:bookmarkStart w:id="12" w:name="P116"/>
            <w:bookmarkEnd w:id="12"/>
            <w:r>
              <w:t>10</w:t>
            </w:r>
          </w:p>
        </w:tc>
        <w:tc>
          <w:tcPr>
            <w:tcW w:w="850" w:type="dxa"/>
          </w:tcPr>
          <w:p w:rsidR="00C95176" w:rsidRDefault="00C95176">
            <w:pPr>
              <w:pStyle w:val="ConsPlusNormal"/>
              <w:jc w:val="center"/>
            </w:pPr>
            <w:bookmarkStart w:id="13" w:name="P117"/>
            <w:bookmarkEnd w:id="13"/>
            <w:r>
              <w:t>11</w:t>
            </w:r>
          </w:p>
        </w:tc>
        <w:tc>
          <w:tcPr>
            <w:tcW w:w="715" w:type="dxa"/>
          </w:tcPr>
          <w:p w:rsidR="00C95176" w:rsidRDefault="00C95176">
            <w:pPr>
              <w:pStyle w:val="ConsPlusNormal"/>
              <w:jc w:val="center"/>
            </w:pPr>
            <w:bookmarkStart w:id="14" w:name="P118"/>
            <w:bookmarkEnd w:id="14"/>
            <w:r>
              <w:t>12</w:t>
            </w:r>
          </w:p>
        </w:tc>
        <w:tc>
          <w:tcPr>
            <w:tcW w:w="710" w:type="dxa"/>
          </w:tcPr>
          <w:p w:rsidR="00C95176" w:rsidRDefault="00C95176">
            <w:pPr>
              <w:pStyle w:val="ConsPlusNormal"/>
              <w:jc w:val="center"/>
            </w:pPr>
            <w:bookmarkStart w:id="15" w:name="P119"/>
            <w:bookmarkEnd w:id="15"/>
            <w:r>
              <w:t>13</w:t>
            </w:r>
          </w:p>
        </w:tc>
        <w:tc>
          <w:tcPr>
            <w:tcW w:w="680" w:type="dxa"/>
          </w:tcPr>
          <w:p w:rsidR="00C95176" w:rsidRDefault="00C95176">
            <w:pPr>
              <w:pStyle w:val="ConsPlusNormal"/>
              <w:jc w:val="center"/>
            </w:pPr>
            <w:bookmarkStart w:id="16" w:name="P120"/>
            <w:bookmarkEnd w:id="16"/>
            <w:r>
              <w:t>14</w:t>
            </w:r>
          </w:p>
        </w:tc>
        <w:tc>
          <w:tcPr>
            <w:tcW w:w="850" w:type="dxa"/>
          </w:tcPr>
          <w:p w:rsidR="00C95176" w:rsidRDefault="00C95176">
            <w:pPr>
              <w:pStyle w:val="ConsPlusNormal"/>
              <w:jc w:val="center"/>
            </w:pPr>
            <w:bookmarkStart w:id="17" w:name="P121"/>
            <w:bookmarkEnd w:id="17"/>
            <w:r>
              <w:t>15</w:t>
            </w:r>
          </w:p>
        </w:tc>
        <w:tc>
          <w:tcPr>
            <w:tcW w:w="737" w:type="dxa"/>
          </w:tcPr>
          <w:p w:rsidR="00C95176" w:rsidRDefault="00C95176">
            <w:pPr>
              <w:pStyle w:val="ConsPlusNormal"/>
              <w:jc w:val="center"/>
            </w:pPr>
            <w:bookmarkStart w:id="18" w:name="P122"/>
            <w:bookmarkEnd w:id="18"/>
            <w:r>
              <w:t>16</w:t>
            </w:r>
          </w:p>
        </w:tc>
        <w:tc>
          <w:tcPr>
            <w:tcW w:w="794" w:type="dxa"/>
          </w:tcPr>
          <w:p w:rsidR="00C95176" w:rsidRDefault="00C95176">
            <w:pPr>
              <w:pStyle w:val="ConsPlusNormal"/>
              <w:jc w:val="center"/>
            </w:pPr>
            <w:bookmarkStart w:id="19" w:name="P123"/>
            <w:bookmarkEnd w:id="19"/>
            <w:r>
              <w:t>17</w:t>
            </w:r>
          </w:p>
        </w:tc>
        <w:tc>
          <w:tcPr>
            <w:tcW w:w="907" w:type="dxa"/>
          </w:tcPr>
          <w:p w:rsidR="00C95176" w:rsidRDefault="00C95176">
            <w:pPr>
              <w:pStyle w:val="ConsPlusNormal"/>
              <w:jc w:val="center"/>
            </w:pPr>
            <w:bookmarkStart w:id="20" w:name="P124"/>
            <w:bookmarkEnd w:id="20"/>
            <w:r>
              <w:t>18</w:t>
            </w:r>
          </w:p>
        </w:tc>
        <w:tc>
          <w:tcPr>
            <w:tcW w:w="2721" w:type="dxa"/>
          </w:tcPr>
          <w:p w:rsidR="00C95176" w:rsidRDefault="00C95176">
            <w:pPr>
              <w:pStyle w:val="ConsPlusNormal"/>
              <w:jc w:val="center"/>
            </w:pPr>
            <w:bookmarkStart w:id="21" w:name="P125"/>
            <w:bookmarkEnd w:id="21"/>
            <w:r>
              <w:t>19</w:t>
            </w:r>
          </w:p>
        </w:tc>
        <w:tc>
          <w:tcPr>
            <w:tcW w:w="964" w:type="dxa"/>
          </w:tcPr>
          <w:p w:rsidR="00C95176" w:rsidRDefault="00C95176">
            <w:pPr>
              <w:pStyle w:val="ConsPlusNormal"/>
              <w:jc w:val="center"/>
            </w:pPr>
            <w:bookmarkStart w:id="22" w:name="P126"/>
            <w:bookmarkEnd w:id="22"/>
            <w:r>
              <w:t>20</w:t>
            </w:r>
          </w:p>
        </w:tc>
      </w:tr>
      <w:tr w:rsidR="00C95176">
        <w:tc>
          <w:tcPr>
            <w:tcW w:w="557" w:type="dxa"/>
          </w:tcPr>
          <w:p w:rsidR="00C95176" w:rsidRDefault="00C95176">
            <w:pPr>
              <w:pStyle w:val="ConsPlusNormal"/>
            </w:pPr>
          </w:p>
        </w:tc>
        <w:tc>
          <w:tcPr>
            <w:tcW w:w="1426" w:type="dxa"/>
          </w:tcPr>
          <w:p w:rsidR="00C95176" w:rsidRDefault="00C95176">
            <w:pPr>
              <w:pStyle w:val="ConsPlusNormal"/>
            </w:pPr>
          </w:p>
        </w:tc>
        <w:tc>
          <w:tcPr>
            <w:tcW w:w="850" w:type="dxa"/>
          </w:tcPr>
          <w:p w:rsidR="00C95176" w:rsidRDefault="00C95176">
            <w:pPr>
              <w:pStyle w:val="ConsPlusNormal"/>
            </w:pPr>
          </w:p>
        </w:tc>
        <w:tc>
          <w:tcPr>
            <w:tcW w:w="859" w:type="dxa"/>
          </w:tcPr>
          <w:p w:rsidR="00C95176" w:rsidRDefault="00C95176">
            <w:pPr>
              <w:pStyle w:val="ConsPlusNormal"/>
            </w:pPr>
          </w:p>
        </w:tc>
        <w:tc>
          <w:tcPr>
            <w:tcW w:w="964" w:type="dxa"/>
          </w:tcPr>
          <w:p w:rsidR="00C95176" w:rsidRDefault="00C95176">
            <w:pPr>
              <w:pStyle w:val="ConsPlusNormal"/>
            </w:pPr>
          </w:p>
        </w:tc>
        <w:tc>
          <w:tcPr>
            <w:tcW w:w="737" w:type="dxa"/>
          </w:tcPr>
          <w:p w:rsidR="00C95176" w:rsidRDefault="00C95176">
            <w:pPr>
              <w:pStyle w:val="ConsPlusNormal"/>
            </w:pPr>
          </w:p>
        </w:tc>
        <w:tc>
          <w:tcPr>
            <w:tcW w:w="737" w:type="dxa"/>
          </w:tcPr>
          <w:p w:rsidR="00C95176" w:rsidRDefault="00C95176">
            <w:pPr>
              <w:pStyle w:val="ConsPlusNormal"/>
            </w:pPr>
          </w:p>
        </w:tc>
        <w:tc>
          <w:tcPr>
            <w:tcW w:w="850" w:type="dxa"/>
          </w:tcPr>
          <w:p w:rsidR="00C95176" w:rsidRDefault="00C95176">
            <w:pPr>
              <w:pStyle w:val="ConsPlusNormal"/>
            </w:pPr>
          </w:p>
        </w:tc>
        <w:tc>
          <w:tcPr>
            <w:tcW w:w="850" w:type="dxa"/>
          </w:tcPr>
          <w:p w:rsidR="00C95176" w:rsidRDefault="00C95176">
            <w:pPr>
              <w:pStyle w:val="ConsPlusNormal"/>
            </w:pPr>
          </w:p>
        </w:tc>
        <w:tc>
          <w:tcPr>
            <w:tcW w:w="677" w:type="dxa"/>
          </w:tcPr>
          <w:p w:rsidR="00C95176" w:rsidRDefault="00C95176">
            <w:pPr>
              <w:pStyle w:val="ConsPlusNormal"/>
            </w:pPr>
          </w:p>
        </w:tc>
        <w:tc>
          <w:tcPr>
            <w:tcW w:w="850" w:type="dxa"/>
          </w:tcPr>
          <w:p w:rsidR="00C95176" w:rsidRDefault="00C95176">
            <w:pPr>
              <w:pStyle w:val="ConsPlusNormal"/>
            </w:pPr>
          </w:p>
        </w:tc>
        <w:tc>
          <w:tcPr>
            <w:tcW w:w="715" w:type="dxa"/>
          </w:tcPr>
          <w:p w:rsidR="00C95176" w:rsidRDefault="00C95176">
            <w:pPr>
              <w:pStyle w:val="ConsPlusNormal"/>
            </w:pPr>
          </w:p>
        </w:tc>
        <w:tc>
          <w:tcPr>
            <w:tcW w:w="710" w:type="dxa"/>
          </w:tcPr>
          <w:p w:rsidR="00C95176" w:rsidRDefault="00C95176">
            <w:pPr>
              <w:pStyle w:val="ConsPlusNormal"/>
            </w:pPr>
          </w:p>
        </w:tc>
        <w:tc>
          <w:tcPr>
            <w:tcW w:w="680" w:type="dxa"/>
          </w:tcPr>
          <w:p w:rsidR="00C95176" w:rsidRDefault="00C95176">
            <w:pPr>
              <w:pStyle w:val="ConsPlusNormal"/>
            </w:pPr>
          </w:p>
        </w:tc>
        <w:tc>
          <w:tcPr>
            <w:tcW w:w="850" w:type="dxa"/>
          </w:tcPr>
          <w:p w:rsidR="00C95176" w:rsidRDefault="00C95176">
            <w:pPr>
              <w:pStyle w:val="ConsPlusNormal"/>
            </w:pPr>
          </w:p>
        </w:tc>
        <w:tc>
          <w:tcPr>
            <w:tcW w:w="737" w:type="dxa"/>
          </w:tcPr>
          <w:p w:rsidR="00C95176" w:rsidRDefault="00C95176">
            <w:pPr>
              <w:pStyle w:val="ConsPlusNormal"/>
            </w:pPr>
          </w:p>
        </w:tc>
        <w:tc>
          <w:tcPr>
            <w:tcW w:w="794" w:type="dxa"/>
          </w:tcPr>
          <w:p w:rsidR="00C95176" w:rsidRDefault="00C95176">
            <w:pPr>
              <w:pStyle w:val="ConsPlusNormal"/>
            </w:pPr>
          </w:p>
        </w:tc>
        <w:tc>
          <w:tcPr>
            <w:tcW w:w="907" w:type="dxa"/>
          </w:tcPr>
          <w:p w:rsidR="00C95176" w:rsidRDefault="00C95176">
            <w:pPr>
              <w:pStyle w:val="ConsPlusNormal"/>
            </w:pPr>
          </w:p>
        </w:tc>
        <w:tc>
          <w:tcPr>
            <w:tcW w:w="2721" w:type="dxa"/>
          </w:tcPr>
          <w:p w:rsidR="00C95176" w:rsidRDefault="00C95176">
            <w:pPr>
              <w:pStyle w:val="ConsPlusNormal"/>
            </w:pPr>
          </w:p>
        </w:tc>
        <w:tc>
          <w:tcPr>
            <w:tcW w:w="964" w:type="dxa"/>
          </w:tcPr>
          <w:p w:rsidR="00C95176" w:rsidRDefault="00C95176">
            <w:pPr>
              <w:pStyle w:val="ConsPlusNormal"/>
            </w:pPr>
          </w:p>
        </w:tc>
      </w:tr>
      <w:tr w:rsidR="00C95176">
        <w:tc>
          <w:tcPr>
            <w:tcW w:w="557" w:type="dxa"/>
          </w:tcPr>
          <w:p w:rsidR="00C95176" w:rsidRDefault="00C95176">
            <w:pPr>
              <w:pStyle w:val="ConsPlusNormal"/>
            </w:pPr>
          </w:p>
        </w:tc>
        <w:tc>
          <w:tcPr>
            <w:tcW w:w="1426" w:type="dxa"/>
          </w:tcPr>
          <w:p w:rsidR="00C95176" w:rsidRDefault="00C95176">
            <w:pPr>
              <w:pStyle w:val="ConsPlusNormal"/>
              <w:jc w:val="both"/>
            </w:pPr>
            <w:r>
              <w:t>Итого:</w:t>
            </w:r>
          </w:p>
        </w:tc>
        <w:tc>
          <w:tcPr>
            <w:tcW w:w="850" w:type="dxa"/>
          </w:tcPr>
          <w:p w:rsidR="00C95176" w:rsidRDefault="00C95176">
            <w:pPr>
              <w:pStyle w:val="ConsPlusNormal"/>
            </w:pPr>
          </w:p>
        </w:tc>
        <w:tc>
          <w:tcPr>
            <w:tcW w:w="859" w:type="dxa"/>
          </w:tcPr>
          <w:p w:rsidR="00C95176" w:rsidRDefault="00C95176">
            <w:pPr>
              <w:pStyle w:val="ConsPlusNormal"/>
            </w:pPr>
          </w:p>
        </w:tc>
        <w:tc>
          <w:tcPr>
            <w:tcW w:w="964" w:type="dxa"/>
          </w:tcPr>
          <w:p w:rsidR="00C95176" w:rsidRDefault="00C95176">
            <w:pPr>
              <w:pStyle w:val="ConsPlusNormal"/>
            </w:pPr>
          </w:p>
        </w:tc>
        <w:tc>
          <w:tcPr>
            <w:tcW w:w="737" w:type="dxa"/>
          </w:tcPr>
          <w:p w:rsidR="00C95176" w:rsidRDefault="00C95176">
            <w:pPr>
              <w:pStyle w:val="ConsPlusNormal"/>
            </w:pPr>
          </w:p>
        </w:tc>
        <w:tc>
          <w:tcPr>
            <w:tcW w:w="737" w:type="dxa"/>
          </w:tcPr>
          <w:p w:rsidR="00C95176" w:rsidRDefault="00C95176">
            <w:pPr>
              <w:pStyle w:val="ConsPlusNormal"/>
            </w:pPr>
          </w:p>
        </w:tc>
        <w:tc>
          <w:tcPr>
            <w:tcW w:w="850" w:type="dxa"/>
          </w:tcPr>
          <w:p w:rsidR="00C95176" w:rsidRDefault="00C95176">
            <w:pPr>
              <w:pStyle w:val="ConsPlusNormal"/>
            </w:pPr>
          </w:p>
        </w:tc>
        <w:tc>
          <w:tcPr>
            <w:tcW w:w="850" w:type="dxa"/>
          </w:tcPr>
          <w:p w:rsidR="00C95176" w:rsidRDefault="00C95176">
            <w:pPr>
              <w:pStyle w:val="ConsPlusNormal"/>
            </w:pPr>
          </w:p>
        </w:tc>
        <w:tc>
          <w:tcPr>
            <w:tcW w:w="677" w:type="dxa"/>
          </w:tcPr>
          <w:p w:rsidR="00C95176" w:rsidRDefault="00C95176">
            <w:pPr>
              <w:pStyle w:val="ConsPlusNormal"/>
            </w:pPr>
          </w:p>
        </w:tc>
        <w:tc>
          <w:tcPr>
            <w:tcW w:w="850" w:type="dxa"/>
          </w:tcPr>
          <w:p w:rsidR="00C95176" w:rsidRDefault="00C95176">
            <w:pPr>
              <w:pStyle w:val="ConsPlusNormal"/>
            </w:pPr>
          </w:p>
        </w:tc>
        <w:tc>
          <w:tcPr>
            <w:tcW w:w="715" w:type="dxa"/>
          </w:tcPr>
          <w:p w:rsidR="00C95176" w:rsidRDefault="00C95176">
            <w:pPr>
              <w:pStyle w:val="ConsPlusNormal"/>
            </w:pPr>
          </w:p>
        </w:tc>
        <w:tc>
          <w:tcPr>
            <w:tcW w:w="710" w:type="dxa"/>
          </w:tcPr>
          <w:p w:rsidR="00C95176" w:rsidRDefault="00C95176">
            <w:pPr>
              <w:pStyle w:val="ConsPlusNormal"/>
            </w:pPr>
          </w:p>
        </w:tc>
        <w:tc>
          <w:tcPr>
            <w:tcW w:w="680" w:type="dxa"/>
          </w:tcPr>
          <w:p w:rsidR="00C95176" w:rsidRDefault="00C95176">
            <w:pPr>
              <w:pStyle w:val="ConsPlusNormal"/>
            </w:pPr>
          </w:p>
        </w:tc>
        <w:tc>
          <w:tcPr>
            <w:tcW w:w="850" w:type="dxa"/>
          </w:tcPr>
          <w:p w:rsidR="00C95176" w:rsidRDefault="00C95176">
            <w:pPr>
              <w:pStyle w:val="ConsPlusNormal"/>
            </w:pPr>
          </w:p>
        </w:tc>
        <w:tc>
          <w:tcPr>
            <w:tcW w:w="737" w:type="dxa"/>
          </w:tcPr>
          <w:p w:rsidR="00C95176" w:rsidRDefault="00C95176">
            <w:pPr>
              <w:pStyle w:val="ConsPlusNormal"/>
            </w:pPr>
          </w:p>
        </w:tc>
        <w:tc>
          <w:tcPr>
            <w:tcW w:w="794" w:type="dxa"/>
          </w:tcPr>
          <w:p w:rsidR="00C95176" w:rsidRDefault="00C95176">
            <w:pPr>
              <w:pStyle w:val="ConsPlusNormal"/>
            </w:pPr>
          </w:p>
        </w:tc>
        <w:tc>
          <w:tcPr>
            <w:tcW w:w="907" w:type="dxa"/>
          </w:tcPr>
          <w:p w:rsidR="00C95176" w:rsidRDefault="00C95176">
            <w:pPr>
              <w:pStyle w:val="ConsPlusNormal"/>
            </w:pPr>
          </w:p>
        </w:tc>
        <w:tc>
          <w:tcPr>
            <w:tcW w:w="2721" w:type="dxa"/>
          </w:tcPr>
          <w:p w:rsidR="00C95176" w:rsidRDefault="00C95176">
            <w:pPr>
              <w:pStyle w:val="ConsPlusNormal"/>
            </w:pPr>
          </w:p>
        </w:tc>
        <w:tc>
          <w:tcPr>
            <w:tcW w:w="964" w:type="dxa"/>
          </w:tcPr>
          <w:p w:rsidR="00C95176" w:rsidRDefault="00C95176">
            <w:pPr>
              <w:pStyle w:val="ConsPlusNormal"/>
            </w:pPr>
          </w:p>
        </w:tc>
      </w:tr>
    </w:tbl>
    <w:p w:rsidR="00C95176" w:rsidRDefault="00C95176">
      <w:pPr>
        <w:pStyle w:val="ConsPlusNormal"/>
        <w:jc w:val="both"/>
      </w:pPr>
    </w:p>
    <w:p w:rsidR="00C95176" w:rsidRDefault="00C95176">
      <w:pPr>
        <w:pStyle w:val="ConsPlusNonformat"/>
        <w:jc w:val="both"/>
      </w:pPr>
      <w:r>
        <w:t>Руководитель органа</w:t>
      </w:r>
    </w:p>
    <w:p w:rsidR="00C95176" w:rsidRDefault="00C95176">
      <w:pPr>
        <w:pStyle w:val="ConsPlusNonformat"/>
        <w:jc w:val="both"/>
      </w:pPr>
      <w:r>
        <w:t>управления игорной зоной ________________________________ _________________</w:t>
      </w:r>
    </w:p>
    <w:p w:rsidR="00C95176" w:rsidRDefault="00C95176">
      <w:pPr>
        <w:pStyle w:val="ConsPlusNonformat"/>
        <w:jc w:val="both"/>
      </w:pPr>
      <w:r>
        <w:t xml:space="preserve">                                     (Ф.И.О.)                 (подпись)</w:t>
      </w:r>
    </w:p>
    <w:p w:rsidR="00C95176" w:rsidRDefault="00C95176">
      <w:pPr>
        <w:pStyle w:val="ConsPlusNonformat"/>
        <w:jc w:val="both"/>
      </w:pPr>
    </w:p>
    <w:p w:rsidR="00C95176" w:rsidRDefault="00C95176">
      <w:pPr>
        <w:pStyle w:val="ConsPlusNonformat"/>
        <w:jc w:val="both"/>
      </w:pPr>
      <w:r>
        <w:t>_______________________________________</w:t>
      </w:r>
    </w:p>
    <w:p w:rsidR="00C95176" w:rsidRDefault="00C95176">
      <w:pPr>
        <w:pStyle w:val="ConsPlusNonformat"/>
        <w:jc w:val="both"/>
      </w:pPr>
      <w:r>
        <w:t xml:space="preserve"> (исполнитель, N контактного телефона)              М.П.</w:t>
      </w:r>
    </w:p>
    <w:p w:rsidR="00C95176" w:rsidRDefault="00C95176">
      <w:pPr>
        <w:pStyle w:val="ConsPlusNormal"/>
        <w:jc w:val="both"/>
      </w:pPr>
    </w:p>
    <w:p w:rsidR="00C95176" w:rsidRDefault="00C95176">
      <w:pPr>
        <w:pStyle w:val="ConsPlusNormal"/>
        <w:jc w:val="both"/>
      </w:pPr>
    </w:p>
    <w:p w:rsidR="00C95176" w:rsidRDefault="00C95176">
      <w:pPr>
        <w:pStyle w:val="ConsPlusNormal"/>
        <w:pBdr>
          <w:top w:val="single" w:sz="6" w:space="0" w:color="auto"/>
        </w:pBdr>
        <w:spacing w:before="100" w:after="100"/>
        <w:jc w:val="both"/>
        <w:rPr>
          <w:sz w:val="2"/>
          <w:szCs w:val="2"/>
        </w:rPr>
      </w:pPr>
    </w:p>
    <w:p w:rsidR="00801C33" w:rsidRDefault="00801C33"/>
    <w:sectPr w:rsidR="00801C33" w:rsidSect="00807F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76"/>
    <w:rsid w:val="00801C33"/>
    <w:rsid w:val="00C9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1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2DB33D09055F4AE2FF4A6A2C6EFE5F881EF6BECD4514E6FEAF892AA0F0F75953605BA1661E3F6876F9F2E91E4564EEB52602F26CD83CEv3X3M" TargetMode="External"/><Relationship Id="rId3" Type="http://schemas.openxmlformats.org/officeDocument/2006/relationships/settings" Target="settings.xml"/><Relationship Id="rId7" Type="http://schemas.openxmlformats.org/officeDocument/2006/relationships/hyperlink" Target="consultantplus://offline/ref=0D92DB33D09055F4AE2FF4A6A2C6EFE5FC89EC61E8DB0C4467B3F490AD005070922705BA167FE2F19D66CB7DvDX4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92DB33D09055F4AE2FF4A6A2C6EFE5F988E568E9D3514E6FEAF892AA0F0F75953605BA1661E1F7836F9F2E91E4564EEB52602F26CD83CEv3X3M" TargetMode="External"/><Relationship Id="rId5" Type="http://schemas.openxmlformats.org/officeDocument/2006/relationships/hyperlink" Target="consultantplus://offline/ref=0D92DB33D09055F4AE2FF4A6A2C6EFE5F987E569EFD4514E6FEAF892AA0F0F75953605BF176AB7A1C731C67ED5AF5A4EF54E612Cv3X9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Зарегистрировано в Минюсте России 3 ноября 2016 г. N 44236</vt:lpstr>
      <vt:lpstr>Приложение</vt:lpstr>
      <vt:lpstr>    Приложение</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2021-11-10T12:23:00Z</dcterms:created>
  <dcterms:modified xsi:type="dcterms:W3CDTF">2021-11-10T12:24:00Z</dcterms:modified>
</cp:coreProperties>
</file>