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4F2234" w:rsidRDefault="004F2234" w:rsidP="00353963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353963" w:rsidRDefault="00C63338" w:rsidP="00353963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="00F6044E">
        <w:rPr>
          <w:rFonts w:eastAsia="Times New Roman"/>
          <w:sz w:val="28"/>
          <w:szCs w:val="20"/>
          <w:lang w:eastAsia="ru-RU"/>
        </w:rPr>
        <w:t xml:space="preserve">, что приказ </w:t>
      </w:r>
      <w:r w:rsidRPr="00C63338">
        <w:rPr>
          <w:rFonts w:eastAsia="Times New Roman"/>
          <w:sz w:val="28"/>
          <w:szCs w:val="20"/>
          <w:lang w:eastAsia="ru-RU"/>
        </w:rPr>
        <w:t xml:space="preserve">Министерства финансов Российской Федерации </w:t>
      </w:r>
      <w:r w:rsidR="00F6044E">
        <w:rPr>
          <w:rFonts w:eastAsia="Times New Roman"/>
          <w:sz w:val="28"/>
          <w:szCs w:val="20"/>
          <w:lang w:eastAsia="ru-RU"/>
        </w:rPr>
        <w:t xml:space="preserve">от </w:t>
      </w:r>
      <w:r w:rsidR="005531D1">
        <w:rPr>
          <w:rFonts w:eastAsia="Calibri"/>
          <w:sz w:val="28"/>
        </w:rPr>
        <w:t>29 июля 2021 г. № 105</w:t>
      </w:r>
      <w:r w:rsidR="00353963" w:rsidRPr="009C7FED">
        <w:rPr>
          <w:rFonts w:eastAsia="Calibri"/>
          <w:sz w:val="28"/>
        </w:rPr>
        <w:t xml:space="preserve">н </w:t>
      </w:r>
      <w:r w:rsidR="00353963">
        <w:rPr>
          <w:rFonts w:eastAsia="Calibri"/>
          <w:sz w:val="28"/>
        </w:rPr>
        <w:br/>
      </w:r>
      <w:r w:rsidR="00353963" w:rsidRPr="009C7FED">
        <w:rPr>
          <w:rFonts w:eastAsia="Calibri"/>
          <w:sz w:val="28"/>
        </w:rPr>
        <w:t>"</w:t>
      </w:r>
      <w:r w:rsidR="00353963">
        <w:rPr>
          <w:rFonts w:eastAsia="Calibri"/>
          <w:sz w:val="28"/>
        </w:rPr>
        <w:t>О внесении</w:t>
      </w:r>
      <w:r w:rsidR="00353963" w:rsidRPr="00C76699">
        <w:rPr>
          <w:rFonts w:eastAsia="Calibri"/>
          <w:sz w:val="28"/>
        </w:rPr>
        <w:t xml:space="preserve"> </w:t>
      </w:r>
      <w:r w:rsidR="00353963">
        <w:rPr>
          <w:rFonts w:eastAsia="Calibri"/>
          <w:sz w:val="28"/>
        </w:rPr>
        <w:t xml:space="preserve">изменений в </w:t>
      </w:r>
      <w:r w:rsidR="005531D1">
        <w:rPr>
          <w:rFonts w:eastAsia="Calibri"/>
          <w:sz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5531D1">
        <w:rPr>
          <w:rFonts w:eastAsia="Calibri"/>
          <w:sz w:val="28"/>
        </w:rPr>
        <w:br/>
        <w:t>от 6 июня 2019 г. № 85н" (далее - Приказ № 105</w:t>
      </w:r>
      <w:r w:rsidR="00353963">
        <w:rPr>
          <w:rFonts w:eastAsia="Calibri"/>
          <w:sz w:val="28"/>
        </w:rPr>
        <w:t xml:space="preserve">н) </w:t>
      </w:r>
      <w:r w:rsidR="00353963" w:rsidRPr="009C7FED">
        <w:rPr>
          <w:rFonts w:eastAsia="Calibri"/>
          <w:sz w:val="28"/>
        </w:rPr>
        <w:t>зарегистрирован Министерством</w:t>
      </w:r>
      <w:r w:rsidR="005531D1">
        <w:rPr>
          <w:rFonts w:eastAsia="Calibri"/>
          <w:sz w:val="28"/>
        </w:rPr>
        <w:t xml:space="preserve"> юстиции Российской Федерации 13</w:t>
      </w:r>
      <w:r w:rsidR="00353963" w:rsidRPr="009C7FED">
        <w:rPr>
          <w:rFonts w:eastAsia="Calibri"/>
          <w:sz w:val="28"/>
        </w:rPr>
        <w:t xml:space="preserve"> </w:t>
      </w:r>
      <w:r w:rsidR="005531D1">
        <w:rPr>
          <w:rFonts w:eastAsia="Calibri"/>
          <w:sz w:val="28"/>
        </w:rPr>
        <w:t>октября</w:t>
      </w:r>
      <w:r w:rsidR="00353963" w:rsidRPr="009C7FED">
        <w:rPr>
          <w:rFonts w:eastAsia="Calibri"/>
          <w:sz w:val="28"/>
        </w:rPr>
        <w:t xml:space="preserve"> </w:t>
      </w:r>
      <w:r w:rsidR="005531D1">
        <w:rPr>
          <w:rFonts w:eastAsia="Calibri"/>
          <w:sz w:val="28"/>
        </w:rPr>
        <w:t>2021 г., регистрационный № 65392</w:t>
      </w:r>
      <w:r w:rsidR="00353963" w:rsidRPr="009C7FED">
        <w:rPr>
          <w:rFonts w:eastAsia="Calibri"/>
          <w:sz w:val="28"/>
        </w:rPr>
        <w:t>.</w:t>
      </w:r>
    </w:p>
    <w:p w:rsidR="00C63338" w:rsidRPr="00C6333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5531D1">
        <w:rPr>
          <w:rFonts w:eastAsia="Times New Roman"/>
          <w:sz w:val="28"/>
          <w:lang w:eastAsia="ru-RU"/>
        </w:rPr>
        <w:t>105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(http://www.minfin.</w:t>
      </w:r>
      <w:proofErr w:type="spellStart"/>
      <w:r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Pr="00C63338">
        <w:rPr>
          <w:rFonts w:eastAsia="Times New Roman"/>
          <w:sz w:val="28"/>
          <w:lang w:eastAsia="ru-RU"/>
        </w:rPr>
        <w:t>.</w:t>
      </w:r>
      <w:proofErr w:type="spellStart"/>
      <w:r w:rsidRPr="00C63338">
        <w:rPr>
          <w:rFonts w:eastAsia="Times New Roman"/>
          <w:sz w:val="28"/>
          <w:lang w:eastAsia="ru-RU"/>
        </w:rPr>
        <w:t>ru</w:t>
      </w:r>
      <w:proofErr w:type="spellEnd"/>
      <w:r w:rsidRPr="00C63338">
        <w:rPr>
          <w:rFonts w:eastAsia="Times New Roman"/>
          <w:sz w:val="28"/>
          <w:lang w:eastAsia="ru-RU"/>
        </w:rPr>
        <w:t xml:space="preserve">/) 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классификация Российской Федерации".</w:t>
      </w:r>
    </w:p>
    <w:p w:rsidR="00FE22BC" w:rsidRDefault="00FE22BC" w:rsidP="00936B14"/>
    <w:p w:rsidR="00F12E0A" w:rsidRDefault="00F12E0A" w:rsidP="00936B14"/>
    <w:p w:rsidR="00FE22BC" w:rsidRPr="00745E52" w:rsidRDefault="00F6044E" w:rsidP="007263CC">
      <w:pPr>
        <w:jc w:val="right"/>
        <w:rPr>
          <w:sz w:val="28"/>
        </w:rPr>
      </w:pPr>
      <w:r>
        <w:t xml:space="preserve">                                                                                                      </w:t>
      </w:r>
      <w:r w:rsidR="007614D8">
        <w:t xml:space="preserve">                               </w:t>
      </w:r>
      <w:r w:rsidR="007263CC">
        <w:rPr>
          <w:sz w:val="28"/>
        </w:rPr>
        <w:t>А.М.Лавров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0F" w:rsidRDefault="00DA030F" w:rsidP="00041E4A">
      <w:pPr>
        <w:spacing w:after="0" w:line="240" w:lineRule="auto"/>
      </w:pPr>
      <w:r>
        <w:separator/>
      </w:r>
    </w:p>
  </w:endnote>
  <w:endnote w:type="continuationSeparator" w:id="0">
    <w:p w:rsidR="00DA030F" w:rsidRDefault="00DA030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353963" w:rsidRPr="00353963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  <w:r w:rsidRPr="006875FE">
      <w:rPr>
        <w:rFonts w:eastAsia="Calibri"/>
        <w:sz w:val="18"/>
        <w:szCs w:val="18"/>
      </w:rPr>
      <w:t xml:space="preserve">Исп.: </w:t>
    </w:r>
    <w:r w:rsidR="00353963">
      <w:rPr>
        <w:rFonts w:eastAsia="Calibri"/>
        <w:sz w:val="18"/>
        <w:szCs w:val="18"/>
      </w:rPr>
      <w:t>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353963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0F" w:rsidRDefault="00DA030F" w:rsidP="00041E4A">
      <w:pPr>
        <w:spacing w:after="0" w:line="240" w:lineRule="auto"/>
      </w:pPr>
      <w:r>
        <w:separator/>
      </w:r>
    </w:p>
  </w:footnote>
  <w:footnote w:type="continuationSeparator" w:id="0">
    <w:p w:rsidR="00DA030F" w:rsidRDefault="00DA030F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57C3"/>
    <w:rsid w:val="00087CF6"/>
    <w:rsid w:val="00095328"/>
    <w:rsid w:val="000A08E3"/>
    <w:rsid w:val="000C293D"/>
    <w:rsid w:val="0011310E"/>
    <w:rsid w:val="00192067"/>
    <w:rsid w:val="001945D0"/>
    <w:rsid w:val="001C38FF"/>
    <w:rsid w:val="001E70FE"/>
    <w:rsid w:val="001F0565"/>
    <w:rsid w:val="00207AA9"/>
    <w:rsid w:val="00215BC5"/>
    <w:rsid w:val="00237CE7"/>
    <w:rsid w:val="0028127F"/>
    <w:rsid w:val="0029124D"/>
    <w:rsid w:val="002F29D5"/>
    <w:rsid w:val="00353963"/>
    <w:rsid w:val="003838E3"/>
    <w:rsid w:val="003B7B6D"/>
    <w:rsid w:val="003C25CB"/>
    <w:rsid w:val="003F31FB"/>
    <w:rsid w:val="004057A6"/>
    <w:rsid w:val="00414F65"/>
    <w:rsid w:val="00436059"/>
    <w:rsid w:val="004365BF"/>
    <w:rsid w:val="0045067A"/>
    <w:rsid w:val="00485A85"/>
    <w:rsid w:val="004A7F9F"/>
    <w:rsid w:val="004E4D29"/>
    <w:rsid w:val="004F2234"/>
    <w:rsid w:val="00521F14"/>
    <w:rsid w:val="005531D1"/>
    <w:rsid w:val="005807E8"/>
    <w:rsid w:val="0068109C"/>
    <w:rsid w:val="00691829"/>
    <w:rsid w:val="00695DEE"/>
    <w:rsid w:val="006B0BB2"/>
    <w:rsid w:val="006C2E35"/>
    <w:rsid w:val="006C65D1"/>
    <w:rsid w:val="006E7065"/>
    <w:rsid w:val="007177AC"/>
    <w:rsid w:val="00724FB3"/>
    <w:rsid w:val="00725946"/>
    <w:rsid w:val="007263CC"/>
    <w:rsid w:val="00745E52"/>
    <w:rsid w:val="00755A61"/>
    <w:rsid w:val="007614D8"/>
    <w:rsid w:val="007D0CD9"/>
    <w:rsid w:val="007D33AF"/>
    <w:rsid w:val="00831EBA"/>
    <w:rsid w:val="00841452"/>
    <w:rsid w:val="00855A76"/>
    <w:rsid w:val="008A5EAA"/>
    <w:rsid w:val="008B2BB0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B709A"/>
    <w:rsid w:val="00AC46F4"/>
    <w:rsid w:val="00AD7A42"/>
    <w:rsid w:val="00B227DC"/>
    <w:rsid w:val="00B273FD"/>
    <w:rsid w:val="00B32923"/>
    <w:rsid w:val="00B435CF"/>
    <w:rsid w:val="00B923B3"/>
    <w:rsid w:val="00BC449B"/>
    <w:rsid w:val="00BF25D8"/>
    <w:rsid w:val="00C06D13"/>
    <w:rsid w:val="00C33973"/>
    <w:rsid w:val="00C63338"/>
    <w:rsid w:val="00CC0719"/>
    <w:rsid w:val="00CD16AF"/>
    <w:rsid w:val="00CF4AA5"/>
    <w:rsid w:val="00D64CF5"/>
    <w:rsid w:val="00D77960"/>
    <w:rsid w:val="00DA030F"/>
    <w:rsid w:val="00DB08D1"/>
    <w:rsid w:val="00DD6825"/>
    <w:rsid w:val="00DF37E2"/>
    <w:rsid w:val="00E31D71"/>
    <w:rsid w:val="00E47D14"/>
    <w:rsid w:val="00E74F7F"/>
    <w:rsid w:val="00E753E1"/>
    <w:rsid w:val="00E85BDE"/>
    <w:rsid w:val="00EF2490"/>
    <w:rsid w:val="00F12E0A"/>
    <w:rsid w:val="00F201AB"/>
    <w:rsid w:val="00F30BE9"/>
    <w:rsid w:val="00F54DD9"/>
    <w:rsid w:val="00F6044E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9D8B9"/>
  <w14:defaultImageDpi w14:val="330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0A15-4E2D-41D4-8471-BFDD7B99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2021-10-15T16:34:00Z</dcterms:created>
  <dcterms:modified xsi:type="dcterms:W3CDTF">2021-10-15T16:34:00Z</dcterms:modified>
</cp:coreProperties>
</file>