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325CC" w14:textId="77777777" w:rsidR="00614354" w:rsidRPr="00614354" w:rsidRDefault="008C30D3" w:rsidP="0061435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Информация </w:t>
      </w:r>
      <w:r w:rsidR="00614354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рассмотрении </w:t>
      </w:r>
      <w:bookmarkStart w:id="0" w:name="_GoBack"/>
      <w:r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Протокола заочного заседания </w:t>
      </w:r>
    </w:p>
    <w:p w14:paraId="6A8DED35" w14:textId="0DAB7DED" w:rsidR="00340581" w:rsidRPr="00614354" w:rsidRDefault="008C30D3" w:rsidP="0061435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Общественного совета при Минфине России от </w:t>
      </w:r>
      <w:r w:rsidR="007D0F8F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DD74D3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7D0F8F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DD74D3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D0F8F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>ию</w:t>
      </w:r>
      <w:r w:rsidR="00CE49EB">
        <w:rPr>
          <w:rFonts w:ascii="Times New Roman" w:hAnsi="Times New Roman" w:cs="Times New Roman"/>
          <w:b/>
          <w:bCs/>
          <w:color w:val="auto"/>
          <w:sz w:val="28"/>
          <w:szCs w:val="28"/>
        </w:rPr>
        <w:t>л</w:t>
      </w:r>
      <w:r w:rsidR="007D0F8F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2021 г. № </w:t>
      </w:r>
      <w:r w:rsidR="00DD74D3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614354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4354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bookmarkEnd w:id="0"/>
      <w:r w:rsidR="00614354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рассмотрению проекта постановления Правительства Российской Федерации </w:t>
      </w:r>
      <w:r w:rsidR="00614354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«О внесении изменений в государственную программу Российской Федерации </w:t>
      </w:r>
      <w:r w:rsidR="00614354" w:rsidRPr="0061435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«Управление государственными финансами и регулирование финансовых рынков»</w:t>
      </w:r>
      <w:r w:rsidR="00D65E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(далее – Госпрограмма № 39)</w:t>
      </w:r>
    </w:p>
    <w:p w14:paraId="61D1EBE2" w14:textId="77777777" w:rsidR="00614354" w:rsidRPr="00614354" w:rsidRDefault="00614354" w:rsidP="0061435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1"/>
        <w:tblpPr w:leftFromText="180" w:rightFromText="180" w:vertAnchor="text" w:tblpY="1"/>
        <w:tblOverlap w:val="never"/>
        <w:tblW w:w="1502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7508"/>
        <w:gridCol w:w="7088"/>
      </w:tblGrid>
      <w:tr w:rsidR="008C30D3" w:rsidRPr="000378C4" w14:paraId="30420528" w14:textId="77777777" w:rsidTr="00196AEC">
        <w:trPr>
          <w:trHeight w:val="449"/>
        </w:trPr>
        <w:tc>
          <w:tcPr>
            <w:tcW w:w="793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5330F1" w14:textId="77777777" w:rsidR="008C30D3" w:rsidRPr="000378C4" w:rsidRDefault="008C30D3" w:rsidP="0019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члена Общественного совета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  <w:vAlign w:val="center"/>
          </w:tcPr>
          <w:p w14:paraId="0B89605A" w14:textId="77777777" w:rsidR="008C30D3" w:rsidRPr="000378C4" w:rsidRDefault="00614354" w:rsidP="0019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Минфина России</w:t>
            </w:r>
          </w:p>
        </w:tc>
      </w:tr>
      <w:tr w:rsidR="008C30D3" w:rsidRPr="000378C4" w14:paraId="1A08ED7F" w14:textId="77777777" w:rsidTr="00125617">
        <w:trPr>
          <w:trHeight w:val="287"/>
        </w:trPr>
        <w:tc>
          <w:tcPr>
            <w:tcW w:w="15021" w:type="dxa"/>
            <w:gridSpan w:val="3"/>
            <w:shd w:val="clear" w:color="auto" w:fill="auto"/>
            <w:tcMar>
              <w:left w:w="103" w:type="dxa"/>
            </w:tcMar>
          </w:tcPr>
          <w:p w14:paraId="6FCCACAA" w14:textId="77777777" w:rsidR="008C30D3" w:rsidRPr="000378C4" w:rsidRDefault="008C30D3" w:rsidP="001934A5">
            <w:pPr>
              <w:pStyle w:val="Bodytext4"/>
              <w:keepNext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78C4">
              <w:rPr>
                <w:rFonts w:eastAsiaTheme="minorHAnsi"/>
                <w:b/>
                <w:bCs/>
                <w:sz w:val="24"/>
                <w:szCs w:val="24"/>
              </w:rPr>
              <w:t>Член Общественного совета при Министерстве финансов Российской Федерации - Лисин В.С.</w:t>
            </w:r>
          </w:p>
        </w:tc>
      </w:tr>
      <w:tr w:rsidR="008C30D3" w:rsidRPr="000378C4" w14:paraId="1A38FFB7" w14:textId="77777777" w:rsidTr="00196AEC">
        <w:trPr>
          <w:trHeight w:val="850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638BDECD" w14:textId="77777777" w:rsidR="008C30D3" w:rsidRPr="000378C4" w:rsidRDefault="008C30D3" w:rsidP="00D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8" w:type="dxa"/>
            <w:shd w:val="clear" w:color="auto" w:fill="auto"/>
            <w:tcMar>
              <w:left w:w="103" w:type="dxa"/>
            </w:tcMar>
          </w:tcPr>
          <w:p w14:paraId="07EF4B1F" w14:textId="17443B9B" w:rsidR="001934A5" w:rsidRPr="000378C4" w:rsidRDefault="001934A5" w:rsidP="00173C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Госпрограмму № 39</w:t>
            </w:r>
            <w:r w:rsidR="00D65EAE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стратегические приоритеты в сфере 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Госпрограммы</w:t>
            </w:r>
            <w:r w:rsidR="00D65EAE" w:rsidRPr="00D65EAE">
              <w:rPr>
                <w:rFonts w:ascii="Times New Roman" w:hAnsi="Times New Roman" w:cs="Times New Roman"/>
                <w:sz w:val="24"/>
                <w:szCs w:val="24"/>
              </w:rPr>
              <w:t xml:space="preserve"> № 39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до 2030 года, в том числе по направлению «Развитие налоговой и таможенной системы и регулирование производства и оборота отдельных видов подакцизных товаров», цель по которому определена как «прирост индекса собираемости основных налогов, ввозной таможенной пошлины и страховых взносов в 2030 году на уровне не ниже 3,2% по отношению 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к уровню 2020 года».</w:t>
            </w:r>
          </w:p>
          <w:p w14:paraId="0221A647" w14:textId="2FAF7A28" w:rsidR="001934A5" w:rsidRPr="000378C4" w:rsidRDefault="001934A5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Изменениям, в </w:t>
            </w:r>
            <w:r w:rsidR="00D65EAE" w:rsidRPr="00D65EAE">
              <w:rPr>
                <w:rFonts w:ascii="Times New Roman" w:hAnsi="Times New Roman" w:cs="Times New Roman"/>
                <w:sz w:val="24"/>
                <w:szCs w:val="24"/>
              </w:rPr>
              <w:t xml:space="preserve">Госпрограммы № 39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в рамках вышеуказанного направления предусмотрено в том числе:</w:t>
            </w:r>
          </w:p>
          <w:p w14:paraId="5FF4A63E" w14:textId="77777777" w:rsidR="001934A5" w:rsidRPr="000378C4" w:rsidRDefault="001934A5" w:rsidP="00196AEC">
            <w:pPr>
              <w:pStyle w:val="af4"/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0378C4">
              <w:rPr>
                <w:sz w:val="24"/>
                <w:szCs w:val="24"/>
              </w:rPr>
              <w:t>создание современной налоговой системы Российской Федерации, включая «функционирование и развитие законодательства Российской Федерации о налогах и сборах»;</w:t>
            </w:r>
          </w:p>
          <w:p w14:paraId="479A780F" w14:textId="77777777" w:rsidR="001934A5" w:rsidRPr="000378C4" w:rsidRDefault="001934A5" w:rsidP="00196AEC">
            <w:pPr>
              <w:pStyle w:val="af4"/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0378C4">
              <w:rPr>
                <w:sz w:val="24"/>
                <w:szCs w:val="24"/>
              </w:rPr>
              <w:t>повышение собираемости доходов федерального бюджета, сокращение доли «теневой» экономики и снижение издержек государственного управления в сфере таможенного администрирования.</w:t>
            </w:r>
          </w:p>
          <w:p w14:paraId="0BFCB8A2" w14:textId="77777777" w:rsidR="001934A5" w:rsidRPr="000378C4" w:rsidRDefault="001934A5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Одним из ожидаемых результатов определено «налоговое законодательство Российской Федерации адаптировано к текущим экономическим условиям, в том числе с учетом внешних вызовов и угроз».</w:t>
            </w:r>
          </w:p>
          <w:p w14:paraId="7943E8E1" w14:textId="77777777" w:rsidR="001934A5" w:rsidRPr="000378C4" w:rsidRDefault="001934A5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В связи с изложенным сообщаю следующее.</w:t>
            </w:r>
          </w:p>
          <w:p w14:paraId="3D49EB43" w14:textId="40CDF0D5" w:rsidR="001934A5" w:rsidRPr="000378C4" w:rsidRDefault="001934A5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А. Изменения в</w:t>
            </w:r>
            <w:r w:rsidR="00D65EAE" w:rsidRPr="00D6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Госпрограмму</w:t>
            </w:r>
            <w:r w:rsidR="00D65EAE" w:rsidRPr="00D65EAE">
              <w:rPr>
                <w:rFonts w:ascii="Times New Roman" w:hAnsi="Times New Roman" w:cs="Times New Roman"/>
                <w:sz w:val="24"/>
                <w:szCs w:val="24"/>
              </w:rPr>
              <w:t xml:space="preserve"> № 39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носят декларативный характер и не содержат определенных мероприятий, поэтапная реализация которых приведет, например, к созданию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налоговой системы Российской Федерации, включая «функционирование и развитие законодательства Российской Федерации о налогах и сборах».</w:t>
            </w:r>
          </w:p>
          <w:p w14:paraId="57D335FE" w14:textId="379CE316" w:rsidR="001934A5" w:rsidRPr="000378C4" w:rsidRDefault="001934A5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не представляется возможным оценить и подтвердить достаточность упомянутых мероприятий с точки зрения декларируемых Изменениями в 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Госпрограмме</w:t>
            </w:r>
            <w:r w:rsidR="00D65EAE" w:rsidRPr="00D65EAE">
              <w:rPr>
                <w:rFonts w:ascii="Times New Roman" w:hAnsi="Times New Roman" w:cs="Times New Roman"/>
                <w:sz w:val="24"/>
                <w:szCs w:val="24"/>
              </w:rPr>
              <w:t xml:space="preserve"> № 39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14:paraId="5CCB2425" w14:textId="77777777" w:rsidR="001934A5" w:rsidRPr="000378C4" w:rsidRDefault="00265152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Б. Обращаю</w:t>
            </w:r>
            <w:r w:rsidR="001934A5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</w:t>
            </w:r>
            <w:r w:rsidR="001C7C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934A5" w:rsidRPr="000378C4">
              <w:rPr>
                <w:rFonts w:ascii="Times New Roman" w:hAnsi="Times New Roman" w:cs="Times New Roman"/>
                <w:sz w:val="24"/>
                <w:szCs w:val="24"/>
              </w:rPr>
              <w:t>отсутствие в направлении «Развитие налоговой и таможенной системы и регулирование производства и оборота отдельных видов подакцизных товаров» мероприятий, неоднократно озвученных как Президентом Российской Федерации, так и Председателем Правительства Российской Федерации вопросов, связанных с так называемой «донастройкой» налоговой системы, которая в настоящее время активно обсуждается в СМИ.</w:t>
            </w:r>
          </w:p>
          <w:p w14:paraId="7836753B" w14:textId="18C09651" w:rsidR="008C30D3" w:rsidRPr="000378C4" w:rsidRDefault="001934A5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Изменений в </w:t>
            </w:r>
            <w:r w:rsidR="00D65EAE" w:rsidRPr="00D65EAE">
              <w:rPr>
                <w:rFonts w:ascii="Times New Roman" w:hAnsi="Times New Roman" w:cs="Times New Roman"/>
                <w:sz w:val="24"/>
                <w:szCs w:val="24"/>
              </w:rPr>
              <w:t xml:space="preserve">Госпрограммы № 39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указанными мероприятиями полностью согласуется с пунктами 2.2 и 2.3 Положения об Общественном совете при Министерстве финансов Российской Федерации, утвержденного приказом Минфина России от 04.09.2019 № 484, согласно которым подлежат рассмотрению Общественным советом проекты общественно значимых нормативных правовых актов и иных документов, разрабатываемых Минфином России, к категории которых «донастройка» налоговой системы относится, на мой взгляд, в полном объеме.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5C3C57CF" w14:textId="70610EAC" w:rsidR="00C1546A" w:rsidRPr="000378C4" w:rsidRDefault="00F261EC" w:rsidP="00196AEC">
            <w:pPr>
              <w:pStyle w:val="af6"/>
              <w:spacing w:after="0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стратегических приоритетах Госпрограммы № 39 указаны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46A" w:rsidRPr="000378C4">
              <w:rPr>
                <w:rFonts w:ascii="Times New Roman" w:hAnsi="Times New Roman" w:cs="Times New Roman"/>
                <w:sz w:val="24"/>
                <w:szCs w:val="24"/>
              </w:rPr>
              <w:t>подпрограммы «Развитие налоговой и таможенной системы и регулирование производства и оборота отдельных видов подакцизных товаров» без состава конкретных мероприятий.</w:t>
            </w:r>
          </w:p>
          <w:p w14:paraId="12019850" w14:textId="77777777" w:rsidR="00C1546A" w:rsidRPr="000378C4" w:rsidRDefault="00C1546A" w:rsidP="00196AEC">
            <w:pPr>
              <w:pStyle w:val="af6"/>
              <w:spacing w:after="0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При этом предполагается, что в состав мероприятий будут включаться проекты федеральных законов, предусматривающие внесение изменений в Налоговый кодекс Российской Федерации, в том числе направленные на развитие налоговой системы Российской Федерации (включая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страховых взносов).</w:t>
            </w:r>
          </w:p>
          <w:p w14:paraId="56ABDC8D" w14:textId="02D71A93" w:rsidR="00C1546A" w:rsidRPr="000378C4" w:rsidRDefault="00D65EAE" w:rsidP="00196AEC">
            <w:pPr>
              <w:pStyle w:val="af6"/>
              <w:spacing w:after="0"/>
              <w:ind w:left="44"/>
              <w:jc w:val="left"/>
              <w:rPr>
                <w:rStyle w:val="CharStyle15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</w:t>
            </w:r>
            <w:r w:rsidR="00F261EC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46A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федеральных законов, предусматривающих внесение изменений в Налоговый кодекс Российской Федерации, </w:t>
            </w:r>
            <w:r w:rsidR="00F261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261EC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261E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F261EC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C1546A" w:rsidRPr="000378C4">
              <w:rPr>
                <w:rFonts w:ascii="Times New Roman" w:hAnsi="Times New Roman" w:cs="Times New Roman"/>
                <w:sz w:val="24"/>
                <w:szCs w:val="24"/>
              </w:rPr>
              <w:t>производится исключительно по поручению Президента Российской Федерации или Председателя Правительства Российской Федерации.</w:t>
            </w:r>
          </w:p>
        </w:tc>
      </w:tr>
      <w:tr w:rsidR="008C30D3" w:rsidRPr="000378C4" w14:paraId="5C86DE77" w14:textId="77777777" w:rsidTr="00125617">
        <w:tc>
          <w:tcPr>
            <w:tcW w:w="15021" w:type="dxa"/>
            <w:gridSpan w:val="3"/>
            <w:shd w:val="clear" w:color="auto" w:fill="auto"/>
            <w:tcMar>
              <w:left w:w="103" w:type="dxa"/>
            </w:tcMar>
          </w:tcPr>
          <w:p w14:paraId="17B6D7F0" w14:textId="77777777" w:rsidR="008C30D3" w:rsidRPr="000378C4" w:rsidRDefault="008C30D3" w:rsidP="00173C5C">
            <w:pPr>
              <w:pStyle w:val="Bodytext4"/>
              <w:keepNext/>
              <w:shd w:val="clear" w:color="auto" w:fill="auto"/>
              <w:tabs>
                <w:tab w:val="left" w:pos="979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78C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Член Общественного совета при Министерстве финансов Российской Федерации - </w:t>
            </w:r>
            <w:r w:rsidR="00DD56D4" w:rsidRPr="000378C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Мурычев А.В.</w:t>
            </w:r>
          </w:p>
        </w:tc>
      </w:tr>
      <w:tr w:rsidR="008C30D3" w:rsidRPr="000378C4" w14:paraId="194826C4" w14:textId="77777777" w:rsidTr="00196AEC">
        <w:trPr>
          <w:trHeight w:val="416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3D1151A0" w14:textId="77777777" w:rsidR="008C30D3" w:rsidRPr="000378C4" w:rsidRDefault="00EE287E" w:rsidP="00D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8" w:type="dxa"/>
            <w:shd w:val="clear" w:color="auto" w:fill="auto"/>
            <w:tcMar>
              <w:left w:w="103" w:type="dxa"/>
            </w:tcMar>
          </w:tcPr>
          <w:p w14:paraId="5C752B29" w14:textId="0A728877" w:rsidR="008C30D3" w:rsidRPr="000378C4" w:rsidRDefault="001934A5" w:rsidP="00173C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направления (подпрограммы) 1 «Обеспечение долгосрочной устойчивости федерального бюджета» одним </w:t>
            </w:r>
            <w:r w:rsidR="004E10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из путей достижения цели «ежегодный первичный структурный дефицит федерального бюджета по отношению к валовому внутреннему продукту на уровне не более 0,5%, начиная с 2022 года» является повышения надежности экономических прогнозов и консервативности предпосылок, положенных </w:t>
            </w:r>
            <w:r w:rsidR="004E10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в основу бюджетного планирования. Вместе с тем отсутствует понимание, каким образом планируется решить данную задачу, особенно с учетом того, что вопросы экономических прогнозов относятся в большей степени к государственной программе «Экономическое развитие и инновационная экономика»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16059B0A" w14:textId="11ECDEA3" w:rsidR="00173C5C" w:rsidRDefault="000378C4" w:rsidP="000D2A0A">
            <w:pPr>
              <w:pStyle w:val="af4"/>
              <w:ind w:left="44" w:firstLine="0"/>
              <w:jc w:val="left"/>
              <w:rPr>
                <w:sz w:val="24"/>
                <w:szCs w:val="24"/>
              </w:rPr>
            </w:pPr>
            <w:r w:rsidRPr="00D65EAE">
              <w:rPr>
                <w:sz w:val="24"/>
                <w:szCs w:val="24"/>
              </w:rPr>
              <w:t xml:space="preserve">В новой редакции проекта постановления Правительства Российской Федерации «О внесении изменений в государственную программу Российской Федерации «Управление государственными финансами и регулирование финансовых рынков» </w:t>
            </w:r>
            <w:r w:rsidR="00CC4885" w:rsidRPr="00D65EAE">
              <w:rPr>
                <w:sz w:val="24"/>
                <w:szCs w:val="24"/>
              </w:rPr>
              <w:t>скорректированы задачи</w:t>
            </w:r>
            <w:r w:rsidRPr="00D65EAE">
              <w:rPr>
                <w:sz w:val="24"/>
                <w:szCs w:val="24"/>
              </w:rPr>
              <w:t xml:space="preserve"> подпрограммы «Обеспечение долгосрочной устойчивости федерального бюджета»</w:t>
            </w:r>
            <w:r w:rsidR="00DB56C8" w:rsidRPr="00D65EAE">
              <w:rPr>
                <w:sz w:val="24"/>
                <w:szCs w:val="24"/>
              </w:rPr>
              <w:t>.</w:t>
            </w:r>
          </w:p>
          <w:p w14:paraId="02BCE90D" w14:textId="77777777" w:rsidR="00CC4885" w:rsidRPr="00D65EAE" w:rsidRDefault="00173C5C" w:rsidP="00173C5C">
            <w:pPr>
              <w:tabs>
                <w:tab w:val="left" w:pos="5190"/>
              </w:tabs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4885" w:rsidRPr="00D65EAE">
              <w:rPr>
                <w:rFonts w:ascii="Times New Roman" w:hAnsi="Times New Roman" w:cs="Times New Roman"/>
                <w:sz w:val="24"/>
                <w:szCs w:val="24"/>
              </w:rPr>
              <w:t>стижение и обеспечение долгосрочной сбалансированности и устойчивости бюджетной системы Российской Федерации, повышение эффективности бюджетных расходов планируется осуществить путем:</w:t>
            </w:r>
          </w:p>
          <w:p w14:paraId="24454FC5" w14:textId="77777777" w:rsidR="00CC4885" w:rsidRPr="00D65EAE" w:rsidRDefault="00CC4885" w:rsidP="000D2A0A">
            <w:pPr>
              <w:tabs>
                <w:tab w:val="left" w:pos="5190"/>
              </w:tabs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бюджетной политики в соответствии с бюджетными правилами, что обеспечит выполнение расходных обязательств </w:t>
            </w:r>
            <w:r w:rsidRPr="00D6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зависимости от внешней конъюнктуры, формирование предсказуемых и стабильных экономических условий;</w:t>
            </w:r>
          </w:p>
          <w:p w14:paraId="12120D51" w14:textId="77777777" w:rsidR="00CC4885" w:rsidRPr="00D65EAE" w:rsidRDefault="00CC4885" w:rsidP="000D2A0A">
            <w:pPr>
              <w:tabs>
                <w:tab w:val="left" w:pos="5190"/>
              </w:tabs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E">
              <w:rPr>
                <w:rFonts w:ascii="Times New Roman" w:hAnsi="Times New Roman" w:cs="Times New Roman"/>
                <w:sz w:val="24"/>
                <w:szCs w:val="24"/>
              </w:rPr>
              <w:t>- создания целостной системы управления бюджетными рисками и их профилактики, включающей оперативный учет и отражение долгосрочных последствий принятия расходных обязательств и изменения налогового законодательства, анализ и мониторинг ключевых бюджетных рисков, а также рисков, связанных с неявными бюджетными обязательствами (с учетом сферы ГЧП, СЗПК и др.);</w:t>
            </w:r>
          </w:p>
          <w:p w14:paraId="59959140" w14:textId="77777777" w:rsidR="00CC4885" w:rsidRPr="00D65EAE" w:rsidRDefault="00CC4885" w:rsidP="000D2A0A">
            <w:pPr>
              <w:tabs>
                <w:tab w:val="left" w:pos="5190"/>
              </w:tabs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E">
              <w:rPr>
                <w:rFonts w:ascii="Times New Roman" w:hAnsi="Times New Roman" w:cs="Times New Roman"/>
                <w:sz w:val="24"/>
                <w:szCs w:val="24"/>
              </w:rPr>
              <w:t>- формирования долгосрочного бюджетного прогнозирования с учетом различных сценариев экономических прогнозов, долгосрочных вызовов и тенденций развития экономики, в том числе в сфере декарбонизации;</w:t>
            </w:r>
          </w:p>
          <w:p w14:paraId="59F22043" w14:textId="77777777" w:rsidR="00CC4885" w:rsidRPr="00D65EAE" w:rsidRDefault="00CC4885" w:rsidP="000D2A0A">
            <w:pPr>
              <w:tabs>
                <w:tab w:val="left" w:pos="5190"/>
              </w:tabs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E">
              <w:rPr>
                <w:rFonts w:ascii="Times New Roman" w:hAnsi="Times New Roman" w:cs="Times New Roman"/>
                <w:sz w:val="24"/>
                <w:szCs w:val="24"/>
              </w:rPr>
              <w:t>- координации стратегического и бюджетного планирования;</w:t>
            </w:r>
          </w:p>
          <w:p w14:paraId="38CC8647" w14:textId="77777777" w:rsidR="008C30D3" w:rsidRPr="00D65EAE" w:rsidRDefault="00CC4885" w:rsidP="000D2A0A">
            <w:pPr>
              <w:tabs>
                <w:tab w:val="left" w:pos="5190"/>
              </w:tabs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E">
              <w:rPr>
                <w:rFonts w:ascii="Times New Roman" w:hAnsi="Times New Roman" w:cs="Times New Roman"/>
                <w:sz w:val="24"/>
                <w:szCs w:val="24"/>
              </w:rPr>
              <w:t>- реформирования системы управления государственными программами (их перевода на единые проектные принципы управления, совершенствования механизма целеполагания с ориентацией на достижение национальных целей развития, упрощения структуры и формата, координации государственных программ субъектов и федерального центра в части совместного ведения и др.).</w:t>
            </w:r>
          </w:p>
        </w:tc>
      </w:tr>
      <w:tr w:rsidR="001934A5" w:rsidRPr="000378C4" w14:paraId="14377ACC" w14:textId="77777777" w:rsidTr="00196AEC">
        <w:trPr>
          <w:trHeight w:val="1134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0003DFEF" w14:textId="77777777" w:rsidR="001934A5" w:rsidRPr="000378C4" w:rsidRDefault="00EE287E" w:rsidP="00D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8" w:type="dxa"/>
            <w:shd w:val="clear" w:color="auto" w:fill="auto"/>
            <w:tcMar>
              <w:left w:w="103" w:type="dxa"/>
            </w:tcMar>
          </w:tcPr>
          <w:p w14:paraId="2FB2862D" w14:textId="36097558" w:rsidR="001934A5" w:rsidRPr="000378C4" w:rsidRDefault="00DD56D4" w:rsidP="00173C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Вызывают серьезные сомнения отдельные предложения по повышению эффективности планирования и исполнения бюджетных расходов (раздел 2.2.), в частности, попытка слишком жестко контролировать себестоимость (раскрытие структуры цены государственного контракта, контракта (договора), создание правил экономического обоснования затрат, относимых поставщиками (подрядчиками) на себестоимость работ, услуг, включаемых в цену товара при исполнении государственных контрактов, контрактов (договоров), равно как и жесткое ограничение предельного уровня рентабельности (доходности) в цене государственного контракта, контракта (договора). Данные новации могут привести не к снижению цен, а росту в связи с уменьшением уровня конкуренции из-за сокращения количества компаний, заинтересованных работе по государственным контрактам.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6ED24895" w14:textId="5DC7B56D" w:rsidR="000378C4" w:rsidRPr="00D65EAE" w:rsidRDefault="00EB622A" w:rsidP="00196AEC">
            <w:pPr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3F73">
              <w:rPr>
                <w:rFonts w:ascii="Times New Roman" w:hAnsi="Times New Roman" w:cs="Times New Roman"/>
                <w:sz w:val="24"/>
                <w:szCs w:val="24"/>
              </w:rPr>
              <w:t>тратегическ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9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F73" w:rsidRPr="00037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F73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8C4" w:rsidRPr="000378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F0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78C4" w:rsidRPr="000378C4">
              <w:rPr>
                <w:rFonts w:ascii="Times New Roman" w:hAnsi="Times New Roman" w:cs="Times New Roman"/>
                <w:sz w:val="24"/>
                <w:szCs w:val="24"/>
              </w:rPr>
              <w:t>Создание новых инструментов повышения эффективности планирования и</w:t>
            </w:r>
            <w:r w:rsidR="00BB6D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бюджетных расходов</w:t>
            </w:r>
            <w:r w:rsidR="00AF0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8C4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Госпрограммы № 39 на период до 2030 года </w:t>
            </w:r>
            <w:r w:rsidR="00BB6D6A" w:rsidRPr="000378C4">
              <w:rPr>
                <w:rFonts w:ascii="Times New Roman" w:hAnsi="Times New Roman" w:cs="Times New Roman"/>
                <w:sz w:val="24"/>
                <w:szCs w:val="24"/>
              </w:rPr>
              <w:t>уточнен</w:t>
            </w:r>
            <w:r w:rsidR="00BB6D6A">
              <w:rPr>
                <w:rFonts w:ascii="Times New Roman" w:hAnsi="Times New Roman" w:cs="Times New Roman"/>
                <w:sz w:val="24"/>
                <w:szCs w:val="24"/>
              </w:rPr>
              <w:t xml:space="preserve"> в части того</w:t>
            </w:r>
            <w:r w:rsidR="000378C4" w:rsidRPr="000378C4">
              <w:rPr>
                <w:rFonts w:ascii="Times New Roman" w:hAnsi="Times New Roman" w:cs="Times New Roman"/>
                <w:sz w:val="24"/>
                <w:szCs w:val="24"/>
              </w:rPr>
              <w:t>, что реализация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его достижение,</w:t>
            </w:r>
            <w:r w:rsidR="000378C4"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предполагается исключительно в отношении бюджетных ср</w:t>
            </w:r>
            <w:r w:rsidR="00196AEC">
              <w:rPr>
                <w:rFonts w:ascii="Times New Roman" w:hAnsi="Times New Roman" w:cs="Times New Roman"/>
                <w:sz w:val="24"/>
                <w:szCs w:val="24"/>
              </w:rPr>
              <w:t xml:space="preserve">едств, подлежащих казначейскому </w:t>
            </w:r>
            <w:r w:rsidR="000378C4" w:rsidRPr="000378C4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</w:p>
        </w:tc>
      </w:tr>
      <w:tr w:rsidR="004E101E" w:rsidRPr="000378C4" w14:paraId="03881C0B" w14:textId="77777777" w:rsidTr="00196AEC">
        <w:trPr>
          <w:trHeight w:val="1134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378BCA69" w14:textId="77777777" w:rsidR="004E101E" w:rsidRPr="000378C4" w:rsidRDefault="004E101E" w:rsidP="0017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08" w:type="dxa"/>
            <w:shd w:val="clear" w:color="auto" w:fill="auto"/>
            <w:tcMar>
              <w:left w:w="103" w:type="dxa"/>
            </w:tcMar>
          </w:tcPr>
          <w:p w14:paraId="08E0FB22" w14:textId="77777777" w:rsidR="004E101E" w:rsidRPr="000378C4" w:rsidRDefault="004E101E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блоки 2.5. «Расширение доступа негосударственного сектора к оказанию государственных 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услуг в социальной сфере» и 2.7. «Повышение адресного характера мер социальной поддержки», а также предложения по их реализации требуют рассмотрения в рамках Российской трехсторонней комиссии по регулированию социально-трудовых отношений.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3A0F0ACA" w14:textId="1DC0EED8" w:rsidR="004E101E" w:rsidRPr="004E101E" w:rsidRDefault="004E101E" w:rsidP="00196AEC">
            <w:pPr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>Минфином России поддерживается предложение Общественного совета при Минфине России в части рассмотрения Российской трёхсторонней комиссией по регулированию социально-трудовых отношений (далее – РТК) проектов постановлений Российской Федерации, подготовленных в целях реализации мероприятий ведомственного проекта Минфина России «Справедливая поддержка граждан».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3 Федерального закона от </w:t>
            </w:r>
            <w:r w:rsidR="00C5300B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  <w:r w:rsidR="00C530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>№ 92-ФЗ «О Российской трехсторонней комиссии по регулированию социально-трудовых отношений» задачами РТК является, в том числе,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социально-трудовых отношений, федеральных программ в сфере социального обеспечения.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согласно поручению Заместителя Председателя Правительства Российской Федерации </w:t>
            </w:r>
            <w:r w:rsidR="00C5300B">
              <w:rPr>
                <w:rFonts w:ascii="Times New Roman" w:hAnsi="Times New Roman" w:cs="Times New Roman"/>
                <w:sz w:val="24"/>
                <w:szCs w:val="24"/>
              </w:rPr>
              <w:t>Т.А. 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>Голиковой от 05.04.2021 № ТГ-П24-4243 проекты федеральных законов и иных нормативных правовых актов Российской Федерации в области социально-трудовых отношений и связанные с ними экономические отношения в обязательном порядке подлежат направлению на рассмотрение в РТК до их рассмотрения на заседании Правительства Российской Федерации.</w:t>
            </w:r>
          </w:p>
          <w:p w14:paraId="6E1DAD23" w14:textId="341821E1" w:rsidR="004E101E" w:rsidRPr="00B33EA3" w:rsidDel="004E101E" w:rsidRDefault="004E101E" w:rsidP="00196AEC">
            <w:pPr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>В этой связи, дополнительное рассмотрение Комиссией стратегического приоритета</w:t>
            </w:r>
            <w:r w:rsidRPr="004E101E" w:rsidDel="00B3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>2.5 «Расширение доступа негосударственного сект</w:t>
            </w:r>
            <w:r w:rsidR="00196AEC">
              <w:rPr>
                <w:rFonts w:ascii="Times New Roman" w:hAnsi="Times New Roman" w:cs="Times New Roman"/>
                <w:sz w:val="24"/>
                <w:szCs w:val="24"/>
              </w:rPr>
              <w:t xml:space="preserve">ора к оказанию государственных </w:t>
            </w:r>
            <w:r w:rsidRPr="004E101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в социальной сфере», а также предложений по его реализации не требуется.</w:t>
            </w:r>
          </w:p>
        </w:tc>
      </w:tr>
      <w:tr w:rsidR="00DD56D4" w:rsidRPr="000378C4" w14:paraId="1297CFF2" w14:textId="77777777" w:rsidTr="00196AEC">
        <w:trPr>
          <w:trHeight w:val="699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14:paraId="17A87D15" w14:textId="77777777" w:rsidR="00DD56D4" w:rsidRPr="000378C4" w:rsidRDefault="00EE287E" w:rsidP="00D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8" w:type="dxa"/>
            <w:shd w:val="clear" w:color="auto" w:fill="auto"/>
            <w:tcMar>
              <w:left w:w="103" w:type="dxa"/>
            </w:tcMar>
          </w:tcPr>
          <w:p w14:paraId="35D3531D" w14:textId="55222FD1" w:rsidR="00DD56D4" w:rsidRPr="000378C4" w:rsidRDefault="00DD56D4" w:rsidP="00173C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Полагаем, что единственной целью направления (подпрограммы) 3 «Развитие налоговой и таможенной системы и регулирование производства и оборота отдельных видов подакцизных товаров» не должен быть прирост индекса собираемости основных налогов, ввозной таможенной пошлины и страховых взносов в 2030 году на уровне не ниже 3,2% по отношению к уровню 2020 года.</w:t>
            </w:r>
          </w:p>
          <w:p w14:paraId="07285A21" w14:textId="77777777" w:rsidR="00DD56D4" w:rsidRPr="000378C4" w:rsidRDefault="00DD56D4" w:rsidP="00196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направления блока 3.2. «Создание современной налоговой системы Российской Федерации» должны быть дополнены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страховыми взносами (сейчас в нем упоминаются исключительно налоги и сборы). Также необходимо включить такие направления, как стимулирование инвестиционной активности, повышение предсказуемости уровня фискальной нагрузки и стратегию в сфере повышения эффективности регулирования системы обязательных (неналоговых) платежей.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14:paraId="32164841" w14:textId="4EBDF3D3" w:rsidR="004C6BC7" w:rsidRPr="000378C4" w:rsidRDefault="004C6BC7" w:rsidP="00196AEC">
            <w:pPr>
              <w:pStyle w:val="af6"/>
              <w:spacing w:after="0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стратегических приоритетах Госпрограммы № 39 указаны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налоговой и таможенной системы и регулирование производства и оборота отдельных видов подакцизных товаров» без состава конкретных мероприятий.</w:t>
            </w:r>
          </w:p>
          <w:p w14:paraId="1BDEBC28" w14:textId="683FCFC0" w:rsidR="004C6BC7" w:rsidRPr="000378C4" w:rsidRDefault="004C6BC7" w:rsidP="00196AEC">
            <w:pPr>
              <w:pStyle w:val="af6"/>
              <w:spacing w:after="0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предполагается, что в состав мероприятий будут включаться проекты федеральных законов, предусматривающие внесение изменений в Налоговый кодекс Российской Федерации,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направленные на развитие налоговой системы Российской Федерации (включая вопросы страховых взносов).</w:t>
            </w:r>
          </w:p>
          <w:p w14:paraId="52834FC3" w14:textId="34A1C8E0" w:rsidR="00C1546A" w:rsidRPr="004C6BC7" w:rsidRDefault="004C6BC7" w:rsidP="00196AEC">
            <w:pPr>
              <w:pStyle w:val="af6"/>
              <w:spacing w:after="0"/>
              <w:ind w:lef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разработка проектов федеральных законов, предусматривающих внесение изменений в Налоговый кодекс Российской Федерации,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0378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производится исключительно по поручению Президента Российской Федерации или Председателя Правительства Российской Федерации.</w:t>
            </w:r>
          </w:p>
        </w:tc>
      </w:tr>
    </w:tbl>
    <w:p w14:paraId="6511442A" w14:textId="77777777" w:rsidR="008C30D3" w:rsidRPr="00DD56D4" w:rsidRDefault="008C30D3" w:rsidP="00DD56D4">
      <w:pPr>
        <w:spacing w:after="160"/>
        <w:jc w:val="left"/>
        <w:rPr>
          <w:rFonts w:ascii="Times New Roman" w:hAnsi="Times New Roman" w:cs="Times New Roman"/>
          <w:sz w:val="20"/>
          <w:szCs w:val="20"/>
        </w:rPr>
      </w:pPr>
    </w:p>
    <w:sectPr w:rsidR="008C30D3" w:rsidRPr="00DD56D4">
      <w:headerReference w:type="default" r:id="rId8"/>
      <w:pgSz w:w="16838" w:h="11906" w:orient="landscape"/>
      <w:pgMar w:top="851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BADD" w14:textId="77777777" w:rsidR="001529EF" w:rsidRDefault="001529EF">
      <w:r>
        <w:separator/>
      </w:r>
    </w:p>
  </w:endnote>
  <w:endnote w:type="continuationSeparator" w:id="0">
    <w:p w14:paraId="0F528F8B" w14:textId="77777777" w:rsidR="001529EF" w:rsidRDefault="0015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CDC2" w14:textId="77777777" w:rsidR="001529EF" w:rsidRDefault="001529EF">
      <w:r>
        <w:separator/>
      </w:r>
    </w:p>
  </w:footnote>
  <w:footnote w:type="continuationSeparator" w:id="0">
    <w:p w14:paraId="7D1C81E4" w14:textId="77777777" w:rsidR="001529EF" w:rsidRDefault="0015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6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937F91" w14:textId="1B34318F" w:rsidR="00340581" w:rsidRPr="00D65EAE" w:rsidRDefault="00C43249" w:rsidP="00D65EAE">
        <w:pPr>
          <w:pStyle w:val="ae"/>
          <w:spacing w:before="40" w:after="40"/>
          <w:rPr>
            <w:rFonts w:ascii="Times New Roman" w:hAnsi="Times New Roman" w:cs="Times New Roman"/>
          </w:rPr>
        </w:pPr>
        <w:r w:rsidRPr="00125617">
          <w:rPr>
            <w:rFonts w:ascii="Times New Roman" w:hAnsi="Times New Roman" w:cs="Times New Roman"/>
          </w:rPr>
          <w:fldChar w:fldCharType="begin"/>
        </w:r>
        <w:r w:rsidRPr="00125617">
          <w:rPr>
            <w:rFonts w:ascii="Times New Roman" w:hAnsi="Times New Roman" w:cs="Times New Roman"/>
          </w:rPr>
          <w:instrText>PAGE</w:instrText>
        </w:r>
        <w:r w:rsidRPr="00125617">
          <w:rPr>
            <w:rFonts w:ascii="Times New Roman" w:hAnsi="Times New Roman" w:cs="Times New Roman"/>
          </w:rPr>
          <w:fldChar w:fldCharType="separate"/>
        </w:r>
        <w:r w:rsidR="00CE49EB">
          <w:rPr>
            <w:rFonts w:ascii="Times New Roman" w:hAnsi="Times New Roman" w:cs="Times New Roman"/>
            <w:noProof/>
          </w:rPr>
          <w:t>5</w:t>
        </w:r>
        <w:r w:rsidRPr="0012561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613C15"/>
    <w:multiLevelType w:val="hybridMultilevel"/>
    <w:tmpl w:val="4EFA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3B7203"/>
    <w:multiLevelType w:val="hybridMultilevel"/>
    <w:tmpl w:val="2D5A3F14"/>
    <w:lvl w:ilvl="0" w:tplc="2AD45C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1"/>
    <w:rsid w:val="00034888"/>
    <w:rsid w:val="000378C4"/>
    <w:rsid w:val="00055FC7"/>
    <w:rsid w:val="000D2A0A"/>
    <w:rsid w:val="00125617"/>
    <w:rsid w:val="001529EF"/>
    <w:rsid w:val="00155221"/>
    <w:rsid w:val="00173C5C"/>
    <w:rsid w:val="001934A5"/>
    <w:rsid w:val="00194CF2"/>
    <w:rsid w:val="00196AEC"/>
    <w:rsid w:val="001B36FB"/>
    <w:rsid w:val="001C7C92"/>
    <w:rsid w:val="001D09EA"/>
    <w:rsid w:val="001E06E5"/>
    <w:rsid w:val="00204FA0"/>
    <w:rsid w:val="0021685B"/>
    <w:rsid w:val="0025125F"/>
    <w:rsid w:val="00265152"/>
    <w:rsid w:val="002772E8"/>
    <w:rsid w:val="00293F73"/>
    <w:rsid w:val="002E1901"/>
    <w:rsid w:val="00340581"/>
    <w:rsid w:val="00380432"/>
    <w:rsid w:val="0039121A"/>
    <w:rsid w:val="003E0987"/>
    <w:rsid w:val="00457FCF"/>
    <w:rsid w:val="00481EA8"/>
    <w:rsid w:val="004C6BC7"/>
    <w:rsid w:val="004E101E"/>
    <w:rsid w:val="00507330"/>
    <w:rsid w:val="00513538"/>
    <w:rsid w:val="00537724"/>
    <w:rsid w:val="0054473D"/>
    <w:rsid w:val="00547B87"/>
    <w:rsid w:val="00614354"/>
    <w:rsid w:val="006329CD"/>
    <w:rsid w:val="0067413B"/>
    <w:rsid w:val="0067436B"/>
    <w:rsid w:val="007503A1"/>
    <w:rsid w:val="00793265"/>
    <w:rsid w:val="007B246E"/>
    <w:rsid w:val="007D0F8F"/>
    <w:rsid w:val="007E6297"/>
    <w:rsid w:val="007F0975"/>
    <w:rsid w:val="008528A7"/>
    <w:rsid w:val="0086006A"/>
    <w:rsid w:val="00863FC9"/>
    <w:rsid w:val="008C30D3"/>
    <w:rsid w:val="00901C90"/>
    <w:rsid w:val="00A10795"/>
    <w:rsid w:val="00A2361A"/>
    <w:rsid w:val="00A454D9"/>
    <w:rsid w:val="00AA4D3A"/>
    <w:rsid w:val="00AE1649"/>
    <w:rsid w:val="00AF047E"/>
    <w:rsid w:val="00AF05C7"/>
    <w:rsid w:val="00B33EA3"/>
    <w:rsid w:val="00B34315"/>
    <w:rsid w:val="00B64061"/>
    <w:rsid w:val="00BB6D6A"/>
    <w:rsid w:val="00C00B7A"/>
    <w:rsid w:val="00C078A7"/>
    <w:rsid w:val="00C1546A"/>
    <w:rsid w:val="00C43249"/>
    <w:rsid w:val="00C5300B"/>
    <w:rsid w:val="00CB2630"/>
    <w:rsid w:val="00CB5C34"/>
    <w:rsid w:val="00CC3D4B"/>
    <w:rsid w:val="00CC4885"/>
    <w:rsid w:val="00CE49EB"/>
    <w:rsid w:val="00D00CAE"/>
    <w:rsid w:val="00D46F51"/>
    <w:rsid w:val="00D65EAE"/>
    <w:rsid w:val="00DB56C8"/>
    <w:rsid w:val="00DC4A52"/>
    <w:rsid w:val="00DD56D4"/>
    <w:rsid w:val="00DD74D3"/>
    <w:rsid w:val="00E97A9E"/>
    <w:rsid w:val="00EA6AFD"/>
    <w:rsid w:val="00EB622A"/>
    <w:rsid w:val="00EE1326"/>
    <w:rsid w:val="00EE287E"/>
    <w:rsid w:val="00EF0EB1"/>
    <w:rsid w:val="00F261EC"/>
    <w:rsid w:val="00F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4DC"/>
  <w15:docId w15:val="{6D81FFDE-674F-43ED-BC4C-59B5173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30757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qFormat/>
    <w:rsid w:val="0011609E"/>
  </w:style>
  <w:style w:type="character" w:customStyle="1" w:styleId="a6">
    <w:name w:val="Нижний колонтитул Знак"/>
    <w:basedOn w:val="a1"/>
    <w:uiPriority w:val="99"/>
    <w:qFormat/>
    <w:rsid w:val="0011609E"/>
  </w:style>
  <w:style w:type="character" w:customStyle="1" w:styleId="a7">
    <w:name w:val="Текст сноски Знак"/>
    <w:basedOn w:val="a1"/>
    <w:qFormat/>
    <w:rsid w:val="00B424DD"/>
    <w:rPr>
      <w:sz w:val="20"/>
      <w:szCs w:val="20"/>
    </w:rPr>
  </w:style>
  <w:style w:type="character" w:styleId="a8">
    <w:name w:val="footnote reference"/>
    <w:basedOn w:val="a1"/>
    <w:unhideWhenUsed/>
    <w:qFormat/>
    <w:rsid w:val="00B424DD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FA3248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Bodytext2">
    <w:name w:val="Body text (2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Bodytext214pt">
    <w:name w:val="Body text (2) + 14 pt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E30757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11609E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1609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unhideWhenUsed/>
    <w:qFormat/>
    <w:rsid w:val="00B424DD"/>
    <w:rPr>
      <w:sz w:val="20"/>
      <w:szCs w:val="20"/>
    </w:rPr>
  </w:style>
  <w:style w:type="paragraph" w:customStyle="1" w:styleId="Bodytext4">
    <w:name w:val="Body text (4)"/>
    <w:basedOn w:val="a"/>
    <w:qFormat/>
    <w:pPr>
      <w:widowControl w:val="0"/>
      <w:shd w:val="clear" w:color="auto" w:fill="FFFFFF"/>
      <w:spacing w:before="18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2"/>
    <w:uiPriority w:val="39"/>
    <w:rsid w:val="00CD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rsid w:val="00547B87"/>
    <w:rPr>
      <w:color w:val="0563C1" w:themeColor="hyperlink"/>
      <w:u w:val="single"/>
    </w:rPr>
  </w:style>
  <w:style w:type="character" w:styleId="af3">
    <w:name w:val="Strong"/>
    <w:basedOn w:val="a1"/>
    <w:uiPriority w:val="22"/>
    <w:qFormat/>
    <w:rsid w:val="008C30D3"/>
    <w:rPr>
      <w:b/>
      <w:bCs/>
    </w:rPr>
  </w:style>
  <w:style w:type="character" w:customStyle="1" w:styleId="CharStyle15">
    <w:name w:val="Char Style 15"/>
    <w:basedOn w:val="a1"/>
    <w:link w:val="Style13"/>
    <w:uiPriority w:val="99"/>
    <w:rsid w:val="0067436B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5"/>
    <w:uiPriority w:val="99"/>
    <w:rsid w:val="0067436B"/>
    <w:pPr>
      <w:widowControl w:val="0"/>
      <w:shd w:val="clear" w:color="auto" w:fill="FFFFFF"/>
      <w:spacing w:line="240" w:lineRule="atLeast"/>
      <w:ind w:hanging="360"/>
      <w:jc w:val="left"/>
    </w:pPr>
    <w:rPr>
      <w:color w:val="auto"/>
      <w:sz w:val="26"/>
      <w:szCs w:val="26"/>
    </w:rPr>
  </w:style>
  <w:style w:type="character" w:customStyle="1" w:styleId="CharStyle9">
    <w:name w:val="Char Style 9"/>
    <w:basedOn w:val="a1"/>
    <w:link w:val="Style8"/>
    <w:uiPriority w:val="99"/>
    <w:rsid w:val="007E6297"/>
    <w:rPr>
      <w:b/>
      <w:b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7E6297"/>
    <w:pPr>
      <w:widowControl w:val="0"/>
      <w:shd w:val="clear" w:color="auto" w:fill="FFFFFF"/>
      <w:spacing w:after="600" w:line="322" w:lineRule="exact"/>
      <w:ind w:hanging="1180"/>
    </w:pPr>
    <w:rPr>
      <w:b/>
      <w:bCs/>
      <w:color w:val="auto"/>
      <w:sz w:val="26"/>
      <w:szCs w:val="26"/>
    </w:rPr>
  </w:style>
  <w:style w:type="character" w:customStyle="1" w:styleId="CharStyle3">
    <w:name w:val="Char Style 3"/>
    <w:basedOn w:val="a1"/>
    <w:link w:val="Style2"/>
    <w:uiPriority w:val="99"/>
    <w:rsid w:val="007E6297"/>
    <w:rPr>
      <w:rFonts w:ascii="Times New Roman" w:hAnsi="Times New Roman" w:cs="Times New Roman"/>
      <w:sz w:val="19"/>
      <w:szCs w:val="19"/>
      <w:shd w:val="clear" w:color="auto" w:fill="FFFFFF"/>
      <w:lang w:val="en-US"/>
    </w:rPr>
  </w:style>
  <w:style w:type="character" w:customStyle="1" w:styleId="CharStyle22">
    <w:name w:val="Char Style 22"/>
    <w:basedOn w:val="a1"/>
    <w:link w:val="Style21"/>
    <w:uiPriority w:val="99"/>
    <w:rsid w:val="007E6297"/>
    <w:rPr>
      <w:b/>
      <w:b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7E6297"/>
    <w:rPr>
      <w:b w:val="0"/>
      <w:bCs w:val="0"/>
      <w:sz w:val="26"/>
      <w:szCs w:val="26"/>
      <w:u w:val="none"/>
      <w:shd w:val="clear" w:color="auto" w:fill="FFFFFF"/>
    </w:rPr>
  </w:style>
  <w:style w:type="character" w:customStyle="1" w:styleId="CharStyle24">
    <w:name w:val="Char Style 24"/>
    <w:basedOn w:val="CharStyle15"/>
    <w:uiPriority w:val="99"/>
    <w:rsid w:val="007E6297"/>
    <w:rPr>
      <w:b/>
      <w:bCs/>
      <w:sz w:val="26"/>
      <w:szCs w:val="26"/>
      <w:u w:val="none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297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 w:cs="Times New Roman"/>
      <w:color w:val="auto"/>
      <w:sz w:val="19"/>
      <w:szCs w:val="19"/>
      <w:lang w:val="en-US"/>
    </w:rPr>
  </w:style>
  <w:style w:type="paragraph" w:customStyle="1" w:styleId="Style21">
    <w:name w:val="Style 21"/>
    <w:basedOn w:val="a"/>
    <w:link w:val="CharStyle22"/>
    <w:uiPriority w:val="99"/>
    <w:rsid w:val="007E6297"/>
    <w:pPr>
      <w:widowControl w:val="0"/>
      <w:shd w:val="clear" w:color="auto" w:fill="FFFFFF"/>
      <w:spacing w:before="900" w:after="420" w:line="240" w:lineRule="atLeast"/>
      <w:jc w:val="both"/>
      <w:outlineLvl w:val="0"/>
    </w:pPr>
    <w:rPr>
      <w:b/>
      <w:bCs/>
      <w:color w:val="auto"/>
      <w:sz w:val="26"/>
      <w:szCs w:val="26"/>
    </w:rPr>
  </w:style>
  <w:style w:type="paragraph" w:styleId="af4">
    <w:name w:val="List Paragraph"/>
    <w:aliases w:val="ПАРАГРАФ"/>
    <w:basedOn w:val="a"/>
    <w:link w:val="af5"/>
    <w:uiPriority w:val="34"/>
    <w:qFormat/>
    <w:rsid w:val="001934A5"/>
    <w:pPr>
      <w:ind w:left="720" w:firstLine="720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C1546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C1546A"/>
    <w:rPr>
      <w:color w:val="00000A"/>
      <w:sz w:val="22"/>
    </w:rPr>
  </w:style>
  <w:style w:type="character" w:styleId="af8">
    <w:name w:val="annotation reference"/>
    <w:basedOn w:val="a1"/>
    <w:uiPriority w:val="99"/>
    <w:semiHidden/>
    <w:unhideWhenUsed/>
    <w:rsid w:val="00C1546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1546A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C1546A"/>
    <w:rPr>
      <w:color w:val="00000A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1546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1546A"/>
    <w:rPr>
      <w:b/>
      <w:bCs/>
      <w:color w:val="00000A"/>
      <w:szCs w:val="20"/>
    </w:rPr>
  </w:style>
  <w:style w:type="character" w:customStyle="1" w:styleId="af5">
    <w:name w:val="Абзац списка Знак"/>
    <w:aliases w:val="ПАРАГРАФ Знак"/>
    <w:link w:val="af4"/>
    <w:uiPriority w:val="34"/>
    <w:locked/>
    <w:rsid w:val="000378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2ACD-E09A-41EC-87A5-52C6CF86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dc:description/>
  <cp:lastModifiedBy>СЕРОВА ИРИНА ВАЛЕРЬЕВНА</cp:lastModifiedBy>
  <cp:revision>3</cp:revision>
  <dcterms:created xsi:type="dcterms:W3CDTF">2021-08-10T10:21:00Z</dcterms:created>
  <dcterms:modified xsi:type="dcterms:W3CDTF">2021-08-10T11:12:00Z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