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018" w:type="dxa"/>
        <w:tblInd w:w="-714" w:type="dxa"/>
        <w:tblLayout w:type="fixed"/>
        <w:tblLook w:val="04A0" w:firstRow="1" w:lastRow="0" w:firstColumn="1" w:lastColumn="0" w:noHBand="0" w:noVBand="1"/>
      </w:tblPr>
      <w:tblGrid>
        <w:gridCol w:w="425"/>
        <w:gridCol w:w="7230"/>
        <w:gridCol w:w="8363"/>
      </w:tblGrid>
      <w:tr w:rsidR="00A43EF3" w:rsidRPr="00E30757" w:rsidTr="00665F75">
        <w:tc>
          <w:tcPr>
            <w:tcW w:w="16018" w:type="dxa"/>
            <w:gridSpan w:val="3"/>
            <w:vAlign w:val="center"/>
          </w:tcPr>
          <w:p w:rsidR="00A43EF3" w:rsidRPr="00E30757" w:rsidRDefault="00425982" w:rsidP="00B53D19">
            <w:pPr>
              <w:jc w:val="center"/>
              <w:rPr>
                <w:rFonts w:ascii="Times New Roman" w:hAnsi="Times New Roman" w:cs="Times New Roman"/>
                <w:b/>
                <w:sz w:val="28"/>
                <w:szCs w:val="28"/>
              </w:rPr>
            </w:pPr>
            <w:r w:rsidRPr="00425982">
              <w:rPr>
                <w:rFonts w:ascii="Times New Roman" w:hAnsi="Times New Roman" w:cs="Times New Roman"/>
                <w:b/>
                <w:sz w:val="28"/>
                <w:szCs w:val="28"/>
              </w:rPr>
              <w:t xml:space="preserve">Информация о рассмотрении Протокола заочного заседания </w:t>
            </w:r>
            <w:r w:rsidR="003975FA">
              <w:rPr>
                <w:rFonts w:ascii="Times New Roman" w:hAnsi="Times New Roman" w:cs="Times New Roman"/>
                <w:b/>
                <w:sz w:val="28"/>
                <w:szCs w:val="28"/>
              </w:rPr>
              <w:br/>
            </w:r>
            <w:r w:rsidRPr="00425982">
              <w:rPr>
                <w:rFonts w:ascii="Times New Roman" w:hAnsi="Times New Roman" w:cs="Times New Roman"/>
                <w:b/>
                <w:sz w:val="28"/>
                <w:szCs w:val="28"/>
              </w:rPr>
              <w:t>Общественного совета при Министерстве фин</w:t>
            </w:r>
            <w:r>
              <w:rPr>
                <w:rFonts w:ascii="Times New Roman" w:hAnsi="Times New Roman" w:cs="Times New Roman"/>
                <w:b/>
                <w:sz w:val="28"/>
                <w:szCs w:val="28"/>
              </w:rPr>
              <w:t>ансов Российской Федерации</w:t>
            </w:r>
            <w:r w:rsidR="00D548B7">
              <w:rPr>
                <w:rFonts w:ascii="Times New Roman" w:hAnsi="Times New Roman" w:cs="Times New Roman"/>
                <w:b/>
                <w:sz w:val="28"/>
                <w:szCs w:val="28"/>
              </w:rPr>
              <w:t xml:space="preserve"> </w:t>
            </w:r>
            <w:r w:rsidR="003975FA">
              <w:rPr>
                <w:rFonts w:ascii="Times New Roman" w:hAnsi="Times New Roman" w:cs="Times New Roman"/>
                <w:b/>
                <w:sz w:val="28"/>
                <w:szCs w:val="28"/>
              </w:rPr>
              <w:t xml:space="preserve">от </w:t>
            </w:r>
            <w:r w:rsidR="003975FA" w:rsidRPr="003975FA">
              <w:rPr>
                <w:rFonts w:ascii="Times New Roman" w:hAnsi="Times New Roman" w:cs="Times New Roman"/>
                <w:b/>
                <w:bCs/>
                <w:sz w:val="28"/>
                <w:szCs w:val="28"/>
              </w:rPr>
              <w:t>4-11 март</w:t>
            </w:r>
            <w:r w:rsidR="00B53D19">
              <w:rPr>
                <w:rFonts w:ascii="Times New Roman" w:hAnsi="Times New Roman" w:cs="Times New Roman"/>
                <w:b/>
                <w:bCs/>
                <w:sz w:val="28"/>
                <w:szCs w:val="28"/>
              </w:rPr>
              <w:t>а</w:t>
            </w:r>
            <w:bookmarkStart w:id="0" w:name="_GoBack"/>
            <w:bookmarkEnd w:id="0"/>
            <w:r w:rsidR="003975FA" w:rsidRPr="003975FA">
              <w:rPr>
                <w:rFonts w:ascii="Times New Roman" w:hAnsi="Times New Roman" w:cs="Times New Roman"/>
                <w:b/>
                <w:bCs/>
                <w:sz w:val="28"/>
                <w:szCs w:val="28"/>
              </w:rPr>
              <w:t xml:space="preserve"> 2021 г. № </w:t>
            </w:r>
            <w:r w:rsidR="003975FA">
              <w:rPr>
                <w:rFonts w:ascii="Times New Roman" w:hAnsi="Times New Roman" w:cs="Times New Roman"/>
                <w:b/>
                <w:bCs/>
                <w:sz w:val="28"/>
                <w:szCs w:val="28"/>
              </w:rPr>
              <w:t xml:space="preserve">3 </w:t>
            </w:r>
            <w:r w:rsidR="003975FA">
              <w:rPr>
                <w:rFonts w:ascii="Times New Roman" w:hAnsi="Times New Roman" w:cs="Times New Roman"/>
                <w:b/>
                <w:bCs/>
                <w:sz w:val="28"/>
                <w:szCs w:val="28"/>
              </w:rPr>
              <w:br/>
            </w:r>
            <w:r w:rsidR="003975FA">
              <w:rPr>
                <w:rFonts w:ascii="Times New Roman" w:hAnsi="Times New Roman" w:cs="Times New Roman"/>
                <w:b/>
                <w:sz w:val="28"/>
                <w:szCs w:val="28"/>
              </w:rPr>
              <w:t>о</w:t>
            </w:r>
            <w:r w:rsidR="003975FA" w:rsidRPr="003975FA">
              <w:rPr>
                <w:rFonts w:ascii="Times New Roman" w:hAnsi="Times New Roman" w:cs="Times New Roman"/>
                <w:b/>
                <w:sz w:val="28"/>
                <w:szCs w:val="28"/>
              </w:rPr>
              <w:t xml:space="preserve"> рассмотрении проекта доклада о реализации Плана деятельности Министерства финансов Российской Федерации </w:t>
            </w:r>
            <w:r w:rsidR="003975FA">
              <w:rPr>
                <w:rFonts w:ascii="Times New Roman" w:hAnsi="Times New Roman" w:cs="Times New Roman"/>
                <w:b/>
                <w:sz w:val="28"/>
                <w:szCs w:val="28"/>
              </w:rPr>
              <w:br/>
            </w:r>
            <w:r w:rsidR="003975FA" w:rsidRPr="003975FA">
              <w:rPr>
                <w:rFonts w:ascii="Times New Roman" w:hAnsi="Times New Roman" w:cs="Times New Roman"/>
                <w:b/>
                <w:sz w:val="28"/>
                <w:szCs w:val="28"/>
              </w:rPr>
              <w:t>на 2020-2025 годы за 2020 год</w:t>
            </w:r>
          </w:p>
        </w:tc>
      </w:tr>
      <w:tr w:rsidR="00425982" w:rsidRPr="00E30757" w:rsidTr="00AF561B">
        <w:trPr>
          <w:trHeight w:val="1022"/>
        </w:trPr>
        <w:tc>
          <w:tcPr>
            <w:tcW w:w="7655" w:type="dxa"/>
            <w:gridSpan w:val="2"/>
            <w:vAlign w:val="center"/>
          </w:tcPr>
          <w:p w:rsidR="003975FA" w:rsidRDefault="00425982" w:rsidP="00A01104">
            <w:pPr>
              <w:jc w:val="center"/>
              <w:rPr>
                <w:rFonts w:ascii="Times New Roman" w:hAnsi="Times New Roman" w:cs="Times New Roman"/>
                <w:b/>
                <w:sz w:val="28"/>
                <w:szCs w:val="28"/>
              </w:rPr>
            </w:pPr>
            <w:r w:rsidRPr="00425982">
              <w:rPr>
                <w:rFonts w:ascii="Times New Roman" w:hAnsi="Times New Roman" w:cs="Times New Roman"/>
                <w:b/>
              </w:rPr>
              <w:t>Особое мнение члена Общественного совета</w:t>
            </w:r>
            <w:r w:rsidR="003975FA">
              <w:rPr>
                <w:rFonts w:ascii="Times New Roman" w:hAnsi="Times New Roman" w:cs="Times New Roman"/>
                <w:b/>
                <w:sz w:val="28"/>
                <w:szCs w:val="28"/>
              </w:rPr>
              <w:t xml:space="preserve"> </w:t>
            </w:r>
          </w:p>
          <w:p w:rsidR="00425982" w:rsidRDefault="003975FA" w:rsidP="00A01104">
            <w:pPr>
              <w:jc w:val="center"/>
              <w:rPr>
                <w:rFonts w:ascii="Times New Roman" w:hAnsi="Times New Roman" w:cs="Times New Roman"/>
                <w:b/>
              </w:rPr>
            </w:pPr>
            <w:r w:rsidRPr="003975FA">
              <w:rPr>
                <w:rFonts w:ascii="Times New Roman" w:hAnsi="Times New Roman" w:cs="Times New Roman"/>
                <w:b/>
              </w:rPr>
              <w:t>при Министерстве финансов Российской Федерации</w:t>
            </w:r>
          </w:p>
          <w:p w:rsidR="003975FA" w:rsidRPr="00E30757" w:rsidRDefault="003975FA" w:rsidP="003975FA">
            <w:pPr>
              <w:jc w:val="center"/>
              <w:rPr>
                <w:rFonts w:ascii="Times New Roman" w:hAnsi="Times New Roman" w:cs="Times New Roman"/>
                <w:b/>
              </w:rPr>
            </w:pPr>
            <w:r>
              <w:rPr>
                <w:rFonts w:ascii="Times New Roman" w:hAnsi="Times New Roman" w:cs="Times New Roman"/>
                <w:b/>
              </w:rPr>
              <w:t>(далее – Общественный совет)</w:t>
            </w:r>
          </w:p>
        </w:tc>
        <w:tc>
          <w:tcPr>
            <w:tcW w:w="8363" w:type="dxa"/>
            <w:vAlign w:val="center"/>
          </w:tcPr>
          <w:p w:rsidR="00425982" w:rsidRPr="00E30757" w:rsidRDefault="00425982" w:rsidP="00A01104">
            <w:pPr>
              <w:jc w:val="center"/>
              <w:rPr>
                <w:rFonts w:ascii="Times New Roman" w:hAnsi="Times New Roman" w:cs="Times New Roman"/>
                <w:b/>
              </w:rPr>
            </w:pPr>
            <w:r w:rsidRPr="00425982">
              <w:rPr>
                <w:rFonts w:ascii="Times New Roman" w:hAnsi="Times New Roman" w:cs="Times New Roman"/>
                <w:b/>
              </w:rPr>
              <w:t>Позиция Министерства финансов Российской Федерации</w:t>
            </w:r>
            <w:r w:rsidR="003975FA">
              <w:rPr>
                <w:rFonts w:ascii="Times New Roman" w:hAnsi="Times New Roman" w:cs="Times New Roman"/>
                <w:b/>
              </w:rPr>
              <w:br/>
              <w:t xml:space="preserve">(далее- Минфин России) </w:t>
            </w:r>
          </w:p>
        </w:tc>
      </w:tr>
      <w:tr w:rsidR="000B3707" w:rsidRPr="00E30757" w:rsidTr="00665F75">
        <w:tc>
          <w:tcPr>
            <w:tcW w:w="16018" w:type="dxa"/>
            <w:gridSpan w:val="3"/>
          </w:tcPr>
          <w:p w:rsidR="000B3707" w:rsidRPr="000B3707" w:rsidRDefault="00425982" w:rsidP="003975FA">
            <w:pPr>
              <w:tabs>
                <w:tab w:val="left" w:pos="979"/>
              </w:tabs>
              <w:jc w:val="center"/>
              <w:rPr>
                <w:rFonts w:ascii="Times New Roman" w:hAnsi="Times New Roman" w:cs="Times New Roman"/>
                <w:b/>
              </w:rPr>
            </w:pPr>
            <w:r w:rsidRPr="00425982">
              <w:rPr>
                <w:rFonts w:ascii="Times New Roman" w:hAnsi="Times New Roman" w:cs="Times New Roman"/>
                <w:b/>
              </w:rPr>
              <w:t>Член Общественного совета</w:t>
            </w:r>
            <w:r w:rsidR="003975FA">
              <w:rPr>
                <w:rFonts w:ascii="Times New Roman" w:hAnsi="Times New Roman" w:cs="Times New Roman"/>
                <w:b/>
              </w:rPr>
              <w:t xml:space="preserve"> </w:t>
            </w:r>
            <w:r w:rsidRPr="001F7276">
              <w:rPr>
                <w:rFonts w:ascii="Times New Roman" w:hAnsi="Times New Roman" w:cs="Times New Roman"/>
                <w:b/>
              </w:rPr>
              <w:t>–</w:t>
            </w:r>
            <w:r>
              <w:rPr>
                <w:rFonts w:ascii="Times New Roman" w:hAnsi="Times New Roman" w:cs="Times New Roman"/>
                <w:b/>
              </w:rPr>
              <w:t xml:space="preserve"> </w:t>
            </w:r>
            <w:r w:rsidR="008E542B">
              <w:rPr>
                <w:rFonts w:ascii="Times New Roman" w:hAnsi="Times New Roman" w:cs="Times New Roman"/>
                <w:b/>
              </w:rPr>
              <w:t>Лисин В.С</w:t>
            </w:r>
            <w:r w:rsidR="00920B37">
              <w:rPr>
                <w:rFonts w:ascii="Times New Roman" w:hAnsi="Times New Roman" w:cs="Times New Roman"/>
                <w:b/>
              </w:rPr>
              <w:t>.</w:t>
            </w:r>
          </w:p>
        </w:tc>
      </w:tr>
      <w:tr w:rsidR="003975FA" w:rsidRPr="003975FA" w:rsidTr="003A1B20">
        <w:trPr>
          <w:trHeight w:val="1134"/>
        </w:trPr>
        <w:tc>
          <w:tcPr>
            <w:tcW w:w="425" w:type="dxa"/>
          </w:tcPr>
          <w:p w:rsidR="003975FA" w:rsidRPr="003975FA" w:rsidRDefault="003975FA" w:rsidP="003975FA">
            <w:pPr>
              <w:pStyle w:val="ae"/>
              <w:numPr>
                <w:ilvl w:val="0"/>
                <w:numId w:val="2"/>
              </w:numPr>
              <w:ind w:left="0" w:firstLine="0"/>
              <w:jc w:val="both"/>
              <w:rPr>
                <w:rFonts w:ascii="Times New Roman" w:hAnsi="Times New Roman" w:cs="Times New Roman"/>
              </w:rPr>
            </w:pPr>
          </w:p>
        </w:tc>
        <w:tc>
          <w:tcPr>
            <w:tcW w:w="7230" w:type="dxa"/>
            <w:shd w:val="clear" w:color="auto" w:fill="auto"/>
          </w:tcPr>
          <w:p w:rsidR="003975FA" w:rsidRPr="003975FA" w:rsidRDefault="003975FA" w:rsidP="003975FA">
            <w:pPr>
              <w:pStyle w:val="Bodytext2"/>
              <w:keepNext/>
              <w:shd w:val="clear" w:color="auto" w:fill="auto"/>
              <w:tabs>
                <w:tab w:val="left" w:pos="1132"/>
              </w:tabs>
              <w:spacing w:line="240" w:lineRule="auto"/>
              <w:ind w:firstLine="284"/>
              <w:jc w:val="both"/>
              <w:rPr>
                <w:sz w:val="22"/>
                <w:szCs w:val="22"/>
              </w:rPr>
            </w:pPr>
            <w:r w:rsidRPr="003975FA">
              <w:rPr>
                <w:color w:val="000000"/>
                <w:sz w:val="22"/>
                <w:szCs w:val="22"/>
                <w:lang w:eastAsia="ru-RU" w:bidi="ru-RU"/>
              </w:rPr>
              <w:t>В разделе 4.2. доклада приведены сведения о развитии системы налогового администрирования, в том числе о внедрении «новейших цифровых технологий», результатом чего явилось поступление в бюджет 293 млрд рублей.</w:t>
            </w:r>
          </w:p>
          <w:p w:rsidR="003975FA" w:rsidRPr="003975FA" w:rsidRDefault="003975FA" w:rsidP="003975FA">
            <w:pPr>
              <w:pStyle w:val="Bodytext2"/>
              <w:keepNext/>
              <w:shd w:val="clear" w:color="auto" w:fill="auto"/>
              <w:spacing w:line="240" w:lineRule="auto"/>
              <w:ind w:firstLine="284"/>
              <w:jc w:val="both"/>
              <w:rPr>
                <w:sz w:val="22"/>
                <w:szCs w:val="22"/>
              </w:rPr>
            </w:pPr>
            <w:r w:rsidRPr="003975FA">
              <w:rPr>
                <w:color w:val="000000"/>
                <w:sz w:val="22"/>
                <w:szCs w:val="22"/>
                <w:lang w:eastAsia="ru-RU" w:bidi="ru-RU"/>
              </w:rPr>
              <w:t xml:space="preserve">Предлагаю в целях объективной оценки названного результата дополнить доклад сведениями о вкладе внедрения цифровых технологий </w:t>
            </w:r>
            <w:r>
              <w:rPr>
                <w:color w:val="000000"/>
                <w:sz w:val="22"/>
                <w:szCs w:val="22"/>
                <w:lang w:eastAsia="ru-RU" w:bidi="ru-RU"/>
              </w:rPr>
              <w:br/>
            </w:r>
            <w:r w:rsidRPr="003975FA">
              <w:rPr>
                <w:color w:val="000000"/>
                <w:sz w:val="22"/>
                <w:szCs w:val="22"/>
                <w:lang w:eastAsia="ru-RU" w:bidi="ru-RU"/>
              </w:rPr>
              <w:t xml:space="preserve">в формирование указанных сумм поступлений в бюджет, в том числе </w:t>
            </w:r>
            <w:r>
              <w:rPr>
                <w:color w:val="000000"/>
                <w:sz w:val="22"/>
                <w:szCs w:val="22"/>
                <w:lang w:eastAsia="ru-RU" w:bidi="ru-RU"/>
              </w:rPr>
              <w:br/>
            </w:r>
            <w:r w:rsidRPr="003975FA">
              <w:rPr>
                <w:color w:val="000000"/>
                <w:sz w:val="22"/>
                <w:szCs w:val="22"/>
                <w:lang w:eastAsia="ru-RU" w:bidi="ru-RU"/>
              </w:rPr>
              <w:t>в сравнении с прошлым годом, а также указав конкретную сумму средств.</w:t>
            </w:r>
          </w:p>
          <w:p w:rsidR="003975FA" w:rsidRPr="003975FA" w:rsidRDefault="003975FA" w:rsidP="003975FA">
            <w:pPr>
              <w:pStyle w:val="Bodytext2"/>
              <w:keepNext/>
              <w:shd w:val="clear" w:color="auto" w:fill="auto"/>
              <w:spacing w:line="240" w:lineRule="auto"/>
              <w:ind w:firstLine="284"/>
              <w:jc w:val="both"/>
              <w:rPr>
                <w:sz w:val="22"/>
                <w:szCs w:val="22"/>
              </w:rPr>
            </w:pPr>
            <w:r w:rsidRPr="003975FA">
              <w:rPr>
                <w:color w:val="000000"/>
                <w:sz w:val="22"/>
                <w:szCs w:val="22"/>
                <w:lang w:eastAsia="ru-RU" w:bidi="ru-RU"/>
              </w:rPr>
              <w:t>Также в заслугу внедрения «новейших цифровых технологий» ставится проведение определенного количества проверок.</w:t>
            </w:r>
          </w:p>
          <w:p w:rsidR="003975FA" w:rsidRPr="003975FA" w:rsidRDefault="003975FA" w:rsidP="003975FA">
            <w:pPr>
              <w:pStyle w:val="Bodytext2"/>
              <w:keepNext/>
              <w:shd w:val="clear" w:color="auto" w:fill="auto"/>
              <w:spacing w:line="240" w:lineRule="auto"/>
              <w:ind w:firstLine="284"/>
              <w:jc w:val="both"/>
              <w:rPr>
                <w:sz w:val="22"/>
                <w:szCs w:val="22"/>
              </w:rPr>
            </w:pPr>
            <w:r w:rsidRPr="003975FA">
              <w:rPr>
                <w:color w:val="000000"/>
                <w:sz w:val="22"/>
                <w:szCs w:val="22"/>
                <w:lang w:eastAsia="ru-RU" w:bidi="ru-RU"/>
              </w:rPr>
              <w:t xml:space="preserve">Предложил бы дополнить доклад сведениями о предотвращении нарушений (а также предпринятыми законодательными решениями </w:t>
            </w:r>
            <w:r>
              <w:rPr>
                <w:color w:val="000000"/>
                <w:sz w:val="22"/>
                <w:szCs w:val="22"/>
                <w:lang w:eastAsia="ru-RU" w:bidi="ru-RU"/>
              </w:rPr>
              <w:br/>
            </w:r>
            <w:r w:rsidRPr="003975FA">
              <w:rPr>
                <w:color w:val="000000"/>
                <w:sz w:val="22"/>
                <w:szCs w:val="22"/>
                <w:lang w:eastAsia="ru-RU" w:bidi="ru-RU"/>
              </w:rPr>
              <w:t>в целях их недопущения в будущем) в результате внедрения указанных технологий, что свидетельствовало бы об эффективности таких цифровых инструментов с точки зрения экономики и финансово-бюджетной системы, а не с точки зрения увеличения контрольной нагрузки на бизнес и иных объектов контроля.</w:t>
            </w:r>
          </w:p>
        </w:tc>
        <w:tc>
          <w:tcPr>
            <w:tcW w:w="8363" w:type="dxa"/>
            <w:shd w:val="clear" w:color="auto" w:fill="auto"/>
          </w:tcPr>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В статистической налоговой отчетности содержится агрегированная информация </w:t>
            </w:r>
            <w:r>
              <w:rPr>
                <w:rFonts w:ascii="Times New Roman" w:hAnsi="Times New Roman" w:cs="Times New Roman"/>
              </w:rPr>
              <w:br/>
            </w:r>
            <w:r w:rsidRPr="003975FA">
              <w:rPr>
                <w:rFonts w:ascii="Times New Roman" w:hAnsi="Times New Roman" w:cs="Times New Roman"/>
              </w:rPr>
              <w:t>о сумме поступлений по контрольно-аналитической работе, которая обеспечена работой, проводимой сотрудниками налоговых органов с использованием программных комплексов для выявления нарушений налогового законодательства.</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Поступления по контрольно-аналитической работе</w:t>
            </w:r>
            <w:r w:rsidR="004B511C">
              <w:rPr>
                <w:rFonts w:ascii="Times New Roman" w:hAnsi="Times New Roman" w:cs="Times New Roman"/>
              </w:rPr>
              <w:t xml:space="preserve"> в 2020 году составили 293 млрд рублей, что на 15% или 51 млрд</w:t>
            </w:r>
            <w:r w:rsidRPr="003975FA">
              <w:rPr>
                <w:rFonts w:ascii="Times New Roman" w:hAnsi="Times New Roman" w:cs="Times New Roman"/>
              </w:rPr>
              <w:t xml:space="preserve"> рублей ниже </w:t>
            </w:r>
            <w:r w:rsidR="004B511C">
              <w:rPr>
                <w:rFonts w:ascii="Times New Roman" w:hAnsi="Times New Roman" w:cs="Times New Roman"/>
              </w:rPr>
              <w:t xml:space="preserve">показателя 2019 года (345 млрд </w:t>
            </w:r>
            <w:r w:rsidRPr="003975FA">
              <w:rPr>
                <w:rFonts w:ascii="Times New Roman" w:hAnsi="Times New Roman" w:cs="Times New Roman"/>
              </w:rPr>
              <w:t>рублей). В 2020 году на долю поступлений по результатам добровольного уточнения налоговых обяза</w:t>
            </w:r>
            <w:r w:rsidR="004B511C">
              <w:rPr>
                <w:rFonts w:ascii="Times New Roman" w:hAnsi="Times New Roman" w:cs="Times New Roman"/>
              </w:rPr>
              <w:t>тельств приходится 158 млрд</w:t>
            </w:r>
            <w:r w:rsidRPr="003975FA">
              <w:rPr>
                <w:rFonts w:ascii="Times New Roman" w:hAnsi="Times New Roman" w:cs="Times New Roman"/>
              </w:rPr>
              <w:t xml:space="preserve"> рублей, что составляет 54% всех поступлений по контрольно-аналитической работе. В 2019 году поступления в связи с добровольным уточнением налоговых </w:t>
            </w:r>
            <w:r w:rsidR="004B511C">
              <w:rPr>
                <w:rFonts w:ascii="Times New Roman" w:hAnsi="Times New Roman" w:cs="Times New Roman"/>
              </w:rPr>
              <w:t>обязательств составили 129 млрд</w:t>
            </w:r>
            <w:r w:rsidRPr="003975FA">
              <w:rPr>
                <w:rFonts w:ascii="Times New Roman" w:hAnsi="Times New Roman" w:cs="Times New Roman"/>
              </w:rPr>
              <w:t xml:space="preserve"> рублей, или 38% поступлений по контрольно-аналитической работе.</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Данная ситуация обусловлена введением в 2020 году ограничений в целях противодействия распространению новой коронавирусной инфекции.</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ФНС России планомерно снижает административное давление на предпринимательское сообщество, концентрируя усилия на зонах максимального налогового риска, при этом существенно сокращая административную нагрузку </w:t>
            </w:r>
            <w:r w:rsidR="004B511C">
              <w:rPr>
                <w:rFonts w:ascii="Times New Roman" w:hAnsi="Times New Roman" w:cs="Times New Roman"/>
              </w:rPr>
              <w:br/>
            </w:r>
            <w:r w:rsidRPr="003975FA">
              <w:rPr>
                <w:rFonts w:ascii="Times New Roman" w:hAnsi="Times New Roman" w:cs="Times New Roman"/>
              </w:rPr>
              <w:t>в отношении добросовестных налогоплательщиков.</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Наиболее заметно снижение административного давления для налогоплательщиков, применяющих специальные налоговые режимы. Если в 2019 году охват проверками налогоплательщиков на </w:t>
            </w:r>
            <w:proofErr w:type="spellStart"/>
            <w:r w:rsidRPr="003975FA">
              <w:rPr>
                <w:rFonts w:ascii="Times New Roman" w:hAnsi="Times New Roman" w:cs="Times New Roman"/>
              </w:rPr>
              <w:t>спецрежимах</w:t>
            </w:r>
            <w:proofErr w:type="spellEnd"/>
            <w:r w:rsidRPr="003975FA">
              <w:rPr>
                <w:rFonts w:ascii="Times New Roman" w:hAnsi="Times New Roman" w:cs="Times New Roman"/>
              </w:rPr>
              <w:t xml:space="preserve"> составлял один </w:t>
            </w:r>
            <w:r w:rsidR="004B511C">
              <w:rPr>
                <w:rFonts w:ascii="Times New Roman" w:hAnsi="Times New Roman" w:cs="Times New Roman"/>
              </w:rPr>
              <w:br/>
            </w:r>
            <w:r w:rsidRPr="003975FA">
              <w:rPr>
                <w:rFonts w:ascii="Times New Roman" w:hAnsi="Times New Roman" w:cs="Times New Roman"/>
              </w:rPr>
              <w:t>из 5 тыс</w:t>
            </w:r>
            <w:r w:rsidR="004B511C">
              <w:rPr>
                <w:rFonts w:ascii="Times New Roman" w:hAnsi="Times New Roman" w:cs="Times New Roman"/>
              </w:rPr>
              <w:t>.</w:t>
            </w:r>
            <w:r w:rsidRPr="003975FA">
              <w:rPr>
                <w:rFonts w:ascii="Times New Roman" w:hAnsi="Times New Roman" w:cs="Times New Roman"/>
              </w:rPr>
              <w:t>, то по итогам 2020 года проверкой охвачен всего один из 10 тыс</w:t>
            </w:r>
            <w:r w:rsidR="004B511C">
              <w:rPr>
                <w:rFonts w:ascii="Times New Roman" w:hAnsi="Times New Roman" w:cs="Times New Roman"/>
              </w:rPr>
              <w:t>.</w:t>
            </w:r>
            <w:r w:rsidRPr="003975FA">
              <w:rPr>
                <w:rFonts w:ascii="Times New Roman" w:hAnsi="Times New Roman" w:cs="Times New Roman"/>
              </w:rPr>
              <w:t xml:space="preserve"> налогоплательщиков этой категории бизнеса.</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Количество выездных налоговых проверок не связано с внедрением цифровых технологий в систему налогового администрирования, а зависит от уровня налоговой дисциплины налогоплательщиков и соблюдения ими законодательства о налогах </w:t>
            </w:r>
            <w:r w:rsidR="004B511C">
              <w:rPr>
                <w:rFonts w:ascii="Times New Roman" w:hAnsi="Times New Roman" w:cs="Times New Roman"/>
              </w:rPr>
              <w:br/>
            </w:r>
            <w:r w:rsidRPr="003975FA">
              <w:rPr>
                <w:rFonts w:ascii="Times New Roman" w:hAnsi="Times New Roman" w:cs="Times New Roman"/>
              </w:rPr>
              <w:t>и сборах.</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ФНС России проводится работа по созданию общественного негативного мнения об уклонении от уплаты налогов и незаконной минимизации налоговых обязательств.</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В 2020 году продолжена работа по реализации отраслевых проектов по пресечению схем необоснованной налоговой оптимизации в сфере оборота сельскохозяйственной </w:t>
            </w:r>
            <w:r w:rsidRPr="003975FA">
              <w:rPr>
                <w:rFonts w:ascii="Times New Roman" w:hAnsi="Times New Roman" w:cs="Times New Roman"/>
              </w:rPr>
              <w:lastRenderedPageBreak/>
              <w:t xml:space="preserve">продукции, а также проводится работа с участниками рынка перевозок грузовым автотранспортом (АТС).  </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Результатом работы стало подписание и расширение списка участников Хартии </w:t>
            </w:r>
            <w:r w:rsidR="004B511C">
              <w:rPr>
                <w:rFonts w:ascii="Times New Roman" w:hAnsi="Times New Roman" w:cs="Times New Roman"/>
              </w:rPr>
              <w:br/>
            </w:r>
            <w:r w:rsidRPr="003975FA">
              <w:rPr>
                <w:rFonts w:ascii="Times New Roman" w:hAnsi="Times New Roman" w:cs="Times New Roman"/>
              </w:rPr>
              <w:t>в сфере оборота сельхозпродукции (6,5 тыс</w:t>
            </w:r>
            <w:r w:rsidR="004B511C">
              <w:rPr>
                <w:rFonts w:ascii="Times New Roman" w:hAnsi="Times New Roman" w:cs="Times New Roman"/>
              </w:rPr>
              <w:t>.</w:t>
            </w:r>
            <w:r w:rsidRPr="003975FA">
              <w:rPr>
                <w:rFonts w:ascii="Times New Roman" w:hAnsi="Times New Roman" w:cs="Times New Roman"/>
              </w:rPr>
              <w:t xml:space="preserve"> участников) и Хартии участников рынка перевозок грузовым автомобильным транспортом (3,3 тыс</w:t>
            </w:r>
            <w:r w:rsidR="004B511C">
              <w:rPr>
                <w:rFonts w:ascii="Times New Roman" w:hAnsi="Times New Roman" w:cs="Times New Roman"/>
              </w:rPr>
              <w:t>.</w:t>
            </w:r>
            <w:r w:rsidRPr="003975FA">
              <w:rPr>
                <w:rFonts w:ascii="Times New Roman" w:hAnsi="Times New Roman" w:cs="Times New Roman"/>
              </w:rPr>
              <w:t xml:space="preserve"> участников), которые отказались от взаимоотношений с контрагентами, обладающими признаками «проблемных» и «транзитных».</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Работа, проведенная ФНС России с привлечением ФСБ России, </w:t>
            </w:r>
            <w:r w:rsidR="004B511C">
              <w:rPr>
                <w:rFonts w:ascii="Times New Roman" w:hAnsi="Times New Roman" w:cs="Times New Roman"/>
              </w:rPr>
              <w:t>Банком России</w:t>
            </w:r>
            <w:r w:rsidRPr="003975FA">
              <w:rPr>
                <w:rFonts w:ascii="Times New Roman" w:hAnsi="Times New Roman" w:cs="Times New Roman"/>
              </w:rPr>
              <w:t xml:space="preserve">, ФАС России, Общественной палаты Российской Федерации, отраслевых профессиональных союзов, позволила создать условия для создания системы саморегулирования на рынке, одним из инструментов которой стал Информационный ресурс для открытого информирования участников рынка о лицах, имеющих признак несформированного источника применения вычета по НДС по данным ПК «АСК </w:t>
            </w:r>
            <w:r w:rsidR="004B511C">
              <w:rPr>
                <w:rFonts w:ascii="Times New Roman" w:hAnsi="Times New Roman" w:cs="Times New Roman"/>
              </w:rPr>
              <w:br/>
            </w:r>
            <w:r w:rsidRPr="003975FA">
              <w:rPr>
                <w:rFonts w:ascii="Times New Roman" w:hAnsi="Times New Roman" w:cs="Times New Roman"/>
              </w:rPr>
              <w:t xml:space="preserve">НДС-2», размещенный на интернет-сайте https://хартия-апк.рф. </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 xml:space="preserve">С целью восстановления и поддержания добросовестной конкуренции более </w:t>
            </w:r>
            <w:r w:rsidR="004B511C">
              <w:rPr>
                <w:rFonts w:ascii="Times New Roman" w:hAnsi="Times New Roman" w:cs="Times New Roman"/>
              </w:rPr>
              <w:br/>
            </w:r>
            <w:r w:rsidRPr="003975FA">
              <w:rPr>
                <w:rFonts w:ascii="Times New Roman" w:hAnsi="Times New Roman" w:cs="Times New Roman"/>
              </w:rPr>
              <w:t>26 тыс</w:t>
            </w:r>
            <w:r w:rsidR="004B511C">
              <w:rPr>
                <w:rFonts w:ascii="Times New Roman" w:hAnsi="Times New Roman" w:cs="Times New Roman"/>
              </w:rPr>
              <w:t>.</w:t>
            </w:r>
            <w:r w:rsidRPr="003975FA">
              <w:rPr>
                <w:rFonts w:ascii="Times New Roman" w:hAnsi="Times New Roman" w:cs="Times New Roman"/>
              </w:rPr>
              <w:t xml:space="preserve"> налогоплательщиков предоставили согласие на раскрытие налоговой тайны </w:t>
            </w:r>
            <w:r w:rsidR="004B511C">
              <w:rPr>
                <w:rFonts w:ascii="Times New Roman" w:hAnsi="Times New Roman" w:cs="Times New Roman"/>
              </w:rPr>
              <w:br/>
            </w:r>
            <w:r w:rsidRPr="003975FA">
              <w:rPr>
                <w:rFonts w:ascii="Times New Roman" w:hAnsi="Times New Roman" w:cs="Times New Roman"/>
              </w:rPr>
              <w:t>в части несформированного источника по цепочке поставщиков товаров (работ, услуг) для принятия к вычету сумм НДС.</w:t>
            </w:r>
          </w:p>
          <w:p w:rsidR="003975FA" w:rsidRPr="003975FA" w:rsidRDefault="003975FA" w:rsidP="003975FA">
            <w:pPr>
              <w:ind w:firstLine="284"/>
              <w:jc w:val="both"/>
              <w:rPr>
                <w:rFonts w:ascii="Times New Roman" w:hAnsi="Times New Roman" w:cs="Times New Roman"/>
              </w:rPr>
            </w:pPr>
            <w:r w:rsidRPr="003975FA">
              <w:rPr>
                <w:rFonts w:ascii="Times New Roman" w:hAnsi="Times New Roman" w:cs="Times New Roman"/>
              </w:rPr>
              <w:t>Данная работа способствует профилактике совершения налоговых правонарушений, а в случае возникновения нарушения оно оперативно устраняется.</w:t>
            </w:r>
          </w:p>
        </w:tc>
      </w:tr>
      <w:tr w:rsidR="004B511C" w:rsidRPr="00E30757" w:rsidTr="001C2492">
        <w:trPr>
          <w:trHeight w:val="70"/>
        </w:trPr>
        <w:tc>
          <w:tcPr>
            <w:tcW w:w="425" w:type="dxa"/>
          </w:tcPr>
          <w:p w:rsidR="004B511C" w:rsidRPr="003975FA" w:rsidRDefault="004B511C" w:rsidP="004B511C">
            <w:pPr>
              <w:pStyle w:val="ae"/>
              <w:numPr>
                <w:ilvl w:val="0"/>
                <w:numId w:val="2"/>
              </w:numPr>
              <w:ind w:left="0" w:firstLine="0"/>
              <w:jc w:val="both"/>
              <w:rPr>
                <w:rFonts w:ascii="Times New Roman" w:hAnsi="Times New Roman" w:cs="Times New Roman"/>
              </w:rPr>
            </w:pPr>
          </w:p>
        </w:tc>
        <w:tc>
          <w:tcPr>
            <w:tcW w:w="7230" w:type="dxa"/>
            <w:tcBorders>
              <w:top w:val="nil"/>
            </w:tcBorders>
            <w:shd w:val="clear" w:color="auto" w:fill="auto"/>
          </w:tcPr>
          <w:p w:rsidR="004B511C" w:rsidRPr="00561707" w:rsidRDefault="004B511C" w:rsidP="004B511C">
            <w:pPr>
              <w:pStyle w:val="Bodytext2"/>
              <w:keepNext/>
              <w:shd w:val="clear" w:color="auto" w:fill="auto"/>
              <w:tabs>
                <w:tab w:val="left" w:pos="0"/>
              </w:tabs>
              <w:spacing w:line="240" w:lineRule="auto"/>
              <w:ind w:firstLine="284"/>
              <w:jc w:val="both"/>
              <w:rPr>
                <w:sz w:val="22"/>
                <w:szCs w:val="22"/>
              </w:rPr>
            </w:pPr>
            <w:r w:rsidRPr="00561707">
              <w:rPr>
                <w:color w:val="000000"/>
                <w:sz w:val="22"/>
                <w:szCs w:val="22"/>
                <w:lang w:eastAsia="ru-RU" w:bidi="ru-RU"/>
              </w:rPr>
              <w:t>Наименование цели 4 в докладе - «Повышение эффективности, конкурентоспособности и прозрачности налоговой и таможенной системы Российской Федерации». Однако названный раздел не содержит достижений, свидетельствовавших бы о повышении прозрачности налоговой системы Российской Федерации.</w:t>
            </w:r>
          </w:p>
          <w:p w:rsidR="004B511C" w:rsidRPr="00561707" w:rsidRDefault="004B511C" w:rsidP="004B511C">
            <w:pPr>
              <w:pStyle w:val="Bodytext2"/>
              <w:keepNext/>
              <w:shd w:val="clear" w:color="auto" w:fill="auto"/>
              <w:spacing w:line="240" w:lineRule="auto"/>
              <w:ind w:firstLine="284"/>
              <w:jc w:val="both"/>
              <w:rPr>
                <w:sz w:val="22"/>
                <w:szCs w:val="22"/>
              </w:rPr>
            </w:pPr>
            <w:r w:rsidRPr="00561707">
              <w:rPr>
                <w:color w:val="000000"/>
                <w:sz w:val="22"/>
                <w:szCs w:val="22"/>
                <w:lang w:eastAsia="ru-RU" w:bidi="ru-RU"/>
              </w:rPr>
              <w:t>Предложил бы дополнить доклад такими достижениями, обратив особое внимание на достижения в сфере повышения прозрачности наиболее болезненных и дискуссионных инициатив для бизнеса, предпринятых в 2020 году (более подробно о таких инициативах я сообщал в рамках предыдущего заочного заседания Общественного совета).</w:t>
            </w:r>
          </w:p>
        </w:tc>
        <w:tc>
          <w:tcPr>
            <w:tcW w:w="8363" w:type="dxa"/>
            <w:tcBorders>
              <w:top w:val="nil"/>
            </w:tcBorders>
            <w:shd w:val="clear" w:color="auto" w:fill="auto"/>
          </w:tcPr>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Представители предпринимательского сообщества активно привлекаются Минфином России и ФНС России к обсуждению вопросов в части рассмотрения разрабатываемых общественно значимых проектов нормативных правовых актов, направленных на повышение эффективности государственного регулирования </w:t>
            </w:r>
            <w:r w:rsidR="00561707">
              <w:rPr>
                <w:rFonts w:ascii="Times New Roman" w:hAnsi="Times New Roman" w:cs="Times New Roman"/>
              </w:rPr>
              <w:br/>
            </w:r>
            <w:r w:rsidRPr="00561707">
              <w:rPr>
                <w:rFonts w:ascii="Times New Roman" w:hAnsi="Times New Roman" w:cs="Times New Roman"/>
              </w:rPr>
              <w:t xml:space="preserve">и достижение баланса интересов государства и бизнеса, в частности, на площадках Общественного совета при </w:t>
            </w:r>
            <w:r w:rsidR="00561707">
              <w:rPr>
                <w:rFonts w:ascii="Times New Roman" w:hAnsi="Times New Roman" w:cs="Times New Roman"/>
              </w:rPr>
              <w:t>Минфине России</w:t>
            </w:r>
            <w:r w:rsidRPr="00561707">
              <w:rPr>
                <w:rFonts w:ascii="Times New Roman" w:hAnsi="Times New Roman" w:cs="Times New Roman"/>
              </w:rPr>
              <w:t xml:space="preserve"> и Общественного совета при </w:t>
            </w:r>
            <w:r w:rsidR="00561707">
              <w:rPr>
                <w:rFonts w:ascii="Times New Roman" w:hAnsi="Times New Roman" w:cs="Times New Roman"/>
              </w:rPr>
              <w:t>ФНС России</w:t>
            </w:r>
            <w:r w:rsidRPr="00561707">
              <w:rPr>
                <w:rFonts w:ascii="Times New Roman" w:hAnsi="Times New Roman" w:cs="Times New Roman"/>
              </w:rPr>
              <w:t xml:space="preserve">, </w:t>
            </w:r>
            <w:r w:rsidR="00561707">
              <w:rPr>
                <w:rFonts w:ascii="Times New Roman" w:hAnsi="Times New Roman" w:cs="Times New Roman"/>
              </w:rPr>
              <w:t xml:space="preserve">а также </w:t>
            </w:r>
            <w:r w:rsidRPr="00561707">
              <w:rPr>
                <w:rFonts w:ascii="Times New Roman" w:hAnsi="Times New Roman" w:cs="Times New Roman"/>
              </w:rPr>
              <w:t>Консультативного совета ФНС России по вопросам налогообложения иностранных инвесторов и коммерческих организаций с иностранными инвестициями.</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Так, например, к разработке предложений по Основным направлениям налоговой политики на 2021 год и на плановый период 2022 и 2023 годов привлекались бизнес сообщества (ТПП РФ, РСПП, ОПОРА РОССИИ, KPMG, </w:t>
            </w:r>
            <w:proofErr w:type="spellStart"/>
            <w:r w:rsidRPr="00561707">
              <w:rPr>
                <w:rFonts w:ascii="Times New Roman" w:hAnsi="Times New Roman" w:cs="Times New Roman"/>
              </w:rPr>
              <w:t>Deloitte</w:t>
            </w:r>
            <w:proofErr w:type="spellEnd"/>
            <w:r w:rsidRPr="00561707">
              <w:rPr>
                <w:rFonts w:ascii="Times New Roman" w:hAnsi="Times New Roman" w:cs="Times New Roman"/>
              </w:rPr>
              <w:t xml:space="preserve">, </w:t>
            </w:r>
            <w:proofErr w:type="spellStart"/>
            <w:r w:rsidRPr="00561707">
              <w:rPr>
                <w:rFonts w:ascii="Times New Roman" w:hAnsi="Times New Roman" w:cs="Times New Roman"/>
              </w:rPr>
              <w:t>PwC</w:t>
            </w:r>
            <w:proofErr w:type="spellEnd"/>
            <w:r w:rsidRPr="00561707">
              <w:rPr>
                <w:rFonts w:ascii="Times New Roman" w:hAnsi="Times New Roman" w:cs="Times New Roman"/>
              </w:rPr>
              <w:t xml:space="preserve">, </w:t>
            </w:r>
            <w:proofErr w:type="spellStart"/>
            <w:r w:rsidRPr="00561707">
              <w:rPr>
                <w:rFonts w:ascii="Times New Roman" w:hAnsi="Times New Roman" w:cs="Times New Roman"/>
              </w:rPr>
              <w:t>Ernst</w:t>
            </w:r>
            <w:proofErr w:type="spellEnd"/>
            <w:r w:rsidRPr="00561707">
              <w:rPr>
                <w:rFonts w:ascii="Times New Roman" w:hAnsi="Times New Roman" w:cs="Times New Roman"/>
              </w:rPr>
              <w:t xml:space="preserve"> </w:t>
            </w:r>
            <w:proofErr w:type="spellStart"/>
            <w:r w:rsidRPr="00561707">
              <w:rPr>
                <w:rFonts w:ascii="Times New Roman" w:hAnsi="Times New Roman" w:cs="Times New Roman"/>
              </w:rPr>
              <w:t>and</w:t>
            </w:r>
            <w:proofErr w:type="spellEnd"/>
            <w:r w:rsidRPr="00561707">
              <w:rPr>
                <w:rFonts w:ascii="Times New Roman" w:hAnsi="Times New Roman" w:cs="Times New Roman"/>
              </w:rPr>
              <w:t xml:space="preserve"> </w:t>
            </w:r>
            <w:proofErr w:type="spellStart"/>
            <w:r w:rsidRPr="00561707">
              <w:rPr>
                <w:rFonts w:ascii="Times New Roman" w:hAnsi="Times New Roman" w:cs="Times New Roman"/>
              </w:rPr>
              <w:t>Young</w:t>
            </w:r>
            <w:proofErr w:type="spellEnd"/>
            <w:r w:rsidRPr="00561707">
              <w:rPr>
                <w:rFonts w:ascii="Times New Roman" w:hAnsi="Times New Roman" w:cs="Times New Roman"/>
              </w:rPr>
              <w:t xml:space="preserve"> и др.).</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Кроме того, в соответствии с Положением о Комиссии Правительства Российской Федерации по законопроектной деятельности, утвержденной постановлением Правительства Российской Федерации от 02.06.2004 № 265, в состав Комиссии включены руководители ТПП РФ, РСПП, «ОПОРА РОССИИ», «Деловая Россия», которые принимают непосредственное участие в работе указанной Комиссии</w:t>
            </w:r>
            <w:r w:rsidR="00561707">
              <w:rPr>
                <w:rFonts w:ascii="Times New Roman" w:hAnsi="Times New Roman" w:cs="Times New Roman"/>
              </w:rPr>
              <w:br/>
            </w:r>
            <w:r w:rsidRPr="00561707">
              <w:rPr>
                <w:rFonts w:ascii="Times New Roman" w:hAnsi="Times New Roman" w:cs="Times New Roman"/>
              </w:rPr>
              <w:t xml:space="preserve"> и принятии решений по результатам рассмотрения проектов федеральных законов, </w:t>
            </w:r>
            <w:r w:rsidR="00561707">
              <w:rPr>
                <w:rFonts w:ascii="Times New Roman" w:hAnsi="Times New Roman" w:cs="Times New Roman"/>
              </w:rPr>
              <w:br/>
            </w:r>
            <w:r w:rsidRPr="00561707">
              <w:rPr>
                <w:rFonts w:ascii="Times New Roman" w:hAnsi="Times New Roman" w:cs="Times New Roman"/>
              </w:rPr>
              <w:lastRenderedPageBreak/>
              <w:t>в том числе предусматривающие внесение изменений в законодательство</w:t>
            </w:r>
            <w:r w:rsidR="00561707">
              <w:rPr>
                <w:rFonts w:ascii="Times New Roman" w:hAnsi="Times New Roman" w:cs="Times New Roman"/>
              </w:rPr>
              <w:t xml:space="preserve"> Российской Федерации о налогах </w:t>
            </w:r>
            <w:r w:rsidRPr="00561707">
              <w:rPr>
                <w:rFonts w:ascii="Times New Roman" w:hAnsi="Times New Roman" w:cs="Times New Roman"/>
              </w:rPr>
              <w:t>и сборах.</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Таким образом решения в налоговой сфере носят открытый, прозрачный характер </w:t>
            </w:r>
            <w:r w:rsidR="00561707">
              <w:rPr>
                <w:rFonts w:ascii="Times New Roman" w:hAnsi="Times New Roman" w:cs="Times New Roman"/>
              </w:rPr>
              <w:br/>
            </w:r>
            <w:r w:rsidRPr="00561707">
              <w:rPr>
                <w:rFonts w:ascii="Times New Roman" w:hAnsi="Times New Roman" w:cs="Times New Roman"/>
              </w:rPr>
              <w:t>и принимаются с учетом мнения предпринимательского сообщества.</w:t>
            </w:r>
          </w:p>
        </w:tc>
      </w:tr>
      <w:tr w:rsidR="004B511C" w:rsidRPr="00E30757" w:rsidTr="001C2492">
        <w:trPr>
          <w:trHeight w:val="70"/>
        </w:trPr>
        <w:tc>
          <w:tcPr>
            <w:tcW w:w="425" w:type="dxa"/>
          </w:tcPr>
          <w:p w:rsidR="004B511C" w:rsidRPr="003975FA" w:rsidRDefault="004B511C" w:rsidP="004B511C">
            <w:pPr>
              <w:pStyle w:val="ae"/>
              <w:numPr>
                <w:ilvl w:val="0"/>
                <w:numId w:val="2"/>
              </w:numPr>
              <w:ind w:left="0" w:firstLine="0"/>
              <w:jc w:val="both"/>
              <w:rPr>
                <w:rFonts w:ascii="Times New Roman" w:hAnsi="Times New Roman" w:cs="Times New Roman"/>
              </w:rPr>
            </w:pPr>
          </w:p>
        </w:tc>
        <w:tc>
          <w:tcPr>
            <w:tcW w:w="7230" w:type="dxa"/>
            <w:tcBorders>
              <w:top w:val="nil"/>
            </w:tcBorders>
            <w:shd w:val="clear" w:color="auto" w:fill="auto"/>
          </w:tcPr>
          <w:p w:rsidR="004B511C" w:rsidRPr="00561707" w:rsidRDefault="004B511C" w:rsidP="004B511C">
            <w:pPr>
              <w:keepNext/>
              <w:widowControl w:val="0"/>
              <w:ind w:left="57" w:firstLine="284"/>
              <w:jc w:val="both"/>
              <w:rPr>
                <w:rFonts w:ascii="Times New Roman" w:hAnsi="Times New Roman" w:cs="Times New Roman"/>
              </w:rPr>
            </w:pPr>
            <w:r w:rsidRPr="00561707">
              <w:rPr>
                <w:rFonts w:ascii="Times New Roman" w:hAnsi="Times New Roman" w:cs="Times New Roman"/>
                <w:color w:val="000000"/>
                <w:lang w:eastAsia="ru-RU" w:bidi="ru-RU"/>
              </w:rPr>
              <w:t xml:space="preserve">Хотел бы в целом отметить процессный характер отчета: отчет </w:t>
            </w:r>
            <w:r w:rsidR="00561707">
              <w:rPr>
                <w:rFonts w:ascii="Times New Roman" w:hAnsi="Times New Roman" w:cs="Times New Roman"/>
                <w:color w:val="000000"/>
                <w:lang w:eastAsia="ru-RU" w:bidi="ru-RU"/>
              </w:rPr>
              <w:br/>
            </w:r>
            <w:r w:rsidRPr="00561707">
              <w:rPr>
                <w:rFonts w:ascii="Times New Roman" w:hAnsi="Times New Roman" w:cs="Times New Roman"/>
                <w:color w:val="000000"/>
                <w:lang w:eastAsia="ru-RU" w:bidi="ru-RU"/>
              </w:rPr>
              <w:t xml:space="preserve">о достижениях в рамках той или иной цели сводится к перечислению принятых актов, что не имеет отношения к оценке результатов регулярной политики Минфина в данной области: нет оценки тех запланированных действий, которые не удалось реализовать, нет оценки принятых актов </w:t>
            </w:r>
            <w:r w:rsidR="00561707">
              <w:rPr>
                <w:rFonts w:ascii="Times New Roman" w:hAnsi="Times New Roman" w:cs="Times New Roman"/>
                <w:color w:val="000000"/>
                <w:lang w:eastAsia="ru-RU" w:bidi="ru-RU"/>
              </w:rPr>
              <w:br/>
            </w:r>
            <w:r w:rsidRPr="00561707">
              <w:rPr>
                <w:rFonts w:ascii="Times New Roman" w:hAnsi="Times New Roman" w:cs="Times New Roman"/>
                <w:color w:val="000000"/>
                <w:lang w:eastAsia="ru-RU" w:bidi="ru-RU"/>
              </w:rPr>
              <w:t>и реализованных мероприятий со стороны регулируемой отрасли. Отчет исключительно формальный.</w:t>
            </w:r>
          </w:p>
          <w:p w:rsidR="004B511C" w:rsidRPr="00561707" w:rsidRDefault="004B511C" w:rsidP="004B511C">
            <w:pPr>
              <w:pStyle w:val="Bodytext2"/>
              <w:keepNext/>
              <w:shd w:val="clear" w:color="auto" w:fill="auto"/>
              <w:tabs>
                <w:tab w:val="left" w:pos="1116"/>
              </w:tabs>
              <w:spacing w:line="240" w:lineRule="auto"/>
              <w:ind w:left="57" w:firstLine="284"/>
              <w:jc w:val="both"/>
              <w:rPr>
                <w:sz w:val="22"/>
                <w:szCs w:val="22"/>
              </w:rPr>
            </w:pPr>
            <w:r w:rsidRPr="00561707">
              <w:rPr>
                <w:color w:val="000000"/>
                <w:sz w:val="22"/>
                <w:szCs w:val="22"/>
                <w:lang w:eastAsia="ru-RU" w:bidi="ru-RU"/>
              </w:rPr>
              <w:t>Так, например, направление (блок мероприятий) 4.4. Федеральный проект «Акселерация субъектов малого и среднего предпринимательства» в качестве мер реализации содержит лишь принятие изменений в 279-ФЗ без оценки воздействия этих изменений на акселерацию МСП.</w:t>
            </w:r>
          </w:p>
        </w:tc>
        <w:tc>
          <w:tcPr>
            <w:tcW w:w="8363" w:type="dxa"/>
            <w:tcBorders>
              <w:top w:val="nil"/>
            </w:tcBorders>
            <w:shd w:val="clear" w:color="auto" w:fill="auto"/>
          </w:tcPr>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2 августа 2019 года принят Федеральный закон № 279-ФЗ «О внесении изменений в Федеральный закон «О развитии малого и среднего предпринимательства </w:t>
            </w:r>
            <w:r w:rsidR="00561707">
              <w:rPr>
                <w:rFonts w:ascii="Times New Roman" w:hAnsi="Times New Roman" w:cs="Times New Roman"/>
              </w:rPr>
              <w:br/>
            </w:r>
            <w:r w:rsidRPr="00561707">
              <w:rPr>
                <w:rFonts w:ascii="Times New Roman" w:hAnsi="Times New Roman" w:cs="Times New Roman"/>
              </w:rPr>
              <w:t xml:space="preserve">в Российской Федерации в целях формирования единого реестра субъектов малого </w:t>
            </w:r>
            <w:r w:rsidR="00561707">
              <w:rPr>
                <w:rFonts w:ascii="Times New Roman" w:hAnsi="Times New Roman" w:cs="Times New Roman"/>
              </w:rPr>
              <w:br/>
            </w:r>
            <w:r w:rsidRPr="00561707">
              <w:rPr>
                <w:rFonts w:ascii="Times New Roman" w:hAnsi="Times New Roman" w:cs="Times New Roman"/>
              </w:rPr>
              <w:t>и среднего предпринимательства – получателей поддержки» (далее – Закон № 279-ФЗ).</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Принятие Закона № 279-ФЗ было направлено на обеспечение:</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открытого и регулярного доступа к сведениям о поддержке, предоставленной конкретным субъектам малого и среднего предпринимательства (МСП), в целях обеспечения адресности, обоснованности и повышения эффективности ее предоставления;</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оценки результатов оказания поддержки субъектам МСП и корректировки на этой основе состава и объемов реализуемых мер поддержки.</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При этом в указанном блоке мероприятий доклада отмечается, что в соответствии </w:t>
            </w:r>
            <w:r w:rsidR="00561707">
              <w:rPr>
                <w:rFonts w:ascii="Times New Roman" w:hAnsi="Times New Roman" w:cs="Times New Roman"/>
              </w:rPr>
              <w:br/>
            </w:r>
            <w:r w:rsidRPr="00561707">
              <w:rPr>
                <w:rFonts w:ascii="Times New Roman" w:hAnsi="Times New Roman" w:cs="Times New Roman"/>
              </w:rPr>
              <w:t>с частью 1 статьи 2 Закона № 279-ФЗ, 20 декабря 2020 года было осуществлено первое размещение сведений, содержащихся в едином реестре субъектов МСП - получателей поддержки, в сети «Интернет» на официальном сайте ФНС России.</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 xml:space="preserve">Указанный блок мероприятий является одним из этапов достижения цели «Повышение эффективности, конкурентоспособности и прозрачности налоговой </w:t>
            </w:r>
            <w:r w:rsidR="00561707">
              <w:rPr>
                <w:rFonts w:ascii="Times New Roman" w:hAnsi="Times New Roman" w:cs="Times New Roman"/>
              </w:rPr>
              <w:br/>
            </w:r>
            <w:r w:rsidRPr="00561707">
              <w:rPr>
                <w:rFonts w:ascii="Times New Roman" w:hAnsi="Times New Roman" w:cs="Times New Roman"/>
              </w:rPr>
              <w:t>и таможенной системы Российской Федерации».</w:t>
            </w:r>
          </w:p>
          <w:p w:rsidR="004B511C" w:rsidRPr="00561707" w:rsidRDefault="004B511C" w:rsidP="004B511C">
            <w:pPr>
              <w:ind w:firstLine="284"/>
              <w:jc w:val="both"/>
              <w:rPr>
                <w:rFonts w:ascii="Times New Roman" w:hAnsi="Times New Roman" w:cs="Times New Roman"/>
              </w:rPr>
            </w:pPr>
            <w:r w:rsidRPr="00561707">
              <w:rPr>
                <w:rFonts w:ascii="Times New Roman" w:hAnsi="Times New Roman" w:cs="Times New Roman"/>
              </w:rPr>
              <w:t>Таким образом, реализация положений Закона № 279-ФЗ направлено на достижение вышеуказанной цели, а также задач федерального проекта «Акселерация субъектов МСП»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4B511C" w:rsidRDefault="004B511C" w:rsidP="00B56667">
            <w:pPr>
              <w:ind w:firstLine="284"/>
              <w:jc w:val="both"/>
              <w:rPr>
                <w:rFonts w:ascii="Times New Roman" w:hAnsi="Times New Roman" w:cs="Times New Roman"/>
              </w:rPr>
            </w:pPr>
            <w:r w:rsidRPr="00561707">
              <w:rPr>
                <w:rFonts w:ascii="Times New Roman" w:hAnsi="Times New Roman" w:cs="Times New Roman"/>
              </w:rPr>
              <w:t xml:space="preserve">При этом оценка и анализ влияния размещения сведений, содержащихся в едином реестре субъектов МСП - получателей поддержки, в сети «Интернет» на официальном сайте ФНС России, находится в ведении Минэкономразвития России как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w:t>
            </w:r>
            <w:r w:rsidR="00B56667">
              <w:rPr>
                <w:rFonts w:ascii="Times New Roman" w:hAnsi="Times New Roman" w:cs="Times New Roman"/>
              </w:rPr>
              <w:br/>
            </w:r>
            <w:r w:rsidRPr="00561707">
              <w:rPr>
                <w:rFonts w:ascii="Times New Roman" w:hAnsi="Times New Roman" w:cs="Times New Roman"/>
              </w:rPr>
              <w:t xml:space="preserve">и прогнозирования социально-экономического развития, развития предпринимательской деятельности, в том числе среднего и малого бизнеса, а также являющегося администратором национального проекта (пункт 1 Положения </w:t>
            </w:r>
            <w:r w:rsidR="00B56667">
              <w:rPr>
                <w:rFonts w:ascii="Times New Roman" w:hAnsi="Times New Roman" w:cs="Times New Roman"/>
              </w:rPr>
              <w:br/>
            </w:r>
            <w:r w:rsidRPr="00561707">
              <w:rPr>
                <w:rFonts w:ascii="Times New Roman" w:hAnsi="Times New Roman" w:cs="Times New Roman"/>
              </w:rPr>
              <w:t xml:space="preserve">о Министерстве экономического развития Российской Федерации, утвержденного постановлением Правительства Российской Федерации от </w:t>
            </w:r>
            <w:r w:rsidR="00B56667">
              <w:rPr>
                <w:rFonts w:ascii="Times New Roman" w:hAnsi="Times New Roman" w:cs="Times New Roman"/>
              </w:rPr>
              <w:t>05.06.2008</w:t>
            </w:r>
            <w:r w:rsidRPr="00561707">
              <w:rPr>
                <w:rFonts w:ascii="Times New Roman" w:hAnsi="Times New Roman" w:cs="Times New Roman"/>
              </w:rPr>
              <w:t xml:space="preserve"> № 437).</w:t>
            </w:r>
          </w:p>
          <w:p w:rsidR="00B56667" w:rsidRDefault="00B56667" w:rsidP="00B56667">
            <w:pPr>
              <w:ind w:firstLine="284"/>
              <w:jc w:val="both"/>
              <w:rPr>
                <w:rFonts w:ascii="Times New Roman" w:hAnsi="Times New Roman" w:cs="Times New Roman"/>
              </w:rPr>
            </w:pPr>
          </w:p>
          <w:p w:rsidR="00B56667" w:rsidRPr="00561707" w:rsidRDefault="00B56667" w:rsidP="00B56667">
            <w:pPr>
              <w:ind w:firstLine="284"/>
              <w:jc w:val="both"/>
              <w:rPr>
                <w:rFonts w:ascii="Times New Roman" w:hAnsi="Times New Roman" w:cs="Times New Roman"/>
              </w:rPr>
            </w:pPr>
          </w:p>
        </w:tc>
      </w:tr>
      <w:tr w:rsidR="00561707" w:rsidRPr="00B56667" w:rsidTr="00AA2FA7">
        <w:trPr>
          <w:trHeight w:val="70"/>
        </w:trPr>
        <w:tc>
          <w:tcPr>
            <w:tcW w:w="16018" w:type="dxa"/>
            <w:gridSpan w:val="3"/>
          </w:tcPr>
          <w:p w:rsidR="00561707" w:rsidRPr="00B56667" w:rsidRDefault="00561707" w:rsidP="00561707">
            <w:pPr>
              <w:ind w:firstLine="284"/>
              <w:jc w:val="center"/>
              <w:rPr>
                <w:rFonts w:ascii="Times New Roman" w:hAnsi="Times New Roman" w:cs="Times New Roman"/>
              </w:rPr>
            </w:pPr>
            <w:r w:rsidRPr="00B56667">
              <w:rPr>
                <w:rFonts w:ascii="Times New Roman" w:hAnsi="Times New Roman" w:cs="Times New Roman"/>
                <w:b/>
                <w:bCs/>
                <w:lang w:bidi="ru-RU"/>
              </w:rPr>
              <w:lastRenderedPageBreak/>
              <w:t xml:space="preserve">Член Общественного совета - </w:t>
            </w:r>
            <w:r w:rsidRPr="00B56667">
              <w:rPr>
                <w:rFonts w:ascii="Times New Roman" w:hAnsi="Times New Roman" w:cs="Times New Roman"/>
                <w:b/>
                <w:lang w:bidi="ru-RU"/>
              </w:rPr>
              <w:t>Климанов В.В.</w:t>
            </w:r>
          </w:p>
        </w:tc>
      </w:tr>
      <w:tr w:rsidR="00561707" w:rsidRPr="00E30757" w:rsidTr="004B511C">
        <w:trPr>
          <w:trHeight w:val="70"/>
        </w:trPr>
        <w:tc>
          <w:tcPr>
            <w:tcW w:w="425" w:type="dxa"/>
          </w:tcPr>
          <w:p w:rsidR="00561707" w:rsidRPr="003975FA" w:rsidRDefault="00561707" w:rsidP="00561707">
            <w:pPr>
              <w:pStyle w:val="ae"/>
              <w:numPr>
                <w:ilvl w:val="0"/>
                <w:numId w:val="2"/>
              </w:numPr>
              <w:ind w:left="0" w:firstLine="0"/>
              <w:jc w:val="both"/>
              <w:rPr>
                <w:rFonts w:ascii="Times New Roman" w:hAnsi="Times New Roman" w:cs="Times New Roman"/>
              </w:rPr>
            </w:pPr>
          </w:p>
        </w:tc>
        <w:tc>
          <w:tcPr>
            <w:tcW w:w="7230" w:type="dxa"/>
            <w:shd w:val="clear" w:color="auto" w:fill="auto"/>
          </w:tcPr>
          <w:p w:rsidR="00561707" w:rsidRPr="00B56667" w:rsidRDefault="00561707" w:rsidP="00561707">
            <w:pPr>
              <w:pStyle w:val="Bodytext2"/>
              <w:keepNext/>
              <w:shd w:val="clear" w:color="auto" w:fill="auto"/>
              <w:spacing w:line="240" w:lineRule="auto"/>
              <w:ind w:firstLine="284"/>
              <w:jc w:val="both"/>
              <w:rPr>
                <w:sz w:val="22"/>
                <w:szCs w:val="22"/>
              </w:rPr>
            </w:pPr>
            <w:r w:rsidRPr="00B56667">
              <w:rPr>
                <w:color w:val="000000"/>
                <w:sz w:val="22"/>
                <w:szCs w:val="22"/>
                <w:lang w:eastAsia="ru-RU" w:bidi="ru-RU"/>
              </w:rPr>
              <w:t>В отчете о достижении Цели 12 сказано, что «в 2020 году проведена работа по консолидации субсидий» (стр. 97 Доклада). Однако в таблице параметров достижения целей говорится о том, что 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в рамках реализации приоритетных программ, национальных и (или) федеральных проектов), даже увеличилось по отношению к планируемому - 66 к 50 (стр. 245).</w:t>
            </w:r>
          </w:p>
          <w:p w:rsidR="00561707" w:rsidRPr="00B56667" w:rsidRDefault="00561707" w:rsidP="00561707">
            <w:pPr>
              <w:pStyle w:val="Bodytext2"/>
              <w:keepNext/>
              <w:shd w:val="clear" w:color="auto" w:fill="auto"/>
              <w:spacing w:line="240" w:lineRule="auto"/>
              <w:ind w:firstLine="284"/>
              <w:jc w:val="both"/>
              <w:rPr>
                <w:sz w:val="22"/>
                <w:szCs w:val="22"/>
              </w:rPr>
            </w:pPr>
            <w:r w:rsidRPr="00B56667">
              <w:rPr>
                <w:color w:val="000000"/>
                <w:sz w:val="22"/>
                <w:szCs w:val="22"/>
                <w:lang w:eastAsia="ru-RU" w:bidi="ru-RU"/>
              </w:rPr>
              <w:t xml:space="preserve">Непонятно, почему при описании Направления (блока мероприятий) 12.2 «Повышение эффективности предоставления </w:t>
            </w:r>
            <w:r w:rsidRPr="00B56667">
              <w:rPr>
                <w:rStyle w:val="Bodytext214pt"/>
                <w:sz w:val="22"/>
                <w:szCs w:val="22"/>
              </w:rPr>
              <w:t xml:space="preserve">нецелевых </w:t>
            </w:r>
            <w:r w:rsidRPr="00B56667">
              <w:rPr>
                <w:color w:val="000000"/>
                <w:sz w:val="22"/>
                <w:szCs w:val="22"/>
                <w:lang w:eastAsia="ru-RU" w:bidi="ru-RU"/>
              </w:rPr>
              <w:t xml:space="preserve">межбюджетных трансфертов» акцентируется, что «основной результат обеспечен за счет совершенствования механизма предоставления </w:t>
            </w:r>
            <w:r w:rsidRPr="00B56667">
              <w:rPr>
                <w:rStyle w:val="Bodytext214pt"/>
                <w:sz w:val="22"/>
                <w:szCs w:val="22"/>
              </w:rPr>
              <w:t xml:space="preserve">межбюджетных субсидий </w:t>
            </w:r>
            <w:r w:rsidRPr="00B56667">
              <w:rPr>
                <w:color w:val="000000"/>
                <w:sz w:val="22"/>
                <w:szCs w:val="22"/>
                <w:lang w:eastAsia="ru-RU" w:bidi="ru-RU"/>
              </w:rPr>
              <w:t xml:space="preserve">путем внесения изменений в правила формирования, предоставления и распределения субсидий из федерального бюджета бюджетам субъектов Российской Федерации» </w:t>
            </w:r>
            <w:r w:rsidR="00B56667">
              <w:rPr>
                <w:color w:val="000000"/>
                <w:sz w:val="22"/>
                <w:szCs w:val="22"/>
                <w:lang w:eastAsia="ru-RU" w:bidi="ru-RU"/>
              </w:rPr>
              <w:br/>
            </w:r>
            <w:r w:rsidRPr="00B56667">
              <w:rPr>
                <w:color w:val="000000"/>
                <w:sz w:val="22"/>
                <w:szCs w:val="22"/>
                <w:lang w:eastAsia="ru-RU" w:bidi="ru-RU"/>
              </w:rPr>
              <w:t>(стр. 98), в то время как субсидии имеют целевой характер предоставления.</w:t>
            </w:r>
          </w:p>
          <w:p w:rsidR="00561707" w:rsidRPr="00B56667" w:rsidRDefault="00561707" w:rsidP="00561707">
            <w:pPr>
              <w:pStyle w:val="Bodytext2"/>
              <w:keepNext/>
              <w:shd w:val="clear" w:color="auto" w:fill="auto"/>
              <w:spacing w:line="240" w:lineRule="auto"/>
              <w:ind w:firstLine="284"/>
              <w:jc w:val="both"/>
              <w:rPr>
                <w:sz w:val="22"/>
                <w:szCs w:val="22"/>
              </w:rPr>
            </w:pPr>
            <w:r w:rsidRPr="00B56667">
              <w:rPr>
                <w:color w:val="000000"/>
                <w:sz w:val="22"/>
                <w:szCs w:val="22"/>
                <w:lang w:eastAsia="ru-RU" w:bidi="ru-RU"/>
              </w:rPr>
              <w:t xml:space="preserve">При указании в направлении (блоке мероприятий) 14.2 на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 (стр. 100) перечислены лишь стимулирующие меры. В то же время на стр. 256 сказано, что индикатор данного направления «Количество субъектов Российской Федерации, </w:t>
            </w:r>
            <w:r w:rsidR="00B56667">
              <w:rPr>
                <w:color w:val="000000"/>
                <w:sz w:val="22"/>
                <w:szCs w:val="22"/>
                <w:lang w:eastAsia="ru-RU" w:bidi="ru-RU"/>
              </w:rPr>
              <w:br/>
            </w:r>
            <w:r w:rsidRPr="00B56667">
              <w:rPr>
                <w:color w:val="000000"/>
                <w:sz w:val="22"/>
                <w:szCs w:val="22"/>
                <w:lang w:eastAsia="ru-RU" w:bidi="ru-RU"/>
              </w:rPr>
              <w:t>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 не достигнут в силу «низкого качества бюджетного планирования и исполнения бюджета на региональном уровне (Республика Ингушетия)». Почему в таком случае не применялись ограничительные меры и это не указано в Докладе.</w:t>
            </w:r>
          </w:p>
          <w:p w:rsidR="00561707" w:rsidRPr="00B56667" w:rsidRDefault="00561707" w:rsidP="00561707">
            <w:pPr>
              <w:keepNext/>
              <w:widowControl w:val="0"/>
              <w:ind w:firstLine="284"/>
              <w:jc w:val="both"/>
              <w:rPr>
                <w:rFonts w:ascii="Times New Roman" w:hAnsi="Times New Roman" w:cs="Times New Roman"/>
              </w:rPr>
            </w:pPr>
            <w:r w:rsidRPr="00B56667">
              <w:rPr>
                <w:rFonts w:ascii="Times New Roman" w:hAnsi="Times New Roman" w:cs="Times New Roman"/>
                <w:color w:val="000000"/>
                <w:lang w:eastAsia="ru-RU" w:bidi="ru-RU"/>
              </w:rPr>
              <w:t xml:space="preserve">При темпах роста расчетной бюджетной обеспеченности по 10 наименее обеспеченным субъектам Российской Федерации, существенно опережающих плановые, индикатор направления (блока мероприятий) 13.1 «Отклонение в уровнях бюджетной обеспеченности между 10 </w:t>
            </w:r>
            <w:r w:rsidRPr="00B56667">
              <w:rPr>
                <w:rFonts w:ascii="Times New Roman" w:hAnsi="Times New Roman" w:cs="Times New Roman"/>
                <w:color w:val="000000"/>
                <w:lang w:eastAsia="ru-RU" w:bidi="ru-RU"/>
              </w:rPr>
              <w:lastRenderedPageBreak/>
              <w:t>наименее и 10 наиболее обеспеченными субъектами Российской Федерации после предоставления дотаций на выравнивание бюджетной обеспеченности» (стр. 250) оказался невыполненным.</w:t>
            </w:r>
          </w:p>
          <w:p w:rsidR="00561707" w:rsidRPr="00B56667" w:rsidRDefault="00561707" w:rsidP="00561707">
            <w:pPr>
              <w:pStyle w:val="Bodytext2"/>
              <w:keepNext/>
              <w:shd w:val="clear" w:color="auto" w:fill="auto"/>
              <w:spacing w:line="240" w:lineRule="auto"/>
              <w:ind w:firstLine="284"/>
              <w:jc w:val="both"/>
              <w:rPr>
                <w:sz w:val="22"/>
                <w:szCs w:val="22"/>
              </w:rPr>
            </w:pPr>
            <w:r w:rsidRPr="00B56667">
              <w:rPr>
                <w:color w:val="000000"/>
                <w:sz w:val="22"/>
                <w:szCs w:val="22"/>
                <w:lang w:eastAsia="ru-RU" w:bidi="ru-RU"/>
              </w:rPr>
              <w:t xml:space="preserve">Следует обратить внимание, что индикатор направления (блока мероприятий) 12.3 «Доля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w:t>
            </w:r>
            <w:r w:rsidR="00B56667">
              <w:rPr>
                <w:color w:val="000000"/>
                <w:sz w:val="22"/>
                <w:szCs w:val="22"/>
                <w:lang w:eastAsia="ru-RU" w:bidi="ru-RU"/>
              </w:rPr>
              <w:br/>
            </w:r>
            <w:r w:rsidRPr="00B56667">
              <w:rPr>
                <w:color w:val="000000"/>
                <w:sz w:val="22"/>
                <w:szCs w:val="22"/>
                <w:lang w:eastAsia="ru-RU" w:bidi="ru-RU"/>
              </w:rPr>
              <w:t xml:space="preserve">к федеральному закону о федеральном бюджете на очередной финансовый год и плановый период, в общем количестве межбюджетных трансфертов (за исключением межбюджетных трансфертов, распределяемых </w:t>
            </w:r>
            <w:r w:rsidR="00F80E14">
              <w:rPr>
                <w:color w:val="000000"/>
                <w:sz w:val="22"/>
                <w:szCs w:val="22"/>
                <w:lang w:eastAsia="ru-RU" w:bidi="ru-RU"/>
              </w:rPr>
              <w:br/>
            </w:r>
            <w:r w:rsidRPr="00B56667">
              <w:rPr>
                <w:color w:val="000000"/>
                <w:sz w:val="22"/>
                <w:szCs w:val="22"/>
                <w:lang w:eastAsia="ru-RU" w:bidi="ru-RU"/>
              </w:rPr>
              <w:t>на конкурсной основе и предоставляемых на возмещение фактически осуществленных расходов бюджетов субъектов Российской Федерации)» (стр. 246) характеризует состояние, связанное с утверждением федерального бюджета на очередной финансовый год, но не связано с тем, что отражается в отчете об исполнении в текущем году.</w:t>
            </w:r>
          </w:p>
          <w:p w:rsidR="00561707" w:rsidRPr="00B56667" w:rsidRDefault="00561707" w:rsidP="00561707">
            <w:pPr>
              <w:pStyle w:val="Bodytext2"/>
              <w:keepNext/>
              <w:shd w:val="clear" w:color="auto" w:fill="auto"/>
              <w:spacing w:line="240" w:lineRule="auto"/>
              <w:ind w:firstLine="284"/>
              <w:jc w:val="both"/>
              <w:rPr>
                <w:sz w:val="22"/>
                <w:szCs w:val="22"/>
              </w:rPr>
            </w:pPr>
            <w:r w:rsidRPr="00B56667">
              <w:rPr>
                <w:color w:val="000000"/>
                <w:sz w:val="22"/>
                <w:szCs w:val="22"/>
                <w:lang w:eastAsia="ru-RU" w:bidi="ru-RU"/>
              </w:rPr>
              <w:t xml:space="preserve">Представляется целесообразным дать указание на конкретные ссылки размещения ряда материалов на официальном сайте Минфина России, например, на «обзорный доклад, содержащий рекомендации </w:t>
            </w:r>
            <w:r w:rsidR="00B56667">
              <w:rPr>
                <w:color w:val="000000"/>
                <w:sz w:val="22"/>
                <w:szCs w:val="22"/>
                <w:lang w:eastAsia="ru-RU" w:bidi="ru-RU"/>
              </w:rPr>
              <w:br/>
            </w:r>
            <w:r w:rsidRPr="00B56667">
              <w:rPr>
                <w:color w:val="000000"/>
                <w:sz w:val="22"/>
                <w:szCs w:val="22"/>
                <w:lang w:eastAsia="ru-RU" w:bidi="ru-RU"/>
              </w:rPr>
              <w:t>по применению лучших практик и выявленных недостатков управления региональными финансами» (стр. 100), поскольку поиск таких материалов не дает результатов.</w:t>
            </w:r>
          </w:p>
        </w:tc>
        <w:tc>
          <w:tcPr>
            <w:tcW w:w="8363" w:type="dxa"/>
            <w:shd w:val="clear" w:color="auto" w:fill="auto"/>
          </w:tcPr>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lastRenderedPageBreak/>
              <w:t>Увеличение количества субсидий обусловлено:</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1) переводом отдельных иных межбюджетных трансфертов в форму субсидий </w:t>
            </w:r>
            <w:r w:rsidR="00B56667">
              <w:rPr>
                <w:rFonts w:ascii="Times New Roman" w:hAnsi="Times New Roman" w:cs="Times New Roman"/>
                <w:lang w:bidi="ru-RU"/>
              </w:rPr>
              <w:br/>
            </w:r>
            <w:r w:rsidRPr="00B56667">
              <w:rPr>
                <w:rFonts w:ascii="Times New Roman" w:hAnsi="Times New Roman" w:cs="Times New Roman"/>
                <w:lang w:bidi="ru-RU"/>
              </w:rPr>
              <w:t xml:space="preserve">в связи с ограничением в соответствии со статьей 132.1 Бюджетного кодекса Российской Федерации, начиная с 1 января 2024 г., случаев их предоставления; </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2) реализацией Послания Президента Российской Федерации Федеральному Собранию и обособлением межбюджетных трансфертов (в том числе субсидий), предоставляемых в этих целях;</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3) утверждением индивидуальных программ социально-экономического развития субъектов Российской Федерации с низким уровнем социально-экономического развития субъектов Российской Федерации.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В предыдущие годы была проведена значительная работа по сокращению количества субсидий и созданию нового вида расходов – «консолидированные субсидии», который активно применяется: в федеральном бюджете на 2021 год предусмотрено предоставление 32 консолидированных су</w:t>
            </w:r>
            <w:r w:rsidR="00B56667">
              <w:rPr>
                <w:rFonts w:ascii="Times New Roman" w:hAnsi="Times New Roman" w:cs="Times New Roman"/>
                <w:lang w:bidi="ru-RU"/>
              </w:rPr>
              <w:t>бсидий общим объемом 412,1 млрд</w:t>
            </w:r>
            <w:r w:rsidRPr="00B56667">
              <w:rPr>
                <w:rFonts w:ascii="Times New Roman" w:hAnsi="Times New Roman" w:cs="Times New Roman"/>
                <w:lang w:bidi="ru-RU"/>
              </w:rPr>
              <w:t xml:space="preserve"> рублей или 38% от общего объема субсидий.</w:t>
            </w:r>
          </w:p>
          <w:p w:rsidR="00561707" w:rsidRPr="00B56667" w:rsidRDefault="00B56667" w:rsidP="00561707">
            <w:pPr>
              <w:ind w:firstLine="284"/>
              <w:jc w:val="both"/>
              <w:rPr>
                <w:rFonts w:ascii="Times New Roman" w:hAnsi="Times New Roman" w:cs="Times New Roman"/>
                <w:lang w:bidi="ru-RU"/>
              </w:rPr>
            </w:pPr>
            <w:r>
              <w:rPr>
                <w:rFonts w:ascii="Times New Roman" w:hAnsi="Times New Roman" w:cs="Times New Roman"/>
                <w:lang w:bidi="ru-RU"/>
              </w:rPr>
              <w:t>Вместе с тем</w:t>
            </w:r>
            <w:r w:rsidR="00561707" w:rsidRPr="00B56667">
              <w:rPr>
                <w:rFonts w:ascii="Times New Roman" w:hAnsi="Times New Roman" w:cs="Times New Roman"/>
                <w:lang w:bidi="ru-RU"/>
              </w:rPr>
              <w:t xml:space="preserve"> учитывая, что в настоящее время субсидии подлежат распределению до начала финансового года, а также предоставляются в целях достижения конкретного, измеримого результата с заданным объемом бюджетных ассигнований, </w:t>
            </w:r>
            <w:r>
              <w:rPr>
                <w:rFonts w:ascii="Times New Roman" w:hAnsi="Times New Roman" w:cs="Times New Roman"/>
                <w:lang w:bidi="ru-RU"/>
              </w:rPr>
              <w:br/>
            </w:r>
            <w:r w:rsidR="00561707" w:rsidRPr="00B56667">
              <w:rPr>
                <w:rFonts w:ascii="Times New Roman" w:hAnsi="Times New Roman" w:cs="Times New Roman"/>
                <w:lang w:bidi="ru-RU"/>
              </w:rPr>
              <w:t>в соответствии с утвержденными типовыми формами соглашений вопрос уменьшения количества субсидий, предоставляемых из федерального бюджета, теряет свою актуальность.</w:t>
            </w:r>
          </w:p>
          <w:p w:rsidR="00561707" w:rsidRPr="00F80E14"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В этой связи направление (блок мероприятий) 12.1. «Актуализация форм </w:t>
            </w:r>
            <w:r w:rsidR="00F80E14">
              <w:rPr>
                <w:rFonts w:ascii="Times New Roman" w:hAnsi="Times New Roman" w:cs="Times New Roman"/>
                <w:lang w:bidi="ru-RU"/>
              </w:rPr>
              <w:br/>
            </w:r>
            <w:r w:rsidRPr="00B56667">
              <w:rPr>
                <w:rFonts w:ascii="Times New Roman" w:hAnsi="Times New Roman" w:cs="Times New Roman"/>
                <w:lang w:bidi="ru-RU"/>
              </w:rPr>
              <w:t xml:space="preserve">и механизмов предоставления межбюджетных трансфертов бюджетам субъектов Российской Федерации» предлагается </w:t>
            </w:r>
            <w:r w:rsidRPr="00F80E14">
              <w:rPr>
                <w:rFonts w:ascii="Times New Roman" w:hAnsi="Times New Roman" w:cs="Times New Roman"/>
                <w:lang w:bidi="ru-RU"/>
              </w:rPr>
              <w:t>изложить в следующей редакции: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«В 2020 году проведена работа по увеличению доли межбюджетных трансфертов, распределяемых федеральным законом о бюджете на очередной финансовый год </w:t>
            </w:r>
            <w:r w:rsidR="00F80E14">
              <w:rPr>
                <w:rFonts w:ascii="Times New Roman" w:hAnsi="Times New Roman" w:cs="Times New Roman"/>
                <w:lang w:bidi="ru-RU"/>
              </w:rPr>
              <w:br/>
            </w:r>
            <w:r w:rsidRPr="00B56667">
              <w:rPr>
                <w:rFonts w:ascii="Times New Roman" w:hAnsi="Times New Roman" w:cs="Times New Roman"/>
                <w:lang w:bidi="ru-RU"/>
              </w:rPr>
              <w:t xml:space="preserve">и плановый период, сокращены до 1 января очередного финансового года сроки заключения соглашений о предоставлении субсидий и иных межбюджетных трансфертов, введена возможность перераспределения экономии по итогам заключения соглашений на предоставление иных межбюджетных трансфертов для оказания финансовой помощи субъектам Российской Федерации (по аналогии </w:t>
            </w:r>
            <w:r w:rsidR="00F80E14">
              <w:rPr>
                <w:rFonts w:ascii="Times New Roman" w:hAnsi="Times New Roman" w:cs="Times New Roman"/>
                <w:lang w:bidi="ru-RU"/>
              </w:rPr>
              <w:br/>
            </w:r>
            <w:r w:rsidRPr="00B56667">
              <w:rPr>
                <w:rFonts w:ascii="Times New Roman" w:hAnsi="Times New Roman" w:cs="Times New Roman"/>
                <w:lang w:bidi="ru-RU"/>
              </w:rPr>
              <w:t>с субсидиями).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Кроме того, были установлены предельные уровни </w:t>
            </w:r>
            <w:proofErr w:type="spellStart"/>
            <w:r w:rsidRPr="00B56667">
              <w:rPr>
                <w:rFonts w:ascii="Times New Roman" w:hAnsi="Times New Roman" w:cs="Times New Roman"/>
                <w:lang w:bidi="ru-RU"/>
              </w:rPr>
              <w:t>софинансирования</w:t>
            </w:r>
            <w:proofErr w:type="spellEnd"/>
            <w:r w:rsidRPr="00B56667">
              <w:rPr>
                <w:rFonts w:ascii="Times New Roman" w:hAnsi="Times New Roman" w:cs="Times New Roman"/>
                <w:lang w:bidi="ru-RU"/>
              </w:rPr>
              <w:t xml:space="preserve"> </w:t>
            </w:r>
            <w:r w:rsidR="00F80E14">
              <w:rPr>
                <w:rFonts w:ascii="Times New Roman" w:hAnsi="Times New Roman" w:cs="Times New Roman"/>
                <w:lang w:bidi="ru-RU"/>
              </w:rPr>
              <w:br/>
            </w:r>
            <w:r w:rsidRPr="00B56667">
              <w:rPr>
                <w:rFonts w:ascii="Times New Roman" w:hAnsi="Times New Roman" w:cs="Times New Roman"/>
                <w:lang w:bidi="ru-RU"/>
              </w:rPr>
              <w:t xml:space="preserve">из федерального бюджета расходных обязательств субъектов Российской Федерации, возникающих при реализации государственной программы Российской Федерации «Комплексное развитие сельских территорий», а также при реализации государственной программы Российской Федерации </w:t>
            </w:r>
            <w:r w:rsidR="00F80E14" w:rsidRPr="00F80E14">
              <w:rPr>
                <w:rFonts w:ascii="Times New Roman" w:hAnsi="Times New Roman" w:cs="Times New Roman"/>
                <w:lang w:bidi="ru-RU"/>
              </w:rPr>
              <w:t>«</w:t>
            </w:r>
            <w:r w:rsidRPr="00B56667">
              <w:rPr>
                <w:rFonts w:ascii="Times New Roman" w:hAnsi="Times New Roman" w:cs="Times New Roman"/>
                <w:lang w:bidi="ru-RU"/>
              </w:rPr>
              <w:t xml:space="preserve">Развитие здравоохранения» </w:t>
            </w:r>
            <w:r w:rsidR="00F80E14">
              <w:rPr>
                <w:rFonts w:ascii="Times New Roman" w:hAnsi="Times New Roman" w:cs="Times New Roman"/>
                <w:lang w:bidi="ru-RU"/>
              </w:rPr>
              <w:br/>
            </w:r>
            <w:r w:rsidRPr="00B56667">
              <w:rPr>
                <w:rFonts w:ascii="Times New Roman" w:hAnsi="Times New Roman" w:cs="Times New Roman"/>
                <w:lang w:bidi="ru-RU"/>
              </w:rPr>
              <w:lastRenderedPageBreak/>
              <w:t>в части ведомственной целевой программы «Модернизация первичного звена здравоохранения Российской Федерации</w:t>
            </w:r>
            <w:r w:rsidR="00F80E14" w:rsidRPr="00F80E14">
              <w:rPr>
                <w:rFonts w:ascii="Times New Roman" w:hAnsi="Times New Roman" w:cs="Times New Roman"/>
                <w:lang w:bidi="ru-RU"/>
              </w:rPr>
              <w:t>»</w:t>
            </w:r>
            <w:r w:rsidRPr="00B56667">
              <w:rPr>
                <w:rFonts w:ascii="Times New Roman" w:hAnsi="Times New Roman" w:cs="Times New Roman"/>
                <w:lang w:bidi="ru-RU"/>
              </w:rPr>
              <w:t xml:space="preserve"> на 2020-2024 годы равные предельному уровню </w:t>
            </w:r>
            <w:proofErr w:type="spellStart"/>
            <w:r w:rsidRPr="00B56667">
              <w:rPr>
                <w:rFonts w:ascii="Times New Roman" w:hAnsi="Times New Roman" w:cs="Times New Roman"/>
                <w:lang w:bidi="ru-RU"/>
              </w:rPr>
              <w:t>софинансирования</w:t>
            </w:r>
            <w:proofErr w:type="spellEnd"/>
            <w:r w:rsidRPr="00B56667">
              <w:rPr>
                <w:rFonts w:ascii="Times New Roman" w:hAnsi="Times New Roman" w:cs="Times New Roman"/>
                <w:lang w:bidi="ru-RU"/>
              </w:rPr>
              <w:t>, применяемому в отношении субсидий в целях реализации национальных проектов.</w:t>
            </w:r>
          </w:p>
          <w:p w:rsidR="00561707" w:rsidRPr="00B56667" w:rsidRDefault="00561707" w:rsidP="00F80E14">
            <w:pPr>
              <w:ind w:firstLine="284"/>
              <w:jc w:val="both"/>
              <w:rPr>
                <w:rFonts w:ascii="Times New Roman" w:hAnsi="Times New Roman" w:cs="Times New Roman"/>
                <w:lang w:bidi="ru-RU"/>
              </w:rPr>
            </w:pPr>
            <w:r w:rsidRPr="00B56667">
              <w:rPr>
                <w:rFonts w:ascii="Times New Roman" w:hAnsi="Times New Roman" w:cs="Times New Roman"/>
                <w:lang w:bidi="ru-RU"/>
              </w:rPr>
              <w:t>В рамках повышения эффективности использования бюджетных ассигнований также введена возможность направления сложившийся у субъекта Российской Федерации экономии по контрактам, источником финансового обеспечения которых являются межбюджетные трансферты из федерального бюджета, на реализацию национальных проектов в этом же регионе.».</w:t>
            </w:r>
          </w:p>
          <w:p w:rsidR="00561707" w:rsidRPr="00F80E14" w:rsidRDefault="00F80E14" w:rsidP="00561707">
            <w:pPr>
              <w:ind w:firstLine="284"/>
              <w:jc w:val="both"/>
              <w:rPr>
                <w:rFonts w:ascii="Times New Roman" w:hAnsi="Times New Roman" w:cs="Times New Roman"/>
                <w:lang w:bidi="ru-RU"/>
              </w:rPr>
            </w:pPr>
            <w:r w:rsidRPr="00F80E14">
              <w:rPr>
                <w:rFonts w:ascii="Times New Roman" w:hAnsi="Times New Roman" w:cs="Times New Roman"/>
                <w:lang w:bidi="ru-RU"/>
              </w:rPr>
              <w:t>Также н</w:t>
            </w:r>
            <w:r w:rsidR="00561707" w:rsidRPr="00F80E14">
              <w:rPr>
                <w:rFonts w:ascii="Times New Roman" w:hAnsi="Times New Roman" w:cs="Times New Roman"/>
                <w:lang w:bidi="ru-RU"/>
              </w:rPr>
              <w:t xml:space="preserve">аправление (блок мероприятий) 12.2 «Повышение эффективности предоставления нецелевых межбюджетных трансфертов» доклада </w:t>
            </w:r>
            <w:r w:rsidRPr="00F80E14">
              <w:rPr>
                <w:rFonts w:ascii="Times New Roman" w:hAnsi="Times New Roman" w:cs="Times New Roman"/>
                <w:lang w:bidi="ru-RU"/>
              </w:rPr>
              <w:t xml:space="preserve">предлагается </w:t>
            </w:r>
            <w:r w:rsidR="00561707" w:rsidRPr="00F80E14">
              <w:rPr>
                <w:rFonts w:ascii="Times New Roman" w:hAnsi="Times New Roman" w:cs="Times New Roman"/>
                <w:lang w:bidi="ru-RU"/>
              </w:rPr>
              <w:t>изложить в следующей редакции: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«В рамках решения задачи по совершенствованию системы распределения </w:t>
            </w:r>
            <w:r w:rsidR="00F80E14">
              <w:rPr>
                <w:rFonts w:ascii="Times New Roman" w:hAnsi="Times New Roman" w:cs="Times New Roman"/>
                <w:lang w:bidi="ru-RU"/>
              </w:rPr>
              <w:br/>
            </w:r>
            <w:r w:rsidRPr="00B56667">
              <w:rPr>
                <w:rFonts w:ascii="Times New Roman" w:hAnsi="Times New Roman" w:cs="Times New Roman"/>
                <w:lang w:bidi="ru-RU"/>
              </w:rPr>
              <w:t xml:space="preserve">и перераспределения финансовых ресурсов между уровнями бюджетной системы Российской Федерации проведена работа по формированию сводов реестров расходных обязательств субъектов Российской Федерации и муниципальных образований, на основании которых определены расчетные объемы расходных обязательств субъектов Российской Федерации </w:t>
            </w:r>
            <w:r w:rsidR="00F80E14">
              <w:rPr>
                <w:rFonts w:ascii="Times New Roman" w:hAnsi="Times New Roman" w:cs="Times New Roman"/>
                <w:lang w:bidi="ru-RU"/>
              </w:rPr>
              <w:t>и муниципальных образований, их</w:t>
            </w:r>
            <w:r w:rsidRPr="00B56667">
              <w:rPr>
                <w:rFonts w:ascii="Times New Roman" w:hAnsi="Times New Roman" w:cs="Times New Roman"/>
                <w:lang w:bidi="ru-RU"/>
              </w:rPr>
              <w:t xml:space="preserve"> результаты учтены при распределении дотаций на выравнивание бюджетной обеспеченности субъектов Российской Федерации; принято постановление Пра</w:t>
            </w:r>
            <w:r w:rsidR="00F80E14">
              <w:rPr>
                <w:rFonts w:ascii="Times New Roman" w:hAnsi="Times New Roman" w:cs="Times New Roman"/>
                <w:lang w:bidi="ru-RU"/>
              </w:rPr>
              <w:t>вительства Российской Федерации</w:t>
            </w:r>
            <w:r w:rsidR="00F80E14" w:rsidRPr="00B56667">
              <w:rPr>
                <w:rFonts w:ascii="Times New Roman" w:hAnsi="Times New Roman" w:cs="Times New Roman"/>
                <w:lang w:bidi="ru-RU"/>
              </w:rPr>
              <w:t xml:space="preserve"> от</w:t>
            </w:r>
            <w:r w:rsidRPr="00B56667">
              <w:rPr>
                <w:rFonts w:ascii="Times New Roman" w:hAnsi="Times New Roman" w:cs="Times New Roman"/>
                <w:lang w:bidi="ru-RU"/>
              </w:rPr>
              <w:t xml:space="preserve"> </w:t>
            </w:r>
            <w:r w:rsidR="00F80E14">
              <w:rPr>
                <w:rFonts w:ascii="Times New Roman" w:hAnsi="Times New Roman" w:cs="Times New Roman"/>
                <w:lang w:bidi="ru-RU"/>
              </w:rPr>
              <w:t>24.12.2020</w:t>
            </w:r>
            <w:r w:rsidRPr="00B56667">
              <w:rPr>
                <w:rFonts w:ascii="Times New Roman" w:hAnsi="Times New Roman" w:cs="Times New Roman"/>
                <w:lang w:bidi="ru-RU"/>
              </w:rPr>
              <w:t xml:space="preserve"> № 2263 «О внесении изменений </w:t>
            </w:r>
            <w:r w:rsidR="00F80E14">
              <w:rPr>
                <w:rFonts w:ascii="Times New Roman" w:hAnsi="Times New Roman" w:cs="Times New Roman"/>
                <w:lang w:bidi="ru-RU"/>
              </w:rPr>
              <w:br/>
            </w:r>
            <w:r w:rsidRPr="00B56667">
              <w:rPr>
                <w:rFonts w:ascii="Times New Roman" w:hAnsi="Times New Roman" w:cs="Times New Roman"/>
                <w:lang w:bidi="ru-RU"/>
              </w:rPr>
              <w:t>в методику распределения дотаций на выравнивание бюджетной обеспеченности субъектов Российской Федерации».</w:t>
            </w:r>
          </w:p>
          <w:p w:rsidR="00561707" w:rsidRPr="00B56667" w:rsidRDefault="00F80E14" w:rsidP="00561707">
            <w:pPr>
              <w:ind w:firstLine="284"/>
              <w:jc w:val="both"/>
              <w:rPr>
                <w:rFonts w:ascii="Times New Roman" w:hAnsi="Times New Roman" w:cs="Times New Roman"/>
                <w:lang w:bidi="ru-RU"/>
              </w:rPr>
            </w:pPr>
            <w:r w:rsidRPr="00F80E14">
              <w:rPr>
                <w:rFonts w:ascii="Times New Roman" w:hAnsi="Times New Roman" w:cs="Times New Roman"/>
                <w:lang w:bidi="ru-RU"/>
              </w:rPr>
              <w:t>Кроме того,</w:t>
            </w:r>
            <w:r>
              <w:rPr>
                <w:rFonts w:ascii="Times New Roman" w:hAnsi="Times New Roman" w:cs="Times New Roman"/>
                <w:u w:val="single"/>
                <w:lang w:bidi="ru-RU"/>
              </w:rPr>
              <w:t xml:space="preserve"> </w:t>
            </w:r>
            <w:r>
              <w:rPr>
                <w:rFonts w:ascii="Times New Roman" w:hAnsi="Times New Roman" w:cs="Times New Roman"/>
                <w:lang w:bidi="ru-RU"/>
              </w:rPr>
              <w:t xml:space="preserve">в </w:t>
            </w:r>
            <w:r w:rsidR="00561707" w:rsidRPr="00B56667">
              <w:rPr>
                <w:rFonts w:ascii="Times New Roman" w:hAnsi="Times New Roman" w:cs="Times New Roman"/>
                <w:lang w:bidi="ru-RU"/>
              </w:rPr>
              <w:t>Докла</w:t>
            </w:r>
            <w:r>
              <w:rPr>
                <w:rFonts w:ascii="Times New Roman" w:hAnsi="Times New Roman" w:cs="Times New Roman"/>
                <w:lang w:bidi="ru-RU"/>
              </w:rPr>
              <w:t>де</w:t>
            </w:r>
            <w:r w:rsidR="00561707" w:rsidRPr="00B56667">
              <w:rPr>
                <w:rFonts w:ascii="Times New Roman" w:hAnsi="Times New Roman" w:cs="Times New Roman"/>
                <w:lang w:bidi="ru-RU"/>
              </w:rPr>
              <w:t xml:space="preserve"> отражены 2 индикатора направления (блока мероприятий) 14.2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количество субъектов Российской Федерации, в бюджетах которых доля дотаций из федерального бюджета в течение 2 из 3 последних отчет</w:t>
            </w:r>
            <w:r w:rsidR="002A482C">
              <w:rPr>
                <w:rFonts w:ascii="Times New Roman" w:hAnsi="Times New Roman" w:cs="Times New Roman"/>
                <w:lang w:bidi="ru-RU"/>
              </w:rPr>
              <w:t>ных финансовых лет превышала 40</w:t>
            </w:r>
            <w:r w:rsidR="002A482C" w:rsidRPr="002A482C">
              <w:rPr>
                <w:rFonts w:ascii="Times New Roman" w:hAnsi="Times New Roman" w:cs="Times New Roman"/>
                <w:lang w:bidi="ru-RU"/>
              </w:rPr>
              <w:t>%</w:t>
            </w:r>
            <w:r w:rsidR="002A482C">
              <w:rPr>
                <w:rFonts w:ascii="Times New Roman" w:hAnsi="Times New Roman" w:cs="Times New Roman"/>
                <w:lang w:bidi="ru-RU"/>
              </w:rPr>
              <w:t xml:space="preserve"> </w:t>
            </w:r>
            <w:r w:rsidRPr="00B56667">
              <w:rPr>
                <w:rFonts w:ascii="Times New Roman" w:hAnsi="Times New Roman" w:cs="Times New Roman"/>
                <w:lang w:bidi="ru-RU"/>
              </w:rPr>
              <w:t>объема собственных доходов консолидированного бюджета субъекта Российской Фед</w:t>
            </w:r>
            <w:r w:rsidR="002A482C">
              <w:rPr>
                <w:rFonts w:ascii="Times New Roman" w:hAnsi="Times New Roman" w:cs="Times New Roman"/>
                <w:lang w:bidi="ru-RU"/>
              </w:rPr>
              <w:t>ерации, не выполнивших более 25</w:t>
            </w:r>
            <w:r w:rsidR="002A482C" w:rsidRPr="002A482C">
              <w:rPr>
                <w:rFonts w:ascii="Times New Roman" w:hAnsi="Times New Roman" w:cs="Times New Roman"/>
                <w:lang w:bidi="ru-RU"/>
              </w:rPr>
              <w:t>%</w:t>
            </w:r>
            <w:r w:rsidR="002A482C">
              <w:rPr>
                <w:rFonts w:ascii="Times New Roman" w:hAnsi="Times New Roman" w:cs="Times New Roman"/>
                <w:lang w:bidi="ru-RU"/>
              </w:rPr>
              <w:t xml:space="preserve"> </w:t>
            </w:r>
            <w:r w:rsidRPr="00B56667">
              <w:rPr>
                <w:rFonts w:ascii="Times New Roman" w:hAnsi="Times New Roman" w:cs="Times New Roman"/>
                <w:lang w:bidi="ru-RU"/>
              </w:rPr>
              <w:t>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 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w:t>
            </w:r>
            <w:r w:rsidRPr="00B56667">
              <w:rPr>
                <w:rFonts w:ascii="Times New Roman" w:hAnsi="Times New Roman" w:cs="Times New Roman"/>
                <w:lang w:bidi="ru-RU"/>
              </w:rPr>
              <w:lastRenderedPageBreak/>
              <w:t>количестве субъектов Российской Федерации, в отношении которых выявлены случаи неисполнения указанных обязательств.</w:t>
            </w:r>
          </w:p>
          <w:p w:rsidR="00561707" w:rsidRPr="002A482C" w:rsidRDefault="00561707" w:rsidP="002A482C">
            <w:pPr>
              <w:ind w:firstLine="284"/>
              <w:jc w:val="both"/>
              <w:rPr>
                <w:rFonts w:ascii="Times New Roman" w:hAnsi="Times New Roman" w:cs="Times New Roman"/>
                <w:lang w:bidi="ru-RU"/>
              </w:rPr>
            </w:pPr>
            <w:r w:rsidRPr="00B56667">
              <w:rPr>
                <w:rFonts w:ascii="Times New Roman" w:hAnsi="Times New Roman" w:cs="Times New Roman"/>
                <w:lang w:bidi="ru-RU"/>
              </w:rPr>
              <w:t xml:space="preserve">Таким образом, в разделе III </w:t>
            </w:r>
            <w:r w:rsidR="002A482C">
              <w:rPr>
                <w:rFonts w:ascii="Times New Roman" w:hAnsi="Times New Roman" w:cs="Times New Roman"/>
                <w:lang w:bidi="ru-RU"/>
              </w:rPr>
              <w:t>Д</w:t>
            </w:r>
            <w:r w:rsidRPr="00B56667">
              <w:rPr>
                <w:rFonts w:ascii="Times New Roman" w:hAnsi="Times New Roman" w:cs="Times New Roman"/>
                <w:lang w:bidi="ru-RU"/>
              </w:rPr>
              <w:t xml:space="preserve">оклада отражены как стимулирующие, так </w:t>
            </w:r>
            <w:r w:rsidR="002A482C">
              <w:rPr>
                <w:rFonts w:ascii="Times New Roman" w:hAnsi="Times New Roman" w:cs="Times New Roman"/>
                <w:lang w:bidi="ru-RU"/>
              </w:rPr>
              <w:br/>
            </w:r>
            <w:r w:rsidRPr="00B56667">
              <w:rPr>
                <w:rFonts w:ascii="Times New Roman" w:hAnsi="Times New Roman" w:cs="Times New Roman"/>
                <w:lang w:bidi="ru-RU"/>
              </w:rPr>
              <w:t xml:space="preserve">и ограничительные меры в виде применения мер ответственности к субъектам Российской Федерации, нарушившим условия заключенных соглашений. </w:t>
            </w:r>
          </w:p>
          <w:p w:rsidR="00561707" w:rsidRPr="002A482C" w:rsidRDefault="002A482C" w:rsidP="002A482C">
            <w:pPr>
              <w:ind w:firstLine="284"/>
              <w:jc w:val="both"/>
              <w:rPr>
                <w:rFonts w:ascii="Times New Roman" w:hAnsi="Times New Roman" w:cs="Times New Roman"/>
                <w:lang w:bidi="ru-RU"/>
              </w:rPr>
            </w:pPr>
            <w:r>
              <w:rPr>
                <w:rFonts w:ascii="Times New Roman" w:hAnsi="Times New Roman" w:cs="Times New Roman"/>
                <w:lang w:bidi="ru-RU"/>
              </w:rPr>
              <w:t xml:space="preserve">Вместе с тем </w:t>
            </w:r>
            <w:proofErr w:type="spellStart"/>
            <w:r>
              <w:rPr>
                <w:rFonts w:ascii="Times New Roman" w:hAnsi="Times New Roman" w:cs="Times New Roman"/>
                <w:lang w:bidi="ru-RU"/>
              </w:rPr>
              <w:t>н</w:t>
            </w:r>
            <w:r w:rsidR="00561707" w:rsidRPr="00B56667">
              <w:rPr>
                <w:rFonts w:ascii="Times New Roman" w:hAnsi="Times New Roman" w:cs="Times New Roman"/>
                <w:lang w:bidi="ru-RU"/>
              </w:rPr>
              <w:t>едостижение</w:t>
            </w:r>
            <w:proofErr w:type="spellEnd"/>
            <w:r w:rsidR="00561707" w:rsidRPr="00B56667">
              <w:rPr>
                <w:rFonts w:ascii="Times New Roman" w:hAnsi="Times New Roman" w:cs="Times New Roman"/>
                <w:lang w:bidi="ru-RU"/>
              </w:rPr>
              <w:t xml:space="preserve"> индикатора направления (блока мероприятий) 13.1 «Отклонение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при достижении индикатора  «Темп роста расчетной бюджетной обеспеченности по 10 наименее обеспеченным субъектам Российской Федерации» объясняется тем, что налоговый потенциал, а значит </w:t>
            </w:r>
            <w:r>
              <w:rPr>
                <w:rFonts w:ascii="Times New Roman" w:hAnsi="Times New Roman" w:cs="Times New Roman"/>
                <w:lang w:bidi="ru-RU"/>
              </w:rPr>
              <w:br/>
            </w:r>
            <w:r w:rsidR="00561707" w:rsidRPr="00B56667">
              <w:rPr>
                <w:rFonts w:ascii="Times New Roman" w:hAnsi="Times New Roman" w:cs="Times New Roman"/>
                <w:lang w:bidi="ru-RU"/>
              </w:rPr>
              <w:t xml:space="preserve">и бюджетная обеспеченность более обеспеченных субъектов Российской Федерации, растет более быстрыми темпами, чем у менее обеспеченных </w:t>
            </w:r>
            <w:r>
              <w:rPr>
                <w:rFonts w:ascii="Times New Roman" w:hAnsi="Times New Roman" w:cs="Times New Roman"/>
                <w:lang w:bidi="ru-RU"/>
              </w:rPr>
              <w:t>субъектов Российской Федерации.</w:t>
            </w:r>
          </w:p>
          <w:p w:rsidR="00561707" w:rsidRPr="00B56667" w:rsidRDefault="00561707" w:rsidP="002A482C">
            <w:pPr>
              <w:ind w:firstLine="284"/>
              <w:jc w:val="both"/>
              <w:rPr>
                <w:rFonts w:ascii="Times New Roman" w:hAnsi="Times New Roman" w:cs="Times New Roman"/>
                <w:lang w:bidi="ru-RU"/>
              </w:rPr>
            </w:pPr>
            <w:r w:rsidRPr="00B56667">
              <w:rPr>
                <w:rFonts w:ascii="Times New Roman" w:hAnsi="Times New Roman" w:cs="Times New Roman"/>
                <w:lang w:bidi="ru-RU"/>
              </w:rPr>
              <w:t xml:space="preserve">Индикатор направления (блока мероприятий) 12.3 «Доля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количестве межбюджетных трансфертов (за исключением межбюджетных трансфертов, распределяемых на конкурсной основе и предоставляемых на возмещение фактически осуществленных расходов бюджетов субъектов Российской Федерации)» отражает работу, проведенную в отчетном году при формировании проекта федерального бюджета на очередной финансовый год и плановый период, в связи с этим его отражение в Докладе, по </w:t>
            </w:r>
            <w:r w:rsidR="002A482C">
              <w:rPr>
                <w:rFonts w:ascii="Times New Roman" w:hAnsi="Times New Roman" w:cs="Times New Roman"/>
                <w:lang w:bidi="ru-RU"/>
              </w:rPr>
              <w:t>мнению Минфина России, уместно.</w:t>
            </w:r>
          </w:p>
          <w:p w:rsidR="00561707" w:rsidRPr="00B56667" w:rsidRDefault="00561707" w:rsidP="00561707">
            <w:pPr>
              <w:ind w:firstLine="284"/>
              <w:jc w:val="both"/>
              <w:rPr>
                <w:rFonts w:ascii="Times New Roman" w:hAnsi="Times New Roman" w:cs="Times New Roman"/>
                <w:lang w:bidi="ru-RU"/>
              </w:rPr>
            </w:pPr>
            <w:r w:rsidRPr="00B56667">
              <w:rPr>
                <w:rFonts w:ascii="Times New Roman" w:hAnsi="Times New Roman" w:cs="Times New Roman"/>
                <w:lang w:bidi="ru-RU"/>
              </w:rPr>
              <w:t xml:space="preserve">Соответствующие материалы размещены по ссылкам: </w:t>
            </w:r>
          </w:p>
          <w:p w:rsidR="00561707" w:rsidRPr="00B56667" w:rsidRDefault="00E24864" w:rsidP="00561707">
            <w:pPr>
              <w:ind w:firstLine="284"/>
              <w:jc w:val="both"/>
              <w:rPr>
                <w:rFonts w:ascii="Times New Roman" w:hAnsi="Times New Roman" w:cs="Times New Roman"/>
                <w:lang w:bidi="ru-RU"/>
              </w:rPr>
            </w:pPr>
            <w:hyperlink r:id="rId8" w:history="1">
              <w:r w:rsidR="00561707" w:rsidRPr="00B56667">
                <w:rPr>
                  <w:rStyle w:val="ad"/>
                  <w:rFonts w:ascii="Times New Roman" w:hAnsi="Times New Roman" w:cs="Times New Roman"/>
                  <w:lang w:bidi="ru-RU"/>
                </w:rPr>
                <w:t>https://minfin.gov.ru/ru/perfomance/regions/monitoring_results/monitoring_finance/?id_65=131867-pismo_minfina_rossii_ot_15.10.2020__06-06-0989983_rezultaty_otsenki_kachestva_upravleniya_regionalnymi_finansami_za_2019_god</w:t>
              </w:r>
            </w:hyperlink>
            <w:r w:rsidR="00561707" w:rsidRPr="00B56667">
              <w:rPr>
                <w:rFonts w:ascii="Times New Roman" w:hAnsi="Times New Roman" w:cs="Times New Roman"/>
                <w:lang w:bidi="ru-RU"/>
              </w:rPr>
              <w:t xml:space="preserve">; </w:t>
            </w:r>
          </w:p>
          <w:p w:rsidR="00561707" w:rsidRPr="00B56667" w:rsidRDefault="00E24864" w:rsidP="002A482C">
            <w:pPr>
              <w:ind w:firstLine="284"/>
              <w:jc w:val="both"/>
              <w:rPr>
                <w:rFonts w:ascii="Times New Roman" w:hAnsi="Times New Roman" w:cs="Times New Roman"/>
                <w:lang w:bidi="ru-RU"/>
              </w:rPr>
            </w:pPr>
            <w:hyperlink r:id="rId9" w:history="1">
              <w:r w:rsidR="00561707" w:rsidRPr="00B56667">
                <w:rPr>
                  <w:rStyle w:val="ad"/>
                  <w:rFonts w:ascii="Times New Roman" w:hAnsi="Times New Roman" w:cs="Times New Roman"/>
                  <w:lang w:bidi="ru-RU"/>
                </w:rPr>
                <w:t>https://minfin.gov.ru/ru/perfomance/regions/methodology/?id_39=132049-sbornik_luchshikh_munitsipalnykh_praktik._upravlenie_munitsipalnymi_finansami#</w:t>
              </w:r>
            </w:hyperlink>
          </w:p>
        </w:tc>
      </w:tr>
    </w:tbl>
    <w:p w:rsidR="00E212D6" w:rsidRPr="00E30757" w:rsidRDefault="00E212D6" w:rsidP="00A716AE">
      <w:pPr>
        <w:rPr>
          <w:rFonts w:ascii="Times New Roman" w:hAnsi="Times New Roman" w:cs="Times New Roman"/>
        </w:rPr>
      </w:pPr>
    </w:p>
    <w:sectPr w:rsidR="00E212D6" w:rsidRPr="00E30757" w:rsidSect="007A48BF">
      <w:headerReference w:type="default" r:id="rId10"/>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4" w:rsidRDefault="00E24864" w:rsidP="0011609E">
      <w:pPr>
        <w:spacing w:after="0" w:line="240" w:lineRule="auto"/>
      </w:pPr>
      <w:r>
        <w:separator/>
      </w:r>
    </w:p>
  </w:endnote>
  <w:endnote w:type="continuationSeparator" w:id="0">
    <w:p w:rsidR="00E24864" w:rsidRDefault="00E24864" w:rsidP="0011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4" w:rsidRDefault="00E24864" w:rsidP="0011609E">
      <w:pPr>
        <w:spacing w:after="0" w:line="240" w:lineRule="auto"/>
      </w:pPr>
      <w:r>
        <w:separator/>
      </w:r>
    </w:p>
  </w:footnote>
  <w:footnote w:type="continuationSeparator" w:id="0">
    <w:p w:rsidR="00E24864" w:rsidRDefault="00E24864" w:rsidP="0011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68154"/>
      <w:docPartObj>
        <w:docPartGallery w:val="Page Numbers (Top of Page)"/>
        <w:docPartUnique/>
      </w:docPartObj>
    </w:sdtPr>
    <w:sdtEndPr>
      <w:rPr>
        <w:rFonts w:ascii="Times New Roman" w:hAnsi="Times New Roman" w:cs="Times New Roman"/>
      </w:rPr>
    </w:sdtEndPr>
    <w:sdtContent>
      <w:p w:rsidR="0011609E" w:rsidRPr="0011609E" w:rsidRDefault="0011609E">
        <w:pPr>
          <w:pStyle w:val="a6"/>
          <w:jc w:val="center"/>
          <w:rPr>
            <w:rFonts w:ascii="Times New Roman" w:hAnsi="Times New Roman" w:cs="Times New Roman"/>
          </w:rPr>
        </w:pPr>
        <w:r w:rsidRPr="0011609E">
          <w:rPr>
            <w:rFonts w:ascii="Times New Roman" w:hAnsi="Times New Roman" w:cs="Times New Roman"/>
          </w:rPr>
          <w:fldChar w:fldCharType="begin"/>
        </w:r>
        <w:r w:rsidRPr="0011609E">
          <w:rPr>
            <w:rFonts w:ascii="Times New Roman" w:hAnsi="Times New Roman" w:cs="Times New Roman"/>
          </w:rPr>
          <w:instrText>PAGE   \* MERGEFORMAT</w:instrText>
        </w:r>
        <w:r w:rsidRPr="0011609E">
          <w:rPr>
            <w:rFonts w:ascii="Times New Roman" w:hAnsi="Times New Roman" w:cs="Times New Roman"/>
          </w:rPr>
          <w:fldChar w:fldCharType="separate"/>
        </w:r>
        <w:r w:rsidR="00B53D19">
          <w:rPr>
            <w:rFonts w:ascii="Times New Roman" w:hAnsi="Times New Roman" w:cs="Times New Roman"/>
            <w:noProof/>
          </w:rPr>
          <w:t>6</w:t>
        </w:r>
        <w:r w:rsidRPr="0011609E">
          <w:rPr>
            <w:rFonts w:ascii="Times New Roman" w:hAnsi="Times New Roman" w:cs="Times New Roman"/>
          </w:rPr>
          <w:fldChar w:fldCharType="end"/>
        </w:r>
      </w:p>
    </w:sdtContent>
  </w:sdt>
  <w:p w:rsidR="0011609E" w:rsidRDefault="001160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66C735C4"/>
    <w:multiLevelType w:val="hybridMultilevel"/>
    <w:tmpl w:val="BB2043D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3C"/>
    <w:rsid w:val="00060324"/>
    <w:rsid w:val="000954A1"/>
    <w:rsid w:val="000B3707"/>
    <w:rsid w:val="000B4F99"/>
    <w:rsid w:val="00100F27"/>
    <w:rsid w:val="0011609E"/>
    <w:rsid w:val="00120999"/>
    <w:rsid w:val="00137746"/>
    <w:rsid w:val="001776A6"/>
    <w:rsid w:val="001E7E9B"/>
    <w:rsid w:val="001F0CC0"/>
    <w:rsid w:val="00287770"/>
    <w:rsid w:val="002A38B4"/>
    <w:rsid w:val="002A482C"/>
    <w:rsid w:val="00323C57"/>
    <w:rsid w:val="0032797D"/>
    <w:rsid w:val="00386C58"/>
    <w:rsid w:val="003975FA"/>
    <w:rsid w:val="003C0123"/>
    <w:rsid w:val="003C486C"/>
    <w:rsid w:val="00425982"/>
    <w:rsid w:val="004B511C"/>
    <w:rsid w:val="004F0C38"/>
    <w:rsid w:val="00561707"/>
    <w:rsid w:val="005E11D1"/>
    <w:rsid w:val="00661895"/>
    <w:rsid w:val="00665F75"/>
    <w:rsid w:val="006A3958"/>
    <w:rsid w:val="006C37D0"/>
    <w:rsid w:val="006F0936"/>
    <w:rsid w:val="007A48BF"/>
    <w:rsid w:val="007D704F"/>
    <w:rsid w:val="007E779F"/>
    <w:rsid w:val="00881AF8"/>
    <w:rsid w:val="0088491E"/>
    <w:rsid w:val="008A1D6C"/>
    <w:rsid w:val="008E542B"/>
    <w:rsid w:val="00920B37"/>
    <w:rsid w:val="00920B90"/>
    <w:rsid w:val="00941D8D"/>
    <w:rsid w:val="00966ACD"/>
    <w:rsid w:val="009C707F"/>
    <w:rsid w:val="009E11D6"/>
    <w:rsid w:val="00A01104"/>
    <w:rsid w:val="00A02C56"/>
    <w:rsid w:val="00A43EF3"/>
    <w:rsid w:val="00A716AE"/>
    <w:rsid w:val="00AA26BB"/>
    <w:rsid w:val="00B424DD"/>
    <w:rsid w:val="00B53D19"/>
    <w:rsid w:val="00B56667"/>
    <w:rsid w:val="00B575FE"/>
    <w:rsid w:val="00C10FF4"/>
    <w:rsid w:val="00CB1A36"/>
    <w:rsid w:val="00CC61C6"/>
    <w:rsid w:val="00CD45CD"/>
    <w:rsid w:val="00CD5B3C"/>
    <w:rsid w:val="00CF6B25"/>
    <w:rsid w:val="00D548B7"/>
    <w:rsid w:val="00D97D81"/>
    <w:rsid w:val="00DB3A86"/>
    <w:rsid w:val="00DD2E31"/>
    <w:rsid w:val="00DF5C67"/>
    <w:rsid w:val="00E212D6"/>
    <w:rsid w:val="00E24864"/>
    <w:rsid w:val="00E30757"/>
    <w:rsid w:val="00F15BE8"/>
    <w:rsid w:val="00F70FA4"/>
    <w:rsid w:val="00F71ED5"/>
    <w:rsid w:val="00F80E14"/>
    <w:rsid w:val="00FA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6ECF"/>
  <w15:chartTrackingRefBased/>
  <w15:docId w15:val="{5A58FB3D-85F0-4B8B-9EE6-FFF6EBFD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07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757"/>
    <w:rPr>
      <w:rFonts w:ascii="Segoe UI" w:hAnsi="Segoe UI" w:cs="Segoe UI"/>
      <w:sz w:val="18"/>
      <w:szCs w:val="18"/>
    </w:rPr>
  </w:style>
  <w:style w:type="paragraph" w:styleId="a6">
    <w:name w:val="header"/>
    <w:basedOn w:val="a"/>
    <w:link w:val="a7"/>
    <w:uiPriority w:val="99"/>
    <w:unhideWhenUsed/>
    <w:rsid w:val="001160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609E"/>
  </w:style>
  <w:style w:type="paragraph" w:styleId="a8">
    <w:name w:val="footer"/>
    <w:basedOn w:val="a"/>
    <w:link w:val="a9"/>
    <w:uiPriority w:val="99"/>
    <w:unhideWhenUsed/>
    <w:rsid w:val="001160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609E"/>
  </w:style>
  <w:style w:type="paragraph" w:styleId="aa">
    <w:name w:val="footnote text"/>
    <w:basedOn w:val="a"/>
    <w:link w:val="ab"/>
    <w:uiPriority w:val="99"/>
    <w:semiHidden/>
    <w:unhideWhenUsed/>
    <w:rsid w:val="00B424DD"/>
    <w:pPr>
      <w:spacing w:after="0" w:line="240" w:lineRule="auto"/>
    </w:pPr>
    <w:rPr>
      <w:sz w:val="20"/>
      <w:szCs w:val="20"/>
    </w:rPr>
  </w:style>
  <w:style w:type="character" w:customStyle="1" w:styleId="ab">
    <w:name w:val="Текст сноски Знак"/>
    <w:basedOn w:val="a0"/>
    <w:link w:val="aa"/>
    <w:uiPriority w:val="99"/>
    <w:semiHidden/>
    <w:rsid w:val="00B424DD"/>
    <w:rPr>
      <w:sz w:val="20"/>
      <w:szCs w:val="20"/>
    </w:rPr>
  </w:style>
  <w:style w:type="character" w:styleId="ac">
    <w:name w:val="footnote reference"/>
    <w:basedOn w:val="a0"/>
    <w:uiPriority w:val="99"/>
    <w:semiHidden/>
    <w:unhideWhenUsed/>
    <w:rsid w:val="00B424DD"/>
    <w:rPr>
      <w:vertAlign w:val="superscript"/>
    </w:rPr>
  </w:style>
  <w:style w:type="character" w:styleId="ad">
    <w:name w:val="Hyperlink"/>
    <w:basedOn w:val="a0"/>
    <w:uiPriority w:val="99"/>
    <w:unhideWhenUsed/>
    <w:rsid w:val="00FA3248"/>
    <w:rPr>
      <w:color w:val="0563C1" w:themeColor="hyperlink"/>
      <w:u w:val="single"/>
    </w:rPr>
  </w:style>
  <w:style w:type="paragraph" w:customStyle="1" w:styleId="Bodytext2">
    <w:name w:val="Body text (2)"/>
    <w:basedOn w:val="a"/>
    <w:qFormat/>
    <w:rsid w:val="003975FA"/>
    <w:pPr>
      <w:widowControl w:val="0"/>
      <w:shd w:val="clear" w:color="auto" w:fill="FFFFFF"/>
      <w:spacing w:after="0" w:line="326" w:lineRule="exact"/>
      <w:jc w:val="right"/>
    </w:pPr>
    <w:rPr>
      <w:rFonts w:ascii="Times New Roman" w:eastAsia="Times New Roman" w:hAnsi="Times New Roman" w:cs="Times New Roman"/>
      <w:color w:val="00000A"/>
      <w:sz w:val="26"/>
      <w:szCs w:val="26"/>
    </w:rPr>
  </w:style>
  <w:style w:type="paragraph" w:styleId="ae">
    <w:name w:val="List Paragraph"/>
    <w:basedOn w:val="a"/>
    <w:uiPriority w:val="34"/>
    <w:qFormat/>
    <w:rsid w:val="003975FA"/>
    <w:pPr>
      <w:ind w:left="720"/>
      <w:contextualSpacing/>
    </w:pPr>
  </w:style>
  <w:style w:type="character" w:customStyle="1" w:styleId="Bodytext214pt">
    <w:name w:val="Body text (2) + 14 pt"/>
    <w:basedOn w:val="a0"/>
    <w:qFormat/>
    <w:rsid w:val="0056170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gov.ru/ru/perfomance/regions/monitoring_results/monitoring_finance/?id_65=131867-pismo_minfina_rossii_ot_15.10.2020__06-06-0989983_rezultaty_otsenki_kachestva_upravleniya_regionalnymi_finansami_za_2019_g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fin.gov.ru/ru/perfomance/regions/methodology/?id_39=132049-sbornik_luchshikh_munitsipalnykh_praktik._upravlenie_munitsipalnymi_finans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5849-5D51-4C37-99C5-A37500BF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АЛИНА АЛЕКСАНДРОВНА</dc:creator>
  <cp:keywords/>
  <dc:description/>
  <cp:lastModifiedBy>СЕРОВА ИРИНА ВАЛЕРЬЕВНА</cp:lastModifiedBy>
  <cp:revision>3</cp:revision>
  <dcterms:created xsi:type="dcterms:W3CDTF">2021-05-26T14:56:00Z</dcterms:created>
  <dcterms:modified xsi:type="dcterms:W3CDTF">2021-05-27T12:05:00Z</dcterms:modified>
</cp:coreProperties>
</file>