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5EE" w:rsidRDefault="008A11F4" w:rsidP="008D10C0">
      <w:pPr>
        <w:spacing w:before="0" w:after="0" w:line="240" w:lineRule="auto"/>
        <w:jc w:val="center"/>
      </w:pPr>
      <w:r>
        <w:t>ТЕЗИСЫ</w:t>
      </w:r>
    </w:p>
    <w:p w:rsidR="008D10C0" w:rsidRDefault="008D10C0" w:rsidP="008D10C0">
      <w:pPr>
        <w:spacing w:before="0" w:after="0" w:line="240" w:lineRule="auto"/>
        <w:jc w:val="center"/>
      </w:pPr>
      <w:r>
        <w:t xml:space="preserve">к всероссийскому совещанию в режиме видеоконференции </w:t>
      </w:r>
      <w:bookmarkStart w:id="0" w:name="_GoBack"/>
      <w:bookmarkEnd w:id="0"/>
      <w:r>
        <w:t xml:space="preserve">по вопросу </w:t>
      </w:r>
    </w:p>
    <w:p w:rsidR="008A11F4" w:rsidRDefault="008D10C0" w:rsidP="008D10C0">
      <w:pPr>
        <w:spacing w:before="0" w:after="0" w:line="240" w:lineRule="auto"/>
        <w:jc w:val="center"/>
      </w:pPr>
      <w:r>
        <w:t>подведения</w:t>
      </w:r>
      <w:r>
        <w:t xml:space="preserve"> итогов реализации Федерального закона от 13.07.2020 № 189-ФЗ </w:t>
      </w:r>
      <w:r>
        <w:br/>
      </w:r>
      <w:r>
        <w:t>«О государственном (муниципальном) социальном заказе на оказание государственных (муниципальных) услуг в социальной сфере» за 2020 год и обсуждения</w:t>
      </w:r>
      <w:r>
        <w:t xml:space="preserve"> </w:t>
      </w:r>
      <w:r>
        <w:t>планов реализации в 2021 году</w:t>
      </w:r>
    </w:p>
    <w:p w:rsidR="008D10C0" w:rsidRDefault="008D10C0" w:rsidP="008D10C0">
      <w:pPr>
        <w:spacing w:before="0" w:after="0" w:line="240" w:lineRule="auto"/>
        <w:jc w:val="center"/>
      </w:pPr>
    </w:p>
    <w:p w:rsidR="008A11F4" w:rsidRDefault="000D2906" w:rsidP="008A11F4">
      <w:pPr>
        <w:spacing w:before="0" w:after="0" w:line="288" w:lineRule="auto"/>
        <w:jc w:val="center"/>
      </w:pPr>
      <w:r>
        <w:t xml:space="preserve">         </w:t>
      </w:r>
      <w:r w:rsidR="008A11F4">
        <w:t xml:space="preserve">Уважаемые коллеги! </w:t>
      </w:r>
    </w:p>
    <w:p w:rsidR="009813AD" w:rsidRDefault="00C9054C" w:rsidP="00E06213">
      <w:pPr>
        <w:spacing w:before="0" w:after="0" w:line="276" w:lineRule="auto"/>
        <w:ind w:firstLine="709"/>
      </w:pPr>
      <w:r>
        <w:t xml:space="preserve">В 2020 году принят </w:t>
      </w:r>
      <w:r w:rsidR="00271105">
        <w:t>Закон о социальном заказе</w:t>
      </w:r>
      <w:r w:rsidR="00FB27F8">
        <w:t>,</w:t>
      </w:r>
      <w:r>
        <w:t xml:space="preserve"> который </w:t>
      </w:r>
      <w:r w:rsidR="009813AD">
        <w:t xml:space="preserve">является продолжением реформы бюджетной сети, проводимой с 2010 года, и </w:t>
      </w:r>
      <w:r w:rsidR="009813AD" w:rsidRPr="001561B1">
        <w:t>направлен на повышение качества и доступности государственных и муниципальных услуг</w:t>
      </w:r>
      <w:r w:rsidR="009813AD">
        <w:t xml:space="preserve"> за счет привлечения негосударственного сектора к их оказанию.</w:t>
      </w:r>
    </w:p>
    <w:p w:rsidR="00247F9B" w:rsidRDefault="00247F9B" w:rsidP="00E06213">
      <w:pPr>
        <w:spacing w:line="276" w:lineRule="auto"/>
        <w:ind w:firstLine="708"/>
      </w:pPr>
      <w:r>
        <w:t xml:space="preserve">Минфином России </w:t>
      </w:r>
      <w:r w:rsidR="0070701B">
        <w:t>о</w:t>
      </w:r>
      <w:r w:rsidR="0070701B" w:rsidRPr="00860C64">
        <w:t xml:space="preserve">беспечена подготовка нормативных правовых актов необходимых для реализации </w:t>
      </w:r>
      <w:r w:rsidR="0070701B">
        <w:t>Закона о социальном заказе, а также ведется работа по методологическому сопровождению апробации.</w:t>
      </w:r>
    </w:p>
    <w:p w:rsidR="00186661" w:rsidRPr="002D3ED1" w:rsidRDefault="00186661" w:rsidP="00293E87">
      <w:pPr>
        <w:spacing w:before="0" w:after="0"/>
        <w:ind w:firstLine="709"/>
        <w:rPr>
          <w:b/>
          <w:i/>
          <w:sz w:val="22"/>
          <w:u w:val="single"/>
        </w:rPr>
      </w:pPr>
      <w:proofErr w:type="spellStart"/>
      <w:r w:rsidRPr="002D3ED1">
        <w:rPr>
          <w:b/>
          <w:i/>
          <w:sz w:val="22"/>
          <w:u w:val="single"/>
        </w:rPr>
        <w:t>Справочно</w:t>
      </w:r>
      <w:proofErr w:type="spellEnd"/>
      <w:r w:rsidRPr="002D3ED1">
        <w:rPr>
          <w:b/>
          <w:i/>
          <w:sz w:val="22"/>
          <w:u w:val="single"/>
        </w:rPr>
        <w:t>:</w:t>
      </w:r>
    </w:p>
    <w:p w:rsidR="00186661" w:rsidRPr="002D3ED1" w:rsidRDefault="00186661" w:rsidP="002D3ED1">
      <w:pPr>
        <w:spacing w:before="0" w:after="0" w:line="240" w:lineRule="auto"/>
        <w:ind w:firstLine="709"/>
        <w:rPr>
          <w:sz w:val="22"/>
        </w:rPr>
      </w:pPr>
      <w:r w:rsidRPr="002D3ED1">
        <w:rPr>
          <w:sz w:val="22"/>
        </w:rPr>
        <w:t xml:space="preserve">Принято </w:t>
      </w:r>
      <w:r w:rsidR="00A97D97">
        <w:rPr>
          <w:sz w:val="22"/>
        </w:rPr>
        <w:t>13</w:t>
      </w:r>
      <w:r w:rsidRPr="002D3ED1">
        <w:rPr>
          <w:sz w:val="22"/>
        </w:rPr>
        <w:t xml:space="preserve"> постановлений Правительства РФ</w:t>
      </w:r>
    </w:p>
    <w:p w:rsidR="00186661" w:rsidRPr="002D3ED1" w:rsidRDefault="00186661" w:rsidP="002D3ED1">
      <w:pPr>
        <w:spacing w:before="0" w:after="0" w:line="240" w:lineRule="auto"/>
        <w:ind w:firstLine="709"/>
        <w:rPr>
          <w:sz w:val="22"/>
        </w:rPr>
      </w:pPr>
      <w:r w:rsidRPr="002D3ED1">
        <w:rPr>
          <w:sz w:val="22"/>
        </w:rPr>
        <w:t xml:space="preserve">Внесено </w:t>
      </w:r>
      <w:r w:rsidR="00A97D97">
        <w:rPr>
          <w:sz w:val="22"/>
        </w:rPr>
        <w:t>9</w:t>
      </w:r>
      <w:r w:rsidRPr="002D3ED1">
        <w:rPr>
          <w:sz w:val="22"/>
        </w:rPr>
        <w:t xml:space="preserve"> проектов постановлений в Правительство РФ</w:t>
      </w:r>
    </w:p>
    <w:p w:rsidR="00186661" w:rsidRPr="002D3ED1" w:rsidRDefault="00186661" w:rsidP="002D3ED1">
      <w:pPr>
        <w:spacing w:before="0" w:after="0" w:line="240" w:lineRule="auto"/>
        <w:ind w:firstLine="709"/>
        <w:rPr>
          <w:sz w:val="22"/>
        </w:rPr>
      </w:pPr>
      <w:r w:rsidRPr="002D3ED1">
        <w:rPr>
          <w:sz w:val="22"/>
        </w:rPr>
        <w:t xml:space="preserve">До 12 апреля будет внесено </w:t>
      </w:r>
      <w:r w:rsidR="00A97D97">
        <w:rPr>
          <w:sz w:val="22"/>
        </w:rPr>
        <w:t>4</w:t>
      </w:r>
      <w:r w:rsidRPr="002D3ED1">
        <w:rPr>
          <w:sz w:val="22"/>
        </w:rPr>
        <w:t xml:space="preserve"> постановлений Правительства РФ</w:t>
      </w:r>
    </w:p>
    <w:p w:rsidR="00186661" w:rsidRDefault="00186661" w:rsidP="002D3ED1">
      <w:pPr>
        <w:spacing w:line="240" w:lineRule="auto"/>
        <w:ind w:firstLine="709"/>
        <w:rPr>
          <w:sz w:val="22"/>
        </w:rPr>
      </w:pPr>
      <w:r w:rsidRPr="002D3ED1">
        <w:rPr>
          <w:sz w:val="22"/>
        </w:rPr>
        <w:t xml:space="preserve">На </w:t>
      </w:r>
      <w:r w:rsidR="002D3ED1" w:rsidRPr="002D3ED1">
        <w:rPr>
          <w:sz w:val="22"/>
        </w:rPr>
        <w:t xml:space="preserve">межведомственном согласовании находится </w:t>
      </w:r>
      <w:r w:rsidRPr="002D3ED1">
        <w:rPr>
          <w:sz w:val="22"/>
        </w:rPr>
        <w:t xml:space="preserve">проект плана методологического сопровождений </w:t>
      </w:r>
      <w:r w:rsidR="002D3ED1" w:rsidRPr="002D3ED1">
        <w:rPr>
          <w:sz w:val="22"/>
        </w:rPr>
        <w:t>апробации механизмов</w:t>
      </w:r>
      <w:r w:rsidR="002D3ED1" w:rsidRPr="002D3ED1">
        <w:rPr>
          <w:sz w:val="22"/>
        </w:rPr>
        <w:t xml:space="preserve"> социального заказа</w:t>
      </w:r>
      <w:r w:rsidR="0070701B">
        <w:rPr>
          <w:sz w:val="22"/>
        </w:rPr>
        <w:t>.</w:t>
      </w:r>
    </w:p>
    <w:p w:rsidR="002D3ED1" w:rsidRPr="002D3ED1" w:rsidRDefault="002D3ED1" w:rsidP="00E06213">
      <w:pPr>
        <w:spacing w:line="276" w:lineRule="auto"/>
        <w:ind w:firstLine="709"/>
        <w:rPr>
          <w:sz w:val="22"/>
        </w:rPr>
      </w:pPr>
    </w:p>
    <w:p w:rsidR="00AA67DA" w:rsidRDefault="002D3ED1" w:rsidP="00E06213">
      <w:pPr>
        <w:spacing w:line="276" w:lineRule="auto"/>
        <w:ind w:firstLine="709"/>
      </w:pPr>
      <w:r>
        <w:t>В</w:t>
      </w:r>
      <w:r w:rsidR="009813AD">
        <w:t xml:space="preserve"> целях ф</w:t>
      </w:r>
      <w:r w:rsidR="009813AD" w:rsidRPr="00127C17">
        <w:t>ормиров</w:t>
      </w:r>
      <w:r w:rsidR="009813AD">
        <w:t>ания</w:t>
      </w:r>
      <w:r w:rsidR="009813AD" w:rsidRPr="00127C17">
        <w:t xml:space="preserve"> лучши</w:t>
      </w:r>
      <w:r w:rsidR="009813AD">
        <w:t>х</w:t>
      </w:r>
      <w:r w:rsidR="009813AD" w:rsidRPr="00127C17">
        <w:t xml:space="preserve"> практик</w:t>
      </w:r>
      <w:r w:rsidR="009813AD">
        <w:t xml:space="preserve"> реализации </w:t>
      </w:r>
      <w:r w:rsidR="00271105">
        <w:t>Закона о социальном заказе</w:t>
      </w:r>
      <w:r w:rsidR="009813AD">
        <w:t xml:space="preserve"> </w:t>
      </w:r>
      <w:r>
        <w:t>опре</w:t>
      </w:r>
      <w:r w:rsidR="00ED7351">
        <w:t xml:space="preserve">делено </w:t>
      </w:r>
      <w:r w:rsidR="009813AD">
        <w:t>16</w:t>
      </w:r>
      <w:r w:rsidR="009813AD" w:rsidRPr="00A07BCC">
        <w:t xml:space="preserve"> субъектов Российской Федер</w:t>
      </w:r>
      <w:r w:rsidR="00247F9B">
        <w:t>ации, которые уже вовлечены в реализацию механизмов социального заказа</w:t>
      </w:r>
      <w:r w:rsidR="008619C2">
        <w:t>.</w:t>
      </w:r>
      <w:r w:rsidR="00ED7351" w:rsidRPr="00ED7351">
        <w:t xml:space="preserve"> </w:t>
      </w:r>
    </w:p>
    <w:p w:rsidR="00ED7351" w:rsidRDefault="00ED7351" w:rsidP="00E06213">
      <w:pPr>
        <w:spacing w:line="276" w:lineRule="auto"/>
        <w:ind w:firstLine="709"/>
      </w:pPr>
      <w:r>
        <w:t>Регионы определены федеральными органами исполнительной власти, исходя из уровня развития некоммерческого сектора и кадрового потенциала</w:t>
      </w:r>
      <w:r w:rsidRPr="00163B35">
        <w:t xml:space="preserve"> </w:t>
      </w:r>
      <w:r>
        <w:t xml:space="preserve">государственных (муниципальных) служащих, позволяющих реализовать механизм социального заказа. </w:t>
      </w:r>
    </w:p>
    <w:p w:rsidR="00ED7351" w:rsidRPr="00AA67DA" w:rsidRDefault="00ED7351" w:rsidP="002D3ED1">
      <w:pPr>
        <w:ind w:firstLine="709"/>
        <w:rPr>
          <w:b/>
          <w:i/>
          <w:sz w:val="22"/>
          <w:u w:val="single"/>
        </w:rPr>
      </w:pPr>
      <w:proofErr w:type="spellStart"/>
      <w:r w:rsidRPr="00AA67DA">
        <w:rPr>
          <w:b/>
          <w:i/>
          <w:sz w:val="22"/>
          <w:u w:val="single"/>
        </w:rPr>
        <w:t>Справочно</w:t>
      </w:r>
      <w:proofErr w:type="spellEnd"/>
      <w:r w:rsidRPr="00AA67DA">
        <w:rPr>
          <w:b/>
          <w:i/>
          <w:sz w:val="22"/>
          <w:u w:val="single"/>
        </w:rPr>
        <w:t>:</w:t>
      </w:r>
    </w:p>
    <w:p w:rsidR="00247F9B" w:rsidRDefault="00A97D97" w:rsidP="00A97D97">
      <w:pPr>
        <w:spacing w:before="0" w:after="0" w:line="240" w:lineRule="auto"/>
        <w:ind w:firstLine="709"/>
        <w:rPr>
          <w:sz w:val="22"/>
        </w:rPr>
      </w:pPr>
      <w:r>
        <w:rPr>
          <w:sz w:val="22"/>
        </w:rPr>
        <w:t xml:space="preserve">В соответствии с </w:t>
      </w:r>
      <w:r w:rsidR="002D3ED1" w:rsidRPr="00AA67DA">
        <w:rPr>
          <w:sz w:val="22"/>
        </w:rPr>
        <w:t>распоряжение</w:t>
      </w:r>
      <w:r>
        <w:rPr>
          <w:sz w:val="22"/>
        </w:rPr>
        <w:t>м</w:t>
      </w:r>
      <w:r w:rsidR="002D3ED1" w:rsidRPr="00AA67DA">
        <w:rPr>
          <w:sz w:val="22"/>
        </w:rPr>
        <w:t xml:space="preserve"> Правительства </w:t>
      </w:r>
      <w:r>
        <w:rPr>
          <w:sz w:val="22"/>
        </w:rPr>
        <w:t xml:space="preserve">ПФ </w:t>
      </w:r>
      <w:r w:rsidR="002D3ED1" w:rsidRPr="00AA67DA">
        <w:rPr>
          <w:sz w:val="22"/>
        </w:rPr>
        <w:t xml:space="preserve">от 7 октября 2020 г. № 2579-р </w:t>
      </w:r>
      <w:r>
        <w:rPr>
          <w:sz w:val="22"/>
        </w:rPr>
        <w:t xml:space="preserve">в апробации участвуют: </w:t>
      </w:r>
      <w:r w:rsidRPr="00A97D97">
        <w:rPr>
          <w:sz w:val="22"/>
        </w:rPr>
        <w:t>Алтайский край</w:t>
      </w:r>
      <w:r>
        <w:rPr>
          <w:sz w:val="22"/>
        </w:rPr>
        <w:t xml:space="preserve">, </w:t>
      </w:r>
      <w:r w:rsidRPr="00A97D97">
        <w:rPr>
          <w:sz w:val="22"/>
        </w:rPr>
        <w:t>Красноярский край</w:t>
      </w:r>
      <w:r>
        <w:rPr>
          <w:sz w:val="22"/>
        </w:rPr>
        <w:t xml:space="preserve">, </w:t>
      </w:r>
      <w:r w:rsidRPr="00A97D97">
        <w:rPr>
          <w:sz w:val="22"/>
        </w:rPr>
        <w:t>Ставропольский край</w:t>
      </w:r>
      <w:r>
        <w:rPr>
          <w:sz w:val="22"/>
        </w:rPr>
        <w:t xml:space="preserve">, </w:t>
      </w:r>
      <w:r w:rsidRPr="00A97D97">
        <w:rPr>
          <w:sz w:val="22"/>
        </w:rPr>
        <w:t>Белгородская область</w:t>
      </w:r>
      <w:r>
        <w:rPr>
          <w:sz w:val="22"/>
        </w:rPr>
        <w:t xml:space="preserve">, </w:t>
      </w:r>
      <w:r w:rsidRPr="00A97D97">
        <w:rPr>
          <w:sz w:val="22"/>
        </w:rPr>
        <w:t>Воронежская область</w:t>
      </w:r>
      <w:r>
        <w:rPr>
          <w:sz w:val="22"/>
        </w:rPr>
        <w:t xml:space="preserve">, </w:t>
      </w:r>
      <w:r w:rsidRPr="00A97D97">
        <w:rPr>
          <w:sz w:val="22"/>
        </w:rPr>
        <w:t>Калининградская область</w:t>
      </w:r>
      <w:r>
        <w:rPr>
          <w:sz w:val="22"/>
        </w:rPr>
        <w:t xml:space="preserve">, </w:t>
      </w:r>
      <w:r w:rsidRPr="00A97D97">
        <w:rPr>
          <w:sz w:val="22"/>
        </w:rPr>
        <w:t>Московская область</w:t>
      </w:r>
      <w:r>
        <w:rPr>
          <w:sz w:val="22"/>
        </w:rPr>
        <w:t xml:space="preserve">, </w:t>
      </w:r>
      <w:r w:rsidRPr="00A97D97">
        <w:rPr>
          <w:sz w:val="22"/>
        </w:rPr>
        <w:t>Новгородская область</w:t>
      </w:r>
      <w:r>
        <w:rPr>
          <w:sz w:val="22"/>
        </w:rPr>
        <w:t xml:space="preserve">, </w:t>
      </w:r>
      <w:r w:rsidRPr="00A97D97">
        <w:rPr>
          <w:sz w:val="22"/>
        </w:rPr>
        <w:t>Новосибирская область</w:t>
      </w:r>
      <w:r>
        <w:rPr>
          <w:sz w:val="22"/>
        </w:rPr>
        <w:t xml:space="preserve">, </w:t>
      </w:r>
      <w:r w:rsidRPr="00A97D97">
        <w:rPr>
          <w:sz w:val="22"/>
        </w:rPr>
        <w:t>Оренбургская область</w:t>
      </w:r>
      <w:r>
        <w:rPr>
          <w:sz w:val="22"/>
        </w:rPr>
        <w:t xml:space="preserve">, </w:t>
      </w:r>
      <w:r w:rsidRPr="00A97D97">
        <w:rPr>
          <w:sz w:val="22"/>
        </w:rPr>
        <w:t>Самарская область</w:t>
      </w:r>
      <w:r>
        <w:rPr>
          <w:sz w:val="22"/>
        </w:rPr>
        <w:t xml:space="preserve">, </w:t>
      </w:r>
      <w:r w:rsidRPr="00A97D97">
        <w:rPr>
          <w:sz w:val="22"/>
        </w:rPr>
        <w:t>Тюменская область</w:t>
      </w:r>
      <w:r>
        <w:rPr>
          <w:sz w:val="22"/>
        </w:rPr>
        <w:t xml:space="preserve">, </w:t>
      </w:r>
      <w:r w:rsidRPr="00A97D97">
        <w:rPr>
          <w:sz w:val="22"/>
        </w:rPr>
        <w:t>Челябинская область</w:t>
      </w:r>
      <w:r>
        <w:rPr>
          <w:sz w:val="22"/>
        </w:rPr>
        <w:t xml:space="preserve">, </w:t>
      </w:r>
      <w:r w:rsidRPr="00A97D97">
        <w:rPr>
          <w:sz w:val="22"/>
        </w:rPr>
        <w:t>Ярославская область</w:t>
      </w:r>
      <w:r>
        <w:rPr>
          <w:sz w:val="22"/>
        </w:rPr>
        <w:t xml:space="preserve">, </w:t>
      </w:r>
      <w:r w:rsidRPr="00A97D97">
        <w:rPr>
          <w:sz w:val="22"/>
        </w:rPr>
        <w:t>Город Санкт-Петербург</w:t>
      </w:r>
      <w:r>
        <w:rPr>
          <w:sz w:val="22"/>
        </w:rPr>
        <w:t xml:space="preserve">, </w:t>
      </w:r>
      <w:r w:rsidRPr="00A97D97">
        <w:rPr>
          <w:sz w:val="22"/>
        </w:rPr>
        <w:t xml:space="preserve">Ханты-Мансийский автономный округ </w:t>
      </w:r>
      <w:r>
        <w:rPr>
          <w:sz w:val="22"/>
        </w:rPr>
        <w:t>–</w:t>
      </w:r>
      <w:r w:rsidRPr="00A97D97">
        <w:rPr>
          <w:sz w:val="22"/>
        </w:rPr>
        <w:t xml:space="preserve"> Югра</w:t>
      </w:r>
      <w:r>
        <w:rPr>
          <w:sz w:val="22"/>
        </w:rPr>
        <w:t>.</w:t>
      </w:r>
    </w:p>
    <w:p w:rsidR="00A97D97" w:rsidRPr="00AA67DA" w:rsidRDefault="00A97D97" w:rsidP="00A97D97">
      <w:pPr>
        <w:spacing w:before="0" w:after="0" w:line="240" w:lineRule="auto"/>
        <w:ind w:firstLine="709"/>
        <w:rPr>
          <w:sz w:val="22"/>
        </w:rPr>
      </w:pPr>
    </w:p>
    <w:p w:rsidR="00ED7351" w:rsidRDefault="00ED7351" w:rsidP="00E06213">
      <w:pPr>
        <w:spacing w:line="276" w:lineRule="auto"/>
        <w:ind w:firstLine="708"/>
      </w:pPr>
      <w:r>
        <w:t xml:space="preserve">Со всеми регионами заключены Соглашения </w:t>
      </w:r>
      <w:r w:rsidR="00DC0210" w:rsidRPr="00DC0210">
        <w:t>о сотрудничестве в сфере апробации механизмов организации оказания государственных (муниципальных) услуг в социальной сфере</w:t>
      </w:r>
      <w:r w:rsidR="00DC0210">
        <w:t xml:space="preserve">. </w:t>
      </w:r>
    </w:p>
    <w:p w:rsidR="0070701B" w:rsidRPr="00AF6B97" w:rsidRDefault="0070701B" w:rsidP="00AF6B97">
      <w:pPr>
        <w:spacing w:line="240" w:lineRule="auto"/>
        <w:ind w:firstLine="708"/>
        <w:rPr>
          <w:b/>
          <w:i/>
          <w:sz w:val="24"/>
          <w:u w:val="single"/>
        </w:rPr>
      </w:pPr>
      <w:proofErr w:type="spellStart"/>
      <w:r w:rsidRPr="00AF6B97">
        <w:rPr>
          <w:b/>
          <w:i/>
          <w:sz w:val="24"/>
          <w:u w:val="single"/>
        </w:rPr>
        <w:t>Справочно</w:t>
      </w:r>
      <w:proofErr w:type="spellEnd"/>
      <w:r w:rsidRPr="00AF6B97">
        <w:rPr>
          <w:b/>
          <w:i/>
          <w:sz w:val="24"/>
          <w:u w:val="single"/>
        </w:rPr>
        <w:t>:</w:t>
      </w:r>
    </w:p>
    <w:p w:rsidR="0070701B" w:rsidRPr="00AF6B97" w:rsidRDefault="0070701B" w:rsidP="00AF6B97">
      <w:pPr>
        <w:spacing w:line="240" w:lineRule="auto"/>
        <w:ind w:firstLine="708"/>
        <w:rPr>
          <w:sz w:val="24"/>
        </w:rPr>
      </w:pPr>
      <w:r w:rsidRPr="00AF6B97">
        <w:rPr>
          <w:sz w:val="24"/>
        </w:rPr>
        <w:t xml:space="preserve">В соответствии с Общими требованиями к принятию решений органами государственной власти субъектов Российской Федерации (органами местного самоуправления) об организации оказания государственных (муниципальных) услуг в социальной сфере, утвержденными постановлением Правительства РФ </w:t>
      </w:r>
      <w:r w:rsidR="00AF6B97" w:rsidRPr="00AF6B97">
        <w:rPr>
          <w:sz w:val="24"/>
        </w:rPr>
        <w:t>от 13 октября 2020 г. № 1678, заключение соглашений о сотрудничестве реализовано в ГИИС «Электронный бюджет» (пункт 2 Общих требований)</w:t>
      </w:r>
      <w:r w:rsidR="00245389">
        <w:rPr>
          <w:sz w:val="24"/>
        </w:rPr>
        <w:t>.</w:t>
      </w:r>
    </w:p>
    <w:p w:rsidR="00E06213" w:rsidRDefault="00E06213" w:rsidP="00E06213">
      <w:pPr>
        <w:spacing w:line="276" w:lineRule="auto"/>
        <w:ind w:firstLine="708"/>
      </w:pPr>
    </w:p>
    <w:p w:rsidR="00973849" w:rsidRDefault="001E6D72" w:rsidP="00E06213">
      <w:pPr>
        <w:spacing w:line="276" w:lineRule="auto"/>
        <w:ind w:firstLine="708"/>
      </w:pPr>
      <w:r>
        <w:lastRenderedPageBreak/>
        <w:t xml:space="preserve">Реализация </w:t>
      </w:r>
      <w:r w:rsidR="00BD7DF8">
        <w:t>Закона о социальном заказе</w:t>
      </w:r>
      <w:r>
        <w:t xml:space="preserve"> осуществляется </w:t>
      </w:r>
      <w:r w:rsidR="00973849">
        <w:t xml:space="preserve">как на федеральном уровне, так и на уровне субъектов </w:t>
      </w:r>
      <w:r>
        <w:t>Российской Федерации</w:t>
      </w:r>
      <w:r w:rsidR="00973849">
        <w:t xml:space="preserve"> и муниципальных образований.</w:t>
      </w:r>
    </w:p>
    <w:p w:rsidR="00973849" w:rsidRDefault="00973849" w:rsidP="00E06213">
      <w:pPr>
        <w:spacing w:line="276" w:lineRule="auto"/>
        <w:ind w:firstLine="708"/>
      </w:pPr>
      <w:r>
        <w:t>На федеральном уровне Минспортом России утвержден и размещен на Едином портале бюджетной системы федеральный социальный заказа на оказание услуг по направлению деятельности «Спортивная подготовка».</w:t>
      </w:r>
      <w:r w:rsidR="00E4789C">
        <w:t xml:space="preserve"> Объем государственных гарантий по указанному направлению деятельности составляет 1400 человек</w:t>
      </w:r>
      <w:r w:rsidR="00A97D97">
        <w:t xml:space="preserve"> (в соответствии с данными утвержденного </w:t>
      </w:r>
      <w:proofErr w:type="gramStart"/>
      <w:r w:rsidR="00A97D97">
        <w:t>федерального  социального</w:t>
      </w:r>
      <w:proofErr w:type="gramEnd"/>
      <w:r w:rsidR="00A97D97">
        <w:t xml:space="preserve"> заказа)</w:t>
      </w:r>
      <w:r w:rsidR="00E4789C">
        <w:t xml:space="preserve">. </w:t>
      </w:r>
    </w:p>
    <w:p w:rsidR="001E6D72" w:rsidRDefault="00973849" w:rsidP="00E06213">
      <w:pPr>
        <w:spacing w:line="276" w:lineRule="auto"/>
        <w:ind w:firstLine="708"/>
      </w:pPr>
      <w:r>
        <w:t xml:space="preserve">Субъектами РФ </w:t>
      </w:r>
      <w:r w:rsidR="001E6D72">
        <w:t xml:space="preserve"> </w:t>
      </w:r>
      <w:r w:rsidR="00E4789C">
        <w:t xml:space="preserve">работа по реализации Закона о социальном заказе осуществляется </w:t>
      </w:r>
      <w:r w:rsidR="001E6D72">
        <w:t xml:space="preserve">в соответствии с утвержденными ими планами апробации механизмов организации оказания государственных (муниципальных) услуг в социальной сфере, предусматривающими организационные мероприятия, мероприятия по нормативно-правовому регулированию, коммуникационной поддержке, отбору исполнителей услуг, а также мониторингу, оценке результатов оказания государственных услуг, а также показателями эффективности организации оказания государственных (муниципальных) услуг в социальной сфере, значение которых будут определены на основании </w:t>
      </w:r>
      <w:proofErr w:type="spellStart"/>
      <w:r w:rsidR="00AF6B97">
        <w:t>пофакторной</w:t>
      </w:r>
      <w:proofErr w:type="spellEnd"/>
      <w:r w:rsidR="00AF6B97">
        <w:t xml:space="preserve"> модели</w:t>
      </w:r>
      <w:r w:rsidR="001E6D72">
        <w:t xml:space="preserve">, разработанной Научно-исследовательским финансовым институтом Минфина России. </w:t>
      </w:r>
    </w:p>
    <w:p w:rsidR="009813AD" w:rsidRDefault="009813AD" w:rsidP="00E06213">
      <w:pPr>
        <w:spacing w:line="276" w:lineRule="auto"/>
        <w:ind w:firstLine="709"/>
      </w:pPr>
      <w:r>
        <w:t xml:space="preserve">По итогам совместной работы Минфина России, Минтруда России, </w:t>
      </w:r>
      <w:proofErr w:type="spellStart"/>
      <w:r>
        <w:t>Минспорта</w:t>
      </w:r>
      <w:proofErr w:type="spellEnd"/>
      <w:r>
        <w:t xml:space="preserve"> России и Минздрава России с органами власти субъектов Российской Федерации в 2020 году:</w:t>
      </w:r>
    </w:p>
    <w:p w:rsidR="00E4789C" w:rsidRDefault="00E4789C" w:rsidP="00E06213">
      <w:pPr>
        <w:spacing w:line="276" w:lineRule="auto"/>
        <w:ind w:firstLine="709"/>
      </w:pPr>
      <w:r>
        <w:t>регионы, участвующие в апробации, утвердили решения о</w:t>
      </w:r>
      <w:r>
        <w:t xml:space="preserve">б организации оказания услуг в социальной сфере при формировании </w:t>
      </w:r>
      <w:r>
        <w:t xml:space="preserve">социального </w:t>
      </w:r>
      <w:r>
        <w:t xml:space="preserve">заказа на оказание </w:t>
      </w:r>
      <w:r w:rsidR="002521F4">
        <w:t>таких услуг</w:t>
      </w:r>
      <w:r>
        <w:t xml:space="preserve"> в соответствии </w:t>
      </w:r>
      <w:r>
        <w:t>Законом о социальном заказе;</w:t>
      </w:r>
    </w:p>
    <w:p w:rsidR="009813AD" w:rsidRPr="00860C64" w:rsidRDefault="008F5835" w:rsidP="00E06213">
      <w:pPr>
        <w:spacing w:line="276" w:lineRule="auto"/>
        <w:ind w:firstLine="708"/>
      </w:pPr>
      <w:r>
        <w:t>в</w:t>
      </w:r>
      <w:r w:rsidR="009813AD">
        <w:t xml:space="preserve"> каждом регионе</w:t>
      </w:r>
      <w:r w:rsidR="009813AD" w:rsidRPr="00860C64">
        <w:t xml:space="preserve"> сформирован</w:t>
      </w:r>
      <w:r w:rsidR="009813AD">
        <w:t>а</w:t>
      </w:r>
      <w:r w:rsidR="009813AD" w:rsidRPr="00860C64">
        <w:t xml:space="preserve"> межведомственн</w:t>
      </w:r>
      <w:r w:rsidR="009813AD">
        <w:t>ая,</w:t>
      </w:r>
      <w:r w:rsidR="009813AD" w:rsidRPr="00860C64">
        <w:t xml:space="preserve"> межотраслев</w:t>
      </w:r>
      <w:r w:rsidR="009813AD">
        <w:t xml:space="preserve">ая </w:t>
      </w:r>
      <w:r w:rsidR="009813AD" w:rsidRPr="00860C64">
        <w:t>рабоч</w:t>
      </w:r>
      <w:r w:rsidR="009813AD">
        <w:t>ая</w:t>
      </w:r>
      <w:r w:rsidR="009813AD" w:rsidRPr="00860C64">
        <w:t xml:space="preserve"> групп</w:t>
      </w:r>
      <w:r w:rsidR="009813AD">
        <w:t>а</w:t>
      </w:r>
      <w:r w:rsidR="009813AD" w:rsidRPr="00860C64">
        <w:t>, действующ</w:t>
      </w:r>
      <w:r w:rsidR="009813AD">
        <w:t>ая</w:t>
      </w:r>
      <w:r w:rsidR="009813AD" w:rsidRPr="00860C64">
        <w:t xml:space="preserve"> на основе горизонтального распределения полномочий между участниками, способную точечно в</w:t>
      </w:r>
      <w:r w:rsidR="006759A5">
        <w:t xml:space="preserve">недрить в сложившуюся систему </w:t>
      </w:r>
      <w:proofErr w:type="gramStart"/>
      <w:r w:rsidR="006759A5">
        <w:t>управления</w:t>
      </w:r>
      <w:proofErr w:type="gramEnd"/>
      <w:r w:rsidR="006759A5">
        <w:t xml:space="preserve"> </w:t>
      </w:r>
      <w:r w:rsidR="009813AD" w:rsidRPr="00860C64">
        <w:t xml:space="preserve">предлагаемые </w:t>
      </w:r>
      <w:r w:rsidR="00AA67DA">
        <w:t xml:space="preserve">Законом о социальном заказе </w:t>
      </w:r>
      <w:r w:rsidR="009813AD" w:rsidRPr="00860C64">
        <w:t>новации</w:t>
      </w:r>
      <w:r w:rsidR="009813AD">
        <w:t>, определен ее руководитель;</w:t>
      </w:r>
    </w:p>
    <w:p w:rsidR="009813AD" w:rsidRDefault="00E4789C" w:rsidP="00E06213">
      <w:pPr>
        <w:spacing w:line="276" w:lineRule="auto"/>
        <w:ind w:firstLine="708"/>
      </w:pPr>
      <w:r>
        <w:t>в</w:t>
      </w:r>
      <w:r w:rsidRPr="00860C64">
        <w:t>о всех регионах,</w:t>
      </w:r>
      <w:r w:rsidR="00245389">
        <w:t xml:space="preserve"> участвующих в апробации</w:t>
      </w:r>
      <w:r>
        <w:t>,</w:t>
      </w:r>
      <w:r w:rsidR="009813AD" w:rsidRPr="00860C64">
        <w:t xml:space="preserve"> сформированы, утверждены и опубликованы государственные (муниципальные) социальные заказы </w:t>
      </w:r>
      <w:r w:rsidR="009813AD">
        <w:t>на 2021 год, определено количество граждан, получающих социальные гарантии</w:t>
      </w:r>
      <w:r w:rsidR="009813AD" w:rsidRPr="00860C64">
        <w:t>;</w:t>
      </w:r>
    </w:p>
    <w:p w:rsidR="00AA67DA" w:rsidRPr="00140224" w:rsidRDefault="00AA67DA" w:rsidP="008F5835">
      <w:pPr>
        <w:ind w:firstLine="708"/>
        <w:rPr>
          <w:b/>
          <w:i/>
          <w:sz w:val="22"/>
          <w:u w:val="single"/>
        </w:rPr>
      </w:pPr>
      <w:proofErr w:type="spellStart"/>
      <w:r w:rsidRPr="00140224">
        <w:rPr>
          <w:b/>
          <w:i/>
          <w:sz w:val="22"/>
          <w:u w:val="single"/>
        </w:rPr>
        <w:t>Справочно</w:t>
      </w:r>
      <w:proofErr w:type="spellEnd"/>
      <w:r w:rsidRPr="00140224">
        <w:rPr>
          <w:b/>
          <w:i/>
          <w:sz w:val="22"/>
          <w:u w:val="single"/>
        </w:rPr>
        <w:t>:</w:t>
      </w:r>
    </w:p>
    <w:p w:rsidR="00AA67DA" w:rsidRPr="00140224" w:rsidRDefault="00245389" w:rsidP="00140224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rPr>
          <w:i/>
          <w:sz w:val="22"/>
        </w:rPr>
      </w:pPr>
      <w:r w:rsidRPr="00140224">
        <w:rPr>
          <w:sz w:val="22"/>
        </w:rPr>
        <w:t xml:space="preserve">В соответствии с утвержденными региональными социальными заказами </w:t>
      </w:r>
      <w:r w:rsidRPr="00E4789C">
        <w:rPr>
          <w:b/>
          <w:sz w:val="22"/>
        </w:rPr>
        <w:t xml:space="preserve">порядка 3 млн. </w:t>
      </w:r>
      <w:r w:rsidR="00140224" w:rsidRPr="00E4789C">
        <w:rPr>
          <w:b/>
          <w:sz w:val="22"/>
        </w:rPr>
        <w:t>потребителей</w:t>
      </w:r>
      <w:r w:rsidRPr="00E4789C">
        <w:rPr>
          <w:b/>
          <w:sz w:val="22"/>
        </w:rPr>
        <w:t xml:space="preserve"> будут оказаны услуги </w:t>
      </w:r>
      <w:r w:rsidRPr="00140224">
        <w:rPr>
          <w:sz w:val="22"/>
        </w:rPr>
        <w:t>в социальной сфере</w:t>
      </w:r>
      <w:r w:rsidR="00140224" w:rsidRPr="00140224">
        <w:rPr>
          <w:sz w:val="22"/>
        </w:rPr>
        <w:t xml:space="preserve"> по направлениям деятельности, определенным статьей 28 Закона о социальном заказе</w:t>
      </w:r>
      <w:r w:rsidR="00140224" w:rsidRPr="00140224">
        <w:rPr>
          <w:i/>
          <w:sz w:val="22"/>
        </w:rPr>
        <w:t xml:space="preserve"> (спортивная подготовка, </w:t>
      </w:r>
      <w:r w:rsidR="00140224" w:rsidRPr="00140224">
        <w:rPr>
          <w:i/>
          <w:iCs/>
          <w:sz w:val="22"/>
        </w:rPr>
        <w:t>социальное обслуживание (за исключением услуг в сфере социального обс</w:t>
      </w:r>
      <w:r w:rsidR="00140224" w:rsidRPr="00140224">
        <w:rPr>
          <w:i/>
          <w:iCs/>
          <w:sz w:val="22"/>
        </w:rPr>
        <w:t>луживания в стационарной форме),</w:t>
      </w:r>
      <w:r w:rsidR="00140224" w:rsidRPr="00140224">
        <w:rPr>
          <w:i/>
          <w:iCs/>
          <w:sz w:val="22"/>
        </w:rPr>
        <w:t xml:space="preserve"> санаторно-курортное лечение (за исключением услуг, предоставляемых в рамках гос</w:t>
      </w:r>
      <w:r w:rsidR="00140224" w:rsidRPr="00140224">
        <w:rPr>
          <w:i/>
          <w:iCs/>
          <w:sz w:val="22"/>
        </w:rPr>
        <w:t>ударственной социальной помощи),</w:t>
      </w:r>
      <w:r w:rsidR="00140224" w:rsidRPr="00140224">
        <w:rPr>
          <w:i/>
          <w:iCs/>
          <w:sz w:val="22"/>
        </w:rPr>
        <w:t xml:space="preserve"> оказание </w:t>
      </w:r>
      <w:r w:rsidR="00140224" w:rsidRPr="00140224">
        <w:rPr>
          <w:i/>
          <w:iCs/>
          <w:sz w:val="22"/>
        </w:rPr>
        <w:t xml:space="preserve">паллиативной медицинской помощи, </w:t>
      </w:r>
      <w:r w:rsidR="00140224" w:rsidRPr="00140224">
        <w:rPr>
          <w:i/>
          <w:iCs/>
          <w:sz w:val="22"/>
        </w:rPr>
        <w:t>создание благоприятных условий для развития туристской индустрии в</w:t>
      </w:r>
      <w:r w:rsidR="00140224" w:rsidRPr="00140224">
        <w:rPr>
          <w:i/>
          <w:iCs/>
          <w:sz w:val="22"/>
        </w:rPr>
        <w:t xml:space="preserve"> субъектах Российской Федерации, спортивная подготовка, </w:t>
      </w:r>
      <w:r w:rsidR="00140224" w:rsidRPr="00140224">
        <w:rPr>
          <w:i/>
          <w:iCs/>
          <w:sz w:val="22"/>
        </w:rPr>
        <w:t>содей</w:t>
      </w:r>
      <w:r w:rsidR="00140224" w:rsidRPr="00140224">
        <w:rPr>
          <w:i/>
          <w:iCs/>
          <w:sz w:val="22"/>
        </w:rPr>
        <w:t>ствие занятости населения</w:t>
      </w:r>
      <w:r w:rsidR="00140224" w:rsidRPr="00140224">
        <w:rPr>
          <w:i/>
          <w:sz w:val="22"/>
        </w:rPr>
        <w:t>)</w:t>
      </w:r>
    </w:p>
    <w:p w:rsidR="009813AD" w:rsidRPr="00860C64" w:rsidRDefault="008F5835" w:rsidP="00E06213">
      <w:pPr>
        <w:spacing w:line="276" w:lineRule="auto"/>
        <w:ind w:firstLine="708"/>
      </w:pPr>
      <w:r>
        <w:lastRenderedPageBreak/>
        <w:t>о</w:t>
      </w:r>
      <w:r w:rsidR="009813AD" w:rsidRPr="00860C64">
        <w:t xml:space="preserve">пределены услуги, в отношении которых будут использованы конкурентные способы определения исполнителей услуг (конкурс, социальный сертификат), при этом </w:t>
      </w:r>
      <w:r w:rsidR="009813AD">
        <w:t>9</w:t>
      </w:r>
      <w:r w:rsidR="009813AD" w:rsidRPr="00860C64">
        <w:t xml:space="preserve"> регионов приняли решение об использовании таких способов, начиная с 2021 года, что отражено в утвержденных социальных заказах</w:t>
      </w:r>
      <w:r w:rsidR="00947F74">
        <w:t>,</w:t>
      </w:r>
      <w:r w:rsidR="00CB5C2B">
        <w:t xml:space="preserve"> </w:t>
      </w:r>
      <w:r w:rsidR="009813AD">
        <w:t>в том числе количество граждан, которые получат услуги на основании сертификата или у исполнителя услуг, отобранного по результатам конкурса</w:t>
      </w:r>
      <w:r w:rsidR="009813AD" w:rsidRPr="00860C64">
        <w:t>;</w:t>
      </w:r>
    </w:p>
    <w:p w:rsidR="00AA67DA" w:rsidRPr="006D4DAE" w:rsidRDefault="00AA67DA" w:rsidP="00AA67DA">
      <w:pPr>
        <w:ind w:firstLine="708"/>
        <w:rPr>
          <w:b/>
          <w:i/>
          <w:sz w:val="22"/>
          <w:szCs w:val="22"/>
          <w:u w:val="single"/>
        </w:rPr>
      </w:pPr>
      <w:proofErr w:type="spellStart"/>
      <w:r w:rsidRPr="006D4DAE">
        <w:rPr>
          <w:b/>
          <w:i/>
          <w:sz w:val="22"/>
          <w:szCs w:val="22"/>
          <w:u w:val="single"/>
        </w:rPr>
        <w:t>Справочно</w:t>
      </w:r>
      <w:proofErr w:type="spellEnd"/>
      <w:r w:rsidRPr="006D4DAE">
        <w:rPr>
          <w:b/>
          <w:i/>
          <w:sz w:val="22"/>
          <w:szCs w:val="22"/>
          <w:u w:val="single"/>
        </w:rPr>
        <w:t>:</w:t>
      </w:r>
    </w:p>
    <w:tbl>
      <w:tblPr>
        <w:tblStyle w:val="a7"/>
        <w:tblW w:w="10424" w:type="dxa"/>
        <w:tblLook w:val="04A0" w:firstRow="1" w:lastRow="0" w:firstColumn="1" w:lastColumn="0" w:noHBand="0" w:noVBand="1"/>
      </w:tblPr>
      <w:tblGrid>
        <w:gridCol w:w="635"/>
        <w:gridCol w:w="3014"/>
        <w:gridCol w:w="3807"/>
        <w:gridCol w:w="1537"/>
        <w:gridCol w:w="1431"/>
      </w:tblGrid>
      <w:tr w:rsidR="006D4DAE" w:rsidRPr="006D4DAE" w:rsidTr="00EB683D">
        <w:trPr>
          <w:tblHeader/>
        </w:trPr>
        <w:tc>
          <w:tcPr>
            <w:tcW w:w="637" w:type="dxa"/>
            <w:vMerge w:val="restart"/>
          </w:tcPr>
          <w:p w:rsidR="006D4DAE" w:rsidRPr="00EB683D" w:rsidRDefault="006D4DAE" w:rsidP="00EB683D">
            <w:pPr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 w:rsidRPr="00EB683D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3034" w:type="dxa"/>
            <w:vMerge w:val="restart"/>
          </w:tcPr>
          <w:p w:rsidR="006D4DAE" w:rsidRPr="00EB683D" w:rsidRDefault="006D4DAE" w:rsidP="00EB683D">
            <w:pPr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 w:rsidRPr="00EB683D">
              <w:rPr>
                <w:b/>
                <w:i/>
                <w:sz w:val="22"/>
                <w:szCs w:val="22"/>
              </w:rPr>
              <w:t>Наименование региона</w:t>
            </w:r>
          </w:p>
        </w:tc>
        <w:tc>
          <w:tcPr>
            <w:tcW w:w="3837" w:type="dxa"/>
            <w:vMerge w:val="restart"/>
          </w:tcPr>
          <w:p w:rsidR="006D4DAE" w:rsidRPr="00EB683D" w:rsidRDefault="006D4DAE" w:rsidP="00EB683D">
            <w:pPr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 w:rsidRPr="00EB683D">
              <w:rPr>
                <w:b/>
                <w:i/>
                <w:sz w:val="22"/>
                <w:szCs w:val="22"/>
              </w:rPr>
              <w:t>Наименование услуги</w:t>
            </w:r>
          </w:p>
        </w:tc>
        <w:tc>
          <w:tcPr>
            <w:tcW w:w="2916" w:type="dxa"/>
            <w:gridSpan w:val="2"/>
          </w:tcPr>
          <w:p w:rsidR="006D4DAE" w:rsidRPr="00EB683D" w:rsidRDefault="006D4DAE" w:rsidP="00EB683D">
            <w:pPr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 w:rsidRPr="00EB683D">
              <w:rPr>
                <w:b/>
                <w:i/>
                <w:sz w:val="22"/>
                <w:szCs w:val="22"/>
              </w:rPr>
              <w:t>Натуральный объем</w:t>
            </w:r>
          </w:p>
        </w:tc>
      </w:tr>
      <w:tr w:rsidR="006D4DAE" w:rsidRPr="006D4DAE" w:rsidTr="00EB683D">
        <w:trPr>
          <w:tblHeader/>
        </w:trPr>
        <w:tc>
          <w:tcPr>
            <w:tcW w:w="637" w:type="dxa"/>
            <w:vMerge/>
          </w:tcPr>
          <w:p w:rsidR="006D4DAE" w:rsidRPr="00EB683D" w:rsidRDefault="006D4DAE" w:rsidP="00EB683D">
            <w:pPr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34" w:type="dxa"/>
            <w:vMerge/>
          </w:tcPr>
          <w:p w:rsidR="006D4DAE" w:rsidRPr="00EB683D" w:rsidRDefault="006D4DAE" w:rsidP="00EB683D">
            <w:pPr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837" w:type="dxa"/>
            <w:vMerge/>
          </w:tcPr>
          <w:p w:rsidR="006D4DAE" w:rsidRPr="00EB683D" w:rsidRDefault="006D4DAE" w:rsidP="00EB683D">
            <w:pPr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78" w:type="dxa"/>
          </w:tcPr>
          <w:p w:rsidR="006D4DAE" w:rsidRPr="00EB683D" w:rsidRDefault="006D4DAE" w:rsidP="00EB683D">
            <w:pPr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 w:rsidRPr="00EB683D">
              <w:rPr>
                <w:b/>
                <w:i/>
                <w:sz w:val="22"/>
                <w:szCs w:val="22"/>
              </w:rPr>
              <w:t>Сертификат</w:t>
            </w:r>
          </w:p>
        </w:tc>
        <w:tc>
          <w:tcPr>
            <w:tcW w:w="1438" w:type="dxa"/>
          </w:tcPr>
          <w:p w:rsidR="006D4DAE" w:rsidRPr="00EB683D" w:rsidRDefault="006D4DAE" w:rsidP="00EB683D">
            <w:pPr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 w:rsidRPr="00EB683D">
              <w:rPr>
                <w:b/>
                <w:i/>
                <w:sz w:val="22"/>
                <w:szCs w:val="22"/>
              </w:rPr>
              <w:t>Конкурс</w:t>
            </w:r>
          </w:p>
        </w:tc>
      </w:tr>
      <w:tr w:rsidR="00C822D2" w:rsidRPr="006D4DAE" w:rsidTr="00EB683D">
        <w:tc>
          <w:tcPr>
            <w:tcW w:w="637" w:type="dxa"/>
            <w:vMerge w:val="restart"/>
          </w:tcPr>
          <w:p w:rsidR="00A97D97" w:rsidRPr="006D4DAE" w:rsidRDefault="00A97D97" w:rsidP="00A97D97">
            <w:pPr>
              <w:pStyle w:val="aa"/>
              <w:numPr>
                <w:ilvl w:val="0"/>
                <w:numId w:val="9"/>
              </w:numPr>
              <w:spacing w:before="0" w:after="0"/>
              <w:rPr>
                <w:i/>
                <w:sz w:val="22"/>
                <w:szCs w:val="22"/>
              </w:rPr>
            </w:pPr>
          </w:p>
        </w:tc>
        <w:tc>
          <w:tcPr>
            <w:tcW w:w="3034" w:type="dxa"/>
            <w:vMerge w:val="restart"/>
          </w:tcPr>
          <w:p w:rsidR="00A97D97" w:rsidRPr="006D4DAE" w:rsidRDefault="00A97D97" w:rsidP="00EB683D">
            <w:pPr>
              <w:spacing w:before="0" w:after="0"/>
              <w:jc w:val="center"/>
              <w:rPr>
                <w:i/>
                <w:sz w:val="22"/>
                <w:szCs w:val="22"/>
              </w:rPr>
            </w:pPr>
            <w:r w:rsidRPr="006D4DAE">
              <w:rPr>
                <w:i/>
                <w:sz w:val="22"/>
                <w:szCs w:val="22"/>
              </w:rPr>
              <w:t>Красноярский края</w:t>
            </w:r>
          </w:p>
        </w:tc>
        <w:tc>
          <w:tcPr>
            <w:tcW w:w="3837" w:type="dxa"/>
          </w:tcPr>
          <w:p w:rsidR="00A97D97" w:rsidRPr="006D4DAE" w:rsidRDefault="00A97D97" w:rsidP="006D4DAE">
            <w:pPr>
              <w:spacing w:before="0" w:after="0"/>
              <w:rPr>
                <w:i/>
                <w:sz w:val="22"/>
                <w:szCs w:val="22"/>
              </w:rPr>
            </w:pPr>
            <w:r w:rsidRPr="006D4DAE">
              <w:rPr>
                <w:i/>
                <w:sz w:val="22"/>
                <w:szCs w:val="22"/>
              </w:rPr>
              <w:t>Социальное обслуживание</w:t>
            </w:r>
            <w:r w:rsidR="00C822D2">
              <w:rPr>
                <w:i/>
                <w:sz w:val="22"/>
                <w:szCs w:val="22"/>
              </w:rPr>
              <w:t xml:space="preserve"> в форме на дому и полустационарной форме</w:t>
            </w:r>
            <w:r w:rsidRPr="006D4DAE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78" w:type="dxa"/>
          </w:tcPr>
          <w:p w:rsidR="00A97D97" w:rsidRPr="006D4DAE" w:rsidRDefault="006D4DAE" w:rsidP="006D4DAE">
            <w:pPr>
              <w:spacing w:before="0" w:after="0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</w:rPr>
              <w:t>10</w:t>
            </w:r>
            <w:r w:rsidR="00A813C3" w:rsidRPr="006D4DAE">
              <w:rPr>
                <w:i/>
                <w:sz w:val="22"/>
                <w:szCs w:val="22"/>
                <w:lang w:val="en-US"/>
              </w:rPr>
              <w:t>300</w:t>
            </w:r>
          </w:p>
          <w:p w:rsidR="00A813C3" w:rsidRPr="006D4DAE" w:rsidRDefault="00A813C3" w:rsidP="006D4DAE">
            <w:pPr>
              <w:spacing w:before="0" w:after="0"/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1438" w:type="dxa"/>
          </w:tcPr>
          <w:p w:rsidR="00A97D97" w:rsidRPr="006D4DAE" w:rsidRDefault="00A97D97" w:rsidP="006D4DAE">
            <w:pPr>
              <w:spacing w:before="0" w:after="0"/>
              <w:jc w:val="center"/>
              <w:rPr>
                <w:i/>
                <w:sz w:val="22"/>
                <w:szCs w:val="22"/>
              </w:rPr>
            </w:pPr>
          </w:p>
        </w:tc>
      </w:tr>
      <w:tr w:rsidR="00C822D2" w:rsidRPr="006D4DAE" w:rsidTr="00EB683D">
        <w:tc>
          <w:tcPr>
            <w:tcW w:w="637" w:type="dxa"/>
            <w:vMerge/>
          </w:tcPr>
          <w:p w:rsidR="00A97D97" w:rsidRPr="006D4DAE" w:rsidRDefault="00A97D97" w:rsidP="00A97D97">
            <w:pPr>
              <w:pStyle w:val="aa"/>
              <w:numPr>
                <w:ilvl w:val="0"/>
                <w:numId w:val="9"/>
              </w:numPr>
              <w:spacing w:before="0" w:after="0"/>
              <w:rPr>
                <w:i/>
                <w:sz w:val="22"/>
                <w:szCs w:val="22"/>
              </w:rPr>
            </w:pPr>
          </w:p>
        </w:tc>
        <w:tc>
          <w:tcPr>
            <w:tcW w:w="3034" w:type="dxa"/>
            <w:vMerge/>
          </w:tcPr>
          <w:p w:rsidR="00A97D97" w:rsidRPr="006D4DAE" w:rsidRDefault="00A97D97" w:rsidP="00EB683D">
            <w:pPr>
              <w:spacing w:before="0"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837" w:type="dxa"/>
          </w:tcPr>
          <w:p w:rsidR="00A97D97" w:rsidRPr="006D4DAE" w:rsidRDefault="00A97D97" w:rsidP="00A97D97">
            <w:pPr>
              <w:spacing w:before="0" w:after="0"/>
              <w:rPr>
                <w:i/>
                <w:sz w:val="22"/>
                <w:szCs w:val="22"/>
              </w:rPr>
            </w:pPr>
            <w:r w:rsidRPr="006D4DAE">
              <w:rPr>
                <w:i/>
                <w:sz w:val="22"/>
                <w:szCs w:val="22"/>
              </w:rPr>
              <w:t>Занятость</w:t>
            </w:r>
            <w:r w:rsidR="006D4DAE" w:rsidRPr="006D4DAE">
              <w:rPr>
                <w:i/>
                <w:sz w:val="22"/>
                <w:szCs w:val="22"/>
              </w:rPr>
              <w:t xml:space="preserve"> (направление для получения профессионального обучения или получения дополнительного профессионального образования, включая обучение в другой местности)</w:t>
            </w:r>
          </w:p>
        </w:tc>
        <w:tc>
          <w:tcPr>
            <w:tcW w:w="1478" w:type="dxa"/>
          </w:tcPr>
          <w:p w:rsidR="00A97D97" w:rsidRPr="006D4DAE" w:rsidRDefault="006D4DAE" w:rsidP="006D4DAE">
            <w:pPr>
              <w:spacing w:before="0" w:after="0"/>
              <w:jc w:val="center"/>
              <w:rPr>
                <w:i/>
                <w:sz w:val="22"/>
                <w:szCs w:val="22"/>
              </w:rPr>
            </w:pPr>
            <w:r w:rsidRPr="006D4DAE">
              <w:rPr>
                <w:i/>
                <w:sz w:val="22"/>
                <w:szCs w:val="22"/>
              </w:rPr>
              <w:t>316</w:t>
            </w:r>
          </w:p>
        </w:tc>
        <w:tc>
          <w:tcPr>
            <w:tcW w:w="1438" w:type="dxa"/>
          </w:tcPr>
          <w:p w:rsidR="00A97D97" w:rsidRPr="006D4DAE" w:rsidRDefault="00A97D97" w:rsidP="006D4DAE">
            <w:pPr>
              <w:spacing w:before="0" w:after="0"/>
              <w:jc w:val="center"/>
              <w:rPr>
                <w:i/>
                <w:sz w:val="22"/>
                <w:szCs w:val="22"/>
              </w:rPr>
            </w:pPr>
          </w:p>
        </w:tc>
      </w:tr>
      <w:tr w:rsidR="00A813C3" w:rsidRPr="006D4DAE" w:rsidTr="00EB683D">
        <w:tc>
          <w:tcPr>
            <w:tcW w:w="637" w:type="dxa"/>
            <w:vMerge w:val="restart"/>
          </w:tcPr>
          <w:p w:rsidR="00A813C3" w:rsidRPr="006D4DAE" w:rsidRDefault="00A813C3" w:rsidP="00A97D97">
            <w:pPr>
              <w:pStyle w:val="aa"/>
              <w:numPr>
                <w:ilvl w:val="0"/>
                <w:numId w:val="9"/>
              </w:numPr>
              <w:spacing w:before="0" w:after="0"/>
              <w:rPr>
                <w:i/>
                <w:sz w:val="22"/>
                <w:szCs w:val="22"/>
              </w:rPr>
            </w:pPr>
          </w:p>
        </w:tc>
        <w:tc>
          <w:tcPr>
            <w:tcW w:w="3034" w:type="dxa"/>
            <w:vMerge w:val="restart"/>
          </w:tcPr>
          <w:p w:rsidR="00A813C3" w:rsidRPr="006D4DAE" w:rsidRDefault="00A813C3" w:rsidP="00EB683D">
            <w:pPr>
              <w:spacing w:before="0" w:after="0"/>
              <w:jc w:val="center"/>
              <w:rPr>
                <w:i/>
                <w:sz w:val="22"/>
                <w:szCs w:val="22"/>
              </w:rPr>
            </w:pPr>
            <w:r w:rsidRPr="006D4DAE">
              <w:rPr>
                <w:i/>
                <w:sz w:val="22"/>
                <w:szCs w:val="22"/>
              </w:rPr>
              <w:t>Московская область</w:t>
            </w:r>
          </w:p>
        </w:tc>
        <w:tc>
          <w:tcPr>
            <w:tcW w:w="3837" w:type="dxa"/>
          </w:tcPr>
          <w:p w:rsidR="00A813C3" w:rsidRPr="006D4DAE" w:rsidRDefault="00A813C3" w:rsidP="006D4DAE">
            <w:pPr>
              <w:spacing w:before="0" w:after="0"/>
              <w:rPr>
                <w:i/>
                <w:sz w:val="22"/>
                <w:szCs w:val="22"/>
              </w:rPr>
            </w:pPr>
            <w:r w:rsidRPr="006D4DAE">
              <w:rPr>
                <w:i/>
                <w:sz w:val="22"/>
                <w:szCs w:val="22"/>
              </w:rPr>
              <w:t xml:space="preserve">Социальное обслуживание </w:t>
            </w:r>
            <w:r w:rsidR="00C822D2">
              <w:rPr>
                <w:i/>
                <w:sz w:val="22"/>
                <w:szCs w:val="22"/>
              </w:rPr>
              <w:t>в форме на дому и полустационарной форме</w:t>
            </w:r>
          </w:p>
        </w:tc>
        <w:tc>
          <w:tcPr>
            <w:tcW w:w="1478" w:type="dxa"/>
          </w:tcPr>
          <w:p w:rsidR="00A813C3" w:rsidRPr="006D4DAE" w:rsidRDefault="006D4DAE" w:rsidP="006D4DAE">
            <w:pPr>
              <w:spacing w:before="0" w:after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46449</w:t>
            </w:r>
          </w:p>
        </w:tc>
        <w:tc>
          <w:tcPr>
            <w:tcW w:w="1438" w:type="dxa"/>
          </w:tcPr>
          <w:p w:rsidR="00A813C3" w:rsidRPr="006D4DAE" w:rsidRDefault="00A813C3" w:rsidP="006D4DAE">
            <w:pPr>
              <w:spacing w:before="0" w:after="0"/>
              <w:jc w:val="center"/>
              <w:rPr>
                <w:i/>
                <w:sz w:val="22"/>
                <w:szCs w:val="22"/>
              </w:rPr>
            </w:pPr>
          </w:p>
        </w:tc>
      </w:tr>
      <w:tr w:rsidR="00A813C3" w:rsidRPr="006D4DAE" w:rsidTr="00EB683D">
        <w:tc>
          <w:tcPr>
            <w:tcW w:w="637" w:type="dxa"/>
            <w:vMerge/>
          </w:tcPr>
          <w:p w:rsidR="00A813C3" w:rsidRPr="006D4DAE" w:rsidRDefault="00A813C3" w:rsidP="00A97D97">
            <w:pPr>
              <w:pStyle w:val="aa"/>
              <w:numPr>
                <w:ilvl w:val="0"/>
                <w:numId w:val="9"/>
              </w:numPr>
              <w:spacing w:before="0" w:after="0"/>
              <w:rPr>
                <w:i/>
                <w:sz w:val="22"/>
                <w:szCs w:val="22"/>
              </w:rPr>
            </w:pPr>
          </w:p>
        </w:tc>
        <w:tc>
          <w:tcPr>
            <w:tcW w:w="3034" w:type="dxa"/>
            <w:vMerge/>
          </w:tcPr>
          <w:p w:rsidR="00A813C3" w:rsidRPr="006D4DAE" w:rsidRDefault="00A813C3" w:rsidP="00EB683D">
            <w:pPr>
              <w:spacing w:before="0"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837" w:type="dxa"/>
          </w:tcPr>
          <w:p w:rsidR="00A813C3" w:rsidRPr="006D4DAE" w:rsidRDefault="00A813C3" w:rsidP="00A97D97">
            <w:pPr>
              <w:spacing w:before="0" w:after="0"/>
              <w:rPr>
                <w:i/>
                <w:sz w:val="22"/>
                <w:szCs w:val="22"/>
              </w:rPr>
            </w:pPr>
            <w:r w:rsidRPr="006D4DAE">
              <w:rPr>
                <w:i/>
                <w:sz w:val="22"/>
                <w:szCs w:val="22"/>
              </w:rPr>
              <w:t>Занятость</w:t>
            </w:r>
            <w:r w:rsidR="006D4DAE">
              <w:rPr>
                <w:i/>
                <w:sz w:val="22"/>
                <w:szCs w:val="22"/>
              </w:rPr>
              <w:t xml:space="preserve"> (</w:t>
            </w:r>
            <w:r w:rsidR="006D4DAE" w:rsidRPr="006D4DAE">
              <w:rPr>
                <w:i/>
                <w:sz w:val="22"/>
                <w:szCs w:val="22"/>
              </w:rPr>
              <w:t xml:space="preserve">Профессиональное обучение и дополнительное профессиональное образование лиц в возрасте 50-ти лет и старше, а также лиц </w:t>
            </w:r>
            <w:proofErr w:type="spellStart"/>
            <w:r w:rsidR="006D4DAE" w:rsidRPr="006D4DAE">
              <w:rPr>
                <w:i/>
                <w:sz w:val="22"/>
                <w:szCs w:val="22"/>
              </w:rPr>
              <w:t>предпенсионного</w:t>
            </w:r>
            <w:proofErr w:type="spellEnd"/>
            <w:r w:rsidR="006D4DAE" w:rsidRPr="006D4DAE">
              <w:rPr>
                <w:i/>
                <w:sz w:val="22"/>
                <w:szCs w:val="22"/>
              </w:rPr>
              <w:t xml:space="preserve"> возраста</w:t>
            </w:r>
            <w:r w:rsidR="006D4DAE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478" w:type="dxa"/>
          </w:tcPr>
          <w:p w:rsidR="00A813C3" w:rsidRPr="006D4DAE" w:rsidRDefault="006D4DAE" w:rsidP="006D4DAE">
            <w:pPr>
              <w:spacing w:before="0" w:after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550</w:t>
            </w:r>
          </w:p>
        </w:tc>
        <w:tc>
          <w:tcPr>
            <w:tcW w:w="1438" w:type="dxa"/>
          </w:tcPr>
          <w:p w:rsidR="00A813C3" w:rsidRPr="006D4DAE" w:rsidRDefault="00A813C3" w:rsidP="006D4DAE">
            <w:pPr>
              <w:spacing w:before="0" w:after="0"/>
              <w:jc w:val="center"/>
              <w:rPr>
                <w:i/>
                <w:sz w:val="22"/>
                <w:szCs w:val="22"/>
              </w:rPr>
            </w:pPr>
          </w:p>
        </w:tc>
      </w:tr>
      <w:tr w:rsidR="00C822D2" w:rsidRPr="006D4DAE" w:rsidTr="00EB683D">
        <w:tc>
          <w:tcPr>
            <w:tcW w:w="637" w:type="dxa"/>
          </w:tcPr>
          <w:p w:rsidR="00A97D97" w:rsidRPr="006D4DAE" w:rsidRDefault="00A97D97" w:rsidP="00A97D97">
            <w:pPr>
              <w:pStyle w:val="aa"/>
              <w:numPr>
                <w:ilvl w:val="0"/>
                <w:numId w:val="9"/>
              </w:numPr>
              <w:spacing w:before="0" w:after="0"/>
              <w:rPr>
                <w:i/>
                <w:sz w:val="22"/>
                <w:szCs w:val="22"/>
              </w:rPr>
            </w:pPr>
          </w:p>
        </w:tc>
        <w:tc>
          <w:tcPr>
            <w:tcW w:w="3034" w:type="dxa"/>
          </w:tcPr>
          <w:p w:rsidR="00A97D97" w:rsidRPr="006D4DAE" w:rsidRDefault="00A97D97" w:rsidP="00EB683D">
            <w:pPr>
              <w:spacing w:before="0" w:after="0"/>
              <w:jc w:val="center"/>
              <w:rPr>
                <w:i/>
                <w:sz w:val="22"/>
                <w:szCs w:val="22"/>
              </w:rPr>
            </w:pPr>
            <w:r w:rsidRPr="006D4DAE">
              <w:rPr>
                <w:i/>
                <w:sz w:val="22"/>
                <w:szCs w:val="22"/>
              </w:rPr>
              <w:t>Санкт-Петербург</w:t>
            </w:r>
          </w:p>
        </w:tc>
        <w:tc>
          <w:tcPr>
            <w:tcW w:w="3837" w:type="dxa"/>
          </w:tcPr>
          <w:p w:rsidR="00A97D97" w:rsidRPr="006D4DAE" w:rsidRDefault="006D4DAE" w:rsidP="006D4DAE">
            <w:pPr>
              <w:spacing w:before="0" w:after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Занятость  (о</w:t>
            </w:r>
            <w:r w:rsidRPr="006D4DAE">
              <w:rPr>
                <w:i/>
                <w:sz w:val="22"/>
                <w:szCs w:val="22"/>
              </w:rPr>
              <w:t>рганизация сопровождения при содействии занятости инвалидов</w:t>
            </w:r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478" w:type="dxa"/>
          </w:tcPr>
          <w:p w:rsidR="00A97D97" w:rsidRPr="006D4DAE" w:rsidRDefault="00A97D97" w:rsidP="006D4DAE">
            <w:pPr>
              <w:spacing w:before="0"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38" w:type="dxa"/>
          </w:tcPr>
          <w:p w:rsidR="00A97D97" w:rsidRPr="00C822D2" w:rsidRDefault="006D4DAE" w:rsidP="006D4DAE">
            <w:pPr>
              <w:spacing w:before="0" w:after="0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</w:rPr>
              <w:t>50</w:t>
            </w:r>
          </w:p>
        </w:tc>
      </w:tr>
      <w:tr w:rsidR="00C822D2" w:rsidRPr="006D4DAE" w:rsidTr="00EB683D">
        <w:trPr>
          <w:trHeight w:val="485"/>
        </w:trPr>
        <w:tc>
          <w:tcPr>
            <w:tcW w:w="637" w:type="dxa"/>
          </w:tcPr>
          <w:p w:rsidR="00A813C3" w:rsidRPr="006D4DAE" w:rsidRDefault="00A813C3" w:rsidP="00A813C3">
            <w:pPr>
              <w:pStyle w:val="aa"/>
              <w:numPr>
                <w:ilvl w:val="0"/>
                <w:numId w:val="9"/>
              </w:numPr>
              <w:spacing w:before="0" w:after="0"/>
              <w:rPr>
                <w:i/>
                <w:sz w:val="22"/>
                <w:szCs w:val="22"/>
              </w:rPr>
            </w:pPr>
          </w:p>
        </w:tc>
        <w:tc>
          <w:tcPr>
            <w:tcW w:w="3034" w:type="dxa"/>
          </w:tcPr>
          <w:p w:rsidR="00A813C3" w:rsidRPr="006D4DAE" w:rsidRDefault="00A813C3" w:rsidP="00EB683D">
            <w:pPr>
              <w:spacing w:before="0" w:after="0"/>
              <w:jc w:val="center"/>
              <w:rPr>
                <w:i/>
                <w:sz w:val="22"/>
                <w:szCs w:val="22"/>
              </w:rPr>
            </w:pPr>
            <w:r w:rsidRPr="006D4DAE">
              <w:rPr>
                <w:i/>
                <w:sz w:val="22"/>
                <w:szCs w:val="22"/>
              </w:rPr>
              <w:t>Оренбургская область</w:t>
            </w:r>
          </w:p>
        </w:tc>
        <w:tc>
          <w:tcPr>
            <w:tcW w:w="3837" w:type="dxa"/>
          </w:tcPr>
          <w:p w:rsidR="00A813C3" w:rsidRPr="006D4DAE" w:rsidRDefault="00A813C3" w:rsidP="00A813C3">
            <w:pPr>
              <w:rPr>
                <w:sz w:val="22"/>
                <w:szCs w:val="22"/>
              </w:rPr>
            </w:pPr>
            <w:r w:rsidRPr="006D4DAE">
              <w:rPr>
                <w:i/>
                <w:sz w:val="22"/>
                <w:szCs w:val="22"/>
              </w:rPr>
              <w:t>Спортивная подготовка</w:t>
            </w:r>
          </w:p>
        </w:tc>
        <w:tc>
          <w:tcPr>
            <w:tcW w:w="1478" w:type="dxa"/>
          </w:tcPr>
          <w:p w:rsidR="00A813C3" w:rsidRPr="006D4DAE" w:rsidRDefault="00A813C3" w:rsidP="006D4DAE">
            <w:pPr>
              <w:spacing w:before="0"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38" w:type="dxa"/>
          </w:tcPr>
          <w:p w:rsidR="00A813C3" w:rsidRPr="006D4DAE" w:rsidRDefault="00A813C3" w:rsidP="006D4DAE">
            <w:pPr>
              <w:spacing w:before="0" w:after="0"/>
              <w:jc w:val="center"/>
              <w:rPr>
                <w:i/>
                <w:sz w:val="22"/>
                <w:szCs w:val="22"/>
              </w:rPr>
            </w:pPr>
            <w:r w:rsidRPr="006D4DAE">
              <w:rPr>
                <w:i/>
                <w:sz w:val="22"/>
                <w:szCs w:val="22"/>
              </w:rPr>
              <w:t>15</w:t>
            </w:r>
          </w:p>
        </w:tc>
      </w:tr>
      <w:tr w:rsidR="00A813C3" w:rsidRPr="006D4DAE" w:rsidTr="00EB683D">
        <w:tc>
          <w:tcPr>
            <w:tcW w:w="637" w:type="dxa"/>
          </w:tcPr>
          <w:p w:rsidR="00A813C3" w:rsidRPr="006D4DAE" w:rsidRDefault="00A813C3" w:rsidP="00A813C3">
            <w:pPr>
              <w:pStyle w:val="aa"/>
              <w:numPr>
                <w:ilvl w:val="0"/>
                <w:numId w:val="9"/>
              </w:numPr>
              <w:spacing w:before="0" w:after="0"/>
              <w:rPr>
                <w:i/>
                <w:sz w:val="22"/>
                <w:szCs w:val="22"/>
              </w:rPr>
            </w:pPr>
          </w:p>
        </w:tc>
        <w:tc>
          <w:tcPr>
            <w:tcW w:w="3034" w:type="dxa"/>
          </w:tcPr>
          <w:p w:rsidR="00A813C3" w:rsidRPr="006D4DAE" w:rsidRDefault="00A813C3" w:rsidP="00EB683D">
            <w:pPr>
              <w:spacing w:before="0" w:after="0"/>
              <w:jc w:val="center"/>
              <w:rPr>
                <w:i/>
                <w:sz w:val="22"/>
                <w:szCs w:val="22"/>
              </w:rPr>
            </w:pPr>
            <w:r w:rsidRPr="006D4DAE">
              <w:rPr>
                <w:i/>
                <w:sz w:val="22"/>
                <w:szCs w:val="22"/>
              </w:rPr>
              <w:t>Челябинская область</w:t>
            </w:r>
          </w:p>
        </w:tc>
        <w:tc>
          <w:tcPr>
            <w:tcW w:w="3837" w:type="dxa"/>
          </w:tcPr>
          <w:p w:rsidR="00A813C3" w:rsidRPr="006D4DAE" w:rsidRDefault="00A813C3" w:rsidP="00A813C3">
            <w:pPr>
              <w:rPr>
                <w:sz w:val="22"/>
                <w:szCs w:val="22"/>
              </w:rPr>
            </w:pPr>
            <w:r w:rsidRPr="006D4DAE">
              <w:rPr>
                <w:i/>
                <w:sz w:val="22"/>
                <w:szCs w:val="22"/>
              </w:rPr>
              <w:t>Спортивная подготовка</w:t>
            </w:r>
          </w:p>
        </w:tc>
        <w:tc>
          <w:tcPr>
            <w:tcW w:w="1478" w:type="dxa"/>
          </w:tcPr>
          <w:p w:rsidR="00A813C3" w:rsidRPr="006D4DAE" w:rsidRDefault="00A813C3" w:rsidP="006D4DAE">
            <w:pPr>
              <w:spacing w:before="0"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38" w:type="dxa"/>
          </w:tcPr>
          <w:p w:rsidR="00A813C3" w:rsidRPr="006D4DAE" w:rsidRDefault="00A813C3" w:rsidP="006D4DAE">
            <w:pPr>
              <w:spacing w:before="0" w:after="0"/>
              <w:jc w:val="center"/>
              <w:rPr>
                <w:i/>
                <w:sz w:val="22"/>
                <w:szCs w:val="22"/>
              </w:rPr>
            </w:pPr>
            <w:r w:rsidRPr="006D4DAE">
              <w:rPr>
                <w:i/>
                <w:sz w:val="22"/>
                <w:szCs w:val="22"/>
              </w:rPr>
              <w:t>90</w:t>
            </w:r>
          </w:p>
        </w:tc>
      </w:tr>
      <w:tr w:rsidR="00A813C3" w:rsidRPr="006D4DAE" w:rsidTr="00EB683D">
        <w:tc>
          <w:tcPr>
            <w:tcW w:w="637" w:type="dxa"/>
            <w:vMerge w:val="restart"/>
          </w:tcPr>
          <w:p w:rsidR="00A813C3" w:rsidRPr="006D4DAE" w:rsidRDefault="00A813C3" w:rsidP="00A97D97">
            <w:pPr>
              <w:pStyle w:val="aa"/>
              <w:numPr>
                <w:ilvl w:val="0"/>
                <w:numId w:val="9"/>
              </w:numPr>
              <w:spacing w:before="0" w:after="0"/>
              <w:rPr>
                <w:i/>
                <w:sz w:val="22"/>
                <w:szCs w:val="22"/>
              </w:rPr>
            </w:pPr>
          </w:p>
        </w:tc>
        <w:tc>
          <w:tcPr>
            <w:tcW w:w="3034" w:type="dxa"/>
            <w:vMerge w:val="restart"/>
          </w:tcPr>
          <w:p w:rsidR="00A813C3" w:rsidRPr="006D4DAE" w:rsidRDefault="00A813C3" w:rsidP="00EB683D">
            <w:pPr>
              <w:spacing w:before="0" w:after="0"/>
              <w:jc w:val="center"/>
              <w:rPr>
                <w:i/>
                <w:sz w:val="22"/>
                <w:szCs w:val="22"/>
              </w:rPr>
            </w:pPr>
            <w:r w:rsidRPr="006D4DAE">
              <w:rPr>
                <w:i/>
                <w:sz w:val="22"/>
                <w:szCs w:val="22"/>
              </w:rPr>
              <w:t>Ярославская область</w:t>
            </w:r>
          </w:p>
        </w:tc>
        <w:tc>
          <w:tcPr>
            <w:tcW w:w="3837" w:type="dxa"/>
          </w:tcPr>
          <w:p w:rsidR="00A813C3" w:rsidRPr="006D4DAE" w:rsidRDefault="00A813C3" w:rsidP="00A97D97">
            <w:pPr>
              <w:spacing w:before="0" w:after="0"/>
              <w:rPr>
                <w:i/>
                <w:sz w:val="22"/>
                <w:szCs w:val="22"/>
              </w:rPr>
            </w:pPr>
            <w:r w:rsidRPr="006D4DAE">
              <w:rPr>
                <w:i/>
                <w:sz w:val="22"/>
                <w:szCs w:val="22"/>
              </w:rPr>
              <w:t>Спортивная подготовка</w:t>
            </w:r>
          </w:p>
        </w:tc>
        <w:tc>
          <w:tcPr>
            <w:tcW w:w="1478" w:type="dxa"/>
          </w:tcPr>
          <w:p w:rsidR="00A813C3" w:rsidRPr="006D4DAE" w:rsidRDefault="00A813C3" w:rsidP="006D4DAE">
            <w:pPr>
              <w:spacing w:before="0"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38" w:type="dxa"/>
          </w:tcPr>
          <w:p w:rsidR="00A813C3" w:rsidRPr="006D4DAE" w:rsidRDefault="00A813C3" w:rsidP="006D4DAE">
            <w:pPr>
              <w:spacing w:before="0" w:after="0"/>
              <w:jc w:val="center"/>
              <w:rPr>
                <w:i/>
                <w:sz w:val="22"/>
                <w:szCs w:val="22"/>
              </w:rPr>
            </w:pPr>
            <w:r w:rsidRPr="006D4DAE">
              <w:rPr>
                <w:i/>
                <w:sz w:val="22"/>
                <w:szCs w:val="22"/>
              </w:rPr>
              <w:t>91</w:t>
            </w:r>
          </w:p>
        </w:tc>
      </w:tr>
      <w:tr w:rsidR="00A813C3" w:rsidRPr="006D4DAE" w:rsidTr="00EB683D">
        <w:tc>
          <w:tcPr>
            <w:tcW w:w="637" w:type="dxa"/>
            <w:vMerge/>
          </w:tcPr>
          <w:p w:rsidR="00A813C3" w:rsidRPr="006D4DAE" w:rsidRDefault="00A813C3" w:rsidP="00A97D97">
            <w:pPr>
              <w:pStyle w:val="aa"/>
              <w:numPr>
                <w:ilvl w:val="0"/>
                <w:numId w:val="9"/>
              </w:numPr>
              <w:spacing w:before="0" w:after="0"/>
              <w:rPr>
                <w:i/>
                <w:sz w:val="22"/>
                <w:szCs w:val="22"/>
              </w:rPr>
            </w:pPr>
          </w:p>
        </w:tc>
        <w:tc>
          <w:tcPr>
            <w:tcW w:w="3034" w:type="dxa"/>
            <w:vMerge/>
          </w:tcPr>
          <w:p w:rsidR="00A813C3" w:rsidRPr="006D4DAE" w:rsidRDefault="00A813C3" w:rsidP="00EB683D">
            <w:pPr>
              <w:spacing w:before="0"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837" w:type="dxa"/>
          </w:tcPr>
          <w:p w:rsidR="00A813C3" w:rsidRPr="006D4DAE" w:rsidRDefault="00A813C3" w:rsidP="00A97D97">
            <w:pPr>
              <w:spacing w:before="0" w:after="0"/>
              <w:rPr>
                <w:i/>
                <w:sz w:val="22"/>
                <w:szCs w:val="22"/>
              </w:rPr>
            </w:pPr>
            <w:r w:rsidRPr="006D4DAE">
              <w:rPr>
                <w:i/>
                <w:sz w:val="22"/>
                <w:szCs w:val="22"/>
              </w:rPr>
              <w:t>Социальное обсаживание в форме на дому</w:t>
            </w:r>
          </w:p>
        </w:tc>
        <w:tc>
          <w:tcPr>
            <w:tcW w:w="1478" w:type="dxa"/>
          </w:tcPr>
          <w:p w:rsidR="00A813C3" w:rsidRPr="006D4DAE" w:rsidRDefault="00A813C3" w:rsidP="006D4DAE">
            <w:pPr>
              <w:spacing w:before="0" w:after="0"/>
              <w:jc w:val="center"/>
              <w:rPr>
                <w:i/>
                <w:sz w:val="22"/>
                <w:szCs w:val="22"/>
              </w:rPr>
            </w:pPr>
            <w:r w:rsidRPr="006D4DAE">
              <w:rPr>
                <w:i/>
                <w:sz w:val="22"/>
                <w:szCs w:val="22"/>
              </w:rPr>
              <w:t>926</w:t>
            </w:r>
          </w:p>
        </w:tc>
        <w:tc>
          <w:tcPr>
            <w:tcW w:w="1438" w:type="dxa"/>
          </w:tcPr>
          <w:p w:rsidR="00A813C3" w:rsidRPr="006D4DAE" w:rsidRDefault="00A813C3" w:rsidP="006D4DAE">
            <w:pPr>
              <w:spacing w:before="0" w:after="0"/>
              <w:jc w:val="center"/>
              <w:rPr>
                <w:i/>
                <w:sz w:val="22"/>
                <w:szCs w:val="22"/>
              </w:rPr>
            </w:pPr>
          </w:p>
        </w:tc>
      </w:tr>
      <w:tr w:rsidR="00A813C3" w:rsidRPr="006D4DAE" w:rsidTr="00EB683D">
        <w:tc>
          <w:tcPr>
            <w:tcW w:w="637" w:type="dxa"/>
          </w:tcPr>
          <w:p w:rsidR="00A813C3" w:rsidRPr="006D4DAE" w:rsidRDefault="00A813C3" w:rsidP="00A97D97">
            <w:pPr>
              <w:pStyle w:val="aa"/>
              <w:numPr>
                <w:ilvl w:val="0"/>
                <w:numId w:val="9"/>
              </w:numPr>
              <w:spacing w:before="0" w:after="0"/>
              <w:rPr>
                <w:i/>
                <w:sz w:val="22"/>
                <w:szCs w:val="22"/>
              </w:rPr>
            </w:pPr>
          </w:p>
        </w:tc>
        <w:tc>
          <w:tcPr>
            <w:tcW w:w="3034" w:type="dxa"/>
          </w:tcPr>
          <w:p w:rsidR="00A813C3" w:rsidRPr="006D4DAE" w:rsidRDefault="00A813C3" w:rsidP="00EB683D">
            <w:pPr>
              <w:spacing w:before="0" w:after="0"/>
              <w:jc w:val="center"/>
              <w:rPr>
                <w:i/>
                <w:sz w:val="22"/>
                <w:szCs w:val="22"/>
              </w:rPr>
            </w:pPr>
            <w:r w:rsidRPr="006D4DAE">
              <w:rPr>
                <w:i/>
                <w:sz w:val="22"/>
                <w:szCs w:val="22"/>
              </w:rPr>
              <w:t>ХМАО</w:t>
            </w:r>
          </w:p>
        </w:tc>
        <w:tc>
          <w:tcPr>
            <w:tcW w:w="3837" w:type="dxa"/>
          </w:tcPr>
          <w:p w:rsidR="00A813C3" w:rsidRPr="006D4DAE" w:rsidRDefault="00A813C3" w:rsidP="00A97D97">
            <w:pPr>
              <w:spacing w:before="0" w:after="0"/>
              <w:rPr>
                <w:i/>
                <w:sz w:val="22"/>
                <w:szCs w:val="22"/>
              </w:rPr>
            </w:pPr>
            <w:r w:rsidRPr="006D4DAE">
              <w:rPr>
                <w:i/>
                <w:sz w:val="22"/>
                <w:szCs w:val="22"/>
              </w:rPr>
              <w:t>Спортивная подготовка</w:t>
            </w:r>
          </w:p>
        </w:tc>
        <w:tc>
          <w:tcPr>
            <w:tcW w:w="1478" w:type="dxa"/>
          </w:tcPr>
          <w:p w:rsidR="00A813C3" w:rsidRPr="006D4DAE" w:rsidRDefault="00A813C3" w:rsidP="006D4DAE">
            <w:pPr>
              <w:spacing w:before="0"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38" w:type="dxa"/>
          </w:tcPr>
          <w:p w:rsidR="00A813C3" w:rsidRPr="006D4DAE" w:rsidRDefault="00A813C3" w:rsidP="006D4DAE">
            <w:pPr>
              <w:spacing w:before="0" w:after="0"/>
              <w:jc w:val="center"/>
              <w:rPr>
                <w:i/>
                <w:sz w:val="22"/>
                <w:szCs w:val="22"/>
                <w:lang w:val="en-US"/>
              </w:rPr>
            </w:pPr>
            <w:r w:rsidRPr="006D4DAE">
              <w:rPr>
                <w:i/>
                <w:sz w:val="22"/>
                <w:szCs w:val="22"/>
              </w:rPr>
              <w:t>40</w:t>
            </w:r>
          </w:p>
        </w:tc>
      </w:tr>
      <w:tr w:rsidR="00C822D2" w:rsidRPr="006D4DAE" w:rsidTr="00EB683D">
        <w:tc>
          <w:tcPr>
            <w:tcW w:w="637" w:type="dxa"/>
          </w:tcPr>
          <w:p w:rsidR="00C822D2" w:rsidRPr="006D4DAE" w:rsidRDefault="00C822D2" w:rsidP="00A97D97">
            <w:pPr>
              <w:pStyle w:val="aa"/>
              <w:numPr>
                <w:ilvl w:val="0"/>
                <w:numId w:val="9"/>
              </w:numPr>
              <w:spacing w:before="0" w:after="0"/>
              <w:rPr>
                <w:i/>
                <w:sz w:val="22"/>
                <w:szCs w:val="22"/>
              </w:rPr>
            </w:pPr>
          </w:p>
        </w:tc>
        <w:tc>
          <w:tcPr>
            <w:tcW w:w="3034" w:type="dxa"/>
          </w:tcPr>
          <w:p w:rsidR="00C822D2" w:rsidRPr="006D4DAE" w:rsidRDefault="00C822D2" w:rsidP="00EB683D">
            <w:pPr>
              <w:spacing w:before="0" w:after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Тюменская область</w:t>
            </w:r>
          </w:p>
        </w:tc>
        <w:tc>
          <w:tcPr>
            <w:tcW w:w="3837" w:type="dxa"/>
          </w:tcPr>
          <w:p w:rsidR="00C822D2" w:rsidRPr="006D4DAE" w:rsidRDefault="00C822D2" w:rsidP="00C822D2">
            <w:pPr>
              <w:spacing w:before="0" w:after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Занятость (о</w:t>
            </w:r>
            <w:r w:rsidRPr="00C822D2">
              <w:rPr>
                <w:i/>
                <w:sz w:val="22"/>
                <w:szCs w:val="22"/>
              </w:rPr>
              <w:t>рганизация профессионального обучения и дополнительного профессионального образования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 в целях поиска работы</w:t>
            </w:r>
            <w:r>
              <w:rPr>
                <w:i/>
                <w:sz w:val="22"/>
                <w:szCs w:val="22"/>
              </w:rPr>
              <w:t xml:space="preserve">) </w:t>
            </w:r>
          </w:p>
        </w:tc>
        <w:tc>
          <w:tcPr>
            <w:tcW w:w="1478" w:type="dxa"/>
          </w:tcPr>
          <w:p w:rsidR="00C822D2" w:rsidRPr="006D4DAE" w:rsidRDefault="00C822D2" w:rsidP="006D4DAE">
            <w:pPr>
              <w:spacing w:before="0" w:after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</w:t>
            </w:r>
          </w:p>
        </w:tc>
        <w:tc>
          <w:tcPr>
            <w:tcW w:w="1438" w:type="dxa"/>
          </w:tcPr>
          <w:p w:rsidR="00C822D2" w:rsidRPr="006D4DAE" w:rsidRDefault="00C822D2" w:rsidP="006D4DAE">
            <w:pPr>
              <w:spacing w:before="0" w:after="0"/>
              <w:jc w:val="center"/>
              <w:rPr>
                <w:i/>
                <w:sz w:val="22"/>
                <w:szCs w:val="22"/>
              </w:rPr>
            </w:pPr>
          </w:p>
        </w:tc>
      </w:tr>
      <w:tr w:rsidR="00C822D2" w:rsidRPr="006D4DAE" w:rsidTr="00EB683D">
        <w:trPr>
          <w:trHeight w:val="956"/>
        </w:trPr>
        <w:tc>
          <w:tcPr>
            <w:tcW w:w="637" w:type="dxa"/>
          </w:tcPr>
          <w:p w:rsidR="00C822D2" w:rsidRPr="006D4DAE" w:rsidRDefault="00C822D2" w:rsidP="00A97D97">
            <w:pPr>
              <w:pStyle w:val="aa"/>
              <w:numPr>
                <w:ilvl w:val="0"/>
                <w:numId w:val="9"/>
              </w:numPr>
              <w:spacing w:before="0" w:after="0"/>
              <w:rPr>
                <w:i/>
                <w:sz w:val="22"/>
                <w:szCs w:val="22"/>
              </w:rPr>
            </w:pPr>
          </w:p>
        </w:tc>
        <w:tc>
          <w:tcPr>
            <w:tcW w:w="3034" w:type="dxa"/>
          </w:tcPr>
          <w:p w:rsidR="00C822D2" w:rsidRDefault="00C822D2" w:rsidP="00EB683D">
            <w:pPr>
              <w:spacing w:before="0" w:after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Калининградская область</w:t>
            </w:r>
          </w:p>
        </w:tc>
        <w:tc>
          <w:tcPr>
            <w:tcW w:w="3837" w:type="dxa"/>
          </w:tcPr>
          <w:p w:rsidR="00C822D2" w:rsidRDefault="00C822D2" w:rsidP="00A97D97">
            <w:pPr>
              <w:spacing w:before="0" w:after="0"/>
              <w:rPr>
                <w:i/>
                <w:sz w:val="22"/>
                <w:szCs w:val="22"/>
              </w:rPr>
            </w:pPr>
            <w:r w:rsidRPr="006D4DAE">
              <w:rPr>
                <w:i/>
                <w:sz w:val="22"/>
                <w:szCs w:val="22"/>
              </w:rPr>
              <w:t>Социальное обслуживание</w:t>
            </w:r>
            <w:r>
              <w:rPr>
                <w:i/>
                <w:sz w:val="22"/>
                <w:szCs w:val="22"/>
              </w:rPr>
              <w:t xml:space="preserve"> в форме на дому</w:t>
            </w:r>
          </w:p>
        </w:tc>
        <w:tc>
          <w:tcPr>
            <w:tcW w:w="1478" w:type="dxa"/>
          </w:tcPr>
          <w:p w:rsidR="00C822D2" w:rsidRDefault="00C822D2" w:rsidP="006D4DAE">
            <w:pPr>
              <w:spacing w:before="0" w:after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</w:t>
            </w:r>
          </w:p>
        </w:tc>
        <w:tc>
          <w:tcPr>
            <w:tcW w:w="1438" w:type="dxa"/>
          </w:tcPr>
          <w:p w:rsidR="00C822D2" w:rsidRPr="006D4DAE" w:rsidRDefault="00C822D2" w:rsidP="006D4DAE">
            <w:pPr>
              <w:spacing w:before="0" w:after="0"/>
              <w:jc w:val="center"/>
              <w:rPr>
                <w:i/>
                <w:sz w:val="22"/>
                <w:szCs w:val="22"/>
              </w:rPr>
            </w:pPr>
          </w:p>
        </w:tc>
      </w:tr>
      <w:tr w:rsidR="00EB683D" w:rsidRPr="006D4DAE" w:rsidTr="00EB683D">
        <w:tc>
          <w:tcPr>
            <w:tcW w:w="7508" w:type="dxa"/>
            <w:gridSpan w:val="3"/>
          </w:tcPr>
          <w:p w:rsidR="00EB683D" w:rsidRPr="00EB683D" w:rsidRDefault="00EB683D" w:rsidP="00EB683D">
            <w:pPr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 w:rsidRPr="00EB683D">
              <w:rPr>
                <w:b/>
                <w:i/>
                <w:sz w:val="22"/>
                <w:szCs w:val="22"/>
              </w:rPr>
              <w:t>ИТОГО</w:t>
            </w:r>
          </w:p>
        </w:tc>
        <w:tc>
          <w:tcPr>
            <w:tcW w:w="1478" w:type="dxa"/>
          </w:tcPr>
          <w:p w:rsidR="00EB683D" w:rsidRPr="00EB683D" w:rsidRDefault="00EB683D" w:rsidP="006D4DAE">
            <w:pPr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 w:rsidRPr="00EB683D">
              <w:rPr>
                <w:b/>
                <w:i/>
                <w:sz w:val="22"/>
                <w:szCs w:val="22"/>
              </w:rPr>
              <w:t>58616</w:t>
            </w:r>
          </w:p>
        </w:tc>
        <w:tc>
          <w:tcPr>
            <w:tcW w:w="1438" w:type="dxa"/>
          </w:tcPr>
          <w:p w:rsidR="00EB683D" w:rsidRPr="00EB683D" w:rsidRDefault="00EB683D" w:rsidP="006D4DAE">
            <w:pPr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 w:rsidRPr="00EB683D">
              <w:rPr>
                <w:b/>
                <w:i/>
                <w:sz w:val="22"/>
                <w:szCs w:val="22"/>
              </w:rPr>
              <w:t>286</w:t>
            </w:r>
          </w:p>
        </w:tc>
      </w:tr>
    </w:tbl>
    <w:p w:rsidR="00A97D97" w:rsidRPr="006D4DAE" w:rsidRDefault="00A97D97" w:rsidP="00AA67DA">
      <w:pPr>
        <w:ind w:firstLine="708"/>
        <w:rPr>
          <w:i/>
          <w:sz w:val="22"/>
          <w:szCs w:val="22"/>
        </w:rPr>
      </w:pPr>
    </w:p>
    <w:p w:rsidR="008619C2" w:rsidRDefault="008F5835" w:rsidP="00E06213">
      <w:pPr>
        <w:spacing w:line="276" w:lineRule="auto"/>
        <w:ind w:firstLine="708"/>
      </w:pPr>
      <w:r>
        <w:lastRenderedPageBreak/>
        <w:t>в</w:t>
      </w:r>
      <w:r w:rsidR="009813AD" w:rsidRPr="00860C64">
        <w:t xml:space="preserve"> бюджетах регионов (местных бюджетах) запланированы бюджетные ассигнования по кодам классификации видов расходов, предназначенных для отражения операций в рамках социального заказа.</w:t>
      </w:r>
    </w:p>
    <w:p w:rsidR="008D10C0" w:rsidRPr="008D10C0" w:rsidRDefault="008D10C0" w:rsidP="00E06213">
      <w:pPr>
        <w:spacing w:line="276" w:lineRule="auto"/>
        <w:ind w:firstLine="708"/>
        <w:rPr>
          <w:b/>
          <w:i/>
          <w:sz w:val="22"/>
          <w:u w:val="single"/>
        </w:rPr>
      </w:pPr>
      <w:proofErr w:type="spellStart"/>
      <w:r w:rsidRPr="008D10C0">
        <w:rPr>
          <w:b/>
          <w:i/>
          <w:sz w:val="22"/>
          <w:u w:val="single"/>
        </w:rPr>
        <w:t>Справочно</w:t>
      </w:r>
      <w:proofErr w:type="spellEnd"/>
      <w:r w:rsidRPr="008D10C0">
        <w:rPr>
          <w:b/>
          <w:i/>
          <w:sz w:val="22"/>
          <w:u w:val="single"/>
        </w:rPr>
        <w:t>:</w:t>
      </w:r>
    </w:p>
    <w:p w:rsidR="008D10C0" w:rsidRPr="008D10C0" w:rsidRDefault="008D10C0" w:rsidP="008D10C0">
      <w:pPr>
        <w:spacing w:line="240" w:lineRule="auto"/>
        <w:ind w:firstLine="709"/>
        <w:rPr>
          <w:sz w:val="22"/>
          <w:szCs w:val="20"/>
        </w:rPr>
      </w:pPr>
      <w:r w:rsidRPr="008D10C0">
        <w:rPr>
          <w:sz w:val="22"/>
          <w:szCs w:val="20"/>
        </w:rPr>
        <w:t xml:space="preserve">Внесены изменений в приказ Минфина России </w:t>
      </w:r>
      <w:r w:rsidRPr="008D10C0">
        <w:rPr>
          <w:sz w:val="22"/>
          <w:szCs w:val="20"/>
        </w:rPr>
        <w:t>от 6 июня 2019 г. N 85н "О Порядке формирования и применения кодов бюджетной классификации Российской Федерации, их структуре и принципах назначения" (Зарегистрировано в Минюсте России 24.09.2020 N 60018). Указанный приказ предусматривает новые виды расходов, необходимые для реализации положений Федерального закона от 13.07.2020 N 189-ФЗ "О государственном (муниципальном) социальном заказе на оказание государственных (муниципальных) услуг в социальной сфере"</w:t>
      </w:r>
      <w:r>
        <w:rPr>
          <w:sz w:val="22"/>
          <w:szCs w:val="20"/>
        </w:rPr>
        <w:t>, согласно которым предусматриваются новые виды расходов</w:t>
      </w:r>
      <w:r w:rsidRPr="008D10C0">
        <w:rPr>
          <w:sz w:val="22"/>
          <w:szCs w:val="20"/>
        </w:rPr>
        <w:t>:</w:t>
      </w:r>
    </w:p>
    <w:p w:rsidR="008D10C0" w:rsidRPr="008D10C0" w:rsidRDefault="008D10C0" w:rsidP="008D10C0">
      <w:pPr>
        <w:autoSpaceDE w:val="0"/>
        <w:autoSpaceDN w:val="0"/>
        <w:spacing w:line="240" w:lineRule="auto"/>
        <w:ind w:firstLine="709"/>
        <w:rPr>
          <w:sz w:val="22"/>
          <w:szCs w:val="20"/>
        </w:rPr>
      </w:pPr>
      <w:r w:rsidRPr="008D10C0">
        <w:rPr>
          <w:sz w:val="22"/>
          <w:szCs w:val="20"/>
        </w:rPr>
        <w:t>"</w:t>
      </w:r>
      <w:r w:rsidRPr="008D10C0">
        <w:rPr>
          <w:b/>
          <w:bCs/>
          <w:sz w:val="22"/>
          <w:szCs w:val="20"/>
        </w:rPr>
        <w:t>614</w:t>
      </w:r>
      <w:r w:rsidRPr="008D10C0">
        <w:rPr>
          <w:sz w:val="22"/>
          <w:szCs w:val="20"/>
        </w:rPr>
        <w:t xml:space="preserve"> 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сфере" отражаются расходы бюджетов бюджетной системы Российской Федерации на предоставление бюджетным учреждениям субсидий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сфере.";</w:t>
      </w:r>
    </w:p>
    <w:p w:rsidR="008D10C0" w:rsidRPr="008D10C0" w:rsidRDefault="008D10C0" w:rsidP="008D10C0">
      <w:pPr>
        <w:autoSpaceDE w:val="0"/>
        <w:autoSpaceDN w:val="0"/>
        <w:spacing w:before="200" w:line="240" w:lineRule="auto"/>
        <w:ind w:firstLine="709"/>
        <w:rPr>
          <w:sz w:val="22"/>
          <w:szCs w:val="20"/>
        </w:rPr>
      </w:pPr>
      <w:r w:rsidRPr="008D10C0">
        <w:rPr>
          <w:sz w:val="22"/>
          <w:szCs w:val="20"/>
        </w:rPr>
        <w:t>"</w:t>
      </w:r>
      <w:r w:rsidRPr="008D10C0">
        <w:rPr>
          <w:b/>
          <w:bCs/>
          <w:sz w:val="22"/>
          <w:szCs w:val="20"/>
        </w:rPr>
        <w:t>624</w:t>
      </w:r>
      <w:r w:rsidRPr="008D10C0">
        <w:rPr>
          <w:sz w:val="22"/>
          <w:szCs w:val="20"/>
        </w:rPr>
        <w:t xml:space="preserve"> Субсидии автономным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сфере" отражаются расходы бюджетов бюджетной системы Российской Федерации на предоставление автономным учреждениям субсидий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сфере.";</w:t>
      </w:r>
    </w:p>
    <w:p w:rsidR="008D10C0" w:rsidRPr="008D10C0" w:rsidRDefault="008D10C0" w:rsidP="008D10C0">
      <w:pPr>
        <w:autoSpaceDE w:val="0"/>
        <w:autoSpaceDN w:val="0"/>
        <w:spacing w:before="200" w:line="240" w:lineRule="auto"/>
        <w:ind w:firstLine="709"/>
        <w:rPr>
          <w:sz w:val="22"/>
          <w:szCs w:val="20"/>
        </w:rPr>
      </w:pPr>
      <w:r w:rsidRPr="008D10C0">
        <w:rPr>
          <w:sz w:val="22"/>
          <w:szCs w:val="20"/>
        </w:rPr>
        <w:t>"</w:t>
      </w:r>
      <w:r w:rsidRPr="008D10C0">
        <w:rPr>
          <w:b/>
          <w:bCs/>
          <w:sz w:val="22"/>
          <w:szCs w:val="20"/>
        </w:rPr>
        <w:t>635</w:t>
      </w:r>
      <w:r w:rsidRPr="008D10C0">
        <w:rPr>
          <w:sz w:val="22"/>
          <w:szCs w:val="20"/>
        </w:rPr>
        <w:t xml:space="preserve"> 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сфере" отражаются расходы бюджетов бюджетной системы Российской Федерации на предоставление субсидий иным некоммерческим организациям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 на оплату соглашения:</w:t>
      </w:r>
    </w:p>
    <w:p w:rsidR="008D10C0" w:rsidRPr="008D10C0" w:rsidRDefault="008D10C0" w:rsidP="008D10C0">
      <w:pPr>
        <w:autoSpaceDE w:val="0"/>
        <w:autoSpaceDN w:val="0"/>
        <w:spacing w:before="200" w:line="240" w:lineRule="auto"/>
        <w:ind w:firstLine="709"/>
        <w:rPr>
          <w:sz w:val="22"/>
          <w:szCs w:val="20"/>
        </w:rPr>
      </w:pPr>
      <w:r w:rsidRPr="008D10C0">
        <w:rPr>
          <w:sz w:val="22"/>
          <w:szCs w:val="20"/>
        </w:rPr>
        <w:t>об оказании государственных (муниципальных) услуг в социальной сфере, заключенного по результатам конкурса;</w:t>
      </w:r>
    </w:p>
    <w:p w:rsidR="008D10C0" w:rsidRPr="008D10C0" w:rsidRDefault="008D10C0" w:rsidP="008D10C0">
      <w:pPr>
        <w:autoSpaceDE w:val="0"/>
        <w:autoSpaceDN w:val="0"/>
        <w:spacing w:before="200" w:line="240" w:lineRule="auto"/>
        <w:ind w:firstLine="709"/>
        <w:rPr>
          <w:sz w:val="22"/>
          <w:szCs w:val="20"/>
        </w:rPr>
      </w:pPr>
      <w:r w:rsidRPr="008D10C0">
        <w:rPr>
          <w:sz w:val="22"/>
          <w:szCs w:val="20"/>
        </w:rPr>
        <w:t>о финансовом обеспечении (возмещении) затрат, связанных с оказанием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сфере.";</w:t>
      </w:r>
    </w:p>
    <w:p w:rsidR="008D10C0" w:rsidRPr="008D10C0" w:rsidRDefault="008D10C0" w:rsidP="008D10C0">
      <w:pPr>
        <w:autoSpaceDE w:val="0"/>
        <w:autoSpaceDN w:val="0"/>
        <w:spacing w:before="200" w:line="240" w:lineRule="auto"/>
        <w:ind w:firstLine="709"/>
        <w:rPr>
          <w:sz w:val="22"/>
          <w:szCs w:val="20"/>
        </w:rPr>
      </w:pPr>
      <w:r w:rsidRPr="008D10C0">
        <w:rPr>
          <w:sz w:val="22"/>
          <w:szCs w:val="20"/>
        </w:rPr>
        <w:t>"</w:t>
      </w:r>
      <w:r w:rsidRPr="008D10C0">
        <w:rPr>
          <w:b/>
          <w:bCs/>
          <w:sz w:val="22"/>
          <w:szCs w:val="20"/>
        </w:rPr>
        <w:t>816</w:t>
      </w:r>
      <w:r w:rsidRPr="008D10C0">
        <w:rPr>
          <w:sz w:val="22"/>
          <w:szCs w:val="20"/>
        </w:rPr>
        <w:t xml:space="preserve"> 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сфере" отражаются расходы бюджетов бюджетной системы Российской Федерации на предоставление субсидий юридическим лицам (кроме некоммерческих организаций), индивидуальным предпринимателям, физическим лицам - производителям товаров, работ, услуг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 на оплату соглашения:</w:t>
      </w:r>
    </w:p>
    <w:p w:rsidR="008D10C0" w:rsidRPr="008D10C0" w:rsidRDefault="008D10C0" w:rsidP="008D10C0">
      <w:pPr>
        <w:autoSpaceDE w:val="0"/>
        <w:autoSpaceDN w:val="0"/>
        <w:spacing w:before="200" w:line="240" w:lineRule="auto"/>
        <w:ind w:firstLine="709"/>
        <w:rPr>
          <w:sz w:val="22"/>
          <w:szCs w:val="20"/>
        </w:rPr>
      </w:pPr>
      <w:r w:rsidRPr="008D10C0">
        <w:rPr>
          <w:sz w:val="22"/>
          <w:szCs w:val="20"/>
        </w:rPr>
        <w:t>об оказании государственных (муниципальных) услуг в социальной сфере, заключенного по результатам конкурса;</w:t>
      </w:r>
    </w:p>
    <w:p w:rsidR="008D10C0" w:rsidRPr="008D10C0" w:rsidRDefault="008D10C0" w:rsidP="008D10C0">
      <w:pPr>
        <w:autoSpaceDE w:val="0"/>
        <w:autoSpaceDN w:val="0"/>
        <w:spacing w:before="200" w:line="240" w:lineRule="auto"/>
        <w:ind w:firstLine="709"/>
        <w:rPr>
          <w:sz w:val="22"/>
          <w:szCs w:val="20"/>
        </w:rPr>
      </w:pPr>
      <w:r w:rsidRPr="008D10C0">
        <w:rPr>
          <w:sz w:val="22"/>
          <w:szCs w:val="20"/>
        </w:rPr>
        <w:t>о финансовом обеспечении (возмещении) затрат, связанных с оказанием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сфере.";</w:t>
      </w:r>
    </w:p>
    <w:p w:rsidR="008D10C0" w:rsidRDefault="008D10C0" w:rsidP="00E06213">
      <w:pPr>
        <w:spacing w:line="276" w:lineRule="auto"/>
        <w:ind w:firstLine="708"/>
      </w:pPr>
    </w:p>
    <w:p w:rsidR="001E6D72" w:rsidRDefault="001E6D72" w:rsidP="00E06213">
      <w:pPr>
        <w:spacing w:line="276" w:lineRule="auto"/>
        <w:ind w:firstLine="708"/>
      </w:pPr>
      <w:r>
        <w:t>В 2021 году Минфином России совместно с отраслевыми федеральными органами исполнительной власти будет продолжена работа по методологическому сопровождению (</w:t>
      </w:r>
      <w:r w:rsidRPr="00AF6B97">
        <w:rPr>
          <w:i/>
        </w:rPr>
        <w:t>проект плана мероприятий прилагается</w:t>
      </w:r>
      <w:r>
        <w:t>).</w:t>
      </w:r>
    </w:p>
    <w:p w:rsidR="008619C2" w:rsidRDefault="00C746AA" w:rsidP="00E06213">
      <w:pPr>
        <w:spacing w:line="276" w:lineRule="auto"/>
        <w:ind w:firstLine="708"/>
      </w:pPr>
      <w:r>
        <w:lastRenderedPageBreak/>
        <w:t>В частности, о</w:t>
      </w:r>
      <w:r w:rsidR="001E6D72">
        <w:t xml:space="preserve">дним из приоритетов работы </w:t>
      </w:r>
      <w:r>
        <w:t>по</w:t>
      </w:r>
      <w:r w:rsidR="001E6D72">
        <w:t xml:space="preserve"> реализации </w:t>
      </w:r>
      <w:r w:rsidR="00AF6B97">
        <w:t>Закона о социальном заказе</w:t>
      </w:r>
      <w:r w:rsidR="001E6D72">
        <w:t xml:space="preserve"> на 2021 год явля</w:t>
      </w:r>
      <w:r>
        <w:t>ю</w:t>
      </w:r>
      <w:r w:rsidR="001E6D72">
        <w:t>тся</w:t>
      </w:r>
      <w:r w:rsidR="00380C39">
        <w:t xml:space="preserve"> </w:t>
      </w:r>
      <w:r w:rsidR="00947F74">
        <w:t>мероприятия по коммуникационной поддержке, направленные на разъяснение новых механизмов организации оказания государственных услуг для различных целевых групп, выстраивание диалога между органами государственной власти, некоммерческими организациями и потребителями услуг, получение обратной связи от всех участников взаимоотношений.</w:t>
      </w:r>
    </w:p>
    <w:p w:rsidR="00380C39" w:rsidRDefault="00380C39" w:rsidP="00E06213">
      <w:pPr>
        <w:spacing w:line="276" w:lineRule="auto"/>
        <w:ind w:firstLine="708"/>
      </w:pPr>
      <w:r>
        <w:t xml:space="preserve">В этой связи в субъектах Российской Федерации будет организована подготовка разъясняющих видео и аудио материалов для различных целевых групп, а также обеспечено </w:t>
      </w:r>
      <w:r w:rsidR="003D1D08">
        <w:t>взаимодействие с негосударственными организациями, действующими в отраслях социальной сферы, общественными объединениями указанных организаций, региональными институтами развития, представителей сообществ получателей услуг</w:t>
      </w:r>
      <w:r>
        <w:t xml:space="preserve"> на базе созданных в субъектах Российской Федерации межведомственных рабочих групп. </w:t>
      </w:r>
    </w:p>
    <w:p w:rsidR="00C746AA" w:rsidRDefault="00C746AA" w:rsidP="00E06213">
      <w:pPr>
        <w:spacing w:line="276" w:lineRule="auto"/>
        <w:ind w:firstLine="708"/>
      </w:pPr>
      <w:r>
        <w:t xml:space="preserve">Кроме того, в рамках работы указанных рабочих групп в 2021 году предполагается рассмотреть следующие вопросы: </w:t>
      </w:r>
    </w:p>
    <w:p w:rsidR="00380C39" w:rsidRDefault="000D2906" w:rsidP="00E06213">
      <w:pPr>
        <w:spacing w:line="276" w:lineRule="auto"/>
        <w:ind w:firstLine="708"/>
      </w:pPr>
      <w:r>
        <w:t xml:space="preserve">- </w:t>
      </w:r>
      <w:r w:rsidR="00380C39">
        <w:t>разр</w:t>
      </w:r>
      <w:r w:rsidR="00A014B6">
        <w:t>аботка и утверждение нормативных актов, регламентирующих</w:t>
      </w:r>
      <w:r w:rsidR="00380C39">
        <w:t xml:space="preserve"> проведение кон</w:t>
      </w:r>
      <w:r w:rsidR="00A014B6">
        <w:t>курса на определение исполнителей, актов, регулирующих работу с сертификатами, актов, вводящих мониторинг исполнения услуг и</w:t>
      </w:r>
      <w:r w:rsidR="00380C39">
        <w:t xml:space="preserve"> независимую оценку качества услуг;</w:t>
      </w:r>
    </w:p>
    <w:p w:rsidR="00380C39" w:rsidRDefault="000D2906" w:rsidP="00E06213">
      <w:pPr>
        <w:spacing w:line="276" w:lineRule="auto"/>
        <w:ind w:firstLine="708"/>
      </w:pPr>
      <w:r>
        <w:t xml:space="preserve">- </w:t>
      </w:r>
      <w:r w:rsidR="00380C39">
        <w:t xml:space="preserve">определение исходных и планируемых целевых значений </w:t>
      </w:r>
      <w:r w:rsidR="00C746AA">
        <w:t>по показателям эффективности организации оказания государственных (муниципальных) услуг в социальной сфере;</w:t>
      </w:r>
    </w:p>
    <w:p w:rsidR="00380C39" w:rsidRDefault="000D2906" w:rsidP="00E06213">
      <w:pPr>
        <w:spacing w:line="276" w:lineRule="auto"/>
        <w:ind w:firstLine="708"/>
      </w:pPr>
      <w:r>
        <w:t xml:space="preserve">- </w:t>
      </w:r>
      <w:r w:rsidR="00380C39">
        <w:t>принятие решения об объёме услуг, в отношении которого будет проводиться конкурентный отбор;</w:t>
      </w:r>
    </w:p>
    <w:p w:rsidR="00380C39" w:rsidRDefault="000D2906" w:rsidP="00E06213">
      <w:pPr>
        <w:spacing w:line="276" w:lineRule="auto"/>
        <w:ind w:firstLine="708"/>
      </w:pPr>
      <w:r>
        <w:t xml:space="preserve">- </w:t>
      </w:r>
      <w:r w:rsidR="00380C39">
        <w:t xml:space="preserve">обсуждение предварительных итогов первого года апробации. </w:t>
      </w:r>
    </w:p>
    <w:p w:rsidR="00380C39" w:rsidRDefault="00380C39" w:rsidP="00E06213">
      <w:pPr>
        <w:spacing w:line="276" w:lineRule="auto"/>
        <w:ind w:firstLine="708"/>
      </w:pPr>
      <w:r>
        <w:t xml:space="preserve">В 2021 году </w:t>
      </w:r>
      <w:r w:rsidR="001E6D72">
        <w:t>также запланировано решение задач</w:t>
      </w:r>
      <w:r>
        <w:t xml:space="preserve">, направленных на </w:t>
      </w:r>
      <w:proofErr w:type="spellStart"/>
      <w:r>
        <w:t>цифровизацию</w:t>
      </w:r>
      <w:proofErr w:type="spellEnd"/>
      <w:r>
        <w:t xml:space="preserve"> процесса формирования и исполнения государственных (муниципальных) социальных заказов. В частности, потребуется обеспечить:</w:t>
      </w:r>
    </w:p>
    <w:p w:rsidR="003D1D08" w:rsidRDefault="003D1D08" w:rsidP="00E06213">
      <w:pPr>
        <w:spacing w:line="276" w:lineRule="auto"/>
        <w:ind w:firstLine="708"/>
      </w:pPr>
      <w:r>
        <w:t>проведение конкурса на заключение соглашения об оказании государственных (муниципальных) услуг в ГИС «Электронный бюджет» или региональной информационной системе (в случае принятия регионом соответствующего решения);</w:t>
      </w:r>
    </w:p>
    <w:p w:rsidR="00C746AA" w:rsidRDefault="00380C39" w:rsidP="00E06213">
      <w:pPr>
        <w:spacing w:line="276" w:lineRule="auto"/>
        <w:ind w:firstLine="708"/>
      </w:pPr>
      <w:r>
        <w:t>использование Единого</w:t>
      </w:r>
      <w:r w:rsidR="003D1D08">
        <w:t xml:space="preserve"> </w:t>
      </w:r>
      <w:r>
        <w:t xml:space="preserve">портала </w:t>
      </w:r>
      <w:r w:rsidR="00CB5C2B">
        <w:t>государственных (муниципальных) услуг</w:t>
      </w:r>
      <w:r w:rsidR="003D1D08">
        <w:t xml:space="preserve"> </w:t>
      </w:r>
      <w:r>
        <w:t xml:space="preserve">в целях </w:t>
      </w:r>
      <w:r w:rsidR="003D1D08">
        <w:t>выбора</w:t>
      </w:r>
      <w:r>
        <w:t xml:space="preserve"> получателем социального сертификата</w:t>
      </w:r>
      <w:r w:rsidR="003D1D08">
        <w:t xml:space="preserve"> </w:t>
      </w:r>
      <w:r>
        <w:t xml:space="preserve">исполнителя </w:t>
      </w:r>
      <w:r w:rsidR="003D1D08">
        <w:t>услуг</w:t>
      </w:r>
      <w:r>
        <w:t xml:space="preserve"> из реестра исполнителей услуг</w:t>
      </w:r>
      <w:r w:rsidR="003D1D08">
        <w:t xml:space="preserve"> по </w:t>
      </w:r>
      <w:r>
        <w:t xml:space="preserve">социальному </w:t>
      </w:r>
      <w:r w:rsidR="006759A5">
        <w:t>сертификату</w:t>
      </w:r>
      <w:r>
        <w:t xml:space="preserve">, а также </w:t>
      </w:r>
      <w:r w:rsidR="003D1D08">
        <w:t xml:space="preserve">подачи заявления о включении в реестр исполнителей услуг по сертификату, заявки на участие в конкурсе через Единый портал </w:t>
      </w:r>
      <w:r w:rsidR="00CB5C2B">
        <w:t>государственных (муниципальных) услуг;</w:t>
      </w:r>
    </w:p>
    <w:p w:rsidR="003D1D08" w:rsidRDefault="003D1D08" w:rsidP="00E06213">
      <w:pPr>
        <w:spacing w:line="276" w:lineRule="auto"/>
        <w:ind w:firstLine="708"/>
      </w:pPr>
      <w:r>
        <w:lastRenderedPageBreak/>
        <w:t xml:space="preserve">ведение рейтинга исполнителей услуг на сайте </w:t>
      </w:r>
      <w:hyperlink r:id="rId8" w:history="1">
        <w:r w:rsidRPr="008F5835">
          <w:rPr>
            <w:rStyle w:val="ae"/>
            <w:lang w:val="en-US"/>
          </w:rPr>
          <w:t>www</w:t>
        </w:r>
        <w:r w:rsidRPr="00E75BB8">
          <w:rPr>
            <w:rStyle w:val="ae"/>
          </w:rPr>
          <w:t>.</w:t>
        </w:r>
        <w:r w:rsidRPr="008F5835">
          <w:rPr>
            <w:rStyle w:val="ae"/>
            <w:lang w:val="en-US"/>
          </w:rPr>
          <w:t>bus</w:t>
        </w:r>
        <w:r w:rsidRPr="00E75BB8">
          <w:rPr>
            <w:rStyle w:val="ae"/>
          </w:rPr>
          <w:t>.</w:t>
        </w:r>
        <w:proofErr w:type="spellStart"/>
        <w:r w:rsidRPr="008F5835">
          <w:rPr>
            <w:rStyle w:val="ae"/>
            <w:lang w:val="en-US"/>
          </w:rPr>
          <w:t>gov</w:t>
        </w:r>
        <w:proofErr w:type="spellEnd"/>
        <w:r w:rsidRPr="00E75BB8">
          <w:rPr>
            <w:rStyle w:val="ae"/>
          </w:rPr>
          <w:t>.</w:t>
        </w:r>
        <w:proofErr w:type="spellStart"/>
        <w:r w:rsidRPr="008F5835">
          <w:rPr>
            <w:rStyle w:val="ae"/>
            <w:lang w:val="en-US"/>
          </w:rPr>
          <w:t>ru</w:t>
        </w:r>
        <w:proofErr w:type="spellEnd"/>
      </w:hyperlink>
      <w:r w:rsidRPr="00E75BB8">
        <w:t xml:space="preserve"> </w:t>
      </w:r>
      <w:r>
        <w:t>и размещение информации об участниках конкурса;</w:t>
      </w:r>
    </w:p>
    <w:p w:rsidR="003D1D08" w:rsidRDefault="008F5835" w:rsidP="00E06213">
      <w:pPr>
        <w:spacing w:line="276" w:lineRule="auto"/>
        <w:ind w:firstLine="708"/>
      </w:pPr>
      <w:r>
        <w:t>д</w:t>
      </w:r>
      <w:r w:rsidR="008B6434">
        <w:t>оработку</w:t>
      </w:r>
      <w:r w:rsidR="00380C39">
        <w:t xml:space="preserve"> </w:t>
      </w:r>
      <w:r w:rsidR="003D1D08">
        <w:t>региональных информационных систем в целях обеспечения электронного взаимодействия между уполномоченными органами, исполнителями услуг и потребителями услуг</w:t>
      </w:r>
      <w:r w:rsidR="00CB5C2B">
        <w:t xml:space="preserve"> в </w:t>
      </w:r>
      <w:r w:rsidR="00A56ADF">
        <w:t>регионах-пилотах</w:t>
      </w:r>
      <w:r w:rsidR="003D1D08">
        <w:t>;</w:t>
      </w:r>
    </w:p>
    <w:p w:rsidR="008F5835" w:rsidRDefault="00380C39" w:rsidP="00E06213">
      <w:pPr>
        <w:spacing w:line="276" w:lineRule="auto"/>
        <w:ind w:firstLine="708"/>
      </w:pPr>
      <w:r>
        <w:t xml:space="preserve">публикацию результатов отбора, проведенных в соответствии с </w:t>
      </w:r>
      <w:r w:rsidR="006D4DAE">
        <w:t>Законом о социальном заказе</w:t>
      </w:r>
      <w:r>
        <w:t>, на Едином портале бюджетной системы</w:t>
      </w:r>
      <w:r w:rsidR="00196C93">
        <w:t>.</w:t>
      </w:r>
    </w:p>
    <w:p w:rsidR="008F5835" w:rsidRDefault="00196C93" w:rsidP="00E06213">
      <w:pPr>
        <w:spacing w:line="276" w:lineRule="auto"/>
        <w:ind w:firstLine="708"/>
      </w:pPr>
      <w:r>
        <w:t xml:space="preserve">Кроме того, в 2021 году планируется расширить количество субъектов Российской Федерации, на территории которых реализуется </w:t>
      </w:r>
      <w:r w:rsidR="006D4DAE">
        <w:t>Закон о социальном заказе</w:t>
      </w:r>
      <w:r w:rsidR="00FB27F8">
        <w:t xml:space="preserve"> </w:t>
      </w:r>
      <w:r w:rsidR="001E6D72">
        <w:t xml:space="preserve">из </w:t>
      </w:r>
      <w:r w:rsidR="003D1D08">
        <w:t>числа направивших запрос на участие в апробации с 2022 год</w:t>
      </w:r>
      <w:r w:rsidR="001E6D72">
        <w:t>.</w:t>
      </w:r>
    </w:p>
    <w:p w:rsidR="00C746AA" w:rsidRDefault="00F766B5" w:rsidP="00E06213">
      <w:pPr>
        <w:spacing w:line="276" w:lineRule="auto"/>
        <w:ind w:firstLine="708"/>
      </w:pPr>
      <w:r>
        <w:t xml:space="preserve">В дальнейшем также планируется обеспечить </w:t>
      </w:r>
      <w:r w:rsidR="003D1D08">
        <w:t>формирование системы мониторинга и контроля за исполнением соглашений об оказании государственных (муниципальных) услуг, в том числе с использованием информационных систем, достижением утвержденных значений по следующим показателям эффективности</w:t>
      </w:r>
      <w:r w:rsidR="003D1D08" w:rsidRPr="00815D0B">
        <w:t xml:space="preserve"> </w:t>
      </w:r>
      <w:r w:rsidR="003D1D08" w:rsidRPr="008F5835">
        <w:t xml:space="preserve">реализации </w:t>
      </w:r>
      <w:r w:rsidR="006D4DAE">
        <w:t>Закона о социальном заказе</w:t>
      </w:r>
      <w:r w:rsidR="003D1D08">
        <w:t xml:space="preserve">: </w:t>
      </w:r>
    </w:p>
    <w:p w:rsidR="00C746AA" w:rsidRDefault="003D1D08" w:rsidP="00E06213">
      <w:pPr>
        <w:spacing w:line="276" w:lineRule="auto"/>
        <w:ind w:firstLine="708"/>
      </w:pPr>
      <w:r w:rsidRPr="00E75BB8">
        <w:t>улучшение условий для оказания государственных услу</w:t>
      </w:r>
      <w:r w:rsidR="00C746AA">
        <w:t>г некоммерческими организациями;</w:t>
      </w:r>
    </w:p>
    <w:p w:rsidR="00C746AA" w:rsidRDefault="003D1D08" w:rsidP="00E06213">
      <w:pPr>
        <w:spacing w:line="276" w:lineRule="auto"/>
        <w:ind w:firstLine="708"/>
      </w:pPr>
      <w:r w:rsidRPr="00E75BB8">
        <w:t xml:space="preserve"> усиление конкуренции при выборе негосударственных исполнителей </w:t>
      </w:r>
      <w:r w:rsidR="00C746AA">
        <w:t>услуг;</w:t>
      </w:r>
    </w:p>
    <w:p w:rsidR="00C746AA" w:rsidRDefault="003D1D08" w:rsidP="00E06213">
      <w:pPr>
        <w:spacing w:line="276" w:lineRule="auto"/>
        <w:ind w:firstLine="708"/>
      </w:pPr>
      <w:r w:rsidRPr="00E75BB8">
        <w:t>увеличение охвата услугами/доступа к услугам, пов</w:t>
      </w:r>
      <w:r w:rsidR="00C746AA">
        <w:t>ышение качества оказанных услуг;</w:t>
      </w:r>
    </w:p>
    <w:p w:rsidR="00FB27F8" w:rsidRDefault="00E06213" w:rsidP="00E06213">
      <w:pPr>
        <w:spacing w:line="276" w:lineRule="auto"/>
        <w:ind w:firstLine="708"/>
      </w:pPr>
      <w:r w:rsidRPr="00E06213">
        <w:t>повышение качества и доступности услуг (по опросам потребителей услуг) не менее чем в 1,</w:t>
      </w:r>
      <w:proofErr w:type="gramStart"/>
      <w:r w:rsidRPr="00E06213">
        <w:t>2  раза</w:t>
      </w:r>
      <w:proofErr w:type="gramEnd"/>
      <w:r w:rsidRPr="00E06213">
        <w:t xml:space="preserve"> для порядка</w:t>
      </w:r>
      <w:r w:rsidR="008D10C0">
        <w:t xml:space="preserve"> </w:t>
      </w:r>
      <w:r w:rsidRPr="00E06213">
        <w:t>3 млн. человек</w:t>
      </w:r>
      <w:r w:rsidR="003D1D08" w:rsidRPr="00E75BB8">
        <w:t>.</w:t>
      </w:r>
    </w:p>
    <w:p w:rsidR="009261F9" w:rsidRDefault="003D1D08" w:rsidP="00E06213">
      <w:pPr>
        <w:spacing w:line="276" w:lineRule="auto"/>
        <w:ind w:firstLine="708"/>
        <w:rPr>
          <w:b/>
          <w:i/>
          <w:sz w:val="20"/>
        </w:rPr>
      </w:pPr>
      <w:r w:rsidRPr="00896088">
        <w:t>По итогам 6 месяцев 2024 года планируется проведение обследования с целью подтверждения достижения запланированных значений показателей</w:t>
      </w:r>
      <w:r w:rsidR="00863684">
        <w:t xml:space="preserve"> эффективности</w:t>
      </w:r>
      <w:r w:rsidRPr="00896088">
        <w:t xml:space="preserve">, обсуждение результатов на заседаниях Общественной палаты Российской Федерации и направление доклада в Правительство Российской Федерации о режиме применения </w:t>
      </w:r>
      <w:r w:rsidR="006D4DAE">
        <w:t>Закона о социальном заказе</w:t>
      </w:r>
      <w:r w:rsidRPr="00896088">
        <w:t xml:space="preserve"> после 1 января 2025 года.</w:t>
      </w:r>
    </w:p>
    <w:sectPr w:rsidR="009261F9" w:rsidSect="008D10C0">
      <w:headerReference w:type="default" r:id="rId9"/>
      <w:pgSz w:w="11906" w:h="16838"/>
      <w:pgMar w:top="1134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D98" w:rsidRDefault="00676D98" w:rsidP="00041E4A">
      <w:pPr>
        <w:spacing w:after="0" w:line="240" w:lineRule="auto"/>
      </w:pPr>
      <w:r>
        <w:separator/>
      </w:r>
    </w:p>
  </w:endnote>
  <w:endnote w:type="continuationSeparator" w:id="0">
    <w:p w:rsidR="00676D98" w:rsidRDefault="00676D98" w:rsidP="0004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D98" w:rsidRDefault="00676D98" w:rsidP="00041E4A">
      <w:pPr>
        <w:spacing w:after="0" w:line="240" w:lineRule="auto"/>
      </w:pPr>
      <w:r>
        <w:separator/>
      </w:r>
    </w:p>
  </w:footnote>
  <w:footnote w:type="continuationSeparator" w:id="0">
    <w:p w:rsidR="00676D98" w:rsidRDefault="00676D98" w:rsidP="0004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7264738"/>
      <w:docPartObj>
        <w:docPartGallery w:val="Page Numbers (Top of Page)"/>
        <w:docPartUnique/>
      </w:docPartObj>
    </w:sdtPr>
    <w:sdtEndPr/>
    <w:sdtContent>
      <w:p w:rsidR="00244272" w:rsidRDefault="0024427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0C0">
          <w:rPr>
            <w:noProof/>
          </w:rPr>
          <w:t>6</w:t>
        </w:r>
        <w:r>
          <w:fldChar w:fldCharType="end"/>
        </w:r>
      </w:p>
    </w:sdtContent>
  </w:sdt>
  <w:p w:rsidR="00244272" w:rsidRDefault="002442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0695"/>
    <w:multiLevelType w:val="hybridMultilevel"/>
    <w:tmpl w:val="83DE6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110AC"/>
    <w:multiLevelType w:val="hybridMultilevel"/>
    <w:tmpl w:val="8C3098B4"/>
    <w:lvl w:ilvl="0" w:tplc="5BDC6EF8">
      <w:start w:val="1"/>
      <w:numFmt w:val="decimal"/>
      <w:lvlText w:val="%1)"/>
      <w:lvlJc w:val="left"/>
      <w:pPr>
        <w:ind w:left="1234" w:hanging="52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832C5E"/>
    <w:multiLevelType w:val="hybridMultilevel"/>
    <w:tmpl w:val="7ABC0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0635C"/>
    <w:multiLevelType w:val="hybridMultilevel"/>
    <w:tmpl w:val="065A0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E3A15"/>
    <w:multiLevelType w:val="hybridMultilevel"/>
    <w:tmpl w:val="D53E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62079"/>
    <w:multiLevelType w:val="hybridMultilevel"/>
    <w:tmpl w:val="D3DC2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1443B"/>
    <w:multiLevelType w:val="hybridMultilevel"/>
    <w:tmpl w:val="C7522E04"/>
    <w:lvl w:ilvl="0" w:tplc="2C7CE8B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54C3DA1"/>
    <w:multiLevelType w:val="hybridMultilevel"/>
    <w:tmpl w:val="07F82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34"/>
  <w:drawingGridVerticalSpacing w:val="1134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FD"/>
    <w:rsid w:val="00013A24"/>
    <w:rsid w:val="000237E0"/>
    <w:rsid w:val="0002696A"/>
    <w:rsid w:val="00027A14"/>
    <w:rsid w:val="00041E4A"/>
    <w:rsid w:val="00043FF0"/>
    <w:rsid w:val="00057779"/>
    <w:rsid w:val="00067B93"/>
    <w:rsid w:val="00093159"/>
    <w:rsid w:val="00094C33"/>
    <w:rsid w:val="00095328"/>
    <w:rsid w:val="000A344B"/>
    <w:rsid w:val="000A51FF"/>
    <w:rsid w:val="000C293D"/>
    <w:rsid w:val="000D2906"/>
    <w:rsid w:val="000E3FCA"/>
    <w:rsid w:val="00104295"/>
    <w:rsid w:val="0011310E"/>
    <w:rsid w:val="00140224"/>
    <w:rsid w:val="00180675"/>
    <w:rsid w:val="00186661"/>
    <w:rsid w:val="00191C65"/>
    <w:rsid w:val="00192067"/>
    <w:rsid w:val="001945D0"/>
    <w:rsid w:val="00196C93"/>
    <w:rsid w:val="001A7B80"/>
    <w:rsid w:val="001B32C0"/>
    <w:rsid w:val="001C38FF"/>
    <w:rsid w:val="001C7C68"/>
    <w:rsid w:val="001E6D72"/>
    <w:rsid w:val="001E70FE"/>
    <w:rsid w:val="00215BC5"/>
    <w:rsid w:val="00230650"/>
    <w:rsid w:val="00244127"/>
    <w:rsid w:val="00244272"/>
    <w:rsid w:val="00245389"/>
    <w:rsid w:val="002464B5"/>
    <w:rsid w:val="00247F9B"/>
    <w:rsid w:val="002521F4"/>
    <w:rsid w:val="002579F2"/>
    <w:rsid w:val="00271105"/>
    <w:rsid w:val="002732AC"/>
    <w:rsid w:val="0028127F"/>
    <w:rsid w:val="0029124D"/>
    <w:rsid w:val="00293E87"/>
    <w:rsid w:val="002D1105"/>
    <w:rsid w:val="002D3ED1"/>
    <w:rsid w:val="00300C1E"/>
    <w:rsid w:val="003043C9"/>
    <w:rsid w:val="00332B50"/>
    <w:rsid w:val="00351DAA"/>
    <w:rsid w:val="00355D63"/>
    <w:rsid w:val="00360C5C"/>
    <w:rsid w:val="00365A61"/>
    <w:rsid w:val="003676BE"/>
    <w:rsid w:val="00372300"/>
    <w:rsid w:val="00380C39"/>
    <w:rsid w:val="003925D5"/>
    <w:rsid w:val="003A3444"/>
    <w:rsid w:val="003A5435"/>
    <w:rsid w:val="003B7B6D"/>
    <w:rsid w:val="003C70F7"/>
    <w:rsid w:val="003D1D08"/>
    <w:rsid w:val="003D7D46"/>
    <w:rsid w:val="00406E18"/>
    <w:rsid w:val="00407CD4"/>
    <w:rsid w:val="00414F65"/>
    <w:rsid w:val="004255D5"/>
    <w:rsid w:val="00430793"/>
    <w:rsid w:val="00436059"/>
    <w:rsid w:val="00451EDB"/>
    <w:rsid w:val="00467D6D"/>
    <w:rsid w:val="00485A85"/>
    <w:rsid w:val="004943D4"/>
    <w:rsid w:val="004A73FC"/>
    <w:rsid w:val="00550722"/>
    <w:rsid w:val="00557025"/>
    <w:rsid w:val="00583D37"/>
    <w:rsid w:val="005A17F2"/>
    <w:rsid w:val="005B1712"/>
    <w:rsid w:val="00600C56"/>
    <w:rsid w:val="0060336B"/>
    <w:rsid w:val="00645A21"/>
    <w:rsid w:val="006503C1"/>
    <w:rsid w:val="006611F0"/>
    <w:rsid w:val="00661EA6"/>
    <w:rsid w:val="006759A5"/>
    <w:rsid w:val="00676D98"/>
    <w:rsid w:val="006B1CA9"/>
    <w:rsid w:val="006B41F8"/>
    <w:rsid w:val="006D2D3B"/>
    <w:rsid w:val="006D4DAE"/>
    <w:rsid w:val="006E7065"/>
    <w:rsid w:val="0070701B"/>
    <w:rsid w:val="00713D87"/>
    <w:rsid w:val="00724FB3"/>
    <w:rsid w:val="00725946"/>
    <w:rsid w:val="00753FD6"/>
    <w:rsid w:val="007D5D69"/>
    <w:rsid w:val="007F1AC7"/>
    <w:rsid w:val="008019EF"/>
    <w:rsid w:val="00831EBA"/>
    <w:rsid w:val="00836F32"/>
    <w:rsid w:val="00850962"/>
    <w:rsid w:val="008619C2"/>
    <w:rsid w:val="00863684"/>
    <w:rsid w:val="008A11F4"/>
    <w:rsid w:val="008B2BB0"/>
    <w:rsid w:val="008B6434"/>
    <w:rsid w:val="008D10C0"/>
    <w:rsid w:val="008E37FB"/>
    <w:rsid w:val="008F5835"/>
    <w:rsid w:val="00914039"/>
    <w:rsid w:val="0092255D"/>
    <w:rsid w:val="009243A5"/>
    <w:rsid w:val="009261F9"/>
    <w:rsid w:val="00934C97"/>
    <w:rsid w:val="00941E94"/>
    <w:rsid w:val="00947F74"/>
    <w:rsid w:val="00951C20"/>
    <w:rsid w:val="00961908"/>
    <w:rsid w:val="00973849"/>
    <w:rsid w:val="00974786"/>
    <w:rsid w:val="009813AD"/>
    <w:rsid w:val="00981697"/>
    <w:rsid w:val="00981719"/>
    <w:rsid w:val="009B17E0"/>
    <w:rsid w:val="009E6F47"/>
    <w:rsid w:val="00A014B6"/>
    <w:rsid w:val="00A14515"/>
    <w:rsid w:val="00A153D7"/>
    <w:rsid w:val="00A2287A"/>
    <w:rsid w:val="00A31DEE"/>
    <w:rsid w:val="00A33791"/>
    <w:rsid w:val="00A56ADF"/>
    <w:rsid w:val="00A813C3"/>
    <w:rsid w:val="00A95B00"/>
    <w:rsid w:val="00A97D97"/>
    <w:rsid w:val="00AA67DA"/>
    <w:rsid w:val="00AD2070"/>
    <w:rsid w:val="00AE15EF"/>
    <w:rsid w:val="00AF6B97"/>
    <w:rsid w:val="00B0417A"/>
    <w:rsid w:val="00B041E6"/>
    <w:rsid w:val="00B05D80"/>
    <w:rsid w:val="00B06F7F"/>
    <w:rsid w:val="00B17039"/>
    <w:rsid w:val="00B273FD"/>
    <w:rsid w:val="00B32923"/>
    <w:rsid w:val="00B435CF"/>
    <w:rsid w:val="00B576CD"/>
    <w:rsid w:val="00B66C2F"/>
    <w:rsid w:val="00BC25C7"/>
    <w:rsid w:val="00BC72CA"/>
    <w:rsid w:val="00BD72F9"/>
    <w:rsid w:val="00BD7DF8"/>
    <w:rsid w:val="00BE2201"/>
    <w:rsid w:val="00BF01A7"/>
    <w:rsid w:val="00BF2020"/>
    <w:rsid w:val="00BF25D8"/>
    <w:rsid w:val="00C746AA"/>
    <w:rsid w:val="00C822D2"/>
    <w:rsid w:val="00C9054C"/>
    <w:rsid w:val="00CA33FF"/>
    <w:rsid w:val="00CB4AC9"/>
    <w:rsid w:val="00CB5C2B"/>
    <w:rsid w:val="00CD16AF"/>
    <w:rsid w:val="00CF33A6"/>
    <w:rsid w:val="00D30647"/>
    <w:rsid w:val="00D3690A"/>
    <w:rsid w:val="00D4055A"/>
    <w:rsid w:val="00D6374A"/>
    <w:rsid w:val="00D77960"/>
    <w:rsid w:val="00D832A2"/>
    <w:rsid w:val="00DC0210"/>
    <w:rsid w:val="00DD6825"/>
    <w:rsid w:val="00DE38B2"/>
    <w:rsid w:val="00DF386D"/>
    <w:rsid w:val="00E06213"/>
    <w:rsid w:val="00E17862"/>
    <w:rsid w:val="00E27093"/>
    <w:rsid w:val="00E41042"/>
    <w:rsid w:val="00E415EE"/>
    <w:rsid w:val="00E4789C"/>
    <w:rsid w:val="00E47AA2"/>
    <w:rsid w:val="00E47D14"/>
    <w:rsid w:val="00E70439"/>
    <w:rsid w:val="00E74F7F"/>
    <w:rsid w:val="00E95E2F"/>
    <w:rsid w:val="00E97BBF"/>
    <w:rsid w:val="00EB683D"/>
    <w:rsid w:val="00ED7351"/>
    <w:rsid w:val="00EF2490"/>
    <w:rsid w:val="00F30BE9"/>
    <w:rsid w:val="00F54251"/>
    <w:rsid w:val="00F5447D"/>
    <w:rsid w:val="00F610D2"/>
    <w:rsid w:val="00F6481A"/>
    <w:rsid w:val="00F70085"/>
    <w:rsid w:val="00F766B5"/>
    <w:rsid w:val="00F846E4"/>
    <w:rsid w:val="00F8602C"/>
    <w:rsid w:val="00FA0F94"/>
    <w:rsid w:val="00FB0018"/>
    <w:rsid w:val="00FB05E4"/>
    <w:rsid w:val="00FB27F8"/>
    <w:rsid w:val="00FB7811"/>
    <w:rsid w:val="00FD1057"/>
    <w:rsid w:val="00FE1215"/>
    <w:rsid w:val="00F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C1AFA8A"/>
  <w14:defaultImageDpi w14:val="32767"/>
  <w15:docId w15:val="{C38E3D73-A7E9-49C8-9014-7416B570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7DA"/>
    <w:pPr>
      <w:spacing w:before="240" w:after="240"/>
      <w:contextualSpacing/>
      <w:jc w:val="both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paragraph" w:styleId="aa">
    <w:name w:val="List Paragraph"/>
    <w:basedOn w:val="a"/>
    <w:link w:val="ab"/>
    <w:uiPriority w:val="34"/>
    <w:qFormat/>
    <w:rsid w:val="00407CD4"/>
    <w:pPr>
      <w:ind w:left="720"/>
    </w:pPr>
  </w:style>
  <w:style w:type="paragraph" w:styleId="ac">
    <w:name w:val="Balloon Text"/>
    <w:basedOn w:val="a"/>
    <w:link w:val="ad"/>
    <w:uiPriority w:val="99"/>
    <w:semiHidden/>
    <w:unhideWhenUsed/>
    <w:rsid w:val="0018067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80675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8019EF"/>
    <w:rPr>
      <w:color w:val="0563C1" w:themeColor="hyperlink"/>
      <w:u w:val="single"/>
    </w:rPr>
  </w:style>
  <w:style w:type="character" w:customStyle="1" w:styleId="ab">
    <w:name w:val="Абзац списка Знак"/>
    <w:link w:val="aa"/>
    <w:uiPriority w:val="34"/>
    <w:locked/>
    <w:rsid w:val="009813AD"/>
    <w:rPr>
      <w:sz w:val="28"/>
    </w:rPr>
  </w:style>
  <w:style w:type="paragraph" w:styleId="af">
    <w:name w:val="footnote text"/>
    <w:basedOn w:val="a"/>
    <w:link w:val="af0"/>
    <w:uiPriority w:val="99"/>
    <w:unhideWhenUsed/>
    <w:rsid w:val="009813AD"/>
    <w:pPr>
      <w:spacing w:before="0" w:after="0" w:line="240" w:lineRule="auto"/>
      <w:contextualSpacing w:val="0"/>
      <w:jc w:val="left"/>
    </w:pPr>
    <w:rPr>
      <w:rFonts w:eastAsia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9813AD"/>
    <w:rPr>
      <w:rFonts w:eastAsia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9813AD"/>
    <w:rPr>
      <w:vertAlign w:val="superscript"/>
    </w:rPr>
  </w:style>
  <w:style w:type="paragraph" w:customStyle="1" w:styleId="p2">
    <w:name w:val="p2"/>
    <w:basedOn w:val="a"/>
    <w:rsid w:val="00380C39"/>
    <w:pPr>
      <w:spacing w:before="100" w:beforeAutospacing="1" w:after="100" w:afterAutospacing="1" w:line="240" w:lineRule="auto"/>
      <w:contextualSpacing w:val="0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59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5F164-9532-4E1D-9022-78F9C5F00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6</Pages>
  <Words>2266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Rais Afanasyev</dc:creator>
  <cp:lastModifiedBy>ГРИГОРЬЕВА НАДЕЖДА ВЛАДИМИРОВНА</cp:lastModifiedBy>
  <cp:revision>4</cp:revision>
  <cp:lastPrinted>2020-10-09T17:20:00Z</cp:lastPrinted>
  <dcterms:created xsi:type="dcterms:W3CDTF">2021-03-04T18:44:00Z</dcterms:created>
  <dcterms:modified xsi:type="dcterms:W3CDTF">2021-03-05T16:23:00Z</dcterms:modified>
</cp:coreProperties>
</file>