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C" w:rsidRPr="00E03664" w:rsidRDefault="00DF042C" w:rsidP="00DF042C">
      <w:pPr>
        <w:pStyle w:val="a6"/>
        <w:suppressAutoHyphens/>
        <w:spacing w:before="0" w:line="240" w:lineRule="auto"/>
        <w:ind w:left="6237" w:firstLine="0"/>
        <w:jc w:val="right"/>
        <w:rPr>
          <w:b w:val="0"/>
          <w:color w:val="auto"/>
          <w:spacing w:val="0"/>
          <w:sz w:val="28"/>
        </w:rPr>
      </w:pPr>
      <w:bookmarkStart w:id="0" w:name="_Toc278895843"/>
      <w:r w:rsidRPr="00E03664">
        <w:rPr>
          <w:b w:val="0"/>
          <w:color w:val="auto"/>
          <w:spacing w:val="0"/>
          <w:sz w:val="28"/>
        </w:rPr>
        <w:t>Проект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ФЕДЕРАЛЬНЫЙ СТАНДАРТ БУХГАЛТЕРСКОГО УЧЕТА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Pr="00CE0181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E036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Документы и документооборот в бухгалтерском учете</w:t>
      </w: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bookmarkEnd w:id="0"/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Pr="007464B4" w:rsidRDefault="00DF042C" w:rsidP="00CE1B21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бухгалтерского учета (далее – Стандарт) устанавливает требования к документам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и документообороту в бухгалтерском учете экономических субъектов, за исключением организаций</w:t>
      </w:r>
      <w:r w:rsidR="00CE1B21">
        <w:rPr>
          <w:rFonts w:ascii="Times New Roman" w:hAnsi="Times New Roman" w:cs="Times New Roman"/>
          <w:sz w:val="28"/>
          <w:szCs w:val="28"/>
        </w:rPr>
        <w:t xml:space="preserve"> </w:t>
      </w:r>
      <w:r w:rsidR="00CE1B21" w:rsidRPr="00CE1B21">
        <w:rPr>
          <w:rFonts w:ascii="Times New Roman" w:hAnsi="Times New Roman" w:cs="Times New Roman"/>
          <w:sz w:val="28"/>
          <w:szCs w:val="28"/>
        </w:rPr>
        <w:t>бюджетной сферы</w:t>
      </w:r>
      <w:r w:rsidRPr="007464B4"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464B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целей настоящего Стандарта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64B4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д</w:t>
      </w:r>
      <w:r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бухгалтерском учете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движение документов бухгалтерского учета в экономическом субъекте с момента их со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или получения до завершения исполнения (</w:t>
      </w:r>
      <w:r w:rsidR="001D4CB9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7464B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отчетности, отправки, помещения в архив).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документам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464B4">
        <w:rPr>
          <w:rFonts w:ascii="Times New Roman" w:hAnsi="Times New Roman" w:cs="Times New Roman"/>
          <w:sz w:val="28"/>
          <w:szCs w:val="28"/>
        </w:rPr>
        <w:t>Документы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Федеральным законом «О бухгалтерском учете», а также настоящим Стандартом.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Документы бухгалтерского учета  </w:t>
      </w:r>
      <w:r w:rsidRPr="007464B4">
        <w:rPr>
          <w:rFonts w:ascii="Times New Roman" w:hAnsi="Times New Roman" w:cs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Стандартом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учетный документ, составленный на иностранном языке, должен содержать построчный перевод на русский язык, за исключением случаев, установленных настоящим Стандартом.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106F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или правила </w:t>
      </w:r>
      <w:r w:rsidRPr="00E106FC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06FC">
        <w:rPr>
          <w:rFonts w:ascii="Times New Roman" w:hAnsi="Times New Roman" w:cs="Times New Roman"/>
          <w:sz w:val="28"/>
          <w:szCs w:val="28"/>
        </w:rPr>
        <w:t xml:space="preserve"> места ведения деятельности за пределами Российской Федерации требуют составления документов бухгалтерского учета на языке данной страны, то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106FC">
        <w:rPr>
          <w:rFonts w:ascii="Times New Roman" w:hAnsi="Times New Roman" w:cs="Times New Roman"/>
          <w:sz w:val="28"/>
          <w:szCs w:val="28"/>
        </w:rPr>
        <w:t xml:space="preserve">документы составляются на </w:t>
      </w:r>
      <w:r>
        <w:rPr>
          <w:rFonts w:ascii="Times New Roman" w:hAnsi="Times New Roman" w:cs="Times New Roman"/>
          <w:sz w:val="28"/>
          <w:szCs w:val="28"/>
        </w:rPr>
        <w:t>соответствующем иностранном языке</w:t>
      </w:r>
      <w:r w:rsidRPr="00E10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регистр бухгалтерского учета, составленный на иностранном языке, должен </w:t>
      </w:r>
      <w:r w:rsidRPr="007E71A3">
        <w:rPr>
          <w:rFonts w:ascii="Times New Roman" w:hAnsi="Times New Roman" w:cs="Times New Roman"/>
          <w:sz w:val="28"/>
          <w:szCs w:val="28"/>
        </w:rPr>
        <w:t>содержать построчный перевод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Записи в р</w:t>
      </w:r>
      <w:r w:rsidRPr="007464B4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рублях независимо от фактическ</w:t>
      </w:r>
      <w:r>
        <w:rPr>
          <w:rFonts w:ascii="Times New Roman" w:hAnsi="Times New Roman" w:cs="Times New Roman"/>
          <w:sz w:val="28"/>
          <w:szCs w:val="28"/>
        </w:rPr>
        <w:t>ой валюты факта хозяйственной жизни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места ведения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 xml:space="preserve">экономическим субъектом.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0692">
        <w:rPr>
          <w:rFonts w:ascii="Times New Roman" w:hAnsi="Times New Roman" w:cs="Times New Roman"/>
          <w:sz w:val="28"/>
          <w:szCs w:val="28"/>
        </w:rPr>
        <w:t>аписи</w:t>
      </w:r>
      <w:r>
        <w:rPr>
          <w:rFonts w:ascii="Times New Roman" w:hAnsi="Times New Roman" w:cs="Times New Roman"/>
          <w:sz w:val="28"/>
          <w:szCs w:val="28"/>
        </w:rPr>
        <w:t xml:space="preserve"> в регистрах бухгалтерского учета</w:t>
      </w:r>
      <w:r w:rsidRPr="004E06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объектам бухгалтерского </w:t>
      </w:r>
      <w:r w:rsidRPr="004E0692">
        <w:rPr>
          <w:rFonts w:ascii="Times New Roman" w:hAnsi="Times New Roman" w:cs="Times New Roman"/>
          <w:sz w:val="28"/>
          <w:szCs w:val="28"/>
        </w:rPr>
        <w:t>учета, стоимость которых выражена в иностранной валюте,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92">
        <w:rPr>
          <w:rFonts w:ascii="Times New Roman" w:hAnsi="Times New Roman" w:cs="Times New Roman"/>
          <w:sz w:val="28"/>
          <w:szCs w:val="28"/>
        </w:rPr>
        <w:t xml:space="preserve">одновременно производятся в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E0692">
        <w:rPr>
          <w:rFonts w:ascii="Times New Roman" w:hAnsi="Times New Roman" w:cs="Times New Roman"/>
          <w:sz w:val="28"/>
          <w:szCs w:val="28"/>
        </w:rPr>
        <w:t xml:space="preserve">валюте </w:t>
      </w:r>
      <w:r>
        <w:rPr>
          <w:rFonts w:ascii="Times New Roman" w:hAnsi="Times New Roman" w:cs="Times New Roman"/>
          <w:sz w:val="28"/>
          <w:szCs w:val="28"/>
        </w:rPr>
        <w:t>и в рублях</w:t>
      </w:r>
      <w:r w:rsidR="00D1325E">
        <w:rPr>
          <w:rFonts w:ascii="Times New Roman" w:hAnsi="Times New Roman" w:cs="Times New Roman"/>
          <w:sz w:val="28"/>
          <w:szCs w:val="28"/>
        </w:rPr>
        <w:t>, если иное не установлено федеральными стандартами бухгалтерского учета</w:t>
      </w:r>
      <w:r w:rsidRPr="004E0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A8" w:rsidRDefault="00DF042C" w:rsidP="00B70F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A8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B70FA8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="001D4CB9">
        <w:rPr>
          <w:rFonts w:ascii="Times New Roman" w:hAnsi="Times New Roman" w:cs="Times New Roman"/>
          <w:sz w:val="28"/>
          <w:szCs w:val="28"/>
        </w:rPr>
        <w:t xml:space="preserve">реквизитов, предусмотренных частью 2 статьи 7 Федерального закона «О бухгалтерском учете» (далее - </w:t>
      </w:r>
      <w:r w:rsidR="00B70FA8">
        <w:rPr>
          <w:rFonts w:ascii="Times New Roman" w:hAnsi="Times New Roman" w:cs="Times New Roman"/>
          <w:sz w:val="28"/>
          <w:szCs w:val="28"/>
        </w:rPr>
        <w:t>обязательны</w:t>
      </w:r>
      <w:r w:rsidR="001D4CB9">
        <w:rPr>
          <w:rFonts w:ascii="Times New Roman" w:hAnsi="Times New Roman" w:cs="Times New Roman"/>
          <w:sz w:val="28"/>
          <w:szCs w:val="28"/>
        </w:rPr>
        <w:t>е</w:t>
      </w:r>
      <w:r w:rsidR="00B70FA8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1D4CB9">
        <w:rPr>
          <w:rFonts w:ascii="Times New Roman" w:hAnsi="Times New Roman" w:cs="Times New Roman"/>
          <w:sz w:val="28"/>
          <w:szCs w:val="28"/>
        </w:rPr>
        <w:t>ы),</w:t>
      </w:r>
      <w:r w:rsidR="00B70FA8">
        <w:rPr>
          <w:rFonts w:ascii="Times New Roman" w:hAnsi="Times New Roman" w:cs="Times New Roman"/>
          <w:sz w:val="28"/>
          <w:szCs w:val="28"/>
        </w:rPr>
        <w:t xml:space="preserve"> </w:t>
      </w:r>
      <w:r w:rsidR="001D4CB9">
        <w:rPr>
          <w:rFonts w:ascii="Times New Roman" w:hAnsi="Times New Roman" w:cs="Times New Roman"/>
          <w:sz w:val="28"/>
          <w:szCs w:val="28"/>
        </w:rPr>
        <w:t>в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 w:rsidR="00B70FA8">
        <w:rPr>
          <w:rFonts w:ascii="Times New Roman" w:hAnsi="Times New Roman" w:cs="Times New Roman"/>
          <w:sz w:val="28"/>
          <w:szCs w:val="28"/>
        </w:rPr>
        <w:t>первично</w:t>
      </w:r>
      <w:r w:rsidR="001D4CB9">
        <w:rPr>
          <w:rFonts w:ascii="Times New Roman" w:hAnsi="Times New Roman" w:cs="Times New Roman"/>
          <w:sz w:val="28"/>
          <w:szCs w:val="28"/>
        </w:rPr>
        <w:t>м</w:t>
      </w:r>
      <w:r w:rsidR="00B70FA8">
        <w:rPr>
          <w:rFonts w:ascii="Times New Roman" w:hAnsi="Times New Roman" w:cs="Times New Roman"/>
          <w:sz w:val="28"/>
          <w:szCs w:val="28"/>
        </w:rPr>
        <w:t xml:space="preserve"> учетно</w:t>
      </w:r>
      <w:r w:rsidR="001D4CB9">
        <w:rPr>
          <w:rFonts w:ascii="Times New Roman" w:hAnsi="Times New Roman" w:cs="Times New Roman"/>
          <w:sz w:val="28"/>
          <w:szCs w:val="28"/>
        </w:rPr>
        <w:t>м</w:t>
      </w:r>
      <w:r w:rsidR="00B70F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4CB9">
        <w:rPr>
          <w:rFonts w:ascii="Times New Roman" w:hAnsi="Times New Roman" w:cs="Times New Roman"/>
          <w:sz w:val="28"/>
          <w:szCs w:val="28"/>
        </w:rPr>
        <w:t>е</w:t>
      </w:r>
      <w:r w:rsidR="00B70FA8">
        <w:rPr>
          <w:rFonts w:ascii="Times New Roman" w:hAnsi="Times New Roman" w:cs="Times New Roman"/>
          <w:sz w:val="28"/>
          <w:szCs w:val="28"/>
        </w:rPr>
        <w:t>:</w:t>
      </w:r>
    </w:p>
    <w:p w:rsidR="00B70FA8" w:rsidRDefault="00B70FA8" w:rsidP="00B70F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4CB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F042C" w:rsidRPr="00B70FA8">
        <w:rPr>
          <w:rFonts w:ascii="Times New Roman" w:hAnsi="Times New Roman" w:cs="Times New Roman"/>
          <w:sz w:val="28"/>
          <w:szCs w:val="28"/>
        </w:rPr>
        <w:t>дат</w:t>
      </w:r>
      <w:r w:rsidR="001D4CB9">
        <w:rPr>
          <w:rFonts w:ascii="Times New Roman" w:hAnsi="Times New Roman" w:cs="Times New Roman"/>
          <w:sz w:val="28"/>
          <w:szCs w:val="28"/>
        </w:rPr>
        <w:t>ы</w:t>
      </w:r>
      <w:r w:rsidR="00DF042C" w:rsidRPr="00B70FA8">
        <w:rPr>
          <w:rFonts w:ascii="Times New Roman" w:hAnsi="Times New Roman" w:cs="Times New Roman"/>
          <w:sz w:val="28"/>
          <w:szCs w:val="28"/>
        </w:rPr>
        <w:t xml:space="preserve"> составления первичного учетного документа </w:t>
      </w:r>
      <w:r w:rsidR="001D4CB9">
        <w:rPr>
          <w:rFonts w:ascii="Times New Roman" w:hAnsi="Times New Roman" w:cs="Times New Roman"/>
          <w:sz w:val="28"/>
          <w:szCs w:val="28"/>
        </w:rPr>
        <w:t>указывается</w:t>
      </w:r>
      <w:r w:rsidRPr="00B70FA8">
        <w:rPr>
          <w:rFonts w:ascii="Times New Roman" w:hAnsi="Times New Roman" w:cs="Times New Roman"/>
          <w:sz w:val="28"/>
          <w:szCs w:val="28"/>
        </w:rPr>
        <w:t xml:space="preserve"> </w:t>
      </w:r>
      <w:r w:rsidR="00DF042C" w:rsidRPr="00B70FA8">
        <w:rPr>
          <w:rFonts w:ascii="Times New Roman" w:hAnsi="Times New Roman" w:cs="Times New Roman"/>
          <w:sz w:val="28"/>
          <w:szCs w:val="28"/>
        </w:rPr>
        <w:t>дата</w:t>
      </w:r>
      <w:r w:rsidR="00B24E98" w:rsidRPr="00B70FA8">
        <w:rPr>
          <w:rFonts w:ascii="Times New Roman" w:hAnsi="Times New Roman" w:cs="Times New Roman"/>
          <w:sz w:val="28"/>
          <w:szCs w:val="28"/>
        </w:rPr>
        <w:t xml:space="preserve"> его подписания лицом (лицами), совершившим (совершившими) сделку, операцию и ответственным (ответственными) за ее оформление, либо лицом (лицами) ответственным (ответственными) за оф</w:t>
      </w:r>
      <w:r w:rsidRPr="00B70FA8">
        <w:rPr>
          <w:rFonts w:ascii="Times New Roman" w:hAnsi="Times New Roman" w:cs="Times New Roman"/>
          <w:sz w:val="28"/>
          <w:szCs w:val="28"/>
        </w:rPr>
        <w:t>ормление совершившегося события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814" w:rsidRDefault="00B70FA8" w:rsidP="00B70F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 w:rsidR="000C6BAD">
        <w:rPr>
          <w:rFonts w:ascii="Times New Roman" w:hAnsi="Times New Roman" w:cs="Times New Roman"/>
          <w:sz w:val="28"/>
          <w:szCs w:val="28"/>
        </w:rPr>
        <w:t xml:space="preserve">в случае отличия даты составления первичного учетного документа от даты совершения факта хозяйственной жизни, </w:t>
      </w:r>
      <w:r w:rsidR="00627814">
        <w:rPr>
          <w:rFonts w:ascii="Times New Roman" w:hAnsi="Times New Roman" w:cs="Times New Roman"/>
          <w:sz w:val="28"/>
          <w:szCs w:val="28"/>
        </w:rPr>
        <w:t xml:space="preserve">в первичном учетном документе </w:t>
      </w:r>
      <w:r w:rsidR="000C6BAD">
        <w:rPr>
          <w:rFonts w:ascii="Times New Roman" w:hAnsi="Times New Roman" w:cs="Times New Roman"/>
          <w:sz w:val="28"/>
          <w:szCs w:val="28"/>
        </w:rPr>
        <w:t>указывается информация о дате</w:t>
      </w:r>
      <w:bookmarkStart w:id="1" w:name="_GoBack"/>
      <w:bookmarkEnd w:id="1"/>
      <w:r w:rsidR="000C6BAD">
        <w:rPr>
          <w:rFonts w:ascii="Times New Roman" w:hAnsi="Times New Roman" w:cs="Times New Roman"/>
          <w:sz w:val="28"/>
          <w:szCs w:val="28"/>
        </w:rPr>
        <w:t xml:space="preserve"> совершения факта хозяйственной жизни</w:t>
      </w:r>
      <w:r w:rsidR="00627814">
        <w:rPr>
          <w:rFonts w:ascii="Times New Roman" w:hAnsi="Times New Roman" w:cs="Times New Roman"/>
          <w:sz w:val="28"/>
          <w:szCs w:val="28"/>
        </w:rPr>
        <w:t>;</w:t>
      </w:r>
    </w:p>
    <w:p w:rsidR="00627814" w:rsidRDefault="00B70FA8" w:rsidP="00B70F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BAD">
        <w:rPr>
          <w:rFonts w:ascii="Times New Roman" w:hAnsi="Times New Roman" w:cs="Times New Roman"/>
          <w:sz w:val="28"/>
          <w:szCs w:val="28"/>
        </w:rPr>
        <w:t>в случае включения обязательных реквизитов в первичный учетный документ на основании другого</w:t>
      </w:r>
      <w:r w:rsidR="0062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содержащего информацию о факте хозяйст</w:t>
      </w:r>
      <w:r w:rsidR="00627814">
        <w:rPr>
          <w:rFonts w:ascii="Times New Roman" w:hAnsi="Times New Roman" w:cs="Times New Roman"/>
          <w:sz w:val="28"/>
          <w:szCs w:val="28"/>
        </w:rPr>
        <w:t xml:space="preserve">венной жизни (оправдательный документ), </w:t>
      </w:r>
      <w:r w:rsidR="000C6BAD">
        <w:rPr>
          <w:rFonts w:ascii="Times New Roman" w:hAnsi="Times New Roman" w:cs="Times New Roman"/>
          <w:sz w:val="28"/>
          <w:szCs w:val="28"/>
        </w:rPr>
        <w:t>в первичном учетном документе указывается информация</w:t>
      </w:r>
      <w:r w:rsidR="001D4CB9">
        <w:rPr>
          <w:rFonts w:ascii="Times New Roman" w:hAnsi="Times New Roman" w:cs="Times New Roman"/>
          <w:sz w:val="28"/>
          <w:szCs w:val="28"/>
        </w:rPr>
        <w:t xml:space="preserve">, позволяющая идентифицировать </w:t>
      </w:r>
      <w:r w:rsidR="000C6BAD">
        <w:rPr>
          <w:rFonts w:ascii="Times New Roman" w:hAnsi="Times New Roman" w:cs="Times New Roman"/>
          <w:sz w:val="28"/>
          <w:szCs w:val="28"/>
        </w:rPr>
        <w:t>соответствующ</w:t>
      </w:r>
      <w:r w:rsidR="001D4CB9">
        <w:rPr>
          <w:rFonts w:ascii="Times New Roman" w:hAnsi="Times New Roman" w:cs="Times New Roman"/>
          <w:sz w:val="28"/>
          <w:szCs w:val="28"/>
        </w:rPr>
        <w:t>ий</w:t>
      </w:r>
      <w:r w:rsidR="000C6BAD">
        <w:rPr>
          <w:rFonts w:ascii="Times New Roman" w:hAnsi="Times New Roman" w:cs="Times New Roman"/>
          <w:sz w:val="28"/>
          <w:szCs w:val="28"/>
        </w:rPr>
        <w:t xml:space="preserve"> оправдательн</w:t>
      </w:r>
      <w:r w:rsidR="001D4CB9">
        <w:rPr>
          <w:rFonts w:ascii="Times New Roman" w:hAnsi="Times New Roman" w:cs="Times New Roman"/>
          <w:sz w:val="28"/>
          <w:szCs w:val="28"/>
        </w:rPr>
        <w:t>ый</w:t>
      </w:r>
      <w:r w:rsidR="000C6BAD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CE1B21" w:rsidRPr="007464B4" w:rsidRDefault="000C6BAD" w:rsidP="00CE1B2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1B21">
        <w:rPr>
          <w:rFonts w:ascii="Times New Roman" w:hAnsi="Times New Roman" w:cs="Times New Roman"/>
          <w:sz w:val="28"/>
          <w:szCs w:val="28"/>
        </w:rPr>
        <w:t>. </w:t>
      </w:r>
      <w:r w:rsidR="00CE1B21" w:rsidRPr="007464B4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716626">
        <w:rPr>
          <w:rFonts w:ascii="Times New Roman" w:hAnsi="Times New Roman" w:cs="Times New Roman"/>
          <w:sz w:val="28"/>
          <w:szCs w:val="28"/>
        </w:rPr>
        <w:t xml:space="preserve">экономическим субъектом </w:t>
      </w:r>
      <w:r w:rsidR="00CE1B21" w:rsidRPr="007464B4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 </w:t>
      </w:r>
      <w:r w:rsidR="00716626">
        <w:rPr>
          <w:rFonts w:ascii="Times New Roman" w:hAnsi="Times New Roman" w:cs="Times New Roman"/>
          <w:sz w:val="28"/>
          <w:szCs w:val="28"/>
        </w:rPr>
        <w:t>допускается</w:t>
      </w:r>
      <w:r w:rsidR="00CE1B21" w:rsidRPr="007464B4">
        <w:rPr>
          <w:rFonts w:ascii="Times New Roman" w:hAnsi="Times New Roman" w:cs="Times New Roman"/>
          <w:sz w:val="28"/>
          <w:szCs w:val="28"/>
        </w:rPr>
        <w:t>:</w:t>
      </w:r>
    </w:p>
    <w:p w:rsidR="00CE1B21" w:rsidRDefault="00CE1B21" w:rsidP="00CE1B2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64B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связанных фактов хозяйственной жизни одним первичным учетным документом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B21" w:rsidRPr="000C6BAD" w:rsidRDefault="00CE1B21" w:rsidP="00CE1B2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AD">
        <w:rPr>
          <w:rFonts w:ascii="Times New Roman" w:hAnsi="Times New Roman" w:cs="Times New Roman"/>
          <w:sz w:val="28"/>
          <w:szCs w:val="28"/>
        </w:rPr>
        <w:t>б) оформлять длящиеся факты хозяйственной жизни (например, начисление процентов, амортизация активов, изменение стоимости активов и обязательств), а также повторяющиеся факты хозяйственной жизни (например, поставка товара, продукции партиями в разные даты по одному долгосрочному договору) первичными учетными документами, составляемыми с периодичностью (сутки, неделя, месяц, квартал, др.), определяемой экономическим субъектом исходя из существа факта хозяйственной жизни и требования рациональности, при условии обязательного их составления на отчетную дату;</w:t>
      </w:r>
    </w:p>
    <w:p w:rsidR="00CE1B21" w:rsidRPr="00CE1B21" w:rsidRDefault="00CE1B21" w:rsidP="00CE1B2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AD">
        <w:rPr>
          <w:rFonts w:ascii="Times New Roman" w:hAnsi="Times New Roman" w:cs="Times New Roman"/>
          <w:sz w:val="28"/>
          <w:szCs w:val="28"/>
        </w:rPr>
        <w:t>в) использовать в качестве первичных учетных документов документы, составленные в процессе деятельности экономического субъекта для оформления его гражданско-правовых отношений с контрагентами, работниками, государственными органами, для управления экономическим субъектом и т.п. (например, договор, кассовый чек, квитанция об оплате, расписка, служебный контракт, служебное задание, приказ о приеме на работу, приказ об увольнении, авансовый отчет), при условии, что указанные документы содержат все установленные Федеральным законом «О бухгалтерском учете» обязательные реквизиты первичного учетного документа, а также иную информацию о факте хозяйственной жизни, необходимую для регистрации и накопления в регистрах бухгалтерского учета.</w:t>
      </w:r>
    </w:p>
    <w:p w:rsidR="00DF042C" w:rsidRDefault="001D4CB9" w:rsidP="001D4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F042C">
        <w:rPr>
          <w:rFonts w:ascii="Times New Roman" w:hAnsi="Times New Roman" w:cs="Times New Roman"/>
          <w:sz w:val="28"/>
          <w:szCs w:val="28"/>
        </w:rPr>
        <w:t>. Система регистров бухгалтерского учета, принятая экономическим субъектом, должна обеспечивать: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полноту информации, т.е. получение информации, необходимой всем заинтересованным пользователям;</w:t>
      </w:r>
    </w:p>
    <w:p w:rsidR="001D4CB9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отражение объектов бухгалтерского учета в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хронологической последовательности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(хронологическая запись)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систематическ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ое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накаплива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информации о них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счетах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бухгалтерского учета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(систематическая запись);</w:t>
      </w:r>
    </w:p>
    <w:p w:rsidR="001D4CB9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ведение бухгалтерского учета на синтетических счетах (синтетический учет) и аналитических счетах (аналитический учет);</w:t>
      </w:r>
    </w:p>
    <w:p w:rsidR="00DF042C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042C">
        <w:rPr>
          <w:rFonts w:ascii="Times New Roman" w:hAnsi="Times New Roman" w:cs="Times New Roman"/>
          <w:sz w:val="28"/>
          <w:szCs w:val="28"/>
        </w:rPr>
        <w:t>) системность информации, т.е. взаимосвязь хронологической и систематической записей, синтетического и аналитического учета, учетной и отчетной информации;</w:t>
      </w:r>
    </w:p>
    <w:p w:rsidR="00DF042C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042C">
        <w:rPr>
          <w:rFonts w:ascii="Times New Roman" w:hAnsi="Times New Roman" w:cs="Times New Roman"/>
          <w:sz w:val="28"/>
          <w:szCs w:val="28"/>
        </w:rPr>
        <w:t>) обоснованность учетных записей, т.е. соответствие данным первичных учетных документов;</w:t>
      </w:r>
    </w:p>
    <w:p w:rsidR="00DF042C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F042C">
        <w:rPr>
          <w:rFonts w:ascii="Times New Roman" w:hAnsi="Times New Roman" w:cs="Times New Roman"/>
          <w:sz w:val="28"/>
          <w:szCs w:val="28"/>
        </w:rPr>
        <w:t>) достоверность информации, т.е. безошибочность получения информации в соответствии с методологией учета и отчетности;</w:t>
      </w:r>
    </w:p>
    <w:p w:rsidR="00DF042C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042C">
        <w:rPr>
          <w:rFonts w:ascii="Times New Roman" w:hAnsi="Times New Roman" w:cs="Times New Roman"/>
          <w:sz w:val="28"/>
          <w:szCs w:val="28"/>
        </w:rPr>
        <w:t>) своевременность информации;</w:t>
      </w:r>
    </w:p>
    <w:p w:rsidR="00DF042C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042C">
        <w:rPr>
          <w:rFonts w:ascii="Times New Roman" w:hAnsi="Times New Roman" w:cs="Times New Roman"/>
          <w:sz w:val="28"/>
          <w:szCs w:val="28"/>
        </w:rPr>
        <w:t xml:space="preserve">) юридическую </w:t>
      </w:r>
      <w:r w:rsidR="00DF042C" w:rsidRPr="003350FA">
        <w:rPr>
          <w:rFonts w:ascii="Times New Roman" w:hAnsi="Times New Roman" w:cs="Times New Roman"/>
          <w:sz w:val="28"/>
          <w:szCs w:val="28"/>
        </w:rPr>
        <w:t>значимость</w:t>
      </w:r>
      <w:r w:rsidR="00DF042C">
        <w:rPr>
          <w:rFonts w:ascii="Times New Roman" w:hAnsi="Times New Roman" w:cs="Times New Roman"/>
          <w:sz w:val="28"/>
          <w:szCs w:val="28"/>
        </w:rPr>
        <w:t xml:space="preserve"> учетных записей. </w:t>
      </w:r>
    </w:p>
    <w:p w:rsidR="001D4CB9" w:rsidRDefault="001D4CB9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Правильность отражения объектов бухгалтерского учета в регистрах бухгалтерского учета обеспечивают лица, составившие и подписавшие их.</w:t>
      </w:r>
    </w:p>
    <w:p w:rsidR="00DF042C" w:rsidRDefault="00CE1B21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AD">
        <w:rPr>
          <w:rFonts w:ascii="Times New Roman" w:hAnsi="Times New Roman" w:cs="Times New Roman"/>
          <w:sz w:val="28"/>
          <w:szCs w:val="28"/>
        </w:rPr>
        <w:t>1</w:t>
      </w:r>
      <w:r w:rsidR="00DF042C">
        <w:rPr>
          <w:rFonts w:ascii="Times New Roman" w:hAnsi="Times New Roman" w:cs="Times New Roman"/>
          <w:sz w:val="28"/>
          <w:szCs w:val="28"/>
        </w:rPr>
        <w:t>. Экономический субъект вправе включать в документ бухгалтерского учета реквизиты, дополнительные к обязательным реквизитам, установленным Федеральным законом «О бухгалтерском учете».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Записи в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составляемых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должны производиться средствами (</w:t>
      </w:r>
      <w:r w:rsidR="001D4CB9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7464B4">
        <w:rPr>
          <w:rFonts w:ascii="Times New Roman" w:hAnsi="Times New Roman" w:cs="Times New Roman"/>
          <w:sz w:val="28"/>
          <w:szCs w:val="28"/>
        </w:rPr>
        <w:t>краской, чернилами</w:t>
      </w:r>
      <w:r w:rsidR="001D4CB9"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шариковой ручкой), обеспечивающими сохранность этих записей в течение установленного срока хранения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создании документов бухгалтерского учета на бумажном носителе запрещается производить записи средствами, не обеспечивающими сохранность этих записей</w:t>
      </w:r>
      <w:r w:rsidRPr="001219AB">
        <w:t xml:space="preserve"> </w:t>
      </w:r>
      <w:r>
        <w:t>(</w:t>
      </w:r>
      <w:r w:rsidR="001D4CB9" w:rsidRPr="001D4CB9">
        <w:rPr>
          <w:rFonts w:ascii="Times New Roman" w:hAnsi="Times New Roman" w:cs="Times New Roman"/>
          <w:sz w:val="28"/>
          <w:szCs w:val="28"/>
        </w:rPr>
        <w:t>в частности,</w:t>
      </w:r>
      <w:r w:rsidR="001D4CB9">
        <w:t xml:space="preserve"> </w:t>
      </w:r>
      <w:r w:rsidRPr="001219AB">
        <w:rPr>
          <w:rFonts w:ascii="Times New Roman" w:hAnsi="Times New Roman" w:cs="Times New Roman"/>
          <w:sz w:val="28"/>
          <w:szCs w:val="28"/>
        </w:rPr>
        <w:t>простым карандашом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464B4">
        <w:rPr>
          <w:rFonts w:ascii="Times New Roman" w:hAnsi="Times New Roman" w:cs="Times New Roman"/>
          <w:sz w:val="28"/>
          <w:szCs w:val="28"/>
        </w:rPr>
        <w:t>При принятии к бухгалтерскому учету первичных учетных документов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средства, исключающие возможность повторного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этих первичных учетных документов </w:t>
      </w:r>
      <w:r w:rsidRPr="007464B4">
        <w:rPr>
          <w:rFonts w:ascii="Times New Roman" w:hAnsi="Times New Roman" w:cs="Times New Roman"/>
          <w:sz w:val="28"/>
          <w:szCs w:val="28"/>
        </w:rPr>
        <w:t>после принятия к бухгалтерскому учету.</w:t>
      </w:r>
    </w:p>
    <w:p w:rsidR="002E2066" w:rsidRDefault="000C6BAD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2066">
        <w:rPr>
          <w:rFonts w:ascii="Times New Roman" w:hAnsi="Times New Roman" w:cs="Times New Roman"/>
          <w:sz w:val="28"/>
          <w:szCs w:val="28"/>
        </w:rPr>
        <w:t>. Перечень лиц, имеющих право подписания документов бухгалтерского учета, устанавливается руководителем экономического субъекта с учетом законодательства Российской Федерации.</w:t>
      </w:r>
    </w:p>
    <w:p w:rsidR="002E2066" w:rsidRPr="002E2066" w:rsidRDefault="000C6BAD" w:rsidP="002E2066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2066" w:rsidRPr="002E2066">
        <w:rPr>
          <w:rFonts w:ascii="Times New Roman" w:hAnsi="Times New Roman" w:cs="Times New Roman"/>
          <w:sz w:val="28"/>
          <w:szCs w:val="28"/>
        </w:rPr>
        <w:t>. Виды электронной подписи документов бухгалтерского учета, составляемых в виде электронного документа, устанавливаются экономическим субъектом из числа предусмотренных законодательством Российской Федерации, за исключением случаев, когда законодательством Российской Федерации установлено требование использования определенного вида электронной подписи.</w:t>
      </w:r>
    </w:p>
    <w:p w:rsidR="002E2066" w:rsidRDefault="002E2066" w:rsidP="002E206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66">
        <w:rPr>
          <w:rFonts w:ascii="Times New Roman" w:hAnsi="Times New Roman" w:cs="Times New Roman"/>
          <w:sz w:val="28"/>
          <w:szCs w:val="28"/>
        </w:rPr>
        <w:t xml:space="preserve">Виды электронной подписи первичных учетных документов, составляемых в виде электронного документа экономическим субъектом совместно с другими участниками электронного взаимодействия, определяются </w:t>
      </w:r>
      <w:r w:rsidRPr="002E2066">
        <w:rPr>
          <w:rFonts w:ascii="Times New Roman" w:hAnsi="Times New Roman" w:cs="Times New Roman"/>
          <w:sz w:val="28"/>
          <w:szCs w:val="28"/>
        </w:rPr>
        <w:lastRenderedPageBreak/>
        <w:t>соглашением экономического субъекта с данными участниками электронного взаимодействия.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Default="000C6BAD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F042C" w:rsidRPr="007464B4">
        <w:rPr>
          <w:rFonts w:ascii="Times New Roman" w:hAnsi="Times New Roman" w:cs="Times New Roman"/>
          <w:b/>
          <w:bCs/>
          <w:sz w:val="28"/>
          <w:szCs w:val="28"/>
        </w:rPr>
        <w:t xml:space="preserve">справление документов </w:t>
      </w:r>
      <w:r w:rsidR="00DF042C">
        <w:rPr>
          <w:rFonts w:ascii="Times New Roman" w:hAnsi="Times New Roman" w:cs="Times New Roman"/>
          <w:b/>
          <w:bCs/>
          <w:sz w:val="28"/>
          <w:szCs w:val="28"/>
        </w:rPr>
        <w:t>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3F0B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66">
        <w:rPr>
          <w:rFonts w:ascii="Times New Roman" w:hAnsi="Times New Roman" w:cs="Times New Roman"/>
          <w:sz w:val="28"/>
          <w:szCs w:val="28"/>
        </w:rPr>
        <w:t xml:space="preserve"> </w:t>
      </w:r>
      <w:r w:rsidR="000C6BAD">
        <w:rPr>
          <w:rFonts w:ascii="Times New Roman" w:hAnsi="Times New Roman" w:cs="Times New Roman"/>
          <w:sz w:val="28"/>
          <w:szCs w:val="28"/>
        </w:rPr>
        <w:t>1</w:t>
      </w:r>
      <w:r w:rsidR="00073F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Допустимые способы исправления документов бухгалтерского учета устанавливаются экономическим субъектом с учетом законодательства Российской Федерации</w:t>
      </w:r>
      <w:r w:rsidR="00254BB1">
        <w:rPr>
          <w:rFonts w:ascii="Times New Roman" w:hAnsi="Times New Roman" w:cs="Times New Roman"/>
          <w:sz w:val="28"/>
          <w:szCs w:val="28"/>
        </w:rPr>
        <w:t>, требований настоящего Стандарта,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законодательством Российской Федерации или установленными в соответствии с ним правилами внесение исправлений в документы бухгалтерского учета запрещено.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F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И</w:t>
      </w:r>
      <w:r w:rsidRPr="007464B4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е в документе бухгалтерского учета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таким образом, чтобы были ясны правильные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неправильные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е. Оно должно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2C46"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Pr="007B7076">
        <w:rPr>
          <w:rFonts w:ascii="Times New Roman" w:hAnsi="Times New Roman" w:cs="Times New Roman"/>
          <w:sz w:val="28"/>
          <w:szCs w:val="28"/>
        </w:rPr>
        <w:t>составивших первичный учетный документ или ответственных за ведение регистра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внесших это исправление</w:t>
      </w:r>
      <w:r w:rsidRPr="00402C46">
        <w:rPr>
          <w:rFonts w:ascii="Times New Roman" w:hAnsi="Times New Roman" w:cs="Times New Roman"/>
          <w:sz w:val="28"/>
          <w:szCs w:val="28"/>
        </w:rPr>
        <w:t xml:space="preserve">, с указанием их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270D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C46">
        <w:rPr>
          <w:rFonts w:ascii="Times New Roman" w:hAnsi="Times New Roman" w:cs="Times New Roman"/>
          <w:sz w:val="28"/>
          <w:szCs w:val="28"/>
        </w:rPr>
        <w:t>фамилий и инициалов, либо иных реквизитов, необходимых для идентификации этих лиц.</w:t>
      </w:r>
      <w:r w:rsidRPr="0052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42C" w:rsidRPr="007464B4" w:rsidRDefault="00073FC2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042C">
        <w:rPr>
          <w:rFonts w:ascii="Times New Roman" w:hAnsi="Times New Roman" w:cs="Times New Roman"/>
          <w:sz w:val="28"/>
          <w:szCs w:val="28"/>
        </w:rPr>
        <w:t>. </w:t>
      </w:r>
      <w:r w:rsidR="00DF042C" w:rsidRPr="007464B4">
        <w:rPr>
          <w:rFonts w:ascii="Times New Roman" w:hAnsi="Times New Roman" w:cs="Times New Roman"/>
          <w:sz w:val="28"/>
          <w:szCs w:val="28"/>
        </w:rPr>
        <w:t>Допуска</w:t>
      </w:r>
      <w:r w:rsidR="00DF042C">
        <w:rPr>
          <w:rFonts w:ascii="Times New Roman" w:hAnsi="Times New Roman" w:cs="Times New Roman"/>
          <w:sz w:val="28"/>
          <w:szCs w:val="28"/>
        </w:rPr>
        <w:t>е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тся </w:t>
      </w:r>
      <w:r w:rsidR="00DF042C">
        <w:rPr>
          <w:rFonts w:ascii="Times New Roman" w:hAnsi="Times New Roman" w:cs="Times New Roman"/>
          <w:sz w:val="28"/>
          <w:szCs w:val="28"/>
        </w:rPr>
        <w:t>исправление документа бухгалтерского учета, составленного в виде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F042C">
        <w:rPr>
          <w:rFonts w:ascii="Times New Roman" w:hAnsi="Times New Roman" w:cs="Times New Roman"/>
          <w:sz w:val="28"/>
          <w:szCs w:val="28"/>
        </w:rPr>
        <w:t>ого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042C">
        <w:rPr>
          <w:rFonts w:ascii="Times New Roman" w:hAnsi="Times New Roman" w:cs="Times New Roman"/>
          <w:sz w:val="28"/>
          <w:szCs w:val="28"/>
        </w:rPr>
        <w:t>а,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DF042C">
        <w:rPr>
          <w:rFonts w:ascii="Times New Roman" w:hAnsi="Times New Roman" w:cs="Times New Roman"/>
          <w:sz w:val="28"/>
          <w:szCs w:val="28"/>
        </w:rPr>
        <w:t>составления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</w:t>
      </w:r>
      <w:r w:rsidR="00DF042C">
        <w:rPr>
          <w:rFonts w:ascii="Times New Roman" w:hAnsi="Times New Roman" w:cs="Times New Roman"/>
          <w:sz w:val="28"/>
          <w:szCs w:val="28"/>
        </w:rPr>
        <w:t>нового (</w:t>
      </w:r>
      <w:r w:rsidR="00DF042C" w:rsidRPr="007464B4">
        <w:rPr>
          <w:rFonts w:ascii="Times New Roman" w:hAnsi="Times New Roman" w:cs="Times New Roman"/>
          <w:sz w:val="28"/>
          <w:szCs w:val="28"/>
        </w:rPr>
        <w:t>исправленного</w:t>
      </w:r>
      <w:r w:rsidR="00DF042C">
        <w:rPr>
          <w:rFonts w:ascii="Times New Roman" w:hAnsi="Times New Roman" w:cs="Times New Roman"/>
          <w:sz w:val="28"/>
          <w:szCs w:val="28"/>
        </w:rPr>
        <w:t>)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DF042C">
        <w:rPr>
          <w:rFonts w:ascii="Times New Roman" w:hAnsi="Times New Roman" w:cs="Times New Roman"/>
          <w:sz w:val="28"/>
          <w:szCs w:val="28"/>
        </w:rPr>
        <w:t>. При этом новый (исправленный) документ должен содержать указание на то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, что он составлен взамен первоначального </w:t>
      </w:r>
      <w:r w:rsidR="00DF042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F042C" w:rsidRPr="007464B4">
        <w:rPr>
          <w:rFonts w:ascii="Times New Roman" w:hAnsi="Times New Roman" w:cs="Times New Roman"/>
          <w:sz w:val="28"/>
          <w:szCs w:val="28"/>
        </w:rPr>
        <w:t>документа</w:t>
      </w:r>
      <w:r w:rsidR="00DF042C">
        <w:rPr>
          <w:rFonts w:ascii="Times New Roman" w:hAnsi="Times New Roman" w:cs="Times New Roman"/>
          <w:sz w:val="28"/>
          <w:szCs w:val="28"/>
        </w:rPr>
        <w:t xml:space="preserve">, </w:t>
      </w:r>
      <w:r w:rsidR="00DF042C" w:rsidRPr="007464B4">
        <w:rPr>
          <w:rFonts w:ascii="Times New Roman" w:hAnsi="Times New Roman" w:cs="Times New Roman"/>
          <w:sz w:val="28"/>
          <w:szCs w:val="28"/>
        </w:rPr>
        <w:t>дат</w:t>
      </w:r>
      <w:r w:rsidR="00DF042C">
        <w:rPr>
          <w:rFonts w:ascii="Times New Roman" w:hAnsi="Times New Roman" w:cs="Times New Roman"/>
          <w:sz w:val="28"/>
          <w:szCs w:val="28"/>
        </w:rPr>
        <w:t xml:space="preserve">у 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 w:rsidR="00DF04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F042C" w:rsidRPr="0064162E">
        <w:rPr>
          <w:rFonts w:ascii="Times New Roman" w:hAnsi="Times New Roman" w:cs="Times New Roman"/>
          <w:sz w:val="28"/>
          <w:szCs w:val="28"/>
        </w:rPr>
        <w:t>электронные подписи лиц</w:t>
      </w:r>
      <w:r w:rsidR="00DF042C">
        <w:rPr>
          <w:rFonts w:ascii="Times New Roman" w:hAnsi="Times New Roman" w:cs="Times New Roman"/>
          <w:sz w:val="28"/>
          <w:szCs w:val="28"/>
        </w:rPr>
        <w:t>, составивших первичный учетный документ или ответственных за ведение регистра бухгалтерского учета</w:t>
      </w:r>
      <w:r w:rsidR="00F838F9">
        <w:rPr>
          <w:rFonts w:ascii="Times New Roman" w:hAnsi="Times New Roman" w:cs="Times New Roman"/>
          <w:sz w:val="28"/>
          <w:szCs w:val="28"/>
        </w:rPr>
        <w:t>,</w:t>
      </w:r>
      <w:r w:rsidR="00DF042C" w:rsidRPr="0064162E">
        <w:rPr>
          <w:rFonts w:ascii="Times New Roman" w:hAnsi="Times New Roman" w:cs="Times New Roman"/>
          <w:sz w:val="28"/>
          <w:szCs w:val="28"/>
        </w:rPr>
        <w:t xml:space="preserve"> с указанием их должност</w:t>
      </w:r>
      <w:r w:rsidR="00270D20">
        <w:rPr>
          <w:rFonts w:ascii="Times New Roman" w:hAnsi="Times New Roman" w:cs="Times New Roman"/>
          <w:sz w:val="28"/>
          <w:szCs w:val="28"/>
        </w:rPr>
        <w:t>ей</w:t>
      </w:r>
      <w:r w:rsidR="00DF042C" w:rsidRPr="0064162E">
        <w:rPr>
          <w:rFonts w:ascii="Times New Roman" w:hAnsi="Times New Roman" w:cs="Times New Roman"/>
          <w:sz w:val="28"/>
          <w:szCs w:val="28"/>
        </w:rPr>
        <w:t>, фамилий и инициалов либо иных реквизитов, необходимых для идентификации этих лиц.</w:t>
      </w:r>
      <w:r w:rsidR="00DF042C">
        <w:rPr>
          <w:rFonts w:ascii="Times New Roman" w:hAnsi="Times New Roman" w:cs="Times New Roman"/>
          <w:sz w:val="28"/>
          <w:szCs w:val="28"/>
        </w:rPr>
        <w:t xml:space="preserve"> С</w:t>
      </w:r>
      <w:r w:rsidR="00DF042C" w:rsidRPr="007464B4">
        <w:rPr>
          <w:rFonts w:ascii="Times New Roman" w:hAnsi="Times New Roman" w:cs="Times New Roman"/>
          <w:sz w:val="28"/>
          <w:szCs w:val="28"/>
        </w:rPr>
        <w:t>редства воспроизведения нового</w:t>
      </w:r>
      <w:r w:rsidR="00DF042C">
        <w:rPr>
          <w:rFonts w:ascii="Times New Roman" w:hAnsi="Times New Roman" w:cs="Times New Roman"/>
          <w:sz w:val="28"/>
          <w:szCs w:val="28"/>
        </w:rPr>
        <w:t xml:space="preserve"> (исправленного)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 должны обеспечить невозможность использования </w:t>
      </w:r>
      <w:r w:rsidR="00DF042C">
        <w:rPr>
          <w:rFonts w:ascii="Times New Roman" w:hAnsi="Times New Roman" w:cs="Times New Roman"/>
          <w:sz w:val="28"/>
          <w:szCs w:val="28"/>
        </w:rPr>
        <w:t xml:space="preserve">его 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отдельно от первоначального </w:t>
      </w:r>
      <w:r w:rsidR="00DF042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документа.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464B4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тся путем зачеркивания неправильного текста или суммы и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правильного текста или суммы</w:t>
      </w:r>
      <w:r w:rsidRPr="00BB0FEF"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над зачеркнутым. Зачеркивание производится тонкой чертой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, чтобы можно было прочитать </w:t>
      </w:r>
      <w:r>
        <w:rPr>
          <w:rFonts w:ascii="Times New Roman" w:hAnsi="Times New Roman" w:cs="Times New Roman"/>
          <w:sz w:val="28"/>
          <w:szCs w:val="28"/>
        </w:rPr>
        <w:t>неправильный текст или сумму</w:t>
      </w:r>
      <w:r w:rsidRPr="007464B4">
        <w:rPr>
          <w:rFonts w:ascii="Times New Roman" w:hAnsi="Times New Roman" w:cs="Times New Roman"/>
          <w:sz w:val="28"/>
          <w:szCs w:val="28"/>
        </w:rPr>
        <w:t>. Исправление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составленном на бумажном носителе,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464B4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ся надписью «Исправлено» </w:t>
      </w:r>
      <w:r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4B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 xml:space="preserve">составивших первичный учетный документ или </w:t>
      </w:r>
      <w:r w:rsidRPr="007464B4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ведение регистра бухгалтерского учета, в котором произведено исправление, с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указанием </w:t>
      </w:r>
      <w:r>
        <w:rPr>
          <w:rFonts w:ascii="Times New Roman" w:hAnsi="Times New Roman" w:cs="Times New Roman"/>
          <w:sz w:val="28"/>
          <w:szCs w:val="28"/>
        </w:rPr>
        <w:t>их должност</w:t>
      </w:r>
      <w:r w:rsidR="00270D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4B4">
        <w:rPr>
          <w:rFonts w:ascii="Times New Roman" w:hAnsi="Times New Roman" w:cs="Times New Roman"/>
          <w:sz w:val="28"/>
          <w:szCs w:val="28"/>
        </w:rPr>
        <w:t>фамилий и инициалов</w:t>
      </w:r>
      <w:r w:rsidRPr="00552EDC">
        <w:t xml:space="preserve"> </w:t>
      </w:r>
      <w:r w:rsidRPr="00552EDC">
        <w:rPr>
          <w:rFonts w:ascii="Times New Roman" w:hAnsi="Times New Roman" w:cs="Times New Roman"/>
          <w:sz w:val="28"/>
          <w:szCs w:val="28"/>
        </w:rPr>
        <w:t>либо иных реквизитов, необходимых для идентификации этих лиц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4">
        <w:rPr>
          <w:rFonts w:ascii="Times New Roman" w:hAnsi="Times New Roman" w:cs="Times New Roman"/>
          <w:sz w:val="28"/>
          <w:szCs w:val="28"/>
        </w:rPr>
        <w:t>Исправления в виде подчисток (замазывания, стирания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т.п.)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не допускаются. </w:t>
      </w:r>
    </w:p>
    <w:p w:rsidR="00DF042C" w:rsidRDefault="00DF042C" w:rsidP="00DF042C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2665E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5E">
        <w:rPr>
          <w:rFonts w:ascii="Times New Roman" w:hAnsi="Times New Roman" w:cs="Times New Roman"/>
          <w:sz w:val="28"/>
          <w:szCs w:val="28"/>
        </w:rPr>
        <w:t xml:space="preserve"> в регистре бухгалтерского учета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A266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2665E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E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proofErr w:type="spellStart"/>
      <w:r w:rsidRPr="00A2665E">
        <w:rPr>
          <w:rFonts w:ascii="Times New Roman" w:hAnsi="Times New Roman" w:cs="Times New Roman"/>
          <w:sz w:val="28"/>
          <w:szCs w:val="28"/>
        </w:rPr>
        <w:t>сторнировочных</w:t>
      </w:r>
      <w:proofErr w:type="spellEnd"/>
      <w:r w:rsidRPr="00A2665E">
        <w:rPr>
          <w:rFonts w:ascii="Times New Roman" w:hAnsi="Times New Roman" w:cs="Times New Roman"/>
          <w:sz w:val="28"/>
          <w:szCs w:val="28"/>
        </w:rPr>
        <w:t xml:space="preserve"> или дополнительных записей</w:t>
      </w:r>
      <w:r>
        <w:rPr>
          <w:rFonts w:ascii="Times New Roman" w:hAnsi="Times New Roman" w:cs="Times New Roman"/>
          <w:sz w:val="28"/>
          <w:szCs w:val="28"/>
        </w:rPr>
        <w:t xml:space="preserve"> по счетам бухгалтерского учета</w:t>
      </w:r>
      <w:r w:rsidRPr="00A2665E"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Хранение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464B4">
        <w:rPr>
          <w:rFonts w:ascii="Times New Roman" w:hAnsi="Times New Roman" w:cs="Times New Roman"/>
          <w:sz w:val="28"/>
          <w:szCs w:val="28"/>
        </w:rPr>
        <w:t>Экономический субъект должен хранить подлинники документов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составленных на бумажном носителе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A514E6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должны храниться в том виде, в котором они были со</w:t>
      </w:r>
      <w:r>
        <w:rPr>
          <w:rFonts w:ascii="Times New Roman" w:hAnsi="Times New Roman" w:cs="Times New Roman"/>
          <w:sz w:val="28"/>
          <w:szCs w:val="28"/>
        </w:rPr>
        <w:t xml:space="preserve">ставлены. </w:t>
      </w:r>
      <w:r w:rsidRPr="001E1655">
        <w:rPr>
          <w:rFonts w:ascii="Times New Roman" w:hAnsi="Times New Roman" w:cs="Times New Roman"/>
          <w:sz w:val="28"/>
          <w:szCs w:val="28"/>
        </w:rPr>
        <w:t>Перевод документов бухгалтерского учета, составленных на бумажном носителе, в электронный вид с целью последующего хранения не допускается.</w:t>
      </w:r>
    </w:p>
    <w:p w:rsidR="000A70D6" w:rsidRDefault="00DF042C" w:rsidP="000A70D6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Экономический субъект должен хранить документы бухгалтерского учета,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 бухгалтерского учета, на территории Российской Федерации. </w:t>
      </w:r>
    </w:p>
    <w:p w:rsidR="00DF042C" w:rsidRDefault="000A70D6" w:rsidP="000A70D6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D6">
        <w:rPr>
          <w:rFonts w:ascii="Times New Roman" w:hAnsi="Times New Roman" w:cs="Times New Roman"/>
          <w:sz w:val="28"/>
          <w:szCs w:val="28"/>
        </w:rPr>
        <w:t xml:space="preserve">В случае если законодательство или правила страны - места ведения деятельности за пределами Российской Федерации требуют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 w:rsidRPr="000A70D6">
        <w:rPr>
          <w:rFonts w:ascii="Times New Roman" w:hAnsi="Times New Roman" w:cs="Times New Roman"/>
          <w:sz w:val="28"/>
          <w:szCs w:val="28"/>
        </w:rPr>
        <w:t xml:space="preserve"> документов бухгалтерского учета на </w:t>
      </w:r>
      <w:r>
        <w:rPr>
          <w:rFonts w:ascii="Times New Roman" w:hAnsi="Times New Roman" w:cs="Times New Roman"/>
          <w:sz w:val="28"/>
          <w:szCs w:val="28"/>
        </w:rPr>
        <w:t>территории данной страны</w:t>
      </w:r>
      <w:r w:rsidRPr="000A70D6">
        <w:rPr>
          <w:rFonts w:ascii="Times New Roman" w:hAnsi="Times New Roman" w:cs="Times New Roman"/>
          <w:sz w:val="28"/>
          <w:szCs w:val="28"/>
        </w:rPr>
        <w:t>, то так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A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 должно быть обеспечено</w:t>
      </w:r>
      <w:r w:rsidRPr="000A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Доступ к первичным учетным документам, принятым к бухгалтерскому учету, а также к регистрам бухгалтерского учета предоставляется </w:t>
      </w:r>
      <w:r w:rsidRPr="00FD3074">
        <w:rPr>
          <w:rFonts w:ascii="Times New Roman" w:hAnsi="Times New Roman" w:cs="Times New Roman"/>
          <w:sz w:val="28"/>
          <w:szCs w:val="28"/>
        </w:rPr>
        <w:t>в порядке, устано</w:t>
      </w:r>
      <w:r>
        <w:rPr>
          <w:rFonts w:ascii="Times New Roman" w:hAnsi="Times New Roman" w:cs="Times New Roman"/>
          <w:sz w:val="28"/>
          <w:szCs w:val="28"/>
        </w:rPr>
        <w:t>вленном экономическим субъектом</w:t>
      </w:r>
      <w:r w:rsidRPr="00FD3074">
        <w:rPr>
          <w:rFonts w:ascii="Times New Roman" w:hAnsi="Times New Roman" w:cs="Times New Roman"/>
          <w:sz w:val="28"/>
          <w:szCs w:val="28"/>
        </w:rPr>
        <w:t xml:space="preserve"> с учетом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 обязательным информированием главного бухгалтера или иного должностного лица экономического субъекта, на которое возложено ведение бухгалтерского учета.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F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4B4">
        <w:rPr>
          <w:rFonts w:ascii="Times New Roman" w:hAnsi="Times New Roman" w:cs="Times New Roman"/>
          <w:sz w:val="28"/>
          <w:szCs w:val="28"/>
        </w:rPr>
        <w:t>В случае утраты документов бухгалтерского учета (</w:t>
      </w:r>
      <w:r w:rsidR="001D4CB9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7464B4">
        <w:rPr>
          <w:rFonts w:ascii="Times New Roman" w:hAnsi="Times New Roman" w:cs="Times New Roman"/>
          <w:sz w:val="28"/>
          <w:szCs w:val="28"/>
        </w:rPr>
        <w:t>гибели, пропажи)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а также их порчи, приводящей к невозможности использования, экономически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субъект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все возможные меры по их восстановлению.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Документооборот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бухгалтерском учете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F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окументооборот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организуется руководителем экономического субъекта. </w:t>
      </w:r>
    </w:p>
    <w:p w:rsidR="004C06FE" w:rsidRDefault="00073FC2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5311B">
        <w:rPr>
          <w:rFonts w:ascii="Times New Roman" w:hAnsi="Times New Roman" w:cs="Times New Roman"/>
          <w:sz w:val="28"/>
          <w:szCs w:val="28"/>
        </w:rPr>
        <w:t>.</w:t>
      </w:r>
      <w:r w:rsidR="00DF042C">
        <w:rPr>
          <w:rFonts w:ascii="Times New Roman" w:hAnsi="Times New Roman" w:cs="Times New Roman"/>
          <w:sz w:val="28"/>
          <w:szCs w:val="28"/>
        </w:rPr>
        <w:t xml:space="preserve"> Организация д</w:t>
      </w:r>
      <w:r w:rsidR="00DF042C"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 w:rsidR="00DF042C">
        <w:rPr>
          <w:rFonts w:ascii="Times New Roman" w:hAnsi="Times New Roman" w:cs="Times New Roman"/>
          <w:sz w:val="28"/>
          <w:szCs w:val="28"/>
        </w:rPr>
        <w:t>а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</w:t>
      </w:r>
      <w:r w:rsidR="00DF042C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DF042C" w:rsidRPr="007464B4">
        <w:rPr>
          <w:rFonts w:ascii="Times New Roman" w:hAnsi="Times New Roman" w:cs="Times New Roman"/>
          <w:sz w:val="28"/>
          <w:szCs w:val="28"/>
        </w:rPr>
        <w:t>должн</w:t>
      </w:r>
      <w:r w:rsidR="00DF042C">
        <w:rPr>
          <w:rFonts w:ascii="Times New Roman" w:hAnsi="Times New Roman" w:cs="Times New Roman"/>
          <w:sz w:val="28"/>
          <w:szCs w:val="28"/>
        </w:rPr>
        <w:t>а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F042C">
        <w:rPr>
          <w:rFonts w:ascii="Times New Roman" w:hAnsi="Times New Roman" w:cs="Times New Roman"/>
          <w:sz w:val="28"/>
          <w:szCs w:val="28"/>
        </w:rPr>
        <w:t>ва</w:t>
      </w:r>
      <w:r w:rsidR="00DF042C" w:rsidRPr="007464B4">
        <w:rPr>
          <w:rFonts w:ascii="Times New Roman" w:hAnsi="Times New Roman" w:cs="Times New Roman"/>
          <w:sz w:val="28"/>
          <w:szCs w:val="28"/>
        </w:rPr>
        <w:t>ть</w:t>
      </w:r>
      <w:r w:rsidR="004C06FE">
        <w:rPr>
          <w:rFonts w:ascii="Times New Roman" w:hAnsi="Times New Roman" w:cs="Times New Roman"/>
          <w:sz w:val="28"/>
          <w:szCs w:val="28"/>
        </w:rPr>
        <w:t>:</w:t>
      </w:r>
    </w:p>
    <w:p w:rsidR="004C06FE" w:rsidRDefault="004C06FE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своевременное отражение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бухгалтерского учета 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в бухгалтерском учете, в том числе передачу первичных учетных документов для регистрации </w:t>
      </w:r>
      <w:r w:rsidR="00DF042C">
        <w:rPr>
          <w:rFonts w:ascii="Times New Roman" w:hAnsi="Times New Roman" w:cs="Times New Roman"/>
          <w:sz w:val="28"/>
          <w:szCs w:val="28"/>
        </w:rPr>
        <w:t xml:space="preserve">содержащихся в них </w:t>
      </w:r>
      <w:r w:rsidR="00DF042C" w:rsidRPr="007464B4">
        <w:rPr>
          <w:rFonts w:ascii="Times New Roman" w:hAnsi="Times New Roman" w:cs="Times New Roman"/>
          <w:sz w:val="28"/>
          <w:szCs w:val="28"/>
        </w:rPr>
        <w:t>данных в регистрах бухгалтерского учета и составлени</w:t>
      </w:r>
      <w:r w:rsidR="00270D20">
        <w:rPr>
          <w:rFonts w:ascii="Times New Roman" w:hAnsi="Times New Roman" w:cs="Times New Roman"/>
          <w:sz w:val="28"/>
          <w:szCs w:val="28"/>
        </w:rPr>
        <w:t>е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 на их основе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7464B4" w:rsidRDefault="004C06FE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предотвращение несанкционированного </w:t>
      </w:r>
      <w:r w:rsidR="006E7A7C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к документам бухгалтерского учета</w:t>
      </w:r>
      <w:r w:rsidR="00DF042C" w:rsidRPr="00746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42C" w:rsidRPr="000164B1" w:rsidRDefault="00073FC2" w:rsidP="00DF042C">
      <w:pPr>
        <w:pStyle w:val="a3"/>
        <w:tabs>
          <w:tab w:val="left" w:pos="-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F042C">
        <w:rPr>
          <w:rFonts w:ascii="Times New Roman" w:hAnsi="Times New Roman" w:cs="Times New Roman"/>
          <w:sz w:val="28"/>
          <w:szCs w:val="28"/>
        </w:rPr>
        <w:t>. </w:t>
      </w:r>
      <w:r w:rsidR="00DF042C" w:rsidRPr="000164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</w:t>
      </w:r>
      <w:r w:rsidR="00DF042C" w:rsidRPr="000164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учете, а также достоверность содержащихся в них данных обеспечивают лица, составившие и подписавшие эти документы.</w:t>
      </w:r>
    </w:p>
    <w:p w:rsidR="00DF042C" w:rsidRPr="000164B1" w:rsidRDefault="00DF042C" w:rsidP="00DF042C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Default="00FD361C"/>
    <w:sectPr w:rsidR="00FD361C" w:rsidSect="00DF042C">
      <w:headerReference w:type="default" r:id="rId8"/>
      <w:pgSz w:w="11906" w:h="16838"/>
      <w:pgMar w:top="1134" w:right="794" w:bottom="851" w:left="1361" w:header="284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6" w:rsidRDefault="00A933B6" w:rsidP="00DF042C">
      <w:pPr>
        <w:spacing w:after="0" w:line="240" w:lineRule="auto"/>
      </w:pPr>
      <w:r>
        <w:separator/>
      </w:r>
    </w:p>
  </w:endnote>
  <w:endnote w:type="continuationSeparator" w:id="0">
    <w:p w:rsidR="00A933B6" w:rsidRDefault="00A933B6" w:rsidP="00DF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6" w:rsidRDefault="00A933B6" w:rsidP="00DF042C">
      <w:pPr>
        <w:spacing w:after="0" w:line="240" w:lineRule="auto"/>
      </w:pPr>
      <w:r>
        <w:separator/>
      </w:r>
    </w:p>
  </w:footnote>
  <w:footnote w:type="continuationSeparator" w:id="0">
    <w:p w:rsidR="00A933B6" w:rsidRDefault="00A933B6" w:rsidP="00DF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  <w:sz w:val="28"/>
      </w:rPr>
      <w:id w:val="1618956324"/>
      <w:docPartObj>
        <w:docPartGallery w:val="Page Numbers (Top of Page)"/>
        <w:docPartUnique/>
      </w:docPartObj>
    </w:sdtPr>
    <w:sdtEndPr/>
    <w:sdtContent>
      <w:p w:rsidR="00D1318A" w:rsidRPr="00CE0181" w:rsidRDefault="002F1D1C">
        <w:pPr>
          <w:pStyle w:val="a4"/>
          <w:jc w:val="center"/>
          <w:rPr>
            <w:rFonts w:ascii="Times New Roman CYR" w:hAnsi="Times New Roman CYR"/>
            <w:sz w:val="28"/>
          </w:rPr>
        </w:pPr>
        <w:r w:rsidRPr="00CE0181">
          <w:rPr>
            <w:rFonts w:ascii="Times New Roman CYR" w:hAnsi="Times New Roman CYR"/>
            <w:sz w:val="28"/>
          </w:rPr>
          <w:fldChar w:fldCharType="begin"/>
        </w:r>
        <w:r w:rsidRPr="00CE0181">
          <w:rPr>
            <w:rFonts w:ascii="Times New Roman CYR" w:hAnsi="Times New Roman CYR"/>
            <w:sz w:val="28"/>
          </w:rPr>
          <w:instrText>PAGE   \* MERGEFORMAT</w:instrText>
        </w:r>
        <w:r w:rsidRPr="00CE0181">
          <w:rPr>
            <w:rFonts w:ascii="Times New Roman CYR" w:hAnsi="Times New Roman CYR"/>
            <w:sz w:val="28"/>
          </w:rPr>
          <w:fldChar w:fldCharType="separate"/>
        </w:r>
        <w:r w:rsidR="00D1325E">
          <w:rPr>
            <w:rFonts w:ascii="Times New Roman CYR" w:hAnsi="Times New Roman CYR"/>
            <w:noProof/>
            <w:sz w:val="28"/>
          </w:rPr>
          <w:t>2</w:t>
        </w:r>
        <w:r w:rsidRPr="00CE0181">
          <w:rPr>
            <w:rFonts w:ascii="Times New Roman CYR" w:hAnsi="Times New Roman CYR"/>
            <w:sz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аровойтова Елена Витальевна">
    <w15:presenceInfo w15:providerId="AD" w15:userId="S-1-5-21-3333730624-550809119-3065100466-121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C"/>
    <w:rsid w:val="000029CB"/>
    <w:rsid w:val="00004349"/>
    <w:rsid w:val="000065DA"/>
    <w:rsid w:val="00015DF5"/>
    <w:rsid w:val="0002391B"/>
    <w:rsid w:val="0002489F"/>
    <w:rsid w:val="0003158A"/>
    <w:rsid w:val="000431D3"/>
    <w:rsid w:val="00053B4D"/>
    <w:rsid w:val="000622F1"/>
    <w:rsid w:val="00073FC2"/>
    <w:rsid w:val="000841ED"/>
    <w:rsid w:val="00087480"/>
    <w:rsid w:val="000A2A7B"/>
    <w:rsid w:val="000A70D6"/>
    <w:rsid w:val="000B0F86"/>
    <w:rsid w:val="000C4753"/>
    <w:rsid w:val="000C6B94"/>
    <w:rsid w:val="000C6BAD"/>
    <w:rsid w:val="000E0E5B"/>
    <w:rsid w:val="000E2CE2"/>
    <w:rsid w:val="001047FE"/>
    <w:rsid w:val="001301E1"/>
    <w:rsid w:val="00145DE3"/>
    <w:rsid w:val="0014759F"/>
    <w:rsid w:val="001510C7"/>
    <w:rsid w:val="00160003"/>
    <w:rsid w:val="001673C4"/>
    <w:rsid w:val="001814D4"/>
    <w:rsid w:val="00184BA3"/>
    <w:rsid w:val="00185912"/>
    <w:rsid w:val="001877EC"/>
    <w:rsid w:val="00187CA8"/>
    <w:rsid w:val="001909A9"/>
    <w:rsid w:val="001C43C6"/>
    <w:rsid w:val="001D4CB9"/>
    <w:rsid w:val="001D4FF6"/>
    <w:rsid w:val="001E3130"/>
    <w:rsid w:val="001F15F4"/>
    <w:rsid w:val="001F54EB"/>
    <w:rsid w:val="00204DBC"/>
    <w:rsid w:val="00226C31"/>
    <w:rsid w:val="0023460E"/>
    <w:rsid w:val="00243BD8"/>
    <w:rsid w:val="00254925"/>
    <w:rsid w:val="00254BB1"/>
    <w:rsid w:val="0027063F"/>
    <w:rsid w:val="00270D20"/>
    <w:rsid w:val="00274D74"/>
    <w:rsid w:val="002907AA"/>
    <w:rsid w:val="002A242D"/>
    <w:rsid w:val="002A3A36"/>
    <w:rsid w:val="002A3DDF"/>
    <w:rsid w:val="002B718C"/>
    <w:rsid w:val="002D4427"/>
    <w:rsid w:val="002E07A8"/>
    <w:rsid w:val="002E2066"/>
    <w:rsid w:val="002E352C"/>
    <w:rsid w:val="002F1D1C"/>
    <w:rsid w:val="00304609"/>
    <w:rsid w:val="0033461C"/>
    <w:rsid w:val="00337321"/>
    <w:rsid w:val="00351D74"/>
    <w:rsid w:val="00364EA6"/>
    <w:rsid w:val="0037055A"/>
    <w:rsid w:val="00385AC7"/>
    <w:rsid w:val="003C45B8"/>
    <w:rsid w:val="003D387A"/>
    <w:rsid w:val="003D59BF"/>
    <w:rsid w:val="003E6EE9"/>
    <w:rsid w:val="003F0ABB"/>
    <w:rsid w:val="003F0BA1"/>
    <w:rsid w:val="003F2818"/>
    <w:rsid w:val="00400736"/>
    <w:rsid w:val="00434D3A"/>
    <w:rsid w:val="0044262A"/>
    <w:rsid w:val="00442BBF"/>
    <w:rsid w:val="00450AA7"/>
    <w:rsid w:val="00454757"/>
    <w:rsid w:val="00486F9A"/>
    <w:rsid w:val="0049415B"/>
    <w:rsid w:val="004A1A1C"/>
    <w:rsid w:val="004B4A82"/>
    <w:rsid w:val="004B536D"/>
    <w:rsid w:val="004C06FE"/>
    <w:rsid w:val="004E0993"/>
    <w:rsid w:val="004F1345"/>
    <w:rsid w:val="004F5976"/>
    <w:rsid w:val="00501E7F"/>
    <w:rsid w:val="00517A50"/>
    <w:rsid w:val="00526BFC"/>
    <w:rsid w:val="0053228A"/>
    <w:rsid w:val="005345F2"/>
    <w:rsid w:val="00534FE0"/>
    <w:rsid w:val="0055736D"/>
    <w:rsid w:val="00562796"/>
    <w:rsid w:val="0059694D"/>
    <w:rsid w:val="00596C89"/>
    <w:rsid w:val="005975F1"/>
    <w:rsid w:val="005B5C43"/>
    <w:rsid w:val="005E4CA2"/>
    <w:rsid w:val="005F5D31"/>
    <w:rsid w:val="0062092D"/>
    <w:rsid w:val="00627814"/>
    <w:rsid w:val="00642CBA"/>
    <w:rsid w:val="00655FA6"/>
    <w:rsid w:val="00687462"/>
    <w:rsid w:val="006957CD"/>
    <w:rsid w:val="00697712"/>
    <w:rsid w:val="006B2257"/>
    <w:rsid w:val="006C2E68"/>
    <w:rsid w:val="006C65CC"/>
    <w:rsid w:val="006E5AD2"/>
    <w:rsid w:val="006E7A7C"/>
    <w:rsid w:val="006F0D49"/>
    <w:rsid w:val="006F1342"/>
    <w:rsid w:val="006F211B"/>
    <w:rsid w:val="00716626"/>
    <w:rsid w:val="00734060"/>
    <w:rsid w:val="00756E90"/>
    <w:rsid w:val="00757CE9"/>
    <w:rsid w:val="00776E6F"/>
    <w:rsid w:val="0079140C"/>
    <w:rsid w:val="00794506"/>
    <w:rsid w:val="007A481C"/>
    <w:rsid w:val="007C1305"/>
    <w:rsid w:val="007D1035"/>
    <w:rsid w:val="007D48CE"/>
    <w:rsid w:val="007F33A8"/>
    <w:rsid w:val="00801E8A"/>
    <w:rsid w:val="00805034"/>
    <w:rsid w:val="00810F9F"/>
    <w:rsid w:val="00812231"/>
    <w:rsid w:val="00812397"/>
    <w:rsid w:val="00835CFD"/>
    <w:rsid w:val="00842B18"/>
    <w:rsid w:val="00852020"/>
    <w:rsid w:val="00873747"/>
    <w:rsid w:val="008A6882"/>
    <w:rsid w:val="008B412D"/>
    <w:rsid w:val="008B649C"/>
    <w:rsid w:val="008B754B"/>
    <w:rsid w:val="008C5075"/>
    <w:rsid w:val="00900A7D"/>
    <w:rsid w:val="00901140"/>
    <w:rsid w:val="0094518B"/>
    <w:rsid w:val="00947661"/>
    <w:rsid w:val="00964320"/>
    <w:rsid w:val="00977795"/>
    <w:rsid w:val="009978C0"/>
    <w:rsid w:val="009A230B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933B6"/>
    <w:rsid w:val="00AD3006"/>
    <w:rsid w:val="00AD78D0"/>
    <w:rsid w:val="00AE4477"/>
    <w:rsid w:val="00AF6DB3"/>
    <w:rsid w:val="00AF737B"/>
    <w:rsid w:val="00B00925"/>
    <w:rsid w:val="00B240DC"/>
    <w:rsid w:val="00B24E98"/>
    <w:rsid w:val="00B34C4C"/>
    <w:rsid w:val="00B35479"/>
    <w:rsid w:val="00B434A6"/>
    <w:rsid w:val="00B60AA9"/>
    <w:rsid w:val="00B65F91"/>
    <w:rsid w:val="00B70FA8"/>
    <w:rsid w:val="00B71837"/>
    <w:rsid w:val="00B852CC"/>
    <w:rsid w:val="00B852E5"/>
    <w:rsid w:val="00B87493"/>
    <w:rsid w:val="00B91BE1"/>
    <w:rsid w:val="00BA6FDA"/>
    <w:rsid w:val="00BC7704"/>
    <w:rsid w:val="00BD657B"/>
    <w:rsid w:val="00C049BA"/>
    <w:rsid w:val="00C43A39"/>
    <w:rsid w:val="00C5232D"/>
    <w:rsid w:val="00C540B6"/>
    <w:rsid w:val="00C55D77"/>
    <w:rsid w:val="00C5654C"/>
    <w:rsid w:val="00C61AC3"/>
    <w:rsid w:val="00C647EA"/>
    <w:rsid w:val="00C66EEB"/>
    <w:rsid w:val="00C709A9"/>
    <w:rsid w:val="00C824EC"/>
    <w:rsid w:val="00CA0358"/>
    <w:rsid w:val="00CD347E"/>
    <w:rsid w:val="00CD4F88"/>
    <w:rsid w:val="00CE0BFE"/>
    <w:rsid w:val="00CE1B21"/>
    <w:rsid w:val="00D04FBF"/>
    <w:rsid w:val="00D06A74"/>
    <w:rsid w:val="00D1325E"/>
    <w:rsid w:val="00D16B96"/>
    <w:rsid w:val="00D237E6"/>
    <w:rsid w:val="00D37B22"/>
    <w:rsid w:val="00D428F6"/>
    <w:rsid w:val="00D43EB6"/>
    <w:rsid w:val="00D472F3"/>
    <w:rsid w:val="00D72E7C"/>
    <w:rsid w:val="00D80064"/>
    <w:rsid w:val="00DA6978"/>
    <w:rsid w:val="00DB2774"/>
    <w:rsid w:val="00DB4418"/>
    <w:rsid w:val="00DC6745"/>
    <w:rsid w:val="00DD3149"/>
    <w:rsid w:val="00DD5A7D"/>
    <w:rsid w:val="00DF042C"/>
    <w:rsid w:val="00E00C6A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65D"/>
    <w:rsid w:val="00E86C12"/>
    <w:rsid w:val="00E91364"/>
    <w:rsid w:val="00EA3FF4"/>
    <w:rsid w:val="00EB0DE6"/>
    <w:rsid w:val="00EC04D4"/>
    <w:rsid w:val="00EC797A"/>
    <w:rsid w:val="00ED0D95"/>
    <w:rsid w:val="00ED7D6B"/>
    <w:rsid w:val="00EE7FE6"/>
    <w:rsid w:val="00EF1679"/>
    <w:rsid w:val="00EF67F5"/>
    <w:rsid w:val="00F1348C"/>
    <w:rsid w:val="00F15AF5"/>
    <w:rsid w:val="00F25A78"/>
    <w:rsid w:val="00F36AC7"/>
    <w:rsid w:val="00F45D0A"/>
    <w:rsid w:val="00F5311B"/>
    <w:rsid w:val="00F62A33"/>
    <w:rsid w:val="00F643FA"/>
    <w:rsid w:val="00F838F9"/>
    <w:rsid w:val="00FA2977"/>
    <w:rsid w:val="00FB045D"/>
    <w:rsid w:val="00FB77BC"/>
    <w:rsid w:val="00FC3475"/>
    <w:rsid w:val="00FC3FF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D4F9-E34A-4C1E-81F8-442AA21E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ГУБИНА ТАТЬЯНА СЕРГЕЕВНА</cp:lastModifiedBy>
  <cp:revision>10</cp:revision>
  <cp:lastPrinted>2021-01-26T13:55:00Z</cp:lastPrinted>
  <dcterms:created xsi:type="dcterms:W3CDTF">2021-02-02T14:48:00Z</dcterms:created>
  <dcterms:modified xsi:type="dcterms:W3CDTF">2021-02-04T09:49:00Z</dcterms:modified>
</cp:coreProperties>
</file>