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95" w:rsidRPr="000C084C" w:rsidRDefault="00612D95" w:rsidP="001F4786">
      <w:pPr>
        <w:pStyle w:val="IASBTitle"/>
        <w:spacing w:before="0" w:after="0"/>
        <w:jc w:val="center"/>
        <w:rPr>
          <w:b/>
          <w:sz w:val="28"/>
          <w:szCs w:val="28"/>
          <w:lang w:val="ru-RU"/>
        </w:rPr>
      </w:pPr>
      <w:bookmarkStart w:id="0" w:name="F62013321"/>
    </w:p>
    <w:p w:rsidR="006F7500" w:rsidRPr="006F7500" w:rsidRDefault="006F7500" w:rsidP="006F7500">
      <w:pPr>
        <w:jc w:val="center"/>
        <w:rPr>
          <w:b/>
          <w:sz w:val="36"/>
          <w:szCs w:val="20"/>
          <w:lang w:val="ru-RU"/>
        </w:rPr>
      </w:pPr>
      <w:bookmarkStart w:id="1" w:name="F65373471"/>
      <w:bookmarkStart w:id="2" w:name="F62013342"/>
      <w:r w:rsidRPr="006F7500">
        <w:rPr>
          <w:b/>
          <w:sz w:val="36"/>
          <w:szCs w:val="20"/>
          <w:lang w:val="ru-RU"/>
        </w:rPr>
        <w:t>Продление срока действия временного освобождения от применения МСФО (IFRS) 9</w:t>
      </w:r>
    </w:p>
    <w:p w:rsidR="006F7500" w:rsidRPr="006F7500" w:rsidRDefault="006F7500" w:rsidP="006F7500">
      <w:pPr>
        <w:rPr>
          <w:b/>
          <w:sz w:val="36"/>
          <w:szCs w:val="20"/>
          <w:lang w:val="ru-RU"/>
        </w:rPr>
      </w:pPr>
    </w:p>
    <w:p w:rsidR="006F7500" w:rsidRPr="006F7500" w:rsidRDefault="006F7500" w:rsidP="006F7500">
      <w:pPr>
        <w:jc w:val="center"/>
        <w:rPr>
          <w:rFonts w:cs="Arial"/>
          <w:sz w:val="36"/>
          <w:szCs w:val="20"/>
          <w:lang w:val="ru-RU"/>
        </w:rPr>
      </w:pPr>
      <w:r w:rsidRPr="006F7500">
        <w:rPr>
          <w:rFonts w:cs="Arial"/>
          <w:sz w:val="36"/>
          <w:szCs w:val="20"/>
          <w:lang w:val="ru-RU"/>
        </w:rPr>
        <w:t>Поправки к МСФО (</w:t>
      </w:r>
      <w:r w:rsidRPr="006F7500">
        <w:rPr>
          <w:rFonts w:cs="Arial"/>
          <w:sz w:val="36"/>
          <w:szCs w:val="20"/>
          <w:lang w:val="en-US"/>
        </w:rPr>
        <w:t>IFRS</w:t>
      </w:r>
      <w:r w:rsidRPr="006F7500">
        <w:rPr>
          <w:rFonts w:cs="Arial"/>
          <w:sz w:val="36"/>
          <w:szCs w:val="20"/>
          <w:lang w:val="ru-RU"/>
        </w:rPr>
        <w:t>) 4</w:t>
      </w:r>
    </w:p>
    <w:p w:rsidR="006F7500" w:rsidRPr="006F7500" w:rsidRDefault="006F7500" w:rsidP="006F7500">
      <w:pPr>
        <w:jc w:val="center"/>
        <w:rPr>
          <w:rFonts w:cs="Arial"/>
          <w:sz w:val="36"/>
          <w:szCs w:val="20"/>
          <w:lang w:val="ru-RU"/>
        </w:rPr>
      </w:pPr>
    </w:p>
    <w:p w:rsidR="006F7500" w:rsidRPr="006F7500" w:rsidRDefault="006F7500" w:rsidP="006F7500">
      <w:pPr>
        <w:keepNext/>
        <w:keepLines/>
        <w:pBdr>
          <w:bottom w:val="single" w:sz="4" w:space="0" w:color="auto"/>
        </w:pBdr>
        <w:spacing w:before="400" w:after="200"/>
        <w:rPr>
          <w:b/>
          <w:sz w:val="26"/>
          <w:szCs w:val="20"/>
          <w:lang w:val="ru-RU"/>
        </w:rPr>
      </w:pPr>
      <w:r w:rsidRPr="006F7500">
        <w:rPr>
          <w:b/>
          <w:sz w:val="26"/>
          <w:szCs w:val="20"/>
          <w:lang w:val="ru-RU"/>
        </w:rPr>
        <w:t xml:space="preserve">Поправки к МСФО (IFRS) 4 </w:t>
      </w:r>
      <w:r w:rsidRPr="006F7500">
        <w:rPr>
          <w:b/>
          <w:i/>
          <w:sz w:val="26"/>
          <w:szCs w:val="20"/>
          <w:lang w:val="ru-RU"/>
        </w:rPr>
        <w:t>«Договоры страхования»</w:t>
      </w:r>
    </w:p>
    <w:p w:rsidR="006F7500" w:rsidRPr="006F7500" w:rsidRDefault="006F7500" w:rsidP="006F7500">
      <w:pPr>
        <w:spacing w:before="100"/>
        <w:ind w:left="782" w:hanging="782"/>
        <w:jc w:val="both"/>
        <w:rPr>
          <w:sz w:val="19"/>
          <w:szCs w:val="20"/>
          <w:lang w:val="ru-RU"/>
        </w:rPr>
      </w:pPr>
    </w:p>
    <w:p w:rsidR="00364CD0" w:rsidRDefault="0093609A" w:rsidP="00364CD0">
      <w:pPr>
        <w:spacing w:before="100"/>
        <w:ind w:left="782" w:hanging="782"/>
        <w:jc w:val="both"/>
        <w:rPr>
          <w:sz w:val="19"/>
          <w:szCs w:val="20"/>
          <w:lang w:val="ru-RU"/>
        </w:rPr>
      </w:pPr>
      <w:r>
        <w:rPr>
          <w:sz w:val="19"/>
          <w:szCs w:val="20"/>
          <w:lang w:val="ru-RU"/>
        </w:rPr>
        <w:t xml:space="preserve">Абзац </w:t>
      </w:r>
      <w:r w:rsidR="00E91A77">
        <w:rPr>
          <w:sz w:val="19"/>
          <w:szCs w:val="20"/>
          <w:lang w:val="ru-RU"/>
        </w:rPr>
        <w:t xml:space="preserve">первый </w:t>
      </w:r>
      <w:r>
        <w:rPr>
          <w:sz w:val="19"/>
          <w:szCs w:val="20"/>
          <w:lang w:val="ru-RU"/>
        </w:rPr>
        <w:t>п</w:t>
      </w:r>
      <w:r w:rsidR="00364CD0">
        <w:rPr>
          <w:sz w:val="19"/>
          <w:szCs w:val="20"/>
          <w:lang w:val="ru-RU"/>
        </w:rPr>
        <w:t>ункт</w:t>
      </w:r>
      <w:r w:rsidR="002E3309">
        <w:rPr>
          <w:sz w:val="19"/>
          <w:szCs w:val="20"/>
          <w:lang w:val="ru-RU"/>
        </w:rPr>
        <w:t>а</w:t>
      </w:r>
      <w:r w:rsidR="00364CD0">
        <w:rPr>
          <w:sz w:val="19"/>
          <w:szCs w:val="20"/>
          <w:lang w:val="ru-RU"/>
        </w:rPr>
        <w:t xml:space="preserve"> </w:t>
      </w:r>
      <w:r w:rsidR="00364CD0" w:rsidRPr="006F7500">
        <w:rPr>
          <w:sz w:val="19"/>
          <w:szCs w:val="20"/>
          <w:lang w:val="ru-RU"/>
        </w:rPr>
        <w:t>20A</w:t>
      </w:r>
      <w:r w:rsidR="00364CD0">
        <w:rPr>
          <w:sz w:val="19"/>
          <w:szCs w:val="20"/>
          <w:lang w:val="ru-RU"/>
        </w:rPr>
        <w:t xml:space="preserve"> изложить в следующей редакции:</w:t>
      </w:r>
    </w:p>
    <w:p w:rsidR="006F7500" w:rsidRDefault="006F7500" w:rsidP="006F7500">
      <w:pPr>
        <w:spacing w:before="100"/>
        <w:ind w:left="782" w:hanging="782"/>
        <w:jc w:val="both"/>
        <w:rPr>
          <w:b/>
          <w:sz w:val="19"/>
          <w:szCs w:val="20"/>
          <w:lang w:val="ru-RU"/>
        </w:rPr>
      </w:pPr>
      <w:r w:rsidRPr="006F7500">
        <w:rPr>
          <w:b/>
          <w:sz w:val="19"/>
          <w:szCs w:val="20"/>
          <w:lang w:val="ru-RU"/>
        </w:rPr>
        <w:t>20A</w:t>
      </w:r>
      <w:r w:rsidRPr="006F7500">
        <w:rPr>
          <w:b/>
          <w:sz w:val="19"/>
          <w:szCs w:val="20"/>
          <w:lang w:val="ru-RU"/>
        </w:rPr>
        <w:tab/>
        <w:t xml:space="preserve">МСФО (IFRS) 9 регулирует порядок учета финансовых инструментов и вступает в силу для годовых периодов, начинающихся 1 января 2018 года или после этой даты. Однако применительно к страховщику, который удовлетворяет критериям в пункте 20B, настоящий МСФО предусматривает временное освобождение, которое разрешает страховщику, но не требует от него, применять МСФО (IAS) 39 </w:t>
      </w:r>
      <w:r w:rsidRPr="006F7500">
        <w:rPr>
          <w:b/>
          <w:i/>
          <w:sz w:val="19"/>
          <w:szCs w:val="20"/>
          <w:lang w:val="ru-RU"/>
        </w:rPr>
        <w:t>«Финансовые инструменты: признание и оценка»</w:t>
      </w:r>
      <w:r w:rsidRPr="006F7500">
        <w:rPr>
          <w:b/>
          <w:sz w:val="19"/>
          <w:szCs w:val="20"/>
          <w:lang w:val="ru-RU"/>
        </w:rPr>
        <w:t xml:space="preserve"> вместо МСФО (IFRS) 9 в отношении годовых периодов, начинающихся до 1 января 2023 года. Страховщик, который воспользуется временным освобождением от применения МСФО (IFRS) 9, должен:</w:t>
      </w:r>
      <w:r w:rsidR="006B1FB1">
        <w:rPr>
          <w:b/>
          <w:sz w:val="19"/>
          <w:szCs w:val="20"/>
          <w:lang w:val="ru-RU"/>
        </w:rPr>
        <w:t>.</w:t>
      </w:r>
    </w:p>
    <w:p w:rsidR="0093609A" w:rsidRDefault="002D21DF" w:rsidP="0093609A">
      <w:pPr>
        <w:spacing w:before="100"/>
        <w:ind w:left="782" w:hanging="782"/>
        <w:jc w:val="both"/>
        <w:rPr>
          <w:sz w:val="19"/>
          <w:szCs w:val="20"/>
          <w:lang w:val="ru-RU"/>
        </w:rPr>
      </w:pPr>
      <w:r>
        <w:rPr>
          <w:sz w:val="19"/>
          <w:szCs w:val="20"/>
          <w:lang w:val="ru-RU"/>
        </w:rPr>
        <w:t>П</w:t>
      </w:r>
      <w:r w:rsidR="0093609A">
        <w:rPr>
          <w:sz w:val="19"/>
          <w:szCs w:val="20"/>
          <w:lang w:val="ru-RU"/>
        </w:rPr>
        <w:t xml:space="preserve">ункт </w:t>
      </w:r>
      <w:r w:rsidR="0093609A" w:rsidRPr="006F7500">
        <w:rPr>
          <w:sz w:val="19"/>
          <w:szCs w:val="20"/>
          <w:lang w:val="ru-RU"/>
        </w:rPr>
        <w:t xml:space="preserve">20J </w:t>
      </w:r>
      <w:r w:rsidR="0093609A">
        <w:rPr>
          <w:sz w:val="19"/>
          <w:szCs w:val="20"/>
          <w:lang w:val="ru-RU"/>
        </w:rPr>
        <w:t>изложить в следующей редакции:</w:t>
      </w:r>
    </w:p>
    <w:p w:rsidR="006F7500" w:rsidRPr="006F7500" w:rsidRDefault="006F7500" w:rsidP="006F7500">
      <w:pPr>
        <w:spacing w:before="100"/>
        <w:ind w:left="782" w:hanging="782"/>
        <w:jc w:val="both"/>
        <w:rPr>
          <w:sz w:val="19"/>
          <w:szCs w:val="20"/>
          <w:lang w:val="ru-RU"/>
        </w:rPr>
      </w:pPr>
      <w:r w:rsidRPr="006F7500">
        <w:rPr>
          <w:sz w:val="19"/>
          <w:szCs w:val="20"/>
          <w:lang w:val="ru-RU"/>
        </w:rPr>
        <w:t>20J</w:t>
      </w:r>
      <w:r w:rsidRPr="006F7500">
        <w:rPr>
          <w:sz w:val="19"/>
          <w:szCs w:val="20"/>
          <w:lang w:val="ru-RU"/>
        </w:rPr>
        <w:tab/>
        <w:t>Е</w:t>
      </w:r>
      <w:bookmarkStart w:id="3" w:name="_GoBack"/>
      <w:bookmarkEnd w:id="3"/>
      <w:r w:rsidRPr="006F7500">
        <w:rPr>
          <w:sz w:val="19"/>
          <w:szCs w:val="20"/>
          <w:lang w:val="ru-RU"/>
        </w:rPr>
        <w:t>сли по результатам повторной оценки (см. пункт 20G(a)) организация больше не удовлетворяет критериям для временного освобождения от применения МСФО (IFRS) 9, то организации разрешается продолжить использование временного освобождения от применения МСФО (IFRS) 9 лишь до конца годового периода, который начинается непосредственно после такой повторной оценки. Тем не менее организация должна применять МСФО (IFRS) 9 в отношении годовых периодов, начинающихся 1 января 2023 года или после этой даты. Например, если организация определяет, что по состоянию на 31 декабря 2018 года (конец ее годового периода) она больше не удовлетворяет критериям для временного освобождения от применения МСФО (IFRS) 9 в соответствии с пунктом 20G(a), то организация имеет право продолжить использование временного освобождения от применения МСФО (IFRS) 9 только до 31 декабря 2019 года.</w:t>
      </w:r>
    </w:p>
    <w:p w:rsidR="0093609A" w:rsidRDefault="0093609A" w:rsidP="0093609A">
      <w:pPr>
        <w:spacing w:before="100"/>
        <w:ind w:left="782" w:hanging="782"/>
        <w:jc w:val="both"/>
        <w:rPr>
          <w:sz w:val="19"/>
          <w:szCs w:val="20"/>
          <w:lang w:val="ru-RU"/>
        </w:rPr>
      </w:pPr>
      <w:r>
        <w:rPr>
          <w:sz w:val="19"/>
          <w:szCs w:val="20"/>
          <w:lang w:val="ru-RU"/>
        </w:rPr>
        <w:t xml:space="preserve">Абзац </w:t>
      </w:r>
      <w:r w:rsidR="002D21DF">
        <w:rPr>
          <w:sz w:val="19"/>
          <w:szCs w:val="20"/>
          <w:lang w:val="ru-RU"/>
        </w:rPr>
        <w:t>первый</w:t>
      </w:r>
      <w:r>
        <w:rPr>
          <w:sz w:val="19"/>
          <w:szCs w:val="20"/>
          <w:lang w:val="ru-RU"/>
        </w:rPr>
        <w:t xml:space="preserve"> пункт</w:t>
      </w:r>
      <w:r w:rsidR="002E3309">
        <w:rPr>
          <w:sz w:val="19"/>
          <w:szCs w:val="20"/>
          <w:lang w:val="ru-RU"/>
        </w:rPr>
        <w:t>а</w:t>
      </w:r>
      <w:r>
        <w:rPr>
          <w:sz w:val="19"/>
          <w:szCs w:val="20"/>
          <w:lang w:val="ru-RU"/>
        </w:rPr>
        <w:t xml:space="preserve"> </w:t>
      </w:r>
      <w:r w:rsidRPr="006F7500">
        <w:rPr>
          <w:sz w:val="19"/>
          <w:szCs w:val="20"/>
          <w:lang w:val="ru-RU"/>
        </w:rPr>
        <w:t xml:space="preserve">20O </w:t>
      </w:r>
      <w:r>
        <w:rPr>
          <w:sz w:val="19"/>
          <w:szCs w:val="20"/>
          <w:lang w:val="ru-RU"/>
        </w:rPr>
        <w:t>изложить в следующей редакции:</w:t>
      </w:r>
    </w:p>
    <w:p w:rsidR="006F7500" w:rsidRPr="006F7500" w:rsidRDefault="006F7500" w:rsidP="006F7500">
      <w:pPr>
        <w:spacing w:before="100"/>
        <w:ind w:left="782" w:hanging="782"/>
        <w:jc w:val="both"/>
        <w:rPr>
          <w:sz w:val="19"/>
          <w:szCs w:val="20"/>
          <w:lang w:val="ru-RU"/>
        </w:rPr>
      </w:pPr>
      <w:r w:rsidRPr="006F7500">
        <w:rPr>
          <w:sz w:val="19"/>
          <w:szCs w:val="20"/>
          <w:lang w:val="ru-RU"/>
        </w:rPr>
        <w:t>20O</w:t>
      </w:r>
      <w:r w:rsidRPr="006F7500">
        <w:rPr>
          <w:sz w:val="19"/>
          <w:szCs w:val="20"/>
          <w:lang w:val="ru-RU"/>
        </w:rPr>
        <w:tab/>
        <w:t xml:space="preserve">Пункты 35–36 МСФО (IAS) 28 </w:t>
      </w:r>
      <w:r w:rsidRPr="006F7500">
        <w:rPr>
          <w:i/>
          <w:sz w:val="19"/>
          <w:szCs w:val="20"/>
          <w:lang w:val="ru-RU"/>
        </w:rPr>
        <w:t>«Инвестиции в ассоциированные организации и совместные предприятия»</w:t>
      </w:r>
      <w:r w:rsidRPr="006F7500">
        <w:rPr>
          <w:sz w:val="19"/>
          <w:szCs w:val="20"/>
          <w:lang w:val="ru-RU"/>
        </w:rPr>
        <w:t xml:space="preserve"> требуют, чтобы организация применяла одинаковую учетную политику при использовании метода долевого участия. Тем не менее в отношении годовых периодов, начинающихся до 1 января 2023 года, организация вправе, но не обязана, сохранить соответствующую учетную политику, применяемую ассоциированной организацией или совместным предприятием, как указано ниже:</w:t>
      </w:r>
      <w:bookmarkEnd w:id="0"/>
      <w:bookmarkEnd w:id="1"/>
      <w:bookmarkEnd w:id="2"/>
      <w:r w:rsidR="006C6B70">
        <w:rPr>
          <w:sz w:val="19"/>
          <w:szCs w:val="20"/>
          <w:lang w:val="ru-RU"/>
        </w:rPr>
        <w:t>.</w:t>
      </w:r>
    </w:p>
    <w:sectPr w:rsidR="006F7500" w:rsidRPr="006F7500" w:rsidSect="007107DD">
      <w:headerReference w:type="even" r:id="rId6"/>
      <w:headerReference w:type="default" r:id="rId7"/>
      <w:footerReference w:type="default" r:id="rId8"/>
      <w:footerReference w:type="first" r:id="rId9"/>
      <w:pgSz w:w="11907" w:h="1683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029" w:rsidRDefault="00C77029" w:rsidP="00927CD7">
      <w:r>
        <w:separator/>
      </w:r>
    </w:p>
  </w:endnote>
  <w:endnote w:type="continuationSeparator" w:id="0">
    <w:p w:rsidR="00C77029" w:rsidRDefault="00C77029" w:rsidP="0092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F2" w:rsidRDefault="002368F2">
    <w:pPr>
      <w:pStyle w:val="a5"/>
      <w:jc w:val="center"/>
    </w:pPr>
  </w:p>
  <w:p w:rsidR="002368F2" w:rsidRDefault="00236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6B2" w:rsidRDefault="00AE46B2" w:rsidP="00AE46B2">
    <w:pPr>
      <w:pStyle w:val="a5"/>
      <w:jc w:val="center"/>
    </w:pPr>
    <w:r w:rsidRPr="00AE46B2">
      <w:rPr>
        <w:lang w:val="ru-RU"/>
      </w:rPr>
      <w:t>© IFRS Foundation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029" w:rsidRDefault="00C77029" w:rsidP="00927CD7">
      <w:r>
        <w:separator/>
      </w:r>
    </w:p>
  </w:footnote>
  <w:footnote w:type="continuationSeparator" w:id="0">
    <w:p w:rsidR="00C77029" w:rsidRDefault="00C77029" w:rsidP="0092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348184"/>
      <w:docPartObj>
        <w:docPartGallery w:val="Page Numbers (Top of Page)"/>
        <w:docPartUnique/>
      </w:docPartObj>
    </w:sdtPr>
    <w:sdtEndPr/>
    <w:sdtContent>
      <w:p w:rsidR="00271217" w:rsidRDefault="00271217">
        <w:pPr>
          <w:pStyle w:val="a3"/>
          <w:jc w:val="center"/>
        </w:pPr>
        <w:r>
          <w:fldChar w:fldCharType="begin"/>
        </w:r>
        <w:r>
          <w:instrText>PAGE   \* MERGEFORMAT</w:instrText>
        </w:r>
        <w:r>
          <w:fldChar w:fldCharType="separate"/>
        </w:r>
        <w:r w:rsidR="0093609A" w:rsidRPr="0093609A">
          <w:rPr>
            <w:noProof/>
            <w:lang w:val="ru-RU"/>
          </w:rPr>
          <w:t>2</w:t>
        </w:r>
        <w:r>
          <w:fldChar w:fldCharType="end"/>
        </w:r>
      </w:p>
    </w:sdtContent>
  </w:sdt>
  <w:p w:rsidR="007107DD" w:rsidRPr="007107DD" w:rsidRDefault="007107DD" w:rsidP="007107DD">
    <w:pPr>
      <w:pStyle w:val="a3"/>
      <w:jc w:val="cente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7DD" w:rsidRDefault="00271217">
    <w:pPr>
      <w:pStyle w:val="a3"/>
      <w:jc w:val="center"/>
    </w:pPr>
    <w:r>
      <w:t>3</w:t>
    </w:r>
  </w:p>
  <w:p w:rsidR="0026092A" w:rsidRPr="00A74659" w:rsidRDefault="00C77029" w:rsidP="00A74659">
    <w:pPr>
      <w:pStyle w:val="a3"/>
      <w:jc w:val="center"/>
      <w:rPr>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D7"/>
    <w:rsid w:val="000400CC"/>
    <w:rsid w:val="000C084C"/>
    <w:rsid w:val="000E31AE"/>
    <w:rsid w:val="00157144"/>
    <w:rsid w:val="0017203A"/>
    <w:rsid w:val="00182ED8"/>
    <w:rsid w:val="001B5996"/>
    <w:rsid w:val="001F4786"/>
    <w:rsid w:val="00200CAE"/>
    <w:rsid w:val="002368F2"/>
    <w:rsid w:val="00271217"/>
    <w:rsid w:val="002D0A48"/>
    <w:rsid w:val="002D21DF"/>
    <w:rsid w:val="002E1500"/>
    <w:rsid w:val="002E3309"/>
    <w:rsid w:val="002F48D6"/>
    <w:rsid w:val="00311805"/>
    <w:rsid w:val="0033382D"/>
    <w:rsid w:val="00364CD0"/>
    <w:rsid w:val="003A783E"/>
    <w:rsid w:val="00440936"/>
    <w:rsid w:val="00454E0E"/>
    <w:rsid w:val="00595999"/>
    <w:rsid w:val="00612D95"/>
    <w:rsid w:val="006B1FB1"/>
    <w:rsid w:val="006C6B70"/>
    <w:rsid w:val="006F7500"/>
    <w:rsid w:val="007107DD"/>
    <w:rsid w:val="0074151E"/>
    <w:rsid w:val="00753CA7"/>
    <w:rsid w:val="007C446D"/>
    <w:rsid w:val="007C6661"/>
    <w:rsid w:val="007D3647"/>
    <w:rsid w:val="007E20C9"/>
    <w:rsid w:val="0085511E"/>
    <w:rsid w:val="00863C08"/>
    <w:rsid w:val="00881240"/>
    <w:rsid w:val="00887AC0"/>
    <w:rsid w:val="008B3CDD"/>
    <w:rsid w:val="00927CD7"/>
    <w:rsid w:val="0093609A"/>
    <w:rsid w:val="00994812"/>
    <w:rsid w:val="009A3560"/>
    <w:rsid w:val="009C1CA1"/>
    <w:rsid w:val="009E77CC"/>
    <w:rsid w:val="00A74659"/>
    <w:rsid w:val="00AA49DC"/>
    <w:rsid w:val="00AC2A1D"/>
    <w:rsid w:val="00AE46B2"/>
    <w:rsid w:val="00B2044B"/>
    <w:rsid w:val="00BA006B"/>
    <w:rsid w:val="00C10F9B"/>
    <w:rsid w:val="00C53E19"/>
    <w:rsid w:val="00C637CE"/>
    <w:rsid w:val="00C65A81"/>
    <w:rsid w:val="00C77029"/>
    <w:rsid w:val="00C875FB"/>
    <w:rsid w:val="00C94C41"/>
    <w:rsid w:val="00D01FD1"/>
    <w:rsid w:val="00D03D7A"/>
    <w:rsid w:val="00D2337A"/>
    <w:rsid w:val="00D67827"/>
    <w:rsid w:val="00DB1CE0"/>
    <w:rsid w:val="00DF7D52"/>
    <w:rsid w:val="00E004BC"/>
    <w:rsid w:val="00E40A6D"/>
    <w:rsid w:val="00E848D9"/>
    <w:rsid w:val="00E91A77"/>
    <w:rsid w:val="00E91DDB"/>
    <w:rsid w:val="00EE54A8"/>
    <w:rsid w:val="00EF58EB"/>
    <w:rsid w:val="00F61989"/>
    <w:rsid w:val="00F77F97"/>
    <w:rsid w:val="00F9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284BE-190B-4717-A131-BBF77965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CD7"/>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npara">
    <w:name w:val="IASB Normal npara"/>
    <w:basedOn w:val="a"/>
    <w:rsid w:val="00927CD7"/>
    <w:pPr>
      <w:spacing w:before="100"/>
      <w:ind w:left="782" w:hanging="782"/>
      <w:jc w:val="both"/>
    </w:pPr>
    <w:rPr>
      <w:sz w:val="19"/>
      <w:szCs w:val="20"/>
      <w:lang w:val="en-US"/>
    </w:rPr>
  </w:style>
  <w:style w:type="paragraph" w:customStyle="1" w:styleId="IASBSectionTitle1NonInd">
    <w:name w:val="IASB Section Title 1 NonInd"/>
    <w:basedOn w:val="a"/>
    <w:rsid w:val="00927CD7"/>
    <w:pPr>
      <w:keepNext/>
      <w:keepLines/>
      <w:pBdr>
        <w:bottom w:val="single" w:sz="4" w:space="0" w:color="auto"/>
      </w:pBdr>
      <w:spacing w:before="400" w:after="200"/>
    </w:pPr>
    <w:rPr>
      <w:rFonts w:ascii="Arial" w:hAnsi="Arial" w:cs="Arial"/>
      <w:b/>
      <w:sz w:val="26"/>
      <w:szCs w:val="20"/>
      <w:lang w:val="en-US"/>
    </w:rPr>
  </w:style>
  <w:style w:type="paragraph" w:customStyle="1" w:styleId="IASBSectionTitle2NonInd">
    <w:name w:val="IASB Section Title 2 NonInd"/>
    <w:basedOn w:val="a"/>
    <w:rsid w:val="00927CD7"/>
    <w:pPr>
      <w:keepNext/>
      <w:keepLines/>
      <w:spacing w:before="300" w:after="200"/>
    </w:pPr>
    <w:rPr>
      <w:rFonts w:ascii="Arial" w:hAnsi="Arial" w:cs="Arial"/>
      <w:b/>
      <w:sz w:val="26"/>
      <w:szCs w:val="20"/>
      <w:lang w:val="en-US"/>
    </w:rPr>
  </w:style>
  <w:style w:type="paragraph" w:customStyle="1" w:styleId="IASBSectionTitle2Ind">
    <w:name w:val="IASB Section Title 2 Ind"/>
    <w:basedOn w:val="IASBSectionTitle2NonInd"/>
    <w:rsid w:val="00927CD7"/>
    <w:pPr>
      <w:spacing w:before="240"/>
      <w:ind w:left="782"/>
    </w:pPr>
  </w:style>
  <w:style w:type="paragraph" w:customStyle="1" w:styleId="IASBSectionTitle3Ind">
    <w:name w:val="IASB Section Title 3 Ind"/>
    <w:basedOn w:val="a"/>
    <w:rsid w:val="00927CD7"/>
    <w:pPr>
      <w:keepNext/>
      <w:keepLines/>
      <w:spacing w:before="240" w:after="200"/>
      <w:ind w:left="782"/>
    </w:pPr>
    <w:rPr>
      <w:rFonts w:ascii="Arial" w:hAnsi="Arial" w:cs="Arial"/>
      <w:b/>
      <w:sz w:val="22"/>
      <w:szCs w:val="20"/>
      <w:lang w:val="en-US"/>
    </w:rPr>
  </w:style>
  <w:style w:type="paragraph" w:customStyle="1" w:styleId="IASBSectionTitle4Ind">
    <w:name w:val="IASB Section Title 4 Ind"/>
    <w:basedOn w:val="a"/>
    <w:rsid w:val="00927CD7"/>
    <w:pPr>
      <w:keepNext/>
      <w:keepLines/>
      <w:spacing w:before="300" w:after="200"/>
      <w:ind w:left="782"/>
    </w:pPr>
    <w:rPr>
      <w:rFonts w:ascii="Arial" w:hAnsi="Arial" w:cs="Arial"/>
      <w:i/>
      <w:sz w:val="22"/>
      <w:szCs w:val="20"/>
      <w:lang w:val="en-US"/>
    </w:rPr>
  </w:style>
  <w:style w:type="paragraph" w:customStyle="1" w:styleId="IASBTitle">
    <w:name w:val="IASB Title"/>
    <w:rsid w:val="00927CD7"/>
    <w:pPr>
      <w:keepNext/>
      <w:keepLines/>
      <w:spacing w:before="300" w:after="400" w:line="240" w:lineRule="auto"/>
    </w:pPr>
    <w:rPr>
      <w:rFonts w:ascii="Times New Roman" w:eastAsia="Times New Roman" w:hAnsi="Times New Roman" w:cs="Arial"/>
      <w:sz w:val="36"/>
      <w:szCs w:val="20"/>
      <w:lang w:val="en-US"/>
    </w:rPr>
  </w:style>
  <w:style w:type="paragraph" w:customStyle="1" w:styleId="IASBNormalnparaL1">
    <w:name w:val="IASB Normal nparaL1"/>
    <w:basedOn w:val="IASBNormalnpara"/>
    <w:rsid w:val="00927CD7"/>
    <w:pPr>
      <w:ind w:left="1564"/>
    </w:pPr>
  </w:style>
  <w:style w:type="paragraph" w:customStyle="1" w:styleId="IASBNormalnparaP">
    <w:name w:val="IASB Normal nparaP"/>
    <w:basedOn w:val="a"/>
    <w:rsid w:val="00927CD7"/>
    <w:pPr>
      <w:tabs>
        <w:tab w:val="left" w:pos="4253"/>
      </w:tabs>
      <w:spacing w:before="100" w:after="100"/>
      <w:ind w:left="782"/>
      <w:jc w:val="both"/>
    </w:pPr>
    <w:rPr>
      <w:sz w:val="19"/>
      <w:szCs w:val="20"/>
      <w:lang w:val="en-US"/>
    </w:rPr>
  </w:style>
  <w:style w:type="paragraph" w:customStyle="1" w:styleId="IASBNormalnparaL3">
    <w:name w:val="IASB Normal nparaL3"/>
    <w:basedOn w:val="a"/>
    <w:rsid w:val="00927CD7"/>
    <w:pPr>
      <w:spacing w:before="100"/>
      <w:ind w:left="3129" w:hanging="782"/>
      <w:jc w:val="both"/>
    </w:pPr>
    <w:rPr>
      <w:sz w:val="19"/>
      <w:szCs w:val="20"/>
      <w:lang w:val="en-US"/>
    </w:rPr>
  </w:style>
  <w:style w:type="paragraph" w:customStyle="1" w:styleId="IASBNormalnparaL4">
    <w:name w:val="IASB Normal nparaL4"/>
    <w:basedOn w:val="IASBNormalnparaL3"/>
    <w:rsid w:val="00927CD7"/>
    <w:pPr>
      <w:ind w:left="3912"/>
    </w:pPr>
  </w:style>
  <w:style w:type="paragraph" w:customStyle="1" w:styleId="IASBTableArial">
    <w:name w:val="IASB Table Arial"/>
    <w:basedOn w:val="a"/>
    <w:rsid w:val="00927CD7"/>
    <w:pPr>
      <w:spacing w:before="120"/>
    </w:pPr>
    <w:rPr>
      <w:rFonts w:ascii="Arial" w:hAnsi="Arial"/>
      <w:sz w:val="18"/>
      <w:szCs w:val="20"/>
      <w:lang w:eastAsia="en-GB"/>
    </w:rPr>
  </w:style>
  <w:style w:type="paragraph" w:styleId="a3">
    <w:name w:val="header"/>
    <w:basedOn w:val="a"/>
    <w:link w:val="a4"/>
    <w:uiPriority w:val="99"/>
    <w:unhideWhenUsed/>
    <w:rsid w:val="00927CD7"/>
    <w:pPr>
      <w:tabs>
        <w:tab w:val="center" w:pos="4677"/>
        <w:tab w:val="right" w:pos="9355"/>
      </w:tabs>
    </w:pPr>
  </w:style>
  <w:style w:type="character" w:customStyle="1" w:styleId="a4">
    <w:name w:val="Верхний колонтитул Знак"/>
    <w:basedOn w:val="a0"/>
    <w:link w:val="a3"/>
    <w:uiPriority w:val="99"/>
    <w:rsid w:val="00927CD7"/>
    <w:rPr>
      <w:rFonts w:ascii="Times New Roman" w:eastAsia="Times New Roman" w:hAnsi="Times New Roman" w:cs="Times New Roman"/>
      <w:sz w:val="24"/>
      <w:szCs w:val="24"/>
      <w:lang w:val="en-GB"/>
    </w:rPr>
  </w:style>
  <w:style w:type="paragraph" w:styleId="a5">
    <w:name w:val="footer"/>
    <w:basedOn w:val="a"/>
    <w:link w:val="a6"/>
    <w:uiPriority w:val="99"/>
    <w:unhideWhenUsed/>
    <w:rsid w:val="00927CD7"/>
    <w:pPr>
      <w:tabs>
        <w:tab w:val="center" w:pos="4677"/>
        <w:tab w:val="right" w:pos="9355"/>
      </w:tabs>
    </w:pPr>
  </w:style>
  <w:style w:type="character" w:customStyle="1" w:styleId="a6">
    <w:name w:val="Нижний колонтитул Знак"/>
    <w:basedOn w:val="a0"/>
    <w:link w:val="a5"/>
    <w:uiPriority w:val="99"/>
    <w:rsid w:val="00927CD7"/>
    <w:rPr>
      <w:rFonts w:ascii="Times New Roman" w:eastAsia="Times New Roman" w:hAnsi="Times New Roman" w:cs="Times New Roman"/>
      <w:sz w:val="24"/>
      <w:szCs w:val="24"/>
      <w:lang w:val="en-GB"/>
    </w:rPr>
  </w:style>
  <w:style w:type="paragraph" w:styleId="a7">
    <w:name w:val="Balloon Text"/>
    <w:basedOn w:val="a"/>
    <w:link w:val="a8"/>
    <w:uiPriority w:val="99"/>
    <w:semiHidden/>
    <w:unhideWhenUsed/>
    <w:rsid w:val="0017203A"/>
    <w:rPr>
      <w:rFonts w:ascii="Segoe UI" w:hAnsi="Segoe UI" w:cs="Segoe UI"/>
      <w:sz w:val="18"/>
      <w:szCs w:val="18"/>
    </w:rPr>
  </w:style>
  <w:style w:type="character" w:customStyle="1" w:styleId="a8">
    <w:name w:val="Текст выноски Знак"/>
    <w:basedOn w:val="a0"/>
    <w:link w:val="a7"/>
    <w:uiPriority w:val="99"/>
    <w:semiHidden/>
    <w:rsid w:val="0017203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333</Words>
  <Characters>1903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БАРИНОВА ГАЛИНА ВИКТОРОВНА</dc:creator>
  <cp:lastModifiedBy>БАРИНОВА ГАЛИНА ВИКТОРОВНА</cp:lastModifiedBy>
  <cp:revision>12</cp:revision>
  <cp:lastPrinted>2020-11-26T12:30:00Z</cp:lastPrinted>
  <dcterms:created xsi:type="dcterms:W3CDTF">2020-10-14T12:19:00Z</dcterms:created>
  <dcterms:modified xsi:type="dcterms:W3CDTF">2021-01-12T10:55:00Z</dcterms:modified>
</cp:coreProperties>
</file>